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A3DF9" w14:textId="77777777" w:rsidR="00A81413" w:rsidRDefault="00A81413"/>
    <w:tbl>
      <w:tblPr>
        <w:tblW w:w="22113" w:type="dxa"/>
        <w:jc w:val="center"/>
        <w:tblLayout w:type="fixed"/>
        <w:tblLook w:val="04A0" w:firstRow="1" w:lastRow="0" w:firstColumn="1" w:lastColumn="0" w:noHBand="0" w:noVBand="1"/>
      </w:tblPr>
      <w:tblGrid>
        <w:gridCol w:w="7617"/>
        <w:gridCol w:w="2693"/>
        <w:gridCol w:w="3544"/>
        <w:gridCol w:w="8259"/>
      </w:tblGrid>
      <w:tr w:rsidR="00A81413" w14:paraId="5DA47EE1" w14:textId="77777777">
        <w:trPr>
          <w:trHeight w:val="310"/>
          <w:jc w:val="center"/>
        </w:trPr>
        <w:tc>
          <w:tcPr>
            <w:tcW w:w="22113" w:type="dxa"/>
            <w:gridSpan w:val="4"/>
            <w:tcBorders>
              <w:left w:val="nil"/>
              <w:bottom w:val="single" w:sz="12" w:space="0" w:color="auto"/>
              <w:right w:val="nil"/>
            </w:tcBorders>
            <w:shd w:val="clear" w:color="auto" w:fill="auto"/>
            <w:noWrap/>
            <w:vAlign w:val="center"/>
          </w:tcPr>
          <w:p w14:paraId="2AF6EB10" w14:textId="2DBAE874" w:rsidR="00A81413" w:rsidRDefault="00F56CFC">
            <w:pPr>
              <w:widowControl/>
              <w:textAlignment w:val="center"/>
              <w:rPr>
                <w:rFonts w:ascii="Times New Roman" w:eastAsia="DengXian" w:hAnsi="Times New Roman" w:cs="Times New Roman"/>
                <w:b/>
                <w:bCs/>
                <w:color w:val="000000"/>
                <w:kern w:val="0"/>
                <w:sz w:val="22"/>
                <w:szCs w:val="22"/>
                <w:lang w:bidi="ar"/>
              </w:rPr>
            </w:pPr>
            <w:r w:rsidRPr="00F56CFC">
              <w:rPr>
                <w:rFonts w:ascii="Times New Roman" w:eastAsia="DengXian" w:hAnsi="Times New Roman" w:cs="Times New Roman"/>
                <w:b/>
                <w:bCs/>
                <w:color w:val="000000"/>
                <w:kern w:val="0"/>
                <w:sz w:val="22"/>
                <w:szCs w:val="22"/>
                <w:lang w:bidi="ar"/>
              </w:rPr>
              <w:t>Table S1</w:t>
            </w:r>
            <w:r w:rsidRPr="00F56CFC">
              <w:rPr>
                <w:rFonts w:ascii="Times New Roman" w:eastAsia="DengXian" w:hAnsi="Times New Roman" w:cs="Times New Roman" w:hint="eastAsia"/>
                <w:b/>
                <w:bCs/>
                <w:color w:val="000000"/>
                <w:kern w:val="0"/>
                <w:sz w:val="22"/>
                <w:szCs w:val="22"/>
                <w:lang w:bidi="ar"/>
              </w:rPr>
              <w:t xml:space="preserve">. </w:t>
            </w:r>
            <w:r w:rsidRPr="00F56CFC">
              <w:rPr>
                <w:rFonts w:ascii="Times New Roman" w:eastAsia="DengXian" w:hAnsi="Times New Roman" w:cs="Times New Roman"/>
                <w:b/>
                <w:bCs/>
                <w:color w:val="000000"/>
                <w:kern w:val="0"/>
                <w:sz w:val="22"/>
                <w:szCs w:val="22"/>
                <w:lang w:bidi="ar"/>
              </w:rPr>
              <w:t>Summary of Included Publications with Patient Numbers and Data Sources</w:t>
            </w:r>
          </w:p>
        </w:tc>
      </w:tr>
      <w:tr w:rsidR="00A81413" w14:paraId="140435D2" w14:textId="77777777">
        <w:trPr>
          <w:trHeight w:val="310"/>
          <w:jc w:val="center"/>
        </w:trPr>
        <w:tc>
          <w:tcPr>
            <w:tcW w:w="7617" w:type="dxa"/>
            <w:tcBorders>
              <w:top w:val="single" w:sz="12" w:space="0" w:color="auto"/>
              <w:left w:val="nil"/>
              <w:bottom w:val="single" w:sz="12" w:space="0" w:color="auto"/>
              <w:right w:val="nil"/>
            </w:tcBorders>
            <w:shd w:val="clear" w:color="auto" w:fill="auto"/>
            <w:noWrap/>
            <w:vAlign w:val="center"/>
          </w:tcPr>
          <w:p w14:paraId="7B1352A2" w14:textId="77777777" w:rsidR="00A81413" w:rsidRDefault="00000000">
            <w:pPr>
              <w:widowControl/>
              <w:textAlignment w:val="center"/>
              <w:rPr>
                <w:rFonts w:ascii="Times New Roman" w:eastAsia="DengXian" w:hAnsi="Times New Roman" w:cs="Times New Roman"/>
                <w:b/>
                <w:bCs/>
                <w:color w:val="000000"/>
                <w:kern w:val="0"/>
                <w:sz w:val="22"/>
                <w:szCs w:val="22"/>
                <w:lang w:bidi="ar"/>
              </w:rPr>
            </w:pPr>
            <w:bookmarkStart w:id="0" w:name="OLE_LINK109"/>
            <w:r>
              <w:rPr>
                <w:rFonts w:ascii="Times New Roman" w:eastAsia="DengXian" w:hAnsi="Times New Roman" w:cs="Times New Roman" w:hint="eastAsia"/>
                <w:b/>
                <w:bCs/>
                <w:color w:val="000000"/>
                <w:kern w:val="0"/>
                <w:sz w:val="22"/>
                <w:szCs w:val="22"/>
                <w:lang w:bidi="ar"/>
              </w:rPr>
              <w:t>Title</w:t>
            </w:r>
          </w:p>
        </w:tc>
        <w:tc>
          <w:tcPr>
            <w:tcW w:w="2693" w:type="dxa"/>
            <w:tcBorders>
              <w:top w:val="single" w:sz="12" w:space="0" w:color="auto"/>
              <w:left w:val="nil"/>
              <w:bottom w:val="single" w:sz="12" w:space="0" w:color="auto"/>
              <w:right w:val="nil"/>
            </w:tcBorders>
            <w:vAlign w:val="center"/>
          </w:tcPr>
          <w:p w14:paraId="7153CBB9" w14:textId="77777777" w:rsidR="00A81413"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b/>
                <w:bCs/>
                <w:color w:val="000000"/>
                <w:kern w:val="0"/>
                <w:sz w:val="22"/>
                <w:szCs w:val="22"/>
                <w:lang w:bidi="ar"/>
              </w:rPr>
              <w:t>Number of patients with relatively complete data</w:t>
            </w:r>
          </w:p>
        </w:tc>
        <w:tc>
          <w:tcPr>
            <w:tcW w:w="3544" w:type="dxa"/>
            <w:tcBorders>
              <w:top w:val="single" w:sz="12" w:space="0" w:color="auto"/>
              <w:left w:val="nil"/>
              <w:bottom w:val="single" w:sz="12" w:space="0" w:color="auto"/>
              <w:right w:val="nil"/>
            </w:tcBorders>
            <w:vAlign w:val="center"/>
          </w:tcPr>
          <w:p w14:paraId="03AB590A" w14:textId="77777777" w:rsidR="00A81413" w:rsidRDefault="00000000">
            <w:pPr>
              <w:widowControl/>
              <w:jc w:val="center"/>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b/>
                <w:bCs/>
                <w:color w:val="000000"/>
                <w:kern w:val="0"/>
                <w:sz w:val="22"/>
                <w:szCs w:val="22"/>
                <w:lang w:bidi="ar"/>
              </w:rPr>
              <w:t>Number of patients with available graft rejection information</w:t>
            </w:r>
          </w:p>
        </w:tc>
        <w:tc>
          <w:tcPr>
            <w:tcW w:w="8259" w:type="dxa"/>
            <w:tcBorders>
              <w:top w:val="single" w:sz="12" w:space="0" w:color="auto"/>
              <w:left w:val="nil"/>
              <w:bottom w:val="single" w:sz="12" w:space="0" w:color="auto"/>
              <w:right w:val="nil"/>
            </w:tcBorders>
            <w:vAlign w:val="center"/>
          </w:tcPr>
          <w:p w14:paraId="2F56122E" w14:textId="77777777" w:rsidR="00A81413" w:rsidRDefault="00000000">
            <w:pPr>
              <w:widowControl/>
              <w:textAlignment w:val="center"/>
              <w:rPr>
                <w:rFonts w:ascii="Times New Roman" w:eastAsia="DengXian" w:hAnsi="Times New Roman" w:cs="Times New Roman"/>
                <w:b/>
                <w:bCs/>
                <w:color w:val="000000"/>
                <w:kern w:val="0"/>
                <w:sz w:val="22"/>
                <w:szCs w:val="22"/>
                <w:lang w:bidi="ar"/>
              </w:rPr>
            </w:pPr>
            <w:r>
              <w:rPr>
                <w:rFonts w:ascii="Times New Roman" w:eastAsia="DengXian" w:hAnsi="Times New Roman" w:cs="Times New Roman"/>
                <w:b/>
                <w:bCs/>
                <w:color w:val="000000"/>
                <w:kern w:val="0"/>
                <w:sz w:val="22"/>
                <w:szCs w:val="22"/>
                <w:lang w:bidi="ar"/>
              </w:rPr>
              <w:t>Data Source (Web Link)</w:t>
            </w:r>
          </w:p>
        </w:tc>
      </w:tr>
      <w:bookmarkEnd w:id="0"/>
      <w:tr w:rsidR="00A81413" w14:paraId="42A17BAA" w14:textId="77777777">
        <w:trPr>
          <w:trHeight w:val="310"/>
          <w:jc w:val="center"/>
        </w:trPr>
        <w:tc>
          <w:tcPr>
            <w:tcW w:w="7617" w:type="dxa"/>
            <w:tcBorders>
              <w:top w:val="single" w:sz="12" w:space="0" w:color="auto"/>
              <w:left w:val="nil"/>
              <w:bottom w:val="nil"/>
              <w:right w:val="nil"/>
            </w:tcBorders>
            <w:shd w:val="clear" w:color="auto" w:fill="auto"/>
            <w:noWrap/>
            <w:vAlign w:val="center"/>
          </w:tcPr>
          <w:p w14:paraId="00917B3B" w14:textId="6C27E714"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程序性死亡受体（</w:t>
            </w:r>
            <w:r>
              <w:rPr>
                <w:rFonts w:ascii="Times New Roman" w:eastAsia="DengXian" w:hAnsi="Times New Roman" w:cs="Times New Roman"/>
                <w:color w:val="000000"/>
                <w:kern w:val="0"/>
                <w:sz w:val="22"/>
                <w:szCs w:val="22"/>
                <w:lang w:bidi="ar"/>
              </w:rPr>
              <w:t>PD</w:t>
            </w:r>
            <w:r>
              <w:rPr>
                <w:rFonts w:ascii="Times New Roman" w:eastAsia="DengXian" w:hAnsi="Times New Roman" w:cs="Times New Roman"/>
                <w:color w:val="000000"/>
                <w:kern w:val="0"/>
                <w:sz w:val="22"/>
                <w:szCs w:val="22"/>
                <w:lang w:bidi="ar"/>
              </w:rPr>
              <w:t>）</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单克隆抗体治疗肝癌肝移植术后复发诱发急性免疫性肝炎：附</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例报告</w:t>
            </w:r>
          </w:p>
        </w:tc>
        <w:tc>
          <w:tcPr>
            <w:tcW w:w="2693" w:type="dxa"/>
            <w:tcBorders>
              <w:top w:val="single" w:sz="12" w:space="0" w:color="auto"/>
              <w:left w:val="nil"/>
              <w:bottom w:val="nil"/>
              <w:right w:val="nil"/>
            </w:tcBorders>
            <w:vAlign w:val="center"/>
          </w:tcPr>
          <w:p w14:paraId="4CF3B4C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single" w:sz="12" w:space="0" w:color="auto"/>
              <w:left w:val="nil"/>
              <w:bottom w:val="nil"/>
              <w:right w:val="nil"/>
            </w:tcBorders>
            <w:vAlign w:val="center"/>
          </w:tcPr>
          <w:p w14:paraId="542ECA2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single" w:sz="12" w:space="0" w:color="auto"/>
              <w:left w:val="nil"/>
              <w:bottom w:val="nil"/>
              <w:right w:val="nil"/>
            </w:tcBorders>
            <w:vAlign w:val="center"/>
          </w:tcPr>
          <w:p w14:paraId="683133EA"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 w:history="1">
              <w:r>
                <w:rPr>
                  <w:rStyle w:val="a4"/>
                  <w:rFonts w:ascii="Times New Roman" w:eastAsia="DengXian" w:hAnsi="Times New Roman" w:cs="Times New Roman"/>
                  <w:kern w:val="0"/>
                  <w:sz w:val="22"/>
                  <w:szCs w:val="22"/>
                  <w:lang w:bidi="ar"/>
                </w:rPr>
                <w:t>https://d.wanfangdata.com.cn/periodical/ChVQZXJpb2RpY2FsQ0hJMjAyNTA2MjISDXFneXoyMDE2MDEwMDgaCDRya3FkMjU0</w:t>
              </w:r>
            </w:hyperlink>
          </w:p>
        </w:tc>
      </w:tr>
      <w:tr w:rsidR="00A81413" w14:paraId="5E4350AC" w14:textId="77777777">
        <w:trPr>
          <w:trHeight w:val="310"/>
          <w:jc w:val="center"/>
        </w:trPr>
        <w:tc>
          <w:tcPr>
            <w:tcW w:w="7617" w:type="dxa"/>
            <w:tcBorders>
              <w:top w:val="nil"/>
              <w:left w:val="nil"/>
              <w:bottom w:val="nil"/>
              <w:right w:val="nil"/>
            </w:tcBorders>
            <w:shd w:val="clear" w:color="auto" w:fill="auto"/>
            <w:noWrap/>
            <w:vAlign w:val="center"/>
          </w:tcPr>
          <w:p w14:paraId="4811FE07" w14:textId="51D8CAEC"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肝癌肝移植术前使用程序性死亡受体</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抑制剂致术后重度混合性排斥反应一例</w:t>
            </w:r>
          </w:p>
        </w:tc>
        <w:tc>
          <w:tcPr>
            <w:tcW w:w="2693" w:type="dxa"/>
            <w:tcBorders>
              <w:top w:val="nil"/>
              <w:left w:val="nil"/>
              <w:bottom w:val="nil"/>
              <w:right w:val="nil"/>
            </w:tcBorders>
            <w:vAlign w:val="center"/>
          </w:tcPr>
          <w:p w14:paraId="5B3DE40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008D6C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54B212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 w:history="1">
              <w:r>
                <w:rPr>
                  <w:rStyle w:val="a4"/>
                  <w:rFonts w:ascii="Times New Roman" w:eastAsia="DengXian" w:hAnsi="Times New Roman" w:cs="Times New Roman"/>
                  <w:kern w:val="0"/>
                  <w:sz w:val="22"/>
                  <w:szCs w:val="22"/>
                  <w:lang w:bidi="ar"/>
                </w:rPr>
                <w:t>https://d.wanfangdata.com.cn/periodical/ChVQZXJpb2RpY2FsQ0hJMjAyNTA2MjISD3poeXp6ejIwMjIwMjAwORoINzhnbnV0eXM%3D</w:t>
              </w:r>
            </w:hyperlink>
          </w:p>
        </w:tc>
      </w:tr>
      <w:tr w:rsidR="00A81413" w14:paraId="2C90C75C" w14:textId="77777777">
        <w:trPr>
          <w:trHeight w:val="310"/>
          <w:jc w:val="center"/>
        </w:trPr>
        <w:tc>
          <w:tcPr>
            <w:tcW w:w="7617" w:type="dxa"/>
            <w:tcBorders>
              <w:top w:val="nil"/>
              <w:left w:val="nil"/>
              <w:bottom w:val="nil"/>
              <w:right w:val="nil"/>
            </w:tcBorders>
            <w:shd w:val="clear" w:color="auto" w:fill="auto"/>
            <w:noWrap/>
            <w:vAlign w:val="center"/>
          </w:tcPr>
          <w:p w14:paraId="577AB438" w14:textId="04EDA5B7"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肝移植术后应用免疫检查点抑制剂治疗</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例并文献复习</w:t>
            </w:r>
          </w:p>
        </w:tc>
        <w:tc>
          <w:tcPr>
            <w:tcW w:w="2693" w:type="dxa"/>
            <w:tcBorders>
              <w:top w:val="nil"/>
              <w:left w:val="nil"/>
              <w:bottom w:val="nil"/>
              <w:right w:val="nil"/>
            </w:tcBorders>
            <w:vAlign w:val="center"/>
          </w:tcPr>
          <w:p w14:paraId="0CB4AB2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E4EECB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960AB1A"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 w:history="1">
              <w:r>
                <w:rPr>
                  <w:rStyle w:val="a4"/>
                  <w:rFonts w:ascii="Times New Roman" w:eastAsia="DengXian" w:hAnsi="Times New Roman" w:cs="Times New Roman"/>
                  <w:kern w:val="0"/>
                  <w:sz w:val="22"/>
                  <w:szCs w:val="22"/>
                  <w:lang w:bidi="ar"/>
                </w:rPr>
                <w:t>https://d.wanfangdata.com.cn/periodical/ChVQZXJpb2RpY2FsQ0hJMjAyNTA2MjISEXpocWd5ejk4MjAyMjA1MDAzGghtdDVwdzVoZg%3D%3D</w:t>
              </w:r>
            </w:hyperlink>
          </w:p>
        </w:tc>
      </w:tr>
      <w:tr w:rsidR="00A81413" w14:paraId="139DBCFC" w14:textId="77777777">
        <w:trPr>
          <w:trHeight w:val="310"/>
          <w:jc w:val="center"/>
        </w:trPr>
        <w:tc>
          <w:tcPr>
            <w:tcW w:w="7617" w:type="dxa"/>
            <w:tcBorders>
              <w:top w:val="nil"/>
              <w:left w:val="nil"/>
              <w:bottom w:val="nil"/>
              <w:right w:val="nil"/>
            </w:tcBorders>
            <w:shd w:val="clear" w:color="auto" w:fill="auto"/>
            <w:noWrap/>
            <w:vAlign w:val="center"/>
          </w:tcPr>
          <w:p w14:paraId="493CCFC4" w14:textId="2BFB1920"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阿替利珠单克隆抗体与贝伐珠单克隆抗体联合局部治疗在复发性肝癌肝移植前治疗中的临床疗效</w:t>
            </w:r>
          </w:p>
        </w:tc>
        <w:tc>
          <w:tcPr>
            <w:tcW w:w="2693" w:type="dxa"/>
            <w:tcBorders>
              <w:top w:val="nil"/>
              <w:left w:val="nil"/>
              <w:bottom w:val="nil"/>
              <w:right w:val="nil"/>
            </w:tcBorders>
            <w:vAlign w:val="center"/>
          </w:tcPr>
          <w:p w14:paraId="47C221C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086C3B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CFB66A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 w:history="1">
              <w:r>
                <w:rPr>
                  <w:rStyle w:val="a4"/>
                  <w:rFonts w:ascii="Times New Roman" w:eastAsia="DengXian" w:hAnsi="Times New Roman" w:cs="Times New Roman"/>
                  <w:kern w:val="0"/>
                  <w:sz w:val="22"/>
                  <w:szCs w:val="22"/>
                  <w:lang w:bidi="ar"/>
                </w:rPr>
                <w:t>https://d.wanfangdata.com.cn/periodical/ChVQZXJpb2RpY2FsQ0hJMjAyNTA2MjISDXhod2syMDIyUzEwMDUaCGYyanAzMWV2</w:t>
              </w:r>
            </w:hyperlink>
          </w:p>
        </w:tc>
      </w:tr>
      <w:tr w:rsidR="00A81413" w14:paraId="43B35E1C" w14:textId="77777777">
        <w:trPr>
          <w:trHeight w:val="310"/>
          <w:jc w:val="center"/>
        </w:trPr>
        <w:tc>
          <w:tcPr>
            <w:tcW w:w="7617" w:type="dxa"/>
            <w:tcBorders>
              <w:top w:val="nil"/>
              <w:left w:val="nil"/>
              <w:bottom w:val="nil"/>
              <w:right w:val="nil"/>
            </w:tcBorders>
            <w:shd w:val="clear" w:color="auto" w:fill="auto"/>
            <w:noWrap/>
            <w:vAlign w:val="center"/>
          </w:tcPr>
          <w:p w14:paraId="2567B862" w14:textId="5AFFAA94"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仑伐替尼联合替雷利珠单抗治疗肝细胞癌致结肠炎迅速进展</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例</w:t>
            </w:r>
          </w:p>
        </w:tc>
        <w:tc>
          <w:tcPr>
            <w:tcW w:w="2693" w:type="dxa"/>
            <w:tcBorders>
              <w:top w:val="nil"/>
              <w:left w:val="nil"/>
              <w:bottom w:val="nil"/>
              <w:right w:val="nil"/>
            </w:tcBorders>
            <w:vAlign w:val="center"/>
          </w:tcPr>
          <w:p w14:paraId="3E0AD79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685CC8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719613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 w:history="1">
              <w:r>
                <w:rPr>
                  <w:rStyle w:val="a4"/>
                  <w:rFonts w:ascii="Times New Roman" w:eastAsia="DengXian" w:hAnsi="Times New Roman" w:cs="Times New Roman"/>
                  <w:kern w:val="0"/>
                  <w:sz w:val="22"/>
                  <w:szCs w:val="22"/>
                  <w:lang w:bidi="ar"/>
                </w:rPr>
                <w:t>https://d.wanfangdata.com.cn/periodical/ChVQZXJpb2RpY2FsQ0hJMjAyNTA2MjISEXl3bHhieHp6MjAyNDAzMDExGgg2dm14ZG45bQ%3D%3D</w:t>
              </w:r>
            </w:hyperlink>
          </w:p>
        </w:tc>
      </w:tr>
      <w:tr w:rsidR="00A81413" w14:paraId="1CFECCD9" w14:textId="77777777">
        <w:trPr>
          <w:trHeight w:val="310"/>
          <w:jc w:val="center"/>
        </w:trPr>
        <w:tc>
          <w:tcPr>
            <w:tcW w:w="7617" w:type="dxa"/>
            <w:tcBorders>
              <w:top w:val="nil"/>
              <w:left w:val="nil"/>
              <w:bottom w:val="nil"/>
              <w:right w:val="nil"/>
            </w:tcBorders>
            <w:shd w:val="clear" w:color="auto" w:fill="auto"/>
            <w:noWrap/>
            <w:vAlign w:val="center"/>
          </w:tcPr>
          <w:p w14:paraId="532E3DEC" w14:textId="1D3FD452"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肝癌肝移植术前应用</w:t>
            </w: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抑制剂后发生急性排斥反应一例并文献复习</w:t>
            </w:r>
          </w:p>
        </w:tc>
        <w:tc>
          <w:tcPr>
            <w:tcW w:w="2693" w:type="dxa"/>
            <w:tcBorders>
              <w:top w:val="nil"/>
              <w:left w:val="nil"/>
              <w:bottom w:val="nil"/>
              <w:right w:val="nil"/>
            </w:tcBorders>
            <w:vAlign w:val="center"/>
          </w:tcPr>
          <w:p w14:paraId="4437AA4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AD1146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00A7A3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9" w:history="1">
              <w:r>
                <w:rPr>
                  <w:rStyle w:val="a4"/>
                  <w:rFonts w:ascii="Times New Roman" w:eastAsia="DengXian" w:hAnsi="Times New Roman" w:cs="Times New Roman"/>
                  <w:kern w:val="0"/>
                  <w:sz w:val="22"/>
                  <w:szCs w:val="22"/>
                  <w:lang w:bidi="ar"/>
                </w:rPr>
                <w:t>https://zhgzwkssxdzzz.cma-cmc.com.cn/CN/10.3877/cma.j.issn.2095-3232.2024.01.017</w:t>
              </w:r>
            </w:hyperlink>
          </w:p>
        </w:tc>
      </w:tr>
      <w:tr w:rsidR="00A81413" w14:paraId="046803E9" w14:textId="77777777">
        <w:trPr>
          <w:trHeight w:val="310"/>
          <w:jc w:val="center"/>
        </w:trPr>
        <w:tc>
          <w:tcPr>
            <w:tcW w:w="7617" w:type="dxa"/>
            <w:tcBorders>
              <w:top w:val="nil"/>
              <w:left w:val="nil"/>
              <w:bottom w:val="nil"/>
              <w:right w:val="nil"/>
            </w:tcBorders>
            <w:shd w:val="clear" w:color="auto" w:fill="auto"/>
            <w:noWrap/>
            <w:vAlign w:val="center"/>
          </w:tcPr>
          <w:p w14:paraId="76055DE5" w14:textId="34C11E7D"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钇</w:t>
            </w:r>
            <w:r>
              <w:rPr>
                <w:rFonts w:ascii="Times New Roman" w:eastAsia="DengXian" w:hAnsi="Times New Roman" w:cs="Times New Roman"/>
                <w:color w:val="000000"/>
                <w:kern w:val="0"/>
                <w:sz w:val="22"/>
                <w:szCs w:val="22"/>
                <w:lang w:bidi="ar"/>
              </w:rPr>
              <w:t>-90</w:t>
            </w:r>
            <w:r>
              <w:rPr>
                <w:rFonts w:ascii="Times New Roman" w:eastAsia="DengXian" w:hAnsi="Times New Roman" w:cs="Times New Roman"/>
                <w:color w:val="000000"/>
                <w:kern w:val="0"/>
                <w:sz w:val="22"/>
                <w:szCs w:val="22"/>
                <w:lang w:bidi="ar"/>
              </w:rPr>
              <w:t>微球放射栓塞联合靶向和免疫治疗后成功肝移植</w:t>
            </w:r>
            <w:r>
              <w:rPr>
                <w:rFonts w:ascii="Times New Roman" w:eastAsia="DengXian" w:hAnsi="Times New Roman" w:cs="Times New Roman"/>
                <w:color w:val="000000"/>
                <w:kern w:val="0"/>
                <w:sz w:val="22"/>
                <w:szCs w:val="22"/>
                <w:lang w:bidi="ar"/>
              </w:rPr>
              <w:t>:</w:t>
            </w:r>
            <w:r>
              <w:rPr>
                <w:rFonts w:ascii="Times New Roman" w:eastAsia="DengXian" w:hAnsi="Times New Roman" w:cs="Times New Roman"/>
                <w:color w:val="000000"/>
                <w:kern w:val="0"/>
                <w:sz w:val="22"/>
                <w:szCs w:val="22"/>
                <w:lang w:bidi="ar"/>
              </w:rPr>
              <w:t>一例报道并文献复习</w:t>
            </w:r>
          </w:p>
        </w:tc>
        <w:tc>
          <w:tcPr>
            <w:tcW w:w="2693" w:type="dxa"/>
            <w:tcBorders>
              <w:top w:val="nil"/>
              <w:left w:val="nil"/>
              <w:bottom w:val="nil"/>
              <w:right w:val="nil"/>
            </w:tcBorders>
            <w:vAlign w:val="center"/>
          </w:tcPr>
          <w:p w14:paraId="5A83959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EF451D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46F01BD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0" w:history="1">
              <w:r>
                <w:rPr>
                  <w:rStyle w:val="a4"/>
                  <w:rFonts w:ascii="Times New Roman" w:eastAsia="DengXian" w:hAnsi="Times New Roman" w:cs="Times New Roman"/>
                  <w:kern w:val="0"/>
                  <w:sz w:val="22"/>
                  <w:szCs w:val="22"/>
                  <w:lang w:bidi="ar"/>
                </w:rPr>
                <w:t>https://d.wanfangdata.com.cn/periodical/ChVQZXJpb2RpY2FsQ0hJMjAyNTA2MjISEWxueGRsY3drMjAyNDAxMDExGghhNHc5OHkycg%3D%3D</w:t>
              </w:r>
            </w:hyperlink>
          </w:p>
        </w:tc>
      </w:tr>
      <w:tr w:rsidR="00A81413" w14:paraId="1A087A2B" w14:textId="77777777">
        <w:trPr>
          <w:trHeight w:val="310"/>
          <w:jc w:val="center"/>
        </w:trPr>
        <w:tc>
          <w:tcPr>
            <w:tcW w:w="7617" w:type="dxa"/>
            <w:tcBorders>
              <w:top w:val="nil"/>
              <w:left w:val="nil"/>
              <w:bottom w:val="nil"/>
              <w:right w:val="nil"/>
            </w:tcBorders>
            <w:shd w:val="clear" w:color="auto" w:fill="auto"/>
            <w:noWrap/>
            <w:vAlign w:val="center"/>
          </w:tcPr>
          <w:p w14:paraId="256AB319" w14:textId="6FBB6CEF"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A Patient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Failed Liver Transplantation After the Use of PD-1 Blockade Combined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w:t>
            </w:r>
            <w:proofErr w:type="spellStart"/>
            <w:r>
              <w:rPr>
                <w:rFonts w:ascii="Times New Roman" w:eastAsia="DengXian" w:hAnsi="Times New Roman" w:cs="Times New Roman"/>
                <w:color w:val="000000"/>
                <w:kern w:val="0"/>
                <w:sz w:val="22"/>
                <w:szCs w:val="22"/>
                <w:lang w:bidi="ar"/>
              </w:rPr>
              <w:t>Lenvaxen</w:t>
            </w:r>
            <w:proofErr w:type="spellEnd"/>
          </w:p>
        </w:tc>
        <w:tc>
          <w:tcPr>
            <w:tcW w:w="2693" w:type="dxa"/>
            <w:tcBorders>
              <w:top w:val="nil"/>
              <w:left w:val="nil"/>
              <w:bottom w:val="nil"/>
              <w:right w:val="nil"/>
            </w:tcBorders>
            <w:vAlign w:val="center"/>
          </w:tcPr>
          <w:p w14:paraId="7A8ED3E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71E62DF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9659B6E"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1" w:history="1">
              <w:r>
                <w:rPr>
                  <w:rStyle w:val="a4"/>
                  <w:rFonts w:ascii="Times New Roman" w:eastAsia="DengXian" w:hAnsi="Times New Roman" w:cs="Times New Roman"/>
                  <w:kern w:val="0"/>
                  <w:sz w:val="22"/>
                  <w:szCs w:val="22"/>
                  <w:lang w:bidi="ar"/>
                </w:rPr>
                <w:t>https://www.frontiersin.org/journals/medicine/articles/10.3389/fmed.2022.712466/full</w:t>
              </w:r>
            </w:hyperlink>
          </w:p>
        </w:tc>
      </w:tr>
      <w:tr w:rsidR="00A81413" w14:paraId="3571583B" w14:textId="77777777">
        <w:trPr>
          <w:trHeight w:val="310"/>
          <w:jc w:val="center"/>
        </w:trPr>
        <w:tc>
          <w:tcPr>
            <w:tcW w:w="7617" w:type="dxa"/>
            <w:tcBorders>
              <w:top w:val="nil"/>
              <w:left w:val="nil"/>
              <w:bottom w:val="nil"/>
              <w:right w:val="nil"/>
            </w:tcBorders>
            <w:shd w:val="clear" w:color="auto" w:fill="auto"/>
            <w:noWrap/>
            <w:vAlign w:val="center"/>
          </w:tcPr>
          <w:p w14:paraId="524387BB" w14:textId="044F10A1"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Abscopal downstaging of intermediate stage hepatocellular via combination cryoablation and immunotherapy with complete pathologic response</w:t>
            </w:r>
          </w:p>
        </w:tc>
        <w:tc>
          <w:tcPr>
            <w:tcW w:w="2693" w:type="dxa"/>
            <w:tcBorders>
              <w:top w:val="nil"/>
              <w:left w:val="nil"/>
              <w:bottom w:val="nil"/>
              <w:right w:val="nil"/>
            </w:tcBorders>
            <w:vAlign w:val="center"/>
          </w:tcPr>
          <w:p w14:paraId="1C8D31C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03C15F4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3BAEF0C"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2" w:history="1">
              <w:r>
                <w:rPr>
                  <w:rStyle w:val="a4"/>
                  <w:rFonts w:ascii="Times New Roman" w:eastAsia="DengXian" w:hAnsi="Times New Roman" w:cs="Times New Roman"/>
                  <w:kern w:val="0"/>
                  <w:sz w:val="22"/>
                  <w:szCs w:val="22"/>
                  <w:lang w:bidi="ar"/>
                </w:rPr>
                <w:t>https://www.sciencedirect.com/science/article/pii/S1930043323008865?via%3Dihub</w:t>
              </w:r>
            </w:hyperlink>
          </w:p>
        </w:tc>
      </w:tr>
      <w:tr w:rsidR="00A81413" w14:paraId="25F39862" w14:textId="77777777">
        <w:trPr>
          <w:trHeight w:val="310"/>
          <w:jc w:val="center"/>
        </w:trPr>
        <w:tc>
          <w:tcPr>
            <w:tcW w:w="7617" w:type="dxa"/>
            <w:tcBorders>
              <w:top w:val="nil"/>
              <w:left w:val="nil"/>
              <w:bottom w:val="nil"/>
              <w:right w:val="nil"/>
            </w:tcBorders>
            <w:shd w:val="clear" w:color="auto" w:fill="auto"/>
            <w:noWrap/>
            <w:vAlign w:val="center"/>
          </w:tcPr>
          <w:p w14:paraId="5852A41A" w14:textId="683D9114"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Acute Liver Rejection After Exposure to Nivolumab in Treatment of Metastatic Hepatocellular Carcinoma</w:t>
            </w:r>
          </w:p>
        </w:tc>
        <w:tc>
          <w:tcPr>
            <w:tcW w:w="2693" w:type="dxa"/>
            <w:tcBorders>
              <w:top w:val="nil"/>
              <w:left w:val="nil"/>
              <w:bottom w:val="nil"/>
              <w:right w:val="nil"/>
            </w:tcBorders>
            <w:vAlign w:val="center"/>
          </w:tcPr>
          <w:p w14:paraId="231DF13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23B16C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56E5D0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3" w:history="1">
              <w:r>
                <w:rPr>
                  <w:rStyle w:val="a4"/>
                  <w:rFonts w:ascii="Times New Roman" w:eastAsia="DengXian" w:hAnsi="Times New Roman" w:cs="Times New Roman"/>
                  <w:kern w:val="0"/>
                  <w:sz w:val="22"/>
                  <w:szCs w:val="22"/>
                  <w:lang w:bidi="ar"/>
                </w:rPr>
                <w:t>https://journals.lww.com/ajg/fulltext/2018/10001/Acute_Liver_Rejection_After_Exposure_to_Nivolumab.2336.aspx</w:t>
              </w:r>
            </w:hyperlink>
          </w:p>
        </w:tc>
      </w:tr>
      <w:tr w:rsidR="00A81413" w14:paraId="26360A44" w14:textId="77777777">
        <w:trPr>
          <w:trHeight w:val="310"/>
          <w:jc w:val="center"/>
        </w:trPr>
        <w:tc>
          <w:tcPr>
            <w:tcW w:w="7617" w:type="dxa"/>
            <w:tcBorders>
              <w:top w:val="nil"/>
              <w:left w:val="nil"/>
              <w:bottom w:val="nil"/>
              <w:right w:val="nil"/>
            </w:tcBorders>
            <w:shd w:val="clear" w:color="auto" w:fill="auto"/>
            <w:noWrap/>
            <w:vAlign w:val="center"/>
          </w:tcPr>
          <w:p w14:paraId="0D299BFB" w14:textId="1CF3ACFF"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Atezolizumab plus bevacizumab as a downstaging therapy for liver transplantation in hepatocellular carcinoma with portal vein thrombosis: The first report</w:t>
            </w:r>
          </w:p>
        </w:tc>
        <w:tc>
          <w:tcPr>
            <w:tcW w:w="2693" w:type="dxa"/>
            <w:tcBorders>
              <w:top w:val="nil"/>
              <w:left w:val="nil"/>
              <w:bottom w:val="nil"/>
              <w:right w:val="nil"/>
            </w:tcBorders>
            <w:vAlign w:val="center"/>
          </w:tcPr>
          <w:p w14:paraId="2AE6A47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697554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0519E6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4" w:history="1">
              <w:r>
                <w:rPr>
                  <w:rStyle w:val="a4"/>
                  <w:rFonts w:ascii="Times New Roman" w:eastAsia="DengXian" w:hAnsi="Times New Roman" w:cs="Times New Roman"/>
                  <w:kern w:val="0"/>
                  <w:sz w:val="22"/>
                  <w:szCs w:val="22"/>
                  <w:lang w:bidi="ar"/>
                </w:rPr>
                <w:t>https://www.amjtransplant.org/article/S1600-6135(24)00072-8/fulltext</w:t>
              </w:r>
            </w:hyperlink>
          </w:p>
        </w:tc>
      </w:tr>
      <w:tr w:rsidR="00A81413" w14:paraId="7B265966" w14:textId="77777777">
        <w:trPr>
          <w:trHeight w:val="310"/>
          <w:jc w:val="center"/>
        </w:trPr>
        <w:tc>
          <w:tcPr>
            <w:tcW w:w="7617" w:type="dxa"/>
            <w:tcBorders>
              <w:top w:val="nil"/>
              <w:left w:val="nil"/>
              <w:bottom w:val="nil"/>
              <w:right w:val="nil"/>
            </w:tcBorders>
            <w:shd w:val="clear" w:color="auto" w:fill="auto"/>
            <w:noWrap/>
            <w:vAlign w:val="center"/>
          </w:tcPr>
          <w:p w14:paraId="0234A56E" w14:textId="4B40685C"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Case report: Predictability of clinical response and rejection risk after immune checkpoint inhibition in liver transplantation</w:t>
            </w:r>
          </w:p>
        </w:tc>
        <w:tc>
          <w:tcPr>
            <w:tcW w:w="2693" w:type="dxa"/>
            <w:tcBorders>
              <w:top w:val="nil"/>
              <w:left w:val="nil"/>
              <w:bottom w:val="nil"/>
              <w:right w:val="nil"/>
            </w:tcBorders>
            <w:vAlign w:val="center"/>
          </w:tcPr>
          <w:p w14:paraId="6448EF3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371565A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8BB0E7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5" w:history="1">
              <w:r>
                <w:rPr>
                  <w:rStyle w:val="a4"/>
                  <w:rFonts w:ascii="Times New Roman" w:eastAsia="DengXian" w:hAnsi="Times New Roman" w:cs="Times New Roman"/>
                  <w:kern w:val="0"/>
                  <w:sz w:val="22"/>
                  <w:szCs w:val="22"/>
                  <w:lang w:bidi="ar"/>
                </w:rPr>
                <w:t>https://www.frontiersin.org/journals/transplantation/articles/10.3389/frtra.2023.1211916/full</w:t>
              </w:r>
            </w:hyperlink>
          </w:p>
        </w:tc>
      </w:tr>
      <w:tr w:rsidR="00A81413" w14:paraId="08CDEE03" w14:textId="77777777">
        <w:trPr>
          <w:trHeight w:val="310"/>
          <w:jc w:val="center"/>
        </w:trPr>
        <w:tc>
          <w:tcPr>
            <w:tcW w:w="7617" w:type="dxa"/>
            <w:tcBorders>
              <w:top w:val="nil"/>
              <w:left w:val="nil"/>
              <w:bottom w:val="nil"/>
              <w:right w:val="nil"/>
            </w:tcBorders>
            <w:shd w:val="clear" w:color="auto" w:fill="auto"/>
            <w:noWrap/>
            <w:vAlign w:val="center"/>
          </w:tcPr>
          <w:p w14:paraId="0940860F" w14:textId="00F07455"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Case Report: Successful liver transplantation after achieving complete clinical remission of advanced HCC with Atezolizumab plus Bevacizumab combination therapy</w:t>
            </w:r>
          </w:p>
        </w:tc>
        <w:tc>
          <w:tcPr>
            <w:tcW w:w="2693" w:type="dxa"/>
            <w:tcBorders>
              <w:top w:val="nil"/>
              <w:left w:val="nil"/>
              <w:bottom w:val="nil"/>
              <w:right w:val="nil"/>
            </w:tcBorders>
            <w:vAlign w:val="center"/>
          </w:tcPr>
          <w:p w14:paraId="6F2348A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7C46A7F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B63A56D"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6" w:history="1">
              <w:r>
                <w:rPr>
                  <w:rStyle w:val="a4"/>
                  <w:rFonts w:ascii="Times New Roman" w:eastAsia="DengXian" w:hAnsi="Times New Roman" w:cs="Times New Roman"/>
                  <w:kern w:val="0"/>
                  <w:sz w:val="22"/>
                  <w:szCs w:val="22"/>
                  <w:lang w:bidi="ar"/>
                </w:rPr>
                <w:t>https://www.frontiersin.org/journals/immunology/articles/10.3389/fimmu.2023.1205997/full</w:t>
              </w:r>
            </w:hyperlink>
          </w:p>
        </w:tc>
      </w:tr>
      <w:tr w:rsidR="00A81413" w14:paraId="5C3C8553" w14:textId="77777777">
        <w:trPr>
          <w:trHeight w:val="310"/>
          <w:jc w:val="center"/>
        </w:trPr>
        <w:tc>
          <w:tcPr>
            <w:tcW w:w="7617" w:type="dxa"/>
            <w:tcBorders>
              <w:top w:val="nil"/>
              <w:left w:val="nil"/>
              <w:bottom w:val="nil"/>
              <w:right w:val="nil"/>
            </w:tcBorders>
            <w:shd w:val="clear" w:color="auto" w:fill="auto"/>
            <w:noWrap/>
            <w:vAlign w:val="center"/>
          </w:tcPr>
          <w:p w14:paraId="5F30B165" w14:textId="23AB8B5E"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Durvalumab as a Successful Downstaging Therapy for Liver Transplantation in Hepatocellular Carcinoma: The Importance of a Washout Period</w:t>
            </w:r>
          </w:p>
        </w:tc>
        <w:tc>
          <w:tcPr>
            <w:tcW w:w="2693" w:type="dxa"/>
            <w:tcBorders>
              <w:top w:val="nil"/>
              <w:left w:val="nil"/>
              <w:bottom w:val="nil"/>
              <w:right w:val="nil"/>
            </w:tcBorders>
            <w:vAlign w:val="center"/>
          </w:tcPr>
          <w:p w14:paraId="7E9EDE4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5127D0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6A125465"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7" w:history="1">
              <w:r>
                <w:rPr>
                  <w:rStyle w:val="a4"/>
                  <w:rFonts w:ascii="Times New Roman" w:eastAsia="DengXian" w:hAnsi="Times New Roman" w:cs="Times New Roman"/>
                  <w:kern w:val="0"/>
                  <w:sz w:val="22"/>
                  <w:szCs w:val="22"/>
                  <w:lang w:bidi="ar"/>
                </w:rPr>
                <w:t>https://journals.lww.com/transplantjournal/fulltext/2021/12000/durvalumab_as_a_successful_downstaging_therapy_for.43.aspx</w:t>
              </w:r>
            </w:hyperlink>
          </w:p>
        </w:tc>
      </w:tr>
      <w:tr w:rsidR="00A81413" w14:paraId="0AF20B3D" w14:textId="77777777">
        <w:trPr>
          <w:trHeight w:val="310"/>
          <w:jc w:val="center"/>
        </w:trPr>
        <w:tc>
          <w:tcPr>
            <w:tcW w:w="7617" w:type="dxa"/>
            <w:tcBorders>
              <w:top w:val="nil"/>
              <w:left w:val="nil"/>
              <w:bottom w:val="nil"/>
              <w:right w:val="nil"/>
            </w:tcBorders>
            <w:shd w:val="clear" w:color="auto" w:fill="auto"/>
            <w:noWrap/>
            <w:vAlign w:val="center"/>
          </w:tcPr>
          <w:p w14:paraId="18D3AACE" w14:textId="070E4841"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Extending the Use of Atezolizumab and Bevacizumab to a Liver Transplant Recipient: Need for a Posttransplant Registry</w:t>
            </w:r>
          </w:p>
        </w:tc>
        <w:tc>
          <w:tcPr>
            <w:tcW w:w="2693" w:type="dxa"/>
            <w:tcBorders>
              <w:top w:val="nil"/>
              <w:left w:val="nil"/>
              <w:bottom w:val="nil"/>
              <w:right w:val="nil"/>
            </w:tcBorders>
            <w:vAlign w:val="center"/>
          </w:tcPr>
          <w:p w14:paraId="759F097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344A58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B4C58A9"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8" w:history="1">
              <w:r>
                <w:rPr>
                  <w:rStyle w:val="a4"/>
                  <w:rFonts w:ascii="Times New Roman" w:eastAsia="DengXian" w:hAnsi="Times New Roman" w:cs="Times New Roman"/>
                  <w:kern w:val="0"/>
                  <w:sz w:val="22"/>
                  <w:szCs w:val="22"/>
                  <w:lang w:bidi="ar"/>
                </w:rPr>
                <w:t>https://journals.lww.com/lt/citation/2021/06000/extending_the_use_of_atezolizumab_and_bevacizumab.20.aspx</w:t>
              </w:r>
            </w:hyperlink>
          </w:p>
        </w:tc>
      </w:tr>
      <w:tr w:rsidR="00A81413" w14:paraId="0D35F1F2" w14:textId="77777777">
        <w:trPr>
          <w:trHeight w:val="310"/>
          <w:jc w:val="center"/>
        </w:trPr>
        <w:tc>
          <w:tcPr>
            <w:tcW w:w="7617" w:type="dxa"/>
            <w:tcBorders>
              <w:top w:val="nil"/>
              <w:left w:val="nil"/>
              <w:bottom w:val="nil"/>
              <w:right w:val="nil"/>
            </w:tcBorders>
            <w:shd w:val="clear" w:color="auto" w:fill="auto"/>
            <w:noWrap/>
            <w:vAlign w:val="center"/>
          </w:tcPr>
          <w:p w14:paraId="667C02A4" w14:textId="1562DD32"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Fatal hepatic necrosis after nivolumab as a bridge to liver transplant for HCC: Are checkpoint inhibitors safe for the pretransplant patient?</w:t>
            </w:r>
            <w:r w:rsidR="00230314">
              <w:rPr>
                <w:rFonts w:ascii="Times New Roman" w:eastAsia="DengXian" w:hAnsi="Times New Roman" w:cs="Times New Roman"/>
                <w:color w:val="000000"/>
                <w:sz w:val="22"/>
                <w:szCs w:val="22"/>
              </w:rPr>
              <w:t xml:space="preserve"> </w:t>
            </w:r>
          </w:p>
        </w:tc>
        <w:tc>
          <w:tcPr>
            <w:tcW w:w="2693" w:type="dxa"/>
            <w:tcBorders>
              <w:top w:val="nil"/>
              <w:left w:val="nil"/>
              <w:bottom w:val="nil"/>
              <w:right w:val="nil"/>
            </w:tcBorders>
            <w:vAlign w:val="center"/>
          </w:tcPr>
          <w:p w14:paraId="4B4652F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000F815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E7E455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19" w:history="1">
              <w:r>
                <w:rPr>
                  <w:rStyle w:val="a4"/>
                  <w:rFonts w:ascii="Times New Roman" w:eastAsia="DengXian" w:hAnsi="Times New Roman" w:cs="Times New Roman"/>
                  <w:kern w:val="0"/>
                  <w:sz w:val="22"/>
                  <w:szCs w:val="22"/>
                  <w:lang w:bidi="ar"/>
                </w:rPr>
                <w:t>https://www.amjtransplant.org/article/S1600-6135(22)22253-9/fulltext</w:t>
              </w:r>
            </w:hyperlink>
          </w:p>
        </w:tc>
      </w:tr>
      <w:tr w:rsidR="00A81413" w14:paraId="66BE3648" w14:textId="77777777">
        <w:trPr>
          <w:trHeight w:val="310"/>
          <w:jc w:val="center"/>
        </w:trPr>
        <w:tc>
          <w:tcPr>
            <w:tcW w:w="7617" w:type="dxa"/>
            <w:tcBorders>
              <w:top w:val="nil"/>
              <w:left w:val="nil"/>
              <w:bottom w:val="nil"/>
              <w:right w:val="nil"/>
            </w:tcBorders>
            <w:shd w:val="clear" w:color="auto" w:fill="auto"/>
            <w:noWrap/>
            <w:vAlign w:val="center"/>
          </w:tcPr>
          <w:p w14:paraId="698F8942" w14:textId="0CCC93F8"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Finding </w:t>
            </w:r>
            <w:proofErr w:type="spellStart"/>
            <w:r>
              <w:rPr>
                <w:rFonts w:ascii="Times New Roman" w:eastAsia="DengXian" w:hAnsi="Times New Roman" w:cs="Times New Roman"/>
                <w:color w:val="000000"/>
                <w:kern w:val="0"/>
                <w:sz w:val="22"/>
                <w:szCs w:val="22"/>
                <w:lang w:bidi="ar"/>
              </w:rPr>
              <w:t>Nivo</w:t>
            </w:r>
            <w:proofErr w:type="spellEnd"/>
            <w:r>
              <w:rPr>
                <w:rFonts w:ascii="Times New Roman" w:eastAsia="DengXian" w:hAnsi="Times New Roman" w:cs="Times New Roman"/>
                <w:color w:val="000000"/>
                <w:kern w:val="0"/>
                <w:sz w:val="22"/>
                <w:szCs w:val="22"/>
                <w:lang w:bidi="ar"/>
              </w:rPr>
              <w:t>: A Case Report of 2 Forms of Nivolumab-Induced Liver Injury in an Allograft Liver in the Immediate Post-Transplant Period</w:t>
            </w:r>
          </w:p>
        </w:tc>
        <w:tc>
          <w:tcPr>
            <w:tcW w:w="2693" w:type="dxa"/>
            <w:tcBorders>
              <w:top w:val="nil"/>
              <w:left w:val="nil"/>
              <w:bottom w:val="nil"/>
              <w:right w:val="nil"/>
            </w:tcBorders>
            <w:vAlign w:val="center"/>
          </w:tcPr>
          <w:p w14:paraId="779439D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7DFE818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4291999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0" w:history="1">
              <w:r>
                <w:rPr>
                  <w:rStyle w:val="a4"/>
                  <w:rFonts w:ascii="Times New Roman" w:eastAsia="DengXian" w:hAnsi="Times New Roman" w:cs="Times New Roman"/>
                  <w:kern w:val="0"/>
                  <w:sz w:val="22"/>
                  <w:szCs w:val="22"/>
                  <w:lang w:bidi="ar"/>
                </w:rPr>
                <w:t>https://www.sciencedirect.com/science/article/abs/pii/S0041134522006790?via%3Dihub</w:t>
              </w:r>
            </w:hyperlink>
          </w:p>
        </w:tc>
      </w:tr>
      <w:tr w:rsidR="00A81413" w14:paraId="3E61F280" w14:textId="77777777">
        <w:trPr>
          <w:trHeight w:val="310"/>
          <w:jc w:val="center"/>
        </w:trPr>
        <w:tc>
          <w:tcPr>
            <w:tcW w:w="7617" w:type="dxa"/>
            <w:tcBorders>
              <w:top w:val="nil"/>
              <w:left w:val="nil"/>
              <w:bottom w:val="nil"/>
              <w:right w:val="nil"/>
            </w:tcBorders>
            <w:shd w:val="clear" w:color="auto" w:fill="auto"/>
            <w:noWrap/>
            <w:vAlign w:val="center"/>
          </w:tcPr>
          <w:p w14:paraId="2A354EBC" w14:textId="1F554B8A"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First-in-human liver transplantation from a centenarian deceased donor after brain death</w:t>
            </w:r>
          </w:p>
        </w:tc>
        <w:tc>
          <w:tcPr>
            <w:tcW w:w="2693" w:type="dxa"/>
            <w:tcBorders>
              <w:top w:val="nil"/>
              <w:left w:val="nil"/>
              <w:bottom w:val="nil"/>
              <w:right w:val="nil"/>
            </w:tcBorders>
            <w:vAlign w:val="center"/>
          </w:tcPr>
          <w:p w14:paraId="1B822FA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1EA6663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5A1A4F5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1" w:history="1">
              <w:r>
                <w:rPr>
                  <w:rStyle w:val="a4"/>
                  <w:rFonts w:ascii="Times New Roman" w:eastAsia="DengXian" w:hAnsi="Times New Roman" w:cs="Times New Roman"/>
                  <w:kern w:val="0"/>
                  <w:sz w:val="22"/>
                  <w:szCs w:val="22"/>
                  <w:lang w:bidi="ar"/>
                </w:rPr>
                <w:t>https://www.amjtransplant.org/article/S1600-6135(23)00702-5/fulltext</w:t>
              </w:r>
            </w:hyperlink>
          </w:p>
        </w:tc>
      </w:tr>
      <w:tr w:rsidR="00A81413" w14:paraId="3B5BC02D" w14:textId="77777777">
        <w:trPr>
          <w:trHeight w:val="310"/>
          <w:jc w:val="center"/>
        </w:trPr>
        <w:tc>
          <w:tcPr>
            <w:tcW w:w="7617" w:type="dxa"/>
            <w:tcBorders>
              <w:top w:val="nil"/>
              <w:left w:val="nil"/>
              <w:bottom w:val="nil"/>
              <w:right w:val="nil"/>
            </w:tcBorders>
            <w:shd w:val="clear" w:color="auto" w:fill="auto"/>
            <w:noWrap/>
            <w:vAlign w:val="center"/>
          </w:tcPr>
          <w:p w14:paraId="4EA1000D" w14:textId="263FBAAF"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Immune checkpoint inhibitor for hepatocellular carcinoma recurrence after liver transplantation</w:t>
            </w:r>
          </w:p>
        </w:tc>
        <w:tc>
          <w:tcPr>
            <w:tcW w:w="2693" w:type="dxa"/>
            <w:tcBorders>
              <w:top w:val="nil"/>
              <w:left w:val="nil"/>
              <w:bottom w:val="nil"/>
              <w:right w:val="nil"/>
            </w:tcBorders>
            <w:vAlign w:val="center"/>
          </w:tcPr>
          <w:p w14:paraId="05E628E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17B5152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18BCD9D"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2" w:history="1">
              <w:r>
                <w:rPr>
                  <w:rStyle w:val="a4"/>
                  <w:rFonts w:ascii="Times New Roman" w:eastAsia="DengXian" w:hAnsi="Times New Roman" w:cs="Times New Roman"/>
                  <w:kern w:val="0"/>
                  <w:sz w:val="22"/>
                  <w:szCs w:val="22"/>
                  <w:lang w:bidi="ar"/>
                </w:rPr>
                <w:t>https://www.sciencedirect.com/science/article/abs/pii/S1499387219302115?via%3Dihub</w:t>
              </w:r>
            </w:hyperlink>
          </w:p>
        </w:tc>
      </w:tr>
      <w:tr w:rsidR="00A81413" w14:paraId="6990076D" w14:textId="77777777">
        <w:trPr>
          <w:trHeight w:val="310"/>
          <w:jc w:val="center"/>
        </w:trPr>
        <w:tc>
          <w:tcPr>
            <w:tcW w:w="7617" w:type="dxa"/>
            <w:tcBorders>
              <w:top w:val="nil"/>
              <w:left w:val="nil"/>
              <w:bottom w:val="nil"/>
              <w:right w:val="nil"/>
            </w:tcBorders>
            <w:shd w:val="clear" w:color="auto" w:fill="auto"/>
            <w:noWrap/>
            <w:vAlign w:val="center"/>
          </w:tcPr>
          <w:p w14:paraId="49E84468" w14:textId="75E9A556"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Immune Checkpoint Inhibitor Therapy before Liver Transplantation - Case and Literature Review</w:t>
            </w:r>
          </w:p>
        </w:tc>
        <w:tc>
          <w:tcPr>
            <w:tcW w:w="2693" w:type="dxa"/>
            <w:tcBorders>
              <w:top w:val="nil"/>
              <w:left w:val="nil"/>
              <w:bottom w:val="nil"/>
              <w:right w:val="nil"/>
            </w:tcBorders>
            <w:vAlign w:val="center"/>
          </w:tcPr>
          <w:p w14:paraId="079E4CA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1F9901B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6E951D4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3" w:history="1">
              <w:r>
                <w:rPr>
                  <w:rStyle w:val="a4"/>
                  <w:rFonts w:ascii="Times New Roman" w:eastAsia="DengXian" w:hAnsi="Times New Roman" w:cs="Times New Roman"/>
                  <w:kern w:val="0"/>
                  <w:sz w:val="22"/>
                  <w:szCs w:val="22"/>
                  <w:lang w:bidi="ar"/>
                </w:rPr>
                <w:t>https://journals.lww.com/transplantationdirect/fulltext/2022/04000/immune_checkpoint_inhibitor_therapy_before_liver.3.aspx</w:t>
              </w:r>
            </w:hyperlink>
          </w:p>
        </w:tc>
      </w:tr>
      <w:tr w:rsidR="00A81413" w14:paraId="4FAA4408" w14:textId="77777777">
        <w:trPr>
          <w:trHeight w:val="310"/>
          <w:jc w:val="center"/>
        </w:trPr>
        <w:tc>
          <w:tcPr>
            <w:tcW w:w="7617" w:type="dxa"/>
            <w:tcBorders>
              <w:top w:val="nil"/>
              <w:left w:val="nil"/>
              <w:bottom w:val="nil"/>
              <w:right w:val="nil"/>
            </w:tcBorders>
            <w:shd w:val="clear" w:color="auto" w:fill="auto"/>
            <w:noWrap/>
            <w:vAlign w:val="center"/>
          </w:tcPr>
          <w:p w14:paraId="5579BF15" w14:textId="4867A894"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lastRenderedPageBreak/>
              <w:t>Immune Checkpoint Inhibitors in Patients with Recurrent Hepatocellular Carcinoma after Liver Transplantation: A Case Report and Literature Review</w:t>
            </w:r>
          </w:p>
        </w:tc>
        <w:tc>
          <w:tcPr>
            <w:tcW w:w="2693" w:type="dxa"/>
            <w:tcBorders>
              <w:top w:val="nil"/>
              <w:left w:val="nil"/>
              <w:bottom w:val="nil"/>
              <w:right w:val="nil"/>
            </w:tcBorders>
            <w:vAlign w:val="center"/>
          </w:tcPr>
          <w:p w14:paraId="0088B78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C83436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AA46457"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4" w:history="1">
              <w:r>
                <w:rPr>
                  <w:rStyle w:val="a4"/>
                  <w:rFonts w:ascii="Times New Roman" w:eastAsia="DengXian" w:hAnsi="Times New Roman" w:cs="Times New Roman"/>
                  <w:kern w:val="0"/>
                  <w:sz w:val="22"/>
                  <w:szCs w:val="22"/>
                  <w:lang w:bidi="ar"/>
                </w:rPr>
                <w:t>https://www.eurekaselect.com/article/106787</w:t>
              </w:r>
            </w:hyperlink>
          </w:p>
        </w:tc>
      </w:tr>
      <w:tr w:rsidR="00A81413" w14:paraId="14DC02E5" w14:textId="77777777">
        <w:trPr>
          <w:trHeight w:val="310"/>
          <w:jc w:val="center"/>
        </w:trPr>
        <w:tc>
          <w:tcPr>
            <w:tcW w:w="7617" w:type="dxa"/>
            <w:tcBorders>
              <w:top w:val="nil"/>
              <w:left w:val="nil"/>
              <w:bottom w:val="nil"/>
              <w:right w:val="nil"/>
            </w:tcBorders>
            <w:shd w:val="clear" w:color="auto" w:fill="auto"/>
            <w:noWrap/>
            <w:vAlign w:val="center"/>
          </w:tcPr>
          <w:p w14:paraId="5200CC5C" w14:textId="1F78C550"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Immune checkpoint inhibitors in post-liver transplant of hepatocellular carcinoma: A case report</w:t>
            </w:r>
          </w:p>
        </w:tc>
        <w:tc>
          <w:tcPr>
            <w:tcW w:w="2693" w:type="dxa"/>
            <w:tcBorders>
              <w:top w:val="nil"/>
              <w:left w:val="nil"/>
              <w:bottom w:val="nil"/>
              <w:right w:val="nil"/>
            </w:tcBorders>
            <w:vAlign w:val="center"/>
          </w:tcPr>
          <w:p w14:paraId="3391D01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3CE2BE1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3ACBD0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5" w:history="1">
              <w:r>
                <w:rPr>
                  <w:rStyle w:val="a4"/>
                  <w:rFonts w:ascii="Times New Roman" w:eastAsia="DengXian" w:hAnsi="Times New Roman" w:cs="Times New Roman"/>
                  <w:kern w:val="0"/>
                  <w:sz w:val="22"/>
                  <w:szCs w:val="22"/>
                  <w:lang w:bidi="ar"/>
                </w:rPr>
                <w:t>https://karger.com/ort/article/47/Suppl.%202/11/914493/Jahrestagung-der-Deutschen-Osterreichischen-und</w:t>
              </w:r>
            </w:hyperlink>
          </w:p>
        </w:tc>
      </w:tr>
      <w:tr w:rsidR="00A81413" w14:paraId="2C572C54" w14:textId="77777777">
        <w:trPr>
          <w:trHeight w:val="310"/>
          <w:jc w:val="center"/>
        </w:trPr>
        <w:tc>
          <w:tcPr>
            <w:tcW w:w="7617" w:type="dxa"/>
            <w:tcBorders>
              <w:top w:val="nil"/>
              <w:left w:val="nil"/>
              <w:bottom w:val="nil"/>
              <w:right w:val="nil"/>
            </w:tcBorders>
            <w:shd w:val="clear" w:color="auto" w:fill="auto"/>
            <w:noWrap/>
            <w:vAlign w:val="center"/>
          </w:tcPr>
          <w:p w14:paraId="5767C6C2" w14:textId="77364548"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Immunotherapy as a Downstaging Therapy for Liver Transplantation</w:t>
            </w:r>
          </w:p>
        </w:tc>
        <w:tc>
          <w:tcPr>
            <w:tcW w:w="2693" w:type="dxa"/>
            <w:tcBorders>
              <w:top w:val="nil"/>
              <w:left w:val="nil"/>
              <w:bottom w:val="nil"/>
              <w:right w:val="nil"/>
            </w:tcBorders>
            <w:vAlign w:val="center"/>
          </w:tcPr>
          <w:p w14:paraId="13ED077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40DA1A8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4340E9D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6" w:history="1">
              <w:r>
                <w:rPr>
                  <w:rStyle w:val="a4"/>
                  <w:rFonts w:ascii="Times New Roman" w:eastAsia="DengXian" w:hAnsi="Times New Roman" w:cs="Times New Roman"/>
                  <w:kern w:val="0"/>
                  <w:sz w:val="22"/>
                  <w:szCs w:val="22"/>
                  <w:lang w:bidi="ar"/>
                </w:rPr>
                <w:t>https://journals.lww.com/hep/citation/2020/10000/immunotherapy_as_a_downstaging_therapy_for_liver.33.aspx</w:t>
              </w:r>
            </w:hyperlink>
          </w:p>
        </w:tc>
      </w:tr>
      <w:tr w:rsidR="00A81413" w14:paraId="34CDE822" w14:textId="77777777">
        <w:trPr>
          <w:trHeight w:val="310"/>
          <w:jc w:val="center"/>
        </w:trPr>
        <w:tc>
          <w:tcPr>
            <w:tcW w:w="7617" w:type="dxa"/>
            <w:tcBorders>
              <w:top w:val="nil"/>
              <w:left w:val="nil"/>
              <w:bottom w:val="nil"/>
              <w:right w:val="nil"/>
            </w:tcBorders>
            <w:shd w:val="clear" w:color="auto" w:fill="auto"/>
            <w:noWrap/>
            <w:vAlign w:val="center"/>
          </w:tcPr>
          <w:p w14:paraId="3F77A7A0" w14:textId="780CD656"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Immunotherapy as a Neoadjuvant Therapy for a Patient with Hepatocellular Carcinoma in the Pretransplant Setting: A Case Report</w:t>
            </w:r>
          </w:p>
        </w:tc>
        <w:tc>
          <w:tcPr>
            <w:tcW w:w="2693" w:type="dxa"/>
            <w:tcBorders>
              <w:top w:val="nil"/>
              <w:left w:val="nil"/>
              <w:bottom w:val="nil"/>
              <w:right w:val="nil"/>
            </w:tcBorders>
            <w:vAlign w:val="center"/>
          </w:tcPr>
          <w:p w14:paraId="0065DA3B"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EB65AB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6C668A2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7" w:history="1">
              <w:r>
                <w:rPr>
                  <w:rStyle w:val="a4"/>
                  <w:rFonts w:ascii="Times New Roman" w:eastAsia="DengXian" w:hAnsi="Times New Roman" w:cs="Times New Roman"/>
                  <w:kern w:val="0"/>
                  <w:sz w:val="22"/>
                  <w:szCs w:val="22"/>
                  <w:lang w:bidi="ar"/>
                </w:rPr>
                <w:t>https://www.mdpi.com/1718-7729/29/6/341</w:t>
              </w:r>
            </w:hyperlink>
          </w:p>
        </w:tc>
      </w:tr>
      <w:tr w:rsidR="00A81413" w14:paraId="295B1B39" w14:textId="77777777">
        <w:trPr>
          <w:trHeight w:val="310"/>
          <w:jc w:val="center"/>
        </w:trPr>
        <w:tc>
          <w:tcPr>
            <w:tcW w:w="7617" w:type="dxa"/>
            <w:tcBorders>
              <w:top w:val="nil"/>
              <w:left w:val="nil"/>
              <w:bottom w:val="nil"/>
              <w:right w:val="nil"/>
            </w:tcBorders>
            <w:shd w:val="clear" w:color="auto" w:fill="auto"/>
            <w:noWrap/>
            <w:vAlign w:val="center"/>
          </w:tcPr>
          <w:p w14:paraId="5A4F3997" w14:textId="1F8792C3" w:rsidR="00A81413" w:rsidRDefault="00000000">
            <w:pPr>
              <w:widowControl/>
              <w:textAlignment w:val="center"/>
              <w:rPr>
                <w:rFonts w:ascii="Times New Roman" w:eastAsia="DengXian" w:hAnsi="Times New Roman" w:cs="Times New Roman"/>
                <w:color w:val="000000"/>
                <w:sz w:val="22"/>
                <w:szCs w:val="22"/>
              </w:rPr>
            </w:pPr>
            <w:proofErr w:type="spellStart"/>
            <w:r>
              <w:rPr>
                <w:rFonts w:ascii="Times New Roman" w:eastAsia="DengXian" w:hAnsi="Times New Roman" w:cs="Times New Roman"/>
                <w:color w:val="000000"/>
                <w:kern w:val="0"/>
                <w:sz w:val="22"/>
                <w:szCs w:val="22"/>
                <w:lang w:bidi="ar"/>
              </w:rPr>
              <w:t>Ipilumumab</w:t>
            </w:r>
            <w:proofErr w:type="spellEnd"/>
            <w:r>
              <w:rPr>
                <w:rFonts w:ascii="Times New Roman" w:eastAsia="DengXian" w:hAnsi="Times New Roman" w:cs="Times New Roman"/>
                <w:color w:val="000000"/>
                <w:kern w:val="0"/>
                <w:sz w:val="22"/>
                <w:szCs w:val="22"/>
                <w:lang w:bidi="ar"/>
              </w:rPr>
              <w:t xml:space="preserve"> for hepatocellular cancer in a liver transplant recipient, with durable response, tolerance and without allograft rejection</w:t>
            </w:r>
          </w:p>
        </w:tc>
        <w:tc>
          <w:tcPr>
            <w:tcW w:w="2693" w:type="dxa"/>
            <w:tcBorders>
              <w:top w:val="nil"/>
              <w:left w:val="nil"/>
              <w:bottom w:val="nil"/>
              <w:right w:val="nil"/>
            </w:tcBorders>
            <w:vAlign w:val="center"/>
          </w:tcPr>
          <w:p w14:paraId="4C40CA2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7C76E21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2C613C8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8" w:history="1">
              <w:r>
                <w:rPr>
                  <w:rStyle w:val="a4"/>
                  <w:rFonts w:ascii="Times New Roman" w:eastAsia="DengXian" w:hAnsi="Times New Roman" w:cs="Times New Roman"/>
                  <w:kern w:val="0"/>
                  <w:sz w:val="22"/>
                  <w:szCs w:val="22"/>
                  <w:lang w:bidi="ar"/>
                </w:rPr>
                <w:t>https://www.tandfonline.com/doi/10.2217/imt-2020-0014?url_ver=Z39.88-2003&amp;rfr_id=ori:rid:crossref.org&amp;rfr_dat=cr_pub%20%200pubmed</w:t>
              </w:r>
            </w:hyperlink>
          </w:p>
        </w:tc>
      </w:tr>
      <w:tr w:rsidR="00A81413" w14:paraId="628CB91D" w14:textId="77777777">
        <w:trPr>
          <w:trHeight w:val="310"/>
          <w:jc w:val="center"/>
        </w:trPr>
        <w:tc>
          <w:tcPr>
            <w:tcW w:w="7617" w:type="dxa"/>
            <w:tcBorders>
              <w:top w:val="nil"/>
              <w:left w:val="nil"/>
              <w:bottom w:val="nil"/>
              <w:right w:val="nil"/>
            </w:tcBorders>
            <w:shd w:val="clear" w:color="auto" w:fill="auto"/>
            <w:noWrap/>
            <w:vAlign w:val="center"/>
          </w:tcPr>
          <w:p w14:paraId="273024F0" w14:textId="2F15FD83"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Liver allograft failure after nivolumab treatment—A Case report with systematic literature research</w:t>
            </w:r>
          </w:p>
        </w:tc>
        <w:tc>
          <w:tcPr>
            <w:tcW w:w="2693" w:type="dxa"/>
            <w:tcBorders>
              <w:top w:val="nil"/>
              <w:left w:val="nil"/>
              <w:bottom w:val="nil"/>
              <w:right w:val="nil"/>
            </w:tcBorders>
            <w:vAlign w:val="center"/>
          </w:tcPr>
          <w:p w14:paraId="7E02787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E050AC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D05CCBF"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29" w:history="1">
              <w:r>
                <w:rPr>
                  <w:rStyle w:val="a4"/>
                  <w:rFonts w:ascii="Times New Roman" w:eastAsia="DengXian" w:hAnsi="Times New Roman" w:cs="Times New Roman"/>
                  <w:kern w:val="0"/>
                  <w:sz w:val="22"/>
                  <w:szCs w:val="22"/>
                  <w:lang w:bidi="ar"/>
                </w:rPr>
                <w:t>https://journals.lww.com/transplantationdirect/fulltext/2018/08000/liver_allograft_failure_after_nivolumab.4.aspx</w:t>
              </w:r>
            </w:hyperlink>
          </w:p>
        </w:tc>
      </w:tr>
      <w:tr w:rsidR="00A81413" w14:paraId="7A1986DB" w14:textId="77777777">
        <w:trPr>
          <w:trHeight w:val="310"/>
          <w:jc w:val="center"/>
        </w:trPr>
        <w:tc>
          <w:tcPr>
            <w:tcW w:w="7617" w:type="dxa"/>
            <w:tcBorders>
              <w:top w:val="nil"/>
              <w:left w:val="nil"/>
              <w:bottom w:val="nil"/>
              <w:right w:val="nil"/>
            </w:tcBorders>
            <w:shd w:val="clear" w:color="auto" w:fill="auto"/>
            <w:noWrap/>
            <w:vAlign w:val="center"/>
          </w:tcPr>
          <w:p w14:paraId="4BA685CB" w14:textId="79AB46AE"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Liver Transplantation after Successful Downstaging of a Locally Advanced Hepatocellular Carcinoma with Systemic Therapy</w:t>
            </w:r>
          </w:p>
        </w:tc>
        <w:tc>
          <w:tcPr>
            <w:tcW w:w="2693" w:type="dxa"/>
            <w:tcBorders>
              <w:top w:val="nil"/>
              <w:left w:val="nil"/>
              <w:bottom w:val="nil"/>
              <w:right w:val="nil"/>
            </w:tcBorders>
            <w:vAlign w:val="center"/>
          </w:tcPr>
          <w:p w14:paraId="6665730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0581C9B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4E67AB0A"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0" w:history="1">
              <w:r>
                <w:rPr>
                  <w:rStyle w:val="a4"/>
                  <w:rFonts w:ascii="Times New Roman" w:eastAsia="DengXian" w:hAnsi="Times New Roman" w:cs="Times New Roman"/>
                  <w:kern w:val="0"/>
                  <w:sz w:val="22"/>
                  <w:szCs w:val="22"/>
                  <w:lang w:bidi="ar"/>
                </w:rPr>
                <w:t>https://karger.com/ddi/article-abstract/41/4/641/836922/Liver-Transplantation-after-Successful-Downstaging?redirectedFrom=fulltext</w:t>
              </w:r>
            </w:hyperlink>
          </w:p>
        </w:tc>
      </w:tr>
      <w:tr w:rsidR="00A81413" w14:paraId="0FC244E6" w14:textId="77777777">
        <w:trPr>
          <w:trHeight w:val="310"/>
          <w:jc w:val="center"/>
        </w:trPr>
        <w:tc>
          <w:tcPr>
            <w:tcW w:w="7617" w:type="dxa"/>
            <w:tcBorders>
              <w:top w:val="nil"/>
              <w:left w:val="nil"/>
              <w:bottom w:val="nil"/>
              <w:right w:val="nil"/>
            </w:tcBorders>
            <w:shd w:val="clear" w:color="auto" w:fill="auto"/>
            <w:noWrap/>
            <w:vAlign w:val="center"/>
          </w:tcPr>
          <w:p w14:paraId="405772CC" w14:textId="3AC374FA"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Liver transplantation following two conversions in a patient with huge hepatocellular carcinoma and portal vein invasion: A case report</w:t>
            </w:r>
          </w:p>
        </w:tc>
        <w:tc>
          <w:tcPr>
            <w:tcW w:w="2693" w:type="dxa"/>
            <w:tcBorders>
              <w:top w:val="nil"/>
              <w:left w:val="nil"/>
              <w:bottom w:val="nil"/>
              <w:right w:val="nil"/>
            </w:tcBorders>
            <w:vAlign w:val="center"/>
          </w:tcPr>
          <w:p w14:paraId="182DB68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07ACB8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5DBE3E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1" w:history="1">
              <w:r>
                <w:rPr>
                  <w:rStyle w:val="a4"/>
                  <w:rFonts w:ascii="Times New Roman" w:eastAsia="DengXian" w:hAnsi="Times New Roman" w:cs="Times New Roman"/>
                  <w:kern w:val="0"/>
                  <w:sz w:val="22"/>
                  <w:szCs w:val="22"/>
                  <w:lang w:bidi="ar"/>
                </w:rPr>
                <w:t>https://www.wjgnet.com/1007-9327/full/v30/i36/4071.htm</w:t>
              </w:r>
            </w:hyperlink>
          </w:p>
        </w:tc>
      </w:tr>
      <w:tr w:rsidR="00A81413" w14:paraId="1C9F39B8" w14:textId="77777777">
        <w:trPr>
          <w:trHeight w:val="310"/>
          <w:jc w:val="center"/>
        </w:trPr>
        <w:tc>
          <w:tcPr>
            <w:tcW w:w="7617" w:type="dxa"/>
            <w:tcBorders>
              <w:top w:val="nil"/>
              <w:left w:val="nil"/>
              <w:bottom w:val="nil"/>
              <w:right w:val="nil"/>
            </w:tcBorders>
            <w:shd w:val="clear" w:color="auto" w:fill="auto"/>
            <w:noWrap/>
            <w:vAlign w:val="center"/>
          </w:tcPr>
          <w:p w14:paraId="2AD9DF55" w14:textId="776B66B8"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Low-dose PD-1 inhibitor combined with </w:t>
            </w:r>
            <w:proofErr w:type="spellStart"/>
            <w:r>
              <w:rPr>
                <w:rFonts w:ascii="Times New Roman" w:eastAsia="DengXian" w:hAnsi="Times New Roman" w:cs="Times New Roman"/>
                <w:color w:val="000000"/>
                <w:kern w:val="0"/>
                <w:sz w:val="22"/>
                <w:szCs w:val="22"/>
                <w:lang w:bidi="ar"/>
              </w:rPr>
              <w:t>lenvatinib</w:t>
            </w:r>
            <w:proofErr w:type="spellEnd"/>
            <w:r>
              <w:rPr>
                <w:rFonts w:ascii="Times New Roman" w:eastAsia="DengXian" w:hAnsi="Times New Roman" w:cs="Times New Roman"/>
                <w:color w:val="000000"/>
                <w:kern w:val="0"/>
                <w:sz w:val="22"/>
                <w:szCs w:val="22"/>
                <w:lang w:bidi="ar"/>
              </w:rPr>
              <w:t xml:space="preserve"> for preemptive treatment </w:t>
            </w:r>
            <w:proofErr w:type="gramStart"/>
            <w:r>
              <w:rPr>
                <w:rFonts w:ascii="Times New Roman" w:eastAsia="DengXian" w:hAnsi="Times New Roman" w:cs="Times New Roman"/>
                <w:color w:val="000000"/>
                <w:kern w:val="0"/>
                <w:sz w:val="22"/>
                <w:szCs w:val="22"/>
                <w:lang w:bidi="ar"/>
              </w:rPr>
              <w:t>of  recurrence</w:t>
            </w:r>
            <w:proofErr w:type="gramEnd"/>
            <w:r>
              <w:rPr>
                <w:rFonts w:ascii="Times New Roman" w:eastAsia="DengXian" w:hAnsi="Times New Roman" w:cs="Times New Roman"/>
                <w:color w:val="000000"/>
                <w:kern w:val="0"/>
                <w:sz w:val="22"/>
                <w:szCs w:val="22"/>
                <w:lang w:bidi="ar"/>
              </w:rPr>
              <w:t xml:space="preserve"> after liver transplantation for hepatocellular carcinoma: Case </w:t>
            </w:r>
            <w:proofErr w:type="gramStart"/>
            <w:r>
              <w:rPr>
                <w:rFonts w:ascii="Times New Roman" w:eastAsia="DengXian" w:hAnsi="Times New Roman" w:cs="Times New Roman"/>
                <w:color w:val="000000"/>
                <w:kern w:val="0"/>
                <w:sz w:val="22"/>
                <w:szCs w:val="22"/>
                <w:lang w:bidi="ar"/>
              </w:rPr>
              <w:t>report  and</w:t>
            </w:r>
            <w:proofErr w:type="gramEnd"/>
            <w:r>
              <w:rPr>
                <w:rFonts w:ascii="Times New Roman" w:eastAsia="DengXian" w:hAnsi="Times New Roman" w:cs="Times New Roman"/>
                <w:color w:val="000000"/>
                <w:kern w:val="0"/>
                <w:sz w:val="22"/>
                <w:szCs w:val="22"/>
                <w:lang w:bidi="ar"/>
              </w:rPr>
              <w:t xml:space="preserve"> literature review</w:t>
            </w:r>
          </w:p>
        </w:tc>
        <w:tc>
          <w:tcPr>
            <w:tcW w:w="2693" w:type="dxa"/>
            <w:tcBorders>
              <w:top w:val="nil"/>
              <w:left w:val="nil"/>
              <w:bottom w:val="nil"/>
              <w:right w:val="nil"/>
            </w:tcBorders>
            <w:vAlign w:val="center"/>
          </w:tcPr>
          <w:p w14:paraId="5DF2446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44CB16A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359871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2" w:history="1">
              <w:r>
                <w:rPr>
                  <w:rStyle w:val="a4"/>
                  <w:rFonts w:ascii="Times New Roman" w:eastAsia="DengXian" w:hAnsi="Times New Roman" w:cs="Times New Roman"/>
                  <w:kern w:val="0"/>
                  <w:sz w:val="22"/>
                  <w:szCs w:val="22"/>
                  <w:lang w:bidi="ar"/>
                </w:rPr>
                <w:t>https://www.frontiersin.org/journals/oncology/articles/10.3389/fonc.2022.951303/full</w:t>
              </w:r>
            </w:hyperlink>
          </w:p>
        </w:tc>
      </w:tr>
      <w:tr w:rsidR="00A81413" w14:paraId="49E25B09" w14:textId="77777777">
        <w:trPr>
          <w:trHeight w:val="310"/>
          <w:jc w:val="center"/>
        </w:trPr>
        <w:tc>
          <w:tcPr>
            <w:tcW w:w="7617" w:type="dxa"/>
            <w:tcBorders>
              <w:top w:val="nil"/>
              <w:left w:val="nil"/>
              <w:bottom w:val="nil"/>
              <w:right w:val="nil"/>
            </w:tcBorders>
            <w:shd w:val="clear" w:color="auto" w:fill="auto"/>
            <w:noWrap/>
            <w:vAlign w:val="center"/>
          </w:tcPr>
          <w:p w14:paraId="23761792" w14:textId="6E50A11E" w:rsidR="00A81413" w:rsidRDefault="00000000">
            <w:pPr>
              <w:widowControl/>
              <w:textAlignment w:val="center"/>
              <w:rPr>
                <w:rFonts w:ascii="Times New Roman" w:eastAsia="DengXian" w:hAnsi="Times New Roman" w:cs="Times New Roman"/>
                <w:color w:val="000000"/>
                <w:sz w:val="22"/>
                <w:szCs w:val="22"/>
                <w:highlight w:val="yellow"/>
              </w:rPr>
            </w:pPr>
            <w:r>
              <w:rPr>
                <w:rFonts w:ascii="Times New Roman" w:eastAsia="DengXian" w:hAnsi="Times New Roman" w:cs="Times New Roman"/>
                <w:color w:val="000000"/>
                <w:kern w:val="0"/>
                <w:sz w:val="22"/>
                <w:szCs w:val="22"/>
                <w:lang w:bidi="ar"/>
              </w:rPr>
              <w:t>Nivolumab as a bridge to liver transplantation in advanced hepatocellular carcinoma</w:t>
            </w:r>
          </w:p>
        </w:tc>
        <w:tc>
          <w:tcPr>
            <w:tcW w:w="2693" w:type="dxa"/>
            <w:tcBorders>
              <w:top w:val="nil"/>
              <w:left w:val="nil"/>
              <w:bottom w:val="nil"/>
              <w:right w:val="nil"/>
            </w:tcBorders>
            <w:vAlign w:val="center"/>
          </w:tcPr>
          <w:p w14:paraId="76F4050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2D2B5A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472F9B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3" w:history="1">
              <w:r>
                <w:rPr>
                  <w:rStyle w:val="a4"/>
                  <w:rFonts w:ascii="Times New Roman" w:eastAsia="DengXian" w:hAnsi="Times New Roman" w:cs="Times New Roman"/>
                  <w:kern w:val="0"/>
                  <w:sz w:val="22"/>
                  <w:szCs w:val="22"/>
                  <w:lang w:bidi="ar"/>
                </w:rPr>
                <w:t>https://journals.lww.com/ajg/fulltext/2021/10001/s2780_nivolumab_as_a_bridge_to_liver.2784.aspx</w:t>
              </w:r>
            </w:hyperlink>
          </w:p>
        </w:tc>
      </w:tr>
      <w:tr w:rsidR="00A81413" w14:paraId="187A5FA6" w14:textId="77777777">
        <w:trPr>
          <w:trHeight w:val="310"/>
          <w:jc w:val="center"/>
        </w:trPr>
        <w:tc>
          <w:tcPr>
            <w:tcW w:w="7617" w:type="dxa"/>
            <w:tcBorders>
              <w:top w:val="nil"/>
              <w:left w:val="nil"/>
              <w:bottom w:val="nil"/>
              <w:right w:val="nil"/>
            </w:tcBorders>
            <w:shd w:val="clear" w:color="auto" w:fill="auto"/>
            <w:noWrap/>
            <w:vAlign w:val="center"/>
          </w:tcPr>
          <w:p w14:paraId="0BCB50A6" w14:textId="2641FAE7"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Nivolumab-Induced Autoimmune-Like Cholestatic Hepatitis in a Liver Transplant Recipient</w:t>
            </w:r>
          </w:p>
        </w:tc>
        <w:tc>
          <w:tcPr>
            <w:tcW w:w="2693" w:type="dxa"/>
            <w:tcBorders>
              <w:top w:val="nil"/>
              <w:left w:val="nil"/>
              <w:bottom w:val="nil"/>
              <w:right w:val="nil"/>
            </w:tcBorders>
            <w:vAlign w:val="center"/>
          </w:tcPr>
          <w:p w14:paraId="39C83B3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2A844B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1E1A4C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4" w:history="1">
              <w:r>
                <w:rPr>
                  <w:rStyle w:val="a4"/>
                  <w:rFonts w:ascii="Times New Roman" w:eastAsia="DengXian" w:hAnsi="Times New Roman" w:cs="Times New Roman"/>
                  <w:kern w:val="0"/>
                  <w:sz w:val="22"/>
                  <w:szCs w:val="22"/>
                  <w:lang w:bidi="ar"/>
                </w:rPr>
                <w:t>https://journals.lww.com/acgcr/fulltext/2020/07000/nivolumab_induced_autoimmune_like_cholestatic.9.aspx</w:t>
              </w:r>
            </w:hyperlink>
          </w:p>
        </w:tc>
      </w:tr>
      <w:tr w:rsidR="00A81413" w14:paraId="759B6CC6" w14:textId="77777777">
        <w:trPr>
          <w:trHeight w:val="310"/>
          <w:jc w:val="center"/>
        </w:trPr>
        <w:tc>
          <w:tcPr>
            <w:tcW w:w="7617" w:type="dxa"/>
            <w:tcBorders>
              <w:top w:val="nil"/>
              <w:left w:val="nil"/>
              <w:bottom w:val="nil"/>
              <w:right w:val="nil"/>
            </w:tcBorders>
            <w:shd w:val="clear" w:color="auto" w:fill="auto"/>
            <w:noWrap/>
            <w:vAlign w:val="center"/>
          </w:tcPr>
          <w:p w14:paraId="29B42D7C" w14:textId="4C434543"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Nivolumab-induced severe allograft rejection in recurrent post-transplant hepatocellular carcinoma</w:t>
            </w:r>
          </w:p>
        </w:tc>
        <w:tc>
          <w:tcPr>
            <w:tcW w:w="2693" w:type="dxa"/>
            <w:tcBorders>
              <w:top w:val="nil"/>
              <w:left w:val="nil"/>
              <w:bottom w:val="nil"/>
              <w:right w:val="nil"/>
            </w:tcBorders>
            <w:vAlign w:val="center"/>
          </w:tcPr>
          <w:p w14:paraId="4A13575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2192ED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0041C12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5" w:history="1">
              <w:r>
                <w:rPr>
                  <w:rStyle w:val="a4"/>
                  <w:rFonts w:ascii="Times New Roman" w:eastAsia="DengXian" w:hAnsi="Times New Roman" w:cs="Times New Roman"/>
                  <w:kern w:val="0"/>
                  <w:sz w:val="22"/>
                  <w:szCs w:val="22"/>
                  <w:lang w:bidi="ar"/>
                </w:rPr>
                <w:t>https://journals.lww.com/ajg/abstract/2019/10001/2235_nivolumab_induced_severe_allograft_rejection.2236.aspx</w:t>
              </w:r>
            </w:hyperlink>
          </w:p>
        </w:tc>
      </w:tr>
      <w:tr w:rsidR="00A81413" w14:paraId="30EE241D" w14:textId="77777777">
        <w:trPr>
          <w:trHeight w:val="310"/>
          <w:jc w:val="center"/>
        </w:trPr>
        <w:tc>
          <w:tcPr>
            <w:tcW w:w="7617" w:type="dxa"/>
            <w:tcBorders>
              <w:top w:val="nil"/>
              <w:left w:val="nil"/>
              <w:bottom w:val="nil"/>
              <w:right w:val="nil"/>
            </w:tcBorders>
            <w:shd w:val="clear" w:color="auto" w:fill="auto"/>
            <w:noWrap/>
            <w:vAlign w:val="center"/>
          </w:tcPr>
          <w:p w14:paraId="66A8DAF2" w14:textId="5D5ADEC1"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Pembrolizumab for metastatic hepatocellular carcinoma following live donor liver transplantation: The silver bullet?</w:t>
            </w:r>
            <w:r w:rsidR="00230314">
              <w:rPr>
                <w:rFonts w:ascii="Times New Roman" w:eastAsia="DengXian" w:hAnsi="Times New Roman" w:cs="Times New Roman"/>
                <w:color w:val="000000"/>
                <w:sz w:val="22"/>
                <w:szCs w:val="22"/>
              </w:rPr>
              <w:t xml:space="preserve"> </w:t>
            </w:r>
          </w:p>
        </w:tc>
        <w:tc>
          <w:tcPr>
            <w:tcW w:w="2693" w:type="dxa"/>
            <w:tcBorders>
              <w:top w:val="nil"/>
              <w:left w:val="nil"/>
              <w:bottom w:val="nil"/>
              <w:right w:val="nil"/>
            </w:tcBorders>
            <w:vAlign w:val="center"/>
          </w:tcPr>
          <w:p w14:paraId="7EFB7EB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EDE6F4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6E4571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6" w:history="1">
              <w:r>
                <w:rPr>
                  <w:rStyle w:val="a4"/>
                  <w:rFonts w:ascii="Times New Roman" w:eastAsia="DengXian" w:hAnsi="Times New Roman" w:cs="Times New Roman"/>
                  <w:kern w:val="0"/>
                  <w:sz w:val="22"/>
                  <w:szCs w:val="22"/>
                  <w:lang w:bidi="ar"/>
                </w:rPr>
                <w:t>https://journals.lww.com/hep/citation/2018/03000/pembrolizumab_for_metastatic_hepatocellular.36.aspx</w:t>
              </w:r>
            </w:hyperlink>
          </w:p>
        </w:tc>
      </w:tr>
      <w:tr w:rsidR="00A81413" w14:paraId="0702846E" w14:textId="77777777">
        <w:trPr>
          <w:trHeight w:val="310"/>
          <w:jc w:val="center"/>
        </w:trPr>
        <w:tc>
          <w:tcPr>
            <w:tcW w:w="7617" w:type="dxa"/>
            <w:tcBorders>
              <w:top w:val="nil"/>
              <w:left w:val="nil"/>
              <w:bottom w:val="nil"/>
              <w:right w:val="nil"/>
            </w:tcBorders>
            <w:shd w:val="clear" w:color="auto" w:fill="auto"/>
            <w:noWrap/>
            <w:vAlign w:val="center"/>
          </w:tcPr>
          <w:p w14:paraId="3AEC31B2" w14:textId="0220703A"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Preserved Liver Transplant After PD-1 Pathway Inhibitor for Hepatocellular Carcinoma</w:t>
            </w:r>
          </w:p>
        </w:tc>
        <w:tc>
          <w:tcPr>
            <w:tcW w:w="2693" w:type="dxa"/>
            <w:tcBorders>
              <w:top w:val="nil"/>
              <w:left w:val="nil"/>
              <w:bottom w:val="nil"/>
              <w:right w:val="nil"/>
            </w:tcBorders>
            <w:vAlign w:val="center"/>
          </w:tcPr>
          <w:p w14:paraId="559A4BF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275FDBB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23B463E"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7" w:history="1">
              <w:r>
                <w:rPr>
                  <w:rStyle w:val="a4"/>
                  <w:rFonts w:ascii="Times New Roman" w:eastAsia="DengXian" w:hAnsi="Times New Roman" w:cs="Times New Roman"/>
                  <w:kern w:val="0"/>
                  <w:sz w:val="22"/>
                  <w:szCs w:val="22"/>
                  <w:lang w:bidi="ar"/>
                </w:rPr>
                <w:t>https://journals.lww.com/ajg/fulltext/2017/12000/preserved_liver_transplant_after_pd_1_pathway.35.aspx</w:t>
              </w:r>
            </w:hyperlink>
          </w:p>
        </w:tc>
      </w:tr>
      <w:tr w:rsidR="00A81413" w14:paraId="14C779B4" w14:textId="77777777">
        <w:trPr>
          <w:trHeight w:val="310"/>
          <w:jc w:val="center"/>
        </w:trPr>
        <w:tc>
          <w:tcPr>
            <w:tcW w:w="7617" w:type="dxa"/>
            <w:tcBorders>
              <w:top w:val="nil"/>
              <w:left w:val="nil"/>
              <w:bottom w:val="nil"/>
              <w:right w:val="nil"/>
            </w:tcBorders>
            <w:shd w:val="clear" w:color="auto" w:fill="auto"/>
            <w:noWrap/>
            <w:vAlign w:val="center"/>
          </w:tcPr>
          <w:p w14:paraId="069F2384" w14:textId="317E19F1"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Pretransplant use of </w:t>
            </w:r>
            <w:proofErr w:type="spellStart"/>
            <w:r>
              <w:rPr>
                <w:rFonts w:ascii="Times New Roman" w:eastAsia="DengXian" w:hAnsi="Times New Roman" w:cs="Times New Roman"/>
                <w:color w:val="000000"/>
                <w:kern w:val="0"/>
                <w:sz w:val="22"/>
                <w:szCs w:val="22"/>
                <w:lang w:bidi="ar"/>
              </w:rPr>
              <w:t>toripalimab</w:t>
            </w:r>
            <w:proofErr w:type="spellEnd"/>
            <w:r>
              <w:rPr>
                <w:rFonts w:ascii="Times New Roman" w:eastAsia="DengXian" w:hAnsi="Times New Roman" w:cs="Times New Roman"/>
                <w:color w:val="000000"/>
                <w:kern w:val="0"/>
                <w:sz w:val="22"/>
                <w:szCs w:val="22"/>
                <w:lang w:bidi="ar"/>
              </w:rPr>
              <w:t xml:space="preserve"> for hepatocellular carcinoma resulting in fatal acute hepatic necrosis in the immediate postoperative period</w:t>
            </w:r>
          </w:p>
        </w:tc>
        <w:tc>
          <w:tcPr>
            <w:tcW w:w="2693" w:type="dxa"/>
            <w:tcBorders>
              <w:top w:val="nil"/>
              <w:left w:val="nil"/>
              <w:bottom w:val="nil"/>
              <w:right w:val="nil"/>
            </w:tcBorders>
            <w:vAlign w:val="center"/>
          </w:tcPr>
          <w:p w14:paraId="63086B3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33A71AE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2222313B"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8" w:history="1">
              <w:r>
                <w:rPr>
                  <w:rStyle w:val="a4"/>
                  <w:rFonts w:ascii="Times New Roman" w:eastAsia="DengXian" w:hAnsi="Times New Roman" w:cs="Times New Roman"/>
                  <w:kern w:val="0"/>
                  <w:sz w:val="22"/>
                  <w:szCs w:val="22"/>
                  <w:lang w:bidi="ar"/>
                </w:rPr>
                <w:t>https://www.sciencedirect.com/science/article/abs/pii/S0966327421000265?via%3Dihub</w:t>
              </w:r>
            </w:hyperlink>
          </w:p>
        </w:tc>
      </w:tr>
      <w:tr w:rsidR="00A81413" w14:paraId="2B3C469A" w14:textId="77777777">
        <w:trPr>
          <w:trHeight w:val="310"/>
          <w:jc w:val="center"/>
        </w:trPr>
        <w:tc>
          <w:tcPr>
            <w:tcW w:w="7617" w:type="dxa"/>
            <w:tcBorders>
              <w:top w:val="nil"/>
              <w:left w:val="nil"/>
              <w:bottom w:val="nil"/>
              <w:right w:val="nil"/>
            </w:tcBorders>
            <w:shd w:val="clear" w:color="auto" w:fill="auto"/>
            <w:noWrap/>
            <w:vAlign w:val="center"/>
          </w:tcPr>
          <w:p w14:paraId="4394BCFE" w14:textId="4DB60739"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Prior to </w:t>
            </w:r>
            <w:proofErr w:type="spellStart"/>
            <w:r>
              <w:rPr>
                <w:rFonts w:ascii="Times New Roman" w:eastAsia="DengXian" w:hAnsi="Times New Roman" w:cs="Times New Roman"/>
                <w:color w:val="000000"/>
                <w:kern w:val="0"/>
                <w:sz w:val="22"/>
                <w:szCs w:val="22"/>
                <w:lang w:bidi="ar"/>
              </w:rPr>
              <w:t>ABOi</w:t>
            </w:r>
            <w:proofErr w:type="spellEnd"/>
            <w:r>
              <w:rPr>
                <w:rFonts w:ascii="Times New Roman" w:eastAsia="DengXian" w:hAnsi="Times New Roman" w:cs="Times New Roman"/>
                <w:color w:val="000000"/>
                <w:kern w:val="0"/>
                <w:sz w:val="22"/>
                <w:szCs w:val="22"/>
                <w:lang w:bidi="ar"/>
              </w:rPr>
              <w:t xml:space="preserve"> liver transplant with PD-1 inhibitor in patients with hepatocellular carcinoma: A case report</w:t>
            </w:r>
          </w:p>
        </w:tc>
        <w:tc>
          <w:tcPr>
            <w:tcW w:w="2693" w:type="dxa"/>
            <w:tcBorders>
              <w:top w:val="nil"/>
              <w:left w:val="nil"/>
              <w:bottom w:val="nil"/>
              <w:right w:val="nil"/>
            </w:tcBorders>
            <w:vAlign w:val="center"/>
          </w:tcPr>
          <w:p w14:paraId="1181D79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19B8B6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C23248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39" w:history="1">
              <w:r>
                <w:rPr>
                  <w:rStyle w:val="a4"/>
                  <w:rFonts w:ascii="Times New Roman" w:eastAsia="DengXian" w:hAnsi="Times New Roman" w:cs="Times New Roman"/>
                  <w:kern w:val="0"/>
                  <w:sz w:val="22"/>
                  <w:szCs w:val="22"/>
                  <w:lang w:bidi="ar"/>
                </w:rPr>
                <w:t>https://www.sciencedirect.com/science/article/abs/pii/S0966327424000959?via%3Dihub</w:t>
              </w:r>
            </w:hyperlink>
          </w:p>
        </w:tc>
      </w:tr>
      <w:tr w:rsidR="00A81413" w14:paraId="585373A9" w14:textId="77777777">
        <w:trPr>
          <w:trHeight w:val="310"/>
          <w:jc w:val="center"/>
        </w:trPr>
        <w:tc>
          <w:tcPr>
            <w:tcW w:w="7617" w:type="dxa"/>
            <w:tcBorders>
              <w:top w:val="nil"/>
              <w:left w:val="nil"/>
              <w:bottom w:val="nil"/>
              <w:right w:val="nil"/>
            </w:tcBorders>
            <w:shd w:val="clear" w:color="auto" w:fill="auto"/>
            <w:noWrap/>
            <w:vAlign w:val="center"/>
          </w:tcPr>
          <w:p w14:paraId="426D3E56" w14:textId="5B3FE9ED"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Stable liver graft post anti-PD1 therapy as a bridge to transplantation in an adolescent with hepatocellular carcinoma</w:t>
            </w:r>
          </w:p>
        </w:tc>
        <w:tc>
          <w:tcPr>
            <w:tcW w:w="2693" w:type="dxa"/>
            <w:tcBorders>
              <w:top w:val="nil"/>
              <w:left w:val="nil"/>
              <w:bottom w:val="nil"/>
              <w:right w:val="nil"/>
            </w:tcBorders>
            <w:vAlign w:val="center"/>
          </w:tcPr>
          <w:p w14:paraId="41DE9C4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3E917F6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3FD528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0" w:history="1">
              <w:r>
                <w:rPr>
                  <w:rStyle w:val="a4"/>
                  <w:rFonts w:ascii="Times New Roman" w:eastAsia="DengXian" w:hAnsi="Times New Roman" w:cs="Times New Roman"/>
                  <w:kern w:val="0"/>
                  <w:sz w:val="22"/>
                  <w:szCs w:val="22"/>
                  <w:lang w:bidi="ar"/>
                </w:rPr>
                <w:t>https://onlinelibrary.wiley.com/doi/10.1111/petr.14209</w:t>
              </w:r>
            </w:hyperlink>
          </w:p>
        </w:tc>
      </w:tr>
      <w:tr w:rsidR="00A81413" w14:paraId="72A2D3DA" w14:textId="77777777">
        <w:trPr>
          <w:trHeight w:val="310"/>
          <w:jc w:val="center"/>
        </w:trPr>
        <w:tc>
          <w:tcPr>
            <w:tcW w:w="7617" w:type="dxa"/>
            <w:tcBorders>
              <w:top w:val="nil"/>
              <w:left w:val="nil"/>
              <w:bottom w:val="nil"/>
              <w:right w:val="nil"/>
            </w:tcBorders>
            <w:shd w:val="clear" w:color="auto" w:fill="auto"/>
            <w:noWrap/>
            <w:vAlign w:val="center"/>
          </w:tcPr>
          <w:p w14:paraId="1488EED7" w14:textId="3DFE093B"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Successful Liver Transplantation of Recurrent Fibrolamellar Carcinoma following Clinical and Pathologic Complete Response to Triple Immunochemotherapy: A Case Report</w:t>
            </w:r>
          </w:p>
        </w:tc>
        <w:tc>
          <w:tcPr>
            <w:tcW w:w="2693" w:type="dxa"/>
            <w:tcBorders>
              <w:top w:val="nil"/>
              <w:left w:val="nil"/>
              <w:bottom w:val="nil"/>
              <w:right w:val="nil"/>
            </w:tcBorders>
            <w:vAlign w:val="center"/>
          </w:tcPr>
          <w:p w14:paraId="74BA1F0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682950C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643F7CC7"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1" w:history="1">
              <w:r>
                <w:rPr>
                  <w:rStyle w:val="a4"/>
                  <w:rFonts w:ascii="Times New Roman" w:eastAsia="DengXian" w:hAnsi="Times New Roman" w:cs="Times New Roman"/>
                  <w:kern w:val="0"/>
                  <w:sz w:val="22"/>
                  <w:szCs w:val="22"/>
                  <w:lang w:bidi="ar"/>
                </w:rPr>
                <w:t>https://karger.com/ort/article-abstract/45/7-8/430/826111/Successful-Liver-Transplantation-of-Recurrent?redirectedFrom=fulltext</w:t>
              </w:r>
            </w:hyperlink>
          </w:p>
        </w:tc>
      </w:tr>
      <w:tr w:rsidR="00A81413" w14:paraId="53874F5D" w14:textId="77777777">
        <w:trPr>
          <w:trHeight w:val="310"/>
          <w:jc w:val="center"/>
        </w:trPr>
        <w:tc>
          <w:tcPr>
            <w:tcW w:w="7617" w:type="dxa"/>
            <w:tcBorders>
              <w:top w:val="nil"/>
              <w:left w:val="nil"/>
              <w:bottom w:val="nil"/>
              <w:right w:val="nil"/>
            </w:tcBorders>
            <w:shd w:val="clear" w:color="auto" w:fill="auto"/>
            <w:noWrap/>
            <w:vAlign w:val="center"/>
          </w:tcPr>
          <w:p w14:paraId="6BA6522C" w14:textId="55B4F7FF"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Successful liver transplantation with ctDNA clearance after PD</w:t>
            </w:r>
            <w:r>
              <w:rPr>
                <w:rFonts w:ascii="Times New Roman" w:eastAsia="DengXian" w:hAnsi="Times New Roman" w:cs="Times New Roman"/>
                <w:color w:val="000000"/>
                <w:kern w:val="0"/>
                <w:sz w:val="22"/>
                <w:szCs w:val="22"/>
                <w:lang w:bidi="ar"/>
              </w:rPr>
              <w:noBreakHyphen/>
              <w:t>1 inhibitor plus FOLFOX</w:t>
            </w:r>
            <w:r>
              <w:rPr>
                <w:rFonts w:ascii="Times New Roman" w:eastAsia="DengXian" w:hAnsi="Times New Roman" w:cs="Times New Roman"/>
                <w:color w:val="000000"/>
                <w:kern w:val="0"/>
                <w:sz w:val="22"/>
                <w:szCs w:val="22"/>
                <w:lang w:bidi="ar"/>
              </w:rPr>
              <w:noBreakHyphen/>
              <w:t>HAIC treatment in HCC: A case report</w:t>
            </w:r>
          </w:p>
        </w:tc>
        <w:tc>
          <w:tcPr>
            <w:tcW w:w="2693" w:type="dxa"/>
            <w:tcBorders>
              <w:top w:val="nil"/>
              <w:left w:val="nil"/>
              <w:bottom w:val="nil"/>
              <w:right w:val="nil"/>
            </w:tcBorders>
            <w:vAlign w:val="center"/>
          </w:tcPr>
          <w:p w14:paraId="2DEA167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4538D17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66AB451D"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2" w:history="1">
              <w:r>
                <w:rPr>
                  <w:rStyle w:val="a4"/>
                  <w:rFonts w:ascii="Times New Roman" w:eastAsia="DengXian" w:hAnsi="Times New Roman" w:cs="Times New Roman"/>
                  <w:kern w:val="0"/>
                  <w:sz w:val="22"/>
                  <w:szCs w:val="22"/>
                  <w:lang w:bidi="ar"/>
                </w:rPr>
                <w:t>https://www.spandidos-publications.com/10.3892/ol.2023.14185</w:t>
              </w:r>
            </w:hyperlink>
          </w:p>
        </w:tc>
      </w:tr>
      <w:tr w:rsidR="00A81413" w14:paraId="3C46ACEB" w14:textId="77777777">
        <w:trPr>
          <w:trHeight w:val="310"/>
          <w:jc w:val="center"/>
        </w:trPr>
        <w:tc>
          <w:tcPr>
            <w:tcW w:w="7617" w:type="dxa"/>
            <w:tcBorders>
              <w:top w:val="nil"/>
              <w:left w:val="nil"/>
              <w:bottom w:val="nil"/>
              <w:right w:val="nil"/>
            </w:tcBorders>
            <w:shd w:val="clear" w:color="auto" w:fill="auto"/>
            <w:noWrap/>
            <w:vAlign w:val="center"/>
          </w:tcPr>
          <w:p w14:paraId="08FC76DC" w14:textId="1A9ACA21"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Successful Treatment of Disseminated Hepatocellular Carcinoma After Liver Transplantation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Nivolumab</w:t>
            </w:r>
          </w:p>
        </w:tc>
        <w:tc>
          <w:tcPr>
            <w:tcW w:w="2693" w:type="dxa"/>
            <w:tcBorders>
              <w:top w:val="nil"/>
              <w:left w:val="nil"/>
              <w:bottom w:val="nil"/>
              <w:right w:val="nil"/>
            </w:tcBorders>
            <w:vAlign w:val="center"/>
          </w:tcPr>
          <w:p w14:paraId="265E712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1A3B0D4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586881C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3" w:history="1">
              <w:r>
                <w:rPr>
                  <w:rStyle w:val="a4"/>
                  <w:rFonts w:ascii="Times New Roman" w:eastAsia="DengXian" w:hAnsi="Times New Roman" w:cs="Times New Roman"/>
                  <w:kern w:val="0"/>
                  <w:sz w:val="22"/>
                  <w:szCs w:val="22"/>
                  <w:lang w:bidi="ar"/>
                </w:rPr>
                <w:t>https://www.jcehepatology.com/article/S0973-6883(19)30283-X/abstract</w:t>
              </w:r>
            </w:hyperlink>
          </w:p>
        </w:tc>
      </w:tr>
      <w:tr w:rsidR="00A81413" w14:paraId="289EB556" w14:textId="77777777">
        <w:trPr>
          <w:trHeight w:val="310"/>
          <w:jc w:val="center"/>
        </w:trPr>
        <w:tc>
          <w:tcPr>
            <w:tcW w:w="7617" w:type="dxa"/>
            <w:tcBorders>
              <w:top w:val="nil"/>
              <w:left w:val="nil"/>
              <w:bottom w:val="nil"/>
              <w:right w:val="nil"/>
            </w:tcBorders>
            <w:shd w:val="clear" w:color="auto" w:fill="auto"/>
            <w:noWrap/>
            <w:vAlign w:val="center"/>
          </w:tcPr>
          <w:p w14:paraId="7E648B1C" w14:textId="3F491B52"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Tapering of Immunosuppression and Sustained Treatment </w:t>
            </w:r>
            <w:proofErr w:type="gramStart"/>
            <w:r>
              <w:rPr>
                <w:rFonts w:ascii="Times New Roman" w:eastAsia="DengXian" w:hAnsi="Times New Roman" w:cs="Times New Roman"/>
                <w:color w:val="000000"/>
                <w:kern w:val="0"/>
                <w:sz w:val="22"/>
                <w:szCs w:val="22"/>
                <w:lang w:bidi="ar"/>
              </w:rPr>
              <w:t>With</w:t>
            </w:r>
            <w:proofErr w:type="gramEnd"/>
            <w:r>
              <w:rPr>
                <w:rFonts w:ascii="Times New Roman" w:eastAsia="DengXian" w:hAnsi="Times New Roman" w:cs="Times New Roman"/>
                <w:color w:val="000000"/>
                <w:kern w:val="0"/>
                <w:sz w:val="22"/>
                <w:szCs w:val="22"/>
                <w:lang w:bidi="ar"/>
              </w:rPr>
              <w:t xml:space="preserve"> Nivolumab in a Liver Transplant Recipient</w:t>
            </w:r>
          </w:p>
        </w:tc>
        <w:tc>
          <w:tcPr>
            <w:tcW w:w="2693" w:type="dxa"/>
            <w:tcBorders>
              <w:top w:val="nil"/>
              <w:left w:val="nil"/>
              <w:bottom w:val="nil"/>
              <w:right w:val="nil"/>
            </w:tcBorders>
            <w:vAlign w:val="center"/>
          </w:tcPr>
          <w:p w14:paraId="7774916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3BBB05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7239A5E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4" w:history="1">
              <w:r>
                <w:rPr>
                  <w:rStyle w:val="a4"/>
                  <w:rFonts w:ascii="Times New Roman" w:eastAsia="DengXian" w:hAnsi="Times New Roman" w:cs="Times New Roman"/>
                  <w:kern w:val="0"/>
                  <w:sz w:val="22"/>
                  <w:szCs w:val="22"/>
                  <w:lang w:bidi="ar"/>
                </w:rPr>
                <w:t>https://www.gastrojournal.org/article/S0016-5085(17)30268-8/fulltext?referrer=https%3A%2F%2Fpubmed.ncbi.nlm.nih.gov%2F</w:t>
              </w:r>
            </w:hyperlink>
          </w:p>
        </w:tc>
      </w:tr>
      <w:tr w:rsidR="00A81413" w14:paraId="6BF17081" w14:textId="77777777">
        <w:trPr>
          <w:trHeight w:val="310"/>
          <w:jc w:val="center"/>
        </w:trPr>
        <w:tc>
          <w:tcPr>
            <w:tcW w:w="7617" w:type="dxa"/>
            <w:tcBorders>
              <w:top w:val="nil"/>
              <w:left w:val="nil"/>
              <w:bottom w:val="nil"/>
              <w:right w:val="nil"/>
            </w:tcBorders>
            <w:shd w:val="clear" w:color="auto" w:fill="auto"/>
            <w:noWrap/>
            <w:vAlign w:val="center"/>
          </w:tcPr>
          <w:p w14:paraId="6B9F680D" w14:textId="72A9EFA1" w:rsidR="00A81413" w:rsidRDefault="00000000">
            <w:pPr>
              <w:widowControl/>
              <w:textAlignment w:val="center"/>
              <w:rPr>
                <w:rFonts w:ascii="Times New Roman" w:eastAsia="DengXian" w:hAnsi="Times New Roman" w:cs="Times New Roman"/>
                <w:color w:val="000000"/>
                <w:sz w:val="22"/>
                <w:szCs w:val="22"/>
              </w:rPr>
            </w:pPr>
            <w:bookmarkStart w:id="1" w:name="OLE_LINK116"/>
            <w:r>
              <w:rPr>
                <w:rFonts w:ascii="Times New Roman" w:eastAsia="DengXian" w:hAnsi="Times New Roman" w:cs="Times New Roman"/>
                <w:color w:val="000000"/>
                <w:kern w:val="0"/>
                <w:sz w:val="22"/>
                <w:szCs w:val="22"/>
                <w:lang w:bidi="ar"/>
              </w:rPr>
              <w:t>Atezolizumab plus bevacizumab as a bridge for liver transplant in hepatocellular carcinoma</w:t>
            </w:r>
            <w:bookmarkEnd w:id="1"/>
          </w:p>
        </w:tc>
        <w:tc>
          <w:tcPr>
            <w:tcW w:w="2693" w:type="dxa"/>
            <w:tcBorders>
              <w:top w:val="nil"/>
              <w:left w:val="nil"/>
              <w:bottom w:val="nil"/>
              <w:right w:val="nil"/>
            </w:tcBorders>
            <w:vAlign w:val="center"/>
          </w:tcPr>
          <w:p w14:paraId="52BA610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470EE67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5D67A35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5" w:history="1">
              <w:r>
                <w:rPr>
                  <w:rStyle w:val="a4"/>
                  <w:rFonts w:ascii="Times New Roman" w:eastAsia="DengXian" w:hAnsi="Times New Roman" w:cs="Times New Roman"/>
                  <w:kern w:val="0"/>
                  <w:sz w:val="22"/>
                  <w:szCs w:val="22"/>
                  <w:lang w:bidi="ar"/>
                </w:rPr>
                <w:t>https://www.scielo.br/j/bjt/a/ZmKbcVnQrBVVBpdkgp7T5Nf/?lang=pt</w:t>
              </w:r>
            </w:hyperlink>
          </w:p>
        </w:tc>
      </w:tr>
      <w:tr w:rsidR="00A81413" w14:paraId="027043F5" w14:textId="77777777">
        <w:trPr>
          <w:trHeight w:val="310"/>
          <w:jc w:val="center"/>
        </w:trPr>
        <w:tc>
          <w:tcPr>
            <w:tcW w:w="7617" w:type="dxa"/>
            <w:tcBorders>
              <w:top w:val="nil"/>
              <w:left w:val="nil"/>
              <w:bottom w:val="nil"/>
              <w:right w:val="nil"/>
            </w:tcBorders>
            <w:shd w:val="clear" w:color="auto" w:fill="auto"/>
            <w:noWrap/>
            <w:vAlign w:val="center"/>
          </w:tcPr>
          <w:p w14:paraId="2875FE66" w14:textId="7C5AE154"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Neoadjuvant radiation lobectomy and immunotherapy for </w:t>
            </w:r>
            <w:proofErr w:type="spellStart"/>
            <w:r>
              <w:rPr>
                <w:rFonts w:ascii="Times New Roman" w:eastAsia="DengXian" w:hAnsi="Times New Roman" w:cs="Times New Roman"/>
                <w:color w:val="000000"/>
                <w:kern w:val="0"/>
                <w:sz w:val="22"/>
                <w:szCs w:val="22"/>
                <w:lang w:bidi="ar"/>
              </w:rPr>
              <w:t>angioinvasive</w:t>
            </w:r>
            <w:proofErr w:type="spellEnd"/>
            <w:r>
              <w:rPr>
                <w:rFonts w:ascii="Times New Roman" w:eastAsia="DengXian" w:hAnsi="Times New Roman" w:cs="Times New Roman"/>
                <w:color w:val="000000"/>
                <w:kern w:val="0"/>
                <w:sz w:val="22"/>
                <w:szCs w:val="22"/>
                <w:lang w:bidi="ar"/>
              </w:rPr>
              <w:t xml:space="preserve"> HCC resulting in complete pathologic response</w:t>
            </w:r>
          </w:p>
        </w:tc>
        <w:tc>
          <w:tcPr>
            <w:tcW w:w="2693" w:type="dxa"/>
            <w:tcBorders>
              <w:top w:val="nil"/>
              <w:left w:val="nil"/>
              <w:bottom w:val="nil"/>
              <w:right w:val="nil"/>
            </w:tcBorders>
            <w:vAlign w:val="center"/>
          </w:tcPr>
          <w:p w14:paraId="17D8E21B"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16FB0C7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51AD5A5B"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6" w:history="1">
              <w:r>
                <w:rPr>
                  <w:rStyle w:val="a4"/>
                  <w:rFonts w:ascii="Times New Roman" w:eastAsia="DengXian" w:hAnsi="Times New Roman" w:cs="Times New Roman"/>
                  <w:kern w:val="0"/>
                  <w:sz w:val="22"/>
                  <w:szCs w:val="22"/>
                  <w:lang w:bidi="ar"/>
                </w:rPr>
                <w:t>https://journals.lww.com/hep/citation/2021/07000/neoadjuvant_radiation_lobectomy_and_immunotherapy.43.aspx</w:t>
              </w:r>
            </w:hyperlink>
          </w:p>
        </w:tc>
      </w:tr>
      <w:tr w:rsidR="00A81413" w14:paraId="1557F613" w14:textId="77777777">
        <w:trPr>
          <w:trHeight w:val="310"/>
          <w:jc w:val="center"/>
        </w:trPr>
        <w:tc>
          <w:tcPr>
            <w:tcW w:w="7617" w:type="dxa"/>
            <w:tcBorders>
              <w:top w:val="nil"/>
              <w:left w:val="nil"/>
              <w:bottom w:val="nil"/>
              <w:right w:val="nil"/>
            </w:tcBorders>
            <w:shd w:val="clear" w:color="auto" w:fill="auto"/>
            <w:noWrap/>
            <w:vAlign w:val="center"/>
          </w:tcPr>
          <w:p w14:paraId="27EBBAE3" w14:textId="45835EA8"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A Case of Hepatocellular Carcinoma (HCC) Immunotherapy Inducing Liver Transplant Rejection</w:t>
            </w:r>
          </w:p>
        </w:tc>
        <w:tc>
          <w:tcPr>
            <w:tcW w:w="2693" w:type="dxa"/>
            <w:tcBorders>
              <w:top w:val="nil"/>
              <w:left w:val="nil"/>
              <w:bottom w:val="nil"/>
              <w:right w:val="nil"/>
            </w:tcBorders>
            <w:vAlign w:val="center"/>
          </w:tcPr>
          <w:p w14:paraId="61E9FFDB"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7FAE130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196D68BE"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7" w:history="1">
              <w:r>
                <w:rPr>
                  <w:rStyle w:val="a4"/>
                  <w:rFonts w:ascii="Times New Roman" w:eastAsia="DengXian" w:hAnsi="Times New Roman" w:cs="Times New Roman"/>
                  <w:kern w:val="0"/>
                  <w:sz w:val="22"/>
                  <w:szCs w:val="22"/>
                  <w:lang w:bidi="ar"/>
                </w:rPr>
                <w:t>https://journals.lww.com/ajg/fulltext/2018/10001/A_Case_of_Hepatocellular_Carcinoma__HCC_.2415.aspx</w:t>
              </w:r>
            </w:hyperlink>
          </w:p>
        </w:tc>
      </w:tr>
      <w:tr w:rsidR="00A81413" w14:paraId="292F7CC6" w14:textId="77777777">
        <w:trPr>
          <w:trHeight w:val="310"/>
          <w:jc w:val="center"/>
        </w:trPr>
        <w:tc>
          <w:tcPr>
            <w:tcW w:w="7617" w:type="dxa"/>
            <w:tcBorders>
              <w:top w:val="nil"/>
              <w:left w:val="nil"/>
              <w:bottom w:val="nil"/>
              <w:right w:val="nil"/>
            </w:tcBorders>
            <w:shd w:val="clear" w:color="auto" w:fill="auto"/>
            <w:noWrap/>
            <w:vAlign w:val="center"/>
          </w:tcPr>
          <w:p w14:paraId="2BD4AECC" w14:textId="5BD338B5"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肝癌患者肝移植术前使用</w:t>
            </w: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抑制剂对移植后排斥反应的影响</w:t>
            </w:r>
          </w:p>
        </w:tc>
        <w:tc>
          <w:tcPr>
            <w:tcW w:w="2693" w:type="dxa"/>
            <w:tcBorders>
              <w:top w:val="nil"/>
              <w:left w:val="nil"/>
              <w:bottom w:val="nil"/>
              <w:right w:val="nil"/>
            </w:tcBorders>
            <w:vAlign w:val="center"/>
          </w:tcPr>
          <w:p w14:paraId="2625645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11</w:t>
            </w:r>
          </w:p>
        </w:tc>
        <w:tc>
          <w:tcPr>
            <w:tcW w:w="3544" w:type="dxa"/>
            <w:tcBorders>
              <w:top w:val="nil"/>
              <w:left w:val="nil"/>
              <w:bottom w:val="nil"/>
              <w:right w:val="nil"/>
            </w:tcBorders>
            <w:vAlign w:val="center"/>
          </w:tcPr>
          <w:p w14:paraId="4D6A88A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11</w:t>
            </w:r>
          </w:p>
        </w:tc>
        <w:tc>
          <w:tcPr>
            <w:tcW w:w="8259" w:type="dxa"/>
            <w:tcBorders>
              <w:top w:val="nil"/>
              <w:left w:val="nil"/>
              <w:bottom w:val="nil"/>
              <w:right w:val="nil"/>
            </w:tcBorders>
            <w:vAlign w:val="center"/>
          </w:tcPr>
          <w:p w14:paraId="19428D3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8" w:history="1">
              <w:r>
                <w:rPr>
                  <w:rStyle w:val="a4"/>
                  <w:rFonts w:ascii="Times New Roman" w:eastAsia="DengXian" w:hAnsi="Times New Roman" w:cs="Times New Roman"/>
                  <w:kern w:val="0"/>
                  <w:sz w:val="22"/>
                  <w:szCs w:val="22"/>
                  <w:lang w:bidi="ar"/>
                </w:rPr>
                <w:t>https://d.wanfangdata.com.cn/periodical/ChVQZXJpb2RpY2FsQ0hJMjAyNTA2MjISD3pnbGN5eDIwMjAwMzAyMxoIMzNpb2VzOHc%3D</w:t>
              </w:r>
            </w:hyperlink>
          </w:p>
        </w:tc>
      </w:tr>
      <w:tr w:rsidR="00A81413" w14:paraId="25A6BE0A" w14:textId="77777777">
        <w:trPr>
          <w:trHeight w:val="310"/>
          <w:jc w:val="center"/>
        </w:trPr>
        <w:tc>
          <w:tcPr>
            <w:tcW w:w="7617" w:type="dxa"/>
            <w:tcBorders>
              <w:top w:val="nil"/>
              <w:left w:val="nil"/>
              <w:bottom w:val="nil"/>
              <w:right w:val="nil"/>
            </w:tcBorders>
            <w:shd w:val="clear" w:color="auto" w:fill="auto"/>
            <w:noWrap/>
            <w:vAlign w:val="center"/>
          </w:tcPr>
          <w:p w14:paraId="7F45534E" w14:textId="3B99C5B0"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使用程序性死亡受体</w:t>
            </w:r>
            <w:r>
              <w:rPr>
                <w:rFonts w:ascii="Times New Roman" w:eastAsia="DengXian" w:hAnsi="Times New Roman" w:cs="Times New Roman"/>
                <w:color w:val="000000"/>
                <w:kern w:val="0"/>
                <w:sz w:val="22"/>
                <w:szCs w:val="22"/>
                <w:lang w:bidi="ar"/>
              </w:rPr>
              <w:t>-1</w:t>
            </w:r>
            <w:r>
              <w:rPr>
                <w:rFonts w:ascii="Times New Roman" w:eastAsia="DengXian" w:hAnsi="Times New Roman" w:cs="Times New Roman"/>
                <w:color w:val="000000"/>
                <w:kern w:val="0"/>
                <w:sz w:val="22"/>
                <w:szCs w:val="22"/>
                <w:lang w:bidi="ar"/>
              </w:rPr>
              <w:t>单克隆抗体治疗肝癌肝移植术后复发的临床策略</w:t>
            </w:r>
          </w:p>
        </w:tc>
        <w:tc>
          <w:tcPr>
            <w:tcW w:w="2693" w:type="dxa"/>
            <w:tcBorders>
              <w:top w:val="nil"/>
              <w:left w:val="nil"/>
              <w:bottom w:val="nil"/>
              <w:right w:val="nil"/>
            </w:tcBorders>
            <w:vAlign w:val="center"/>
          </w:tcPr>
          <w:p w14:paraId="4B4B870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4</w:t>
            </w:r>
          </w:p>
        </w:tc>
        <w:tc>
          <w:tcPr>
            <w:tcW w:w="3544" w:type="dxa"/>
            <w:tcBorders>
              <w:top w:val="nil"/>
              <w:left w:val="nil"/>
              <w:bottom w:val="nil"/>
              <w:right w:val="nil"/>
            </w:tcBorders>
            <w:vAlign w:val="center"/>
          </w:tcPr>
          <w:p w14:paraId="1B1947E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4</w:t>
            </w:r>
          </w:p>
        </w:tc>
        <w:tc>
          <w:tcPr>
            <w:tcW w:w="8259" w:type="dxa"/>
            <w:tcBorders>
              <w:top w:val="nil"/>
              <w:left w:val="nil"/>
              <w:bottom w:val="nil"/>
              <w:right w:val="nil"/>
            </w:tcBorders>
            <w:vAlign w:val="center"/>
          </w:tcPr>
          <w:p w14:paraId="2199D5AB"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49" w:history="1">
              <w:r>
                <w:rPr>
                  <w:rStyle w:val="a4"/>
                  <w:rFonts w:ascii="Times New Roman" w:eastAsia="DengXian" w:hAnsi="Times New Roman" w:cs="Times New Roman"/>
                  <w:kern w:val="0"/>
                  <w:sz w:val="22"/>
                  <w:szCs w:val="22"/>
                  <w:lang w:bidi="ar"/>
                </w:rPr>
                <w:t>https://zhyzzz.cma-cmc.com.cn/CN/10.3877/cma.j.issn.1674-3903.2021.06.003</w:t>
              </w:r>
            </w:hyperlink>
          </w:p>
        </w:tc>
      </w:tr>
      <w:tr w:rsidR="00A81413" w14:paraId="03C04545" w14:textId="77777777">
        <w:trPr>
          <w:trHeight w:val="310"/>
          <w:jc w:val="center"/>
        </w:trPr>
        <w:tc>
          <w:tcPr>
            <w:tcW w:w="7617" w:type="dxa"/>
            <w:tcBorders>
              <w:top w:val="nil"/>
              <w:left w:val="nil"/>
              <w:bottom w:val="nil"/>
              <w:right w:val="nil"/>
            </w:tcBorders>
            <w:shd w:val="clear" w:color="auto" w:fill="auto"/>
            <w:noWrap/>
            <w:vAlign w:val="center"/>
          </w:tcPr>
          <w:p w14:paraId="1F8D6E99" w14:textId="51336440"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抑制剂用于肝癌肝移植术前治疗的安全性探讨</w:t>
            </w:r>
          </w:p>
        </w:tc>
        <w:tc>
          <w:tcPr>
            <w:tcW w:w="2693" w:type="dxa"/>
            <w:tcBorders>
              <w:top w:val="nil"/>
              <w:left w:val="nil"/>
              <w:bottom w:val="nil"/>
              <w:right w:val="nil"/>
            </w:tcBorders>
            <w:vAlign w:val="center"/>
          </w:tcPr>
          <w:p w14:paraId="4639887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7</w:t>
            </w:r>
          </w:p>
        </w:tc>
        <w:tc>
          <w:tcPr>
            <w:tcW w:w="3544" w:type="dxa"/>
            <w:tcBorders>
              <w:top w:val="nil"/>
              <w:left w:val="nil"/>
              <w:bottom w:val="nil"/>
              <w:right w:val="nil"/>
            </w:tcBorders>
            <w:vAlign w:val="center"/>
          </w:tcPr>
          <w:p w14:paraId="55C1F04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7</w:t>
            </w:r>
          </w:p>
        </w:tc>
        <w:tc>
          <w:tcPr>
            <w:tcW w:w="8259" w:type="dxa"/>
            <w:tcBorders>
              <w:top w:val="nil"/>
              <w:left w:val="nil"/>
              <w:bottom w:val="nil"/>
              <w:right w:val="nil"/>
            </w:tcBorders>
            <w:vAlign w:val="center"/>
          </w:tcPr>
          <w:p w14:paraId="0FD89B0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0" w:history="1">
              <w:r>
                <w:rPr>
                  <w:rStyle w:val="a4"/>
                  <w:rFonts w:ascii="Times New Roman" w:eastAsia="DengXian" w:hAnsi="Times New Roman" w:cs="Times New Roman"/>
                  <w:kern w:val="0"/>
                  <w:sz w:val="22"/>
                  <w:szCs w:val="22"/>
                  <w:lang w:bidi="ar"/>
                </w:rPr>
                <w:t>https://d.wanfangdata.com.cn/periodical/ChVQZXJpb2RpY2FsQ0hJMjAyNTA2MjISDXFneXoyMDIxMDQwMTEaCDZ3aTR1eXRl</w:t>
              </w:r>
            </w:hyperlink>
          </w:p>
        </w:tc>
      </w:tr>
      <w:tr w:rsidR="00A81413" w14:paraId="60A470EF" w14:textId="77777777">
        <w:trPr>
          <w:trHeight w:val="310"/>
          <w:jc w:val="center"/>
        </w:trPr>
        <w:tc>
          <w:tcPr>
            <w:tcW w:w="7617" w:type="dxa"/>
            <w:tcBorders>
              <w:top w:val="nil"/>
              <w:left w:val="nil"/>
              <w:bottom w:val="nil"/>
              <w:right w:val="nil"/>
            </w:tcBorders>
            <w:shd w:val="clear" w:color="auto" w:fill="auto"/>
            <w:noWrap/>
            <w:vAlign w:val="center"/>
          </w:tcPr>
          <w:p w14:paraId="7530C422" w14:textId="196E960F"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抑制剂联合</w:t>
            </w:r>
            <w:r>
              <w:rPr>
                <w:rFonts w:ascii="Times New Roman" w:eastAsia="DengXian" w:hAnsi="Times New Roman" w:cs="Times New Roman"/>
                <w:color w:val="000000"/>
                <w:kern w:val="0"/>
                <w:sz w:val="22"/>
                <w:szCs w:val="22"/>
                <w:lang w:bidi="ar"/>
              </w:rPr>
              <w:t>TKIs</w:t>
            </w:r>
            <w:r>
              <w:rPr>
                <w:rFonts w:ascii="Times New Roman" w:eastAsia="DengXian" w:hAnsi="Times New Roman" w:cs="Times New Roman"/>
                <w:color w:val="000000"/>
                <w:kern w:val="0"/>
                <w:sz w:val="22"/>
                <w:szCs w:val="22"/>
                <w:lang w:bidi="ar"/>
              </w:rPr>
              <w:t>治疗中晚期肝细胞癌后实施肝移植的可行性探讨</w:t>
            </w:r>
          </w:p>
        </w:tc>
        <w:tc>
          <w:tcPr>
            <w:tcW w:w="2693" w:type="dxa"/>
            <w:tcBorders>
              <w:top w:val="nil"/>
              <w:left w:val="nil"/>
              <w:bottom w:val="nil"/>
              <w:right w:val="nil"/>
            </w:tcBorders>
            <w:vAlign w:val="center"/>
          </w:tcPr>
          <w:p w14:paraId="05C5EE6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6</w:t>
            </w:r>
          </w:p>
        </w:tc>
        <w:tc>
          <w:tcPr>
            <w:tcW w:w="3544" w:type="dxa"/>
            <w:tcBorders>
              <w:top w:val="nil"/>
              <w:left w:val="nil"/>
              <w:bottom w:val="nil"/>
              <w:right w:val="nil"/>
            </w:tcBorders>
            <w:vAlign w:val="center"/>
          </w:tcPr>
          <w:p w14:paraId="6D2A897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6</w:t>
            </w:r>
          </w:p>
        </w:tc>
        <w:tc>
          <w:tcPr>
            <w:tcW w:w="8259" w:type="dxa"/>
            <w:tcBorders>
              <w:top w:val="nil"/>
              <w:left w:val="nil"/>
              <w:bottom w:val="nil"/>
              <w:right w:val="nil"/>
            </w:tcBorders>
            <w:vAlign w:val="center"/>
          </w:tcPr>
          <w:p w14:paraId="6AE14F19"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1" w:history="1">
              <w:r>
                <w:rPr>
                  <w:rStyle w:val="a4"/>
                  <w:rFonts w:ascii="Times New Roman" w:eastAsia="DengXian" w:hAnsi="Times New Roman" w:cs="Times New Roman"/>
                  <w:kern w:val="0"/>
                  <w:sz w:val="22"/>
                  <w:szCs w:val="22"/>
                  <w:lang w:bidi="ar"/>
                </w:rPr>
                <w:t>https://d.wanfangdata.com.cn/periodical/ChVQZXJpb2RpY2FsQ0hJMjAyNTA2MjISD3poZ2R3azIwMjIwMTAwNRoIaGd2NHFhdmE%3D</w:t>
              </w:r>
            </w:hyperlink>
          </w:p>
        </w:tc>
      </w:tr>
      <w:tr w:rsidR="00A81413" w14:paraId="03D99A7C" w14:textId="77777777">
        <w:trPr>
          <w:trHeight w:val="310"/>
          <w:jc w:val="center"/>
        </w:trPr>
        <w:tc>
          <w:tcPr>
            <w:tcW w:w="7617" w:type="dxa"/>
            <w:tcBorders>
              <w:top w:val="nil"/>
              <w:left w:val="nil"/>
              <w:bottom w:val="nil"/>
              <w:right w:val="nil"/>
            </w:tcBorders>
            <w:shd w:val="clear" w:color="auto" w:fill="auto"/>
            <w:noWrap/>
            <w:vAlign w:val="center"/>
          </w:tcPr>
          <w:p w14:paraId="3481FBFF" w14:textId="1541D3FF"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术前免疫治疗对肝移植受者预后的影响</w:t>
            </w:r>
          </w:p>
        </w:tc>
        <w:tc>
          <w:tcPr>
            <w:tcW w:w="2693" w:type="dxa"/>
            <w:tcBorders>
              <w:top w:val="nil"/>
              <w:left w:val="nil"/>
              <w:bottom w:val="nil"/>
              <w:right w:val="nil"/>
            </w:tcBorders>
            <w:vAlign w:val="center"/>
          </w:tcPr>
          <w:p w14:paraId="5184DA1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19</w:t>
            </w:r>
          </w:p>
        </w:tc>
        <w:tc>
          <w:tcPr>
            <w:tcW w:w="3544" w:type="dxa"/>
            <w:tcBorders>
              <w:top w:val="nil"/>
              <w:left w:val="nil"/>
              <w:bottom w:val="nil"/>
              <w:right w:val="nil"/>
            </w:tcBorders>
            <w:vAlign w:val="center"/>
          </w:tcPr>
          <w:p w14:paraId="34BF9B1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19</w:t>
            </w:r>
          </w:p>
        </w:tc>
        <w:tc>
          <w:tcPr>
            <w:tcW w:w="8259" w:type="dxa"/>
            <w:tcBorders>
              <w:top w:val="nil"/>
              <w:left w:val="nil"/>
              <w:bottom w:val="nil"/>
              <w:right w:val="nil"/>
            </w:tcBorders>
            <w:vAlign w:val="center"/>
          </w:tcPr>
          <w:p w14:paraId="79AD2E6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2" w:history="1">
              <w:r>
                <w:rPr>
                  <w:rStyle w:val="a4"/>
                  <w:rFonts w:ascii="Times New Roman" w:eastAsia="DengXian" w:hAnsi="Times New Roman" w:cs="Times New Roman"/>
                  <w:kern w:val="0"/>
                  <w:sz w:val="22"/>
                  <w:szCs w:val="22"/>
                  <w:lang w:bidi="ar"/>
                </w:rPr>
                <w:t>https://d.wanfangdata.com.cn/periodical/ChVQZXJpb2RpY2FsQ0hJMjAyNTA2MjISEXpocWd5ejk4MjAyMjA1MDAyGghmd3FkaGlieg%3D%3D</w:t>
              </w:r>
            </w:hyperlink>
          </w:p>
        </w:tc>
      </w:tr>
      <w:tr w:rsidR="00A81413" w14:paraId="604F672B" w14:textId="77777777">
        <w:trPr>
          <w:trHeight w:val="310"/>
          <w:jc w:val="center"/>
        </w:trPr>
        <w:tc>
          <w:tcPr>
            <w:tcW w:w="7617" w:type="dxa"/>
            <w:tcBorders>
              <w:top w:val="nil"/>
              <w:left w:val="nil"/>
              <w:bottom w:val="nil"/>
              <w:right w:val="nil"/>
            </w:tcBorders>
            <w:shd w:val="clear" w:color="auto" w:fill="auto"/>
            <w:noWrap/>
            <w:vAlign w:val="center"/>
          </w:tcPr>
          <w:p w14:paraId="4E082697" w14:textId="427F8EAC"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6</w:t>
            </w:r>
            <w:r>
              <w:rPr>
                <w:rFonts w:ascii="Times New Roman" w:eastAsia="DengXian" w:hAnsi="Times New Roman" w:cs="Times New Roman"/>
                <w:color w:val="000000"/>
                <w:kern w:val="0"/>
                <w:sz w:val="22"/>
                <w:szCs w:val="22"/>
                <w:lang w:bidi="ar"/>
              </w:rPr>
              <w:t>例免疫检查点抑制剂挽救性治疗肝癌肝移植术后肿瘤复发的初步评价</w:t>
            </w:r>
          </w:p>
        </w:tc>
        <w:tc>
          <w:tcPr>
            <w:tcW w:w="2693" w:type="dxa"/>
            <w:tcBorders>
              <w:top w:val="nil"/>
              <w:left w:val="nil"/>
              <w:bottom w:val="nil"/>
              <w:right w:val="nil"/>
            </w:tcBorders>
            <w:vAlign w:val="center"/>
          </w:tcPr>
          <w:p w14:paraId="43C0D88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6</w:t>
            </w:r>
          </w:p>
        </w:tc>
        <w:tc>
          <w:tcPr>
            <w:tcW w:w="3544" w:type="dxa"/>
            <w:tcBorders>
              <w:top w:val="nil"/>
              <w:left w:val="nil"/>
              <w:bottom w:val="nil"/>
              <w:right w:val="nil"/>
            </w:tcBorders>
            <w:vAlign w:val="center"/>
          </w:tcPr>
          <w:p w14:paraId="35A7A85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6</w:t>
            </w:r>
          </w:p>
        </w:tc>
        <w:tc>
          <w:tcPr>
            <w:tcW w:w="8259" w:type="dxa"/>
            <w:tcBorders>
              <w:top w:val="nil"/>
              <w:left w:val="nil"/>
              <w:bottom w:val="nil"/>
              <w:right w:val="nil"/>
            </w:tcBorders>
            <w:vAlign w:val="center"/>
          </w:tcPr>
          <w:p w14:paraId="29BD5AC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3" w:history="1">
              <w:r>
                <w:rPr>
                  <w:rStyle w:val="a4"/>
                  <w:rFonts w:ascii="Times New Roman" w:eastAsia="DengXian" w:hAnsi="Times New Roman" w:cs="Times New Roman"/>
                  <w:kern w:val="0"/>
                  <w:sz w:val="22"/>
                  <w:szCs w:val="22"/>
                  <w:lang w:bidi="ar"/>
                </w:rPr>
                <w:t>https://d.wanfangdata.com.cn/periodical/ChVQZXJpb2RpY2FsQ0hJMjAyNTA2MjISEXpocWd5ejk4MjAyMjA3MDAzGghzd3R2eGpybA%3D%3D</w:t>
              </w:r>
            </w:hyperlink>
          </w:p>
        </w:tc>
      </w:tr>
      <w:tr w:rsidR="00A81413" w14:paraId="38C705F2" w14:textId="77777777">
        <w:trPr>
          <w:trHeight w:val="310"/>
          <w:jc w:val="center"/>
        </w:trPr>
        <w:tc>
          <w:tcPr>
            <w:tcW w:w="7617" w:type="dxa"/>
            <w:tcBorders>
              <w:top w:val="nil"/>
              <w:left w:val="nil"/>
              <w:bottom w:val="nil"/>
              <w:right w:val="nil"/>
            </w:tcBorders>
            <w:shd w:val="clear" w:color="auto" w:fill="auto"/>
            <w:noWrap/>
            <w:vAlign w:val="center"/>
          </w:tcPr>
          <w:p w14:paraId="6135BA48" w14:textId="3291326E"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PD-1</w:t>
            </w:r>
            <w:r>
              <w:rPr>
                <w:rFonts w:ascii="Times New Roman" w:eastAsia="DengXian" w:hAnsi="Times New Roman" w:cs="Times New Roman"/>
                <w:color w:val="000000"/>
                <w:kern w:val="0"/>
                <w:sz w:val="22"/>
                <w:szCs w:val="22"/>
                <w:lang w:bidi="ar"/>
              </w:rPr>
              <w:t>抑制剂在肝癌肝移植术前使用的安全性分析</w:t>
            </w:r>
          </w:p>
        </w:tc>
        <w:tc>
          <w:tcPr>
            <w:tcW w:w="2693" w:type="dxa"/>
            <w:tcBorders>
              <w:top w:val="nil"/>
              <w:left w:val="nil"/>
              <w:bottom w:val="nil"/>
              <w:right w:val="nil"/>
            </w:tcBorders>
            <w:vAlign w:val="center"/>
          </w:tcPr>
          <w:p w14:paraId="3B51811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3544" w:type="dxa"/>
            <w:tcBorders>
              <w:top w:val="nil"/>
              <w:left w:val="nil"/>
              <w:bottom w:val="nil"/>
              <w:right w:val="nil"/>
            </w:tcBorders>
            <w:vAlign w:val="center"/>
          </w:tcPr>
          <w:p w14:paraId="02B8841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8259" w:type="dxa"/>
            <w:tcBorders>
              <w:top w:val="nil"/>
              <w:left w:val="nil"/>
              <w:bottom w:val="nil"/>
              <w:right w:val="nil"/>
            </w:tcBorders>
            <w:vAlign w:val="center"/>
          </w:tcPr>
          <w:p w14:paraId="653837F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4" w:history="1">
              <w:r>
                <w:rPr>
                  <w:rStyle w:val="a4"/>
                  <w:rFonts w:ascii="Times New Roman" w:eastAsia="DengXian" w:hAnsi="Times New Roman" w:cs="Times New Roman"/>
                  <w:kern w:val="0"/>
                  <w:sz w:val="22"/>
                  <w:szCs w:val="22"/>
                  <w:lang w:bidi="ar"/>
                </w:rPr>
                <w:t>https://d.wanfangdata.com.cn/periodical/ChVQZXJpb2RpY2FsQ0hJMjAyNTA2MjISE3N5cWd5emR6enoyMDIyMDYwMDkaCHo4cHpkcXg2</w:t>
              </w:r>
            </w:hyperlink>
          </w:p>
        </w:tc>
      </w:tr>
      <w:tr w:rsidR="00A81413" w14:paraId="203F3932" w14:textId="77777777">
        <w:trPr>
          <w:trHeight w:val="310"/>
          <w:jc w:val="center"/>
        </w:trPr>
        <w:tc>
          <w:tcPr>
            <w:tcW w:w="7617" w:type="dxa"/>
            <w:tcBorders>
              <w:top w:val="nil"/>
              <w:left w:val="nil"/>
              <w:bottom w:val="nil"/>
              <w:right w:val="nil"/>
            </w:tcBorders>
            <w:shd w:val="clear" w:color="auto" w:fill="auto"/>
            <w:noWrap/>
            <w:vAlign w:val="center"/>
          </w:tcPr>
          <w:p w14:paraId="659B4180" w14:textId="0748668E"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卡瑞利珠单抗挽救性治疗移植肝组织</w:t>
            </w:r>
            <w:r>
              <w:rPr>
                <w:rFonts w:ascii="Times New Roman" w:eastAsia="DengXian" w:hAnsi="Times New Roman" w:cs="Times New Roman"/>
                <w:color w:val="000000"/>
                <w:kern w:val="0"/>
                <w:sz w:val="22"/>
                <w:szCs w:val="22"/>
                <w:lang w:bidi="ar"/>
              </w:rPr>
              <w:t>PD-L1</w:t>
            </w:r>
            <w:r>
              <w:rPr>
                <w:rFonts w:ascii="Times New Roman" w:eastAsia="DengXian" w:hAnsi="Times New Roman" w:cs="Times New Roman"/>
                <w:color w:val="000000"/>
                <w:kern w:val="0"/>
                <w:sz w:val="22"/>
                <w:szCs w:val="22"/>
                <w:lang w:bidi="ar"/>
              </w:rPr>
              <w:t>阴性肝外复发性肝癌</w:t>
            </w:r>
          </w:p>
        </w:tc>
        <w:tc>
          <w:tcPr>
            <w:tcW w:w="2693" w:type="dxa"/>
            <w:tcBorders>
              <w:top w:val="nil"/>
              <w:left w:val="nil"/>
              <w:bottom w:val="nil"/>
              <w:right w:val="nil"/>
            </w:tcBorders>
            <w:vAlign w:val="center"/>
          </w:tcPr>
          <w:p w14:paraId="3D8DB6D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3544" w:type="dxa"/>
            <w:tcBorders>
              <w:top w:val="nil"/>
              <w:left w:val="nil"/>
              <w:bottom w:val="nil"/>
              <w:right w:val="nil"/>
            </w:tcBorders>
            <w:vAlign w:val="center"/>
          </w:tcPr>
          <w:p w14:paraId="4B19014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8259" w:type="dxa"/>
            <w:tcBorders>
              <w:top w:val="nil"/>
              <w:left w:val="nil"/>
              <w:bottom w:val="nil"/>
              <w:right w:val="nil"/>
            </w:tcBorders>
            <w:vAlign w:val="center"/>
          </w:tcPr>
          <w:p w14:paraId="102CC2F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5" w:history="1">
              <w:r>
                <w:rPr>
                  <w:rStyle w:val="a4"/>
                  <w:rFonts w:ascii="Times New Roman" w:eastAsia="DengXian" w:hAnsi="Times New Roman" w:cs="Times New Roman"/>
                  <w:kern w:val="0"/>
                  <w:sz w:val="22"/>
                  <w:szCs w:val="22"/>
                  <w:lang w:bidi="ar"/>
                </w:rPr>
                <w:t>https://d.wanfangdata.com.cn/periodical/ChVQZXJpb2RpY2FsQ0hJMjAyNTA2MjISEXpocWd5ejk4MjAyMjA1MDA0GghkcGdtYXJnMg%3D%3D</w:t>
              </w:r>
            </w:hyperlink>
          </w:p>
        </w:tc>
      </w:tr>
      <w:tr w:rsidR="00A81413" w14:paraId="3727DEA0" w14:textId="77777777">
        <w:trPr>
          <w:trHeight w:val="310"/>
          <w:jc w:val="center"/>
        </w:trPr>
        <w:tc>
          <w:tcPr>
            <w:tcW w:w="7617" w:type="dxa"/>
            <w:tcBorders>
              <w:top w:val="nil"/>
              <w:left w:val="nil"/>
              <w:bottom w:val="nil"/>
              <w:right w:val="nil"/>
            </w:tcBorders>
            <w:shd w:val="clear" w:color="auto" w:fill="auto"/>
            <w:noWrap/>
            <w:vAlign w:val="center"/>
          </w:tcPr>
          <w:p w14:paraId="764DDC52" w14:textId="7F92F8B9"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Anti-Programmed Cell Death Protein 1 (PD-1) Immunotherapy for Metastatic Hepatocellular Carcinoma After Liver Transplantation: A Report of Three Cases</w:t>
            </w:r>
          </w:p>
        </w:tc>
        <w:tc>
          <w:tcPr>
            <w:tcW w:w="2693" w:type="dxa"/>
            <w:tcBorders>
              <w:top w:val="nil"/>
              <w:left w:val="nil"/>
              <w:bottom w:val="nil"/>
              <w:right w:val="nil"/>
            </w:tcBorders>
            <w:vAlign w:val="center"/>
          </w:tcPr>
          <w:p w14:paraId="026900B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3544" w:type="dxa"/>
            <w:tcBorders>
              <w:top w:val="nil"/>
              <w:left w:val="nil"/>
              <w:bottom w:val="nil"/>
              <w:right w:val="nil"/>
            </w:tcBorders>
            <w:vAlign w:val="center"/>
          </w:tcPr>
          <w:p w14:paraId="2B0A8D3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8259" w:type="dxa"/>
            <w:tcBorders>
              <w:top w:val="nil"/>
              <w:left w:val="nil"/>
              <w:bottom w:val="nil"/>
              <w:right w:val="nil"/>
            </w:tcBorders>
            <w:vAlign w:val="center"/>
          </w:tcPr>
          <w:p w14:paraId="240A388A"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6" w:anchor="!/" w:history="1">
              <w:r>
                <w:rPr>
                  <w:rStyle w:val="a4"/>
                  <w:rFonts w:ascii="Times New Roman" w:eastAsia="DengXian" w:hAnsi="Times New Roman" w:cs="Times New Roman"/>
                  <w:kern w:val="0"/>
                  <w:sz w:val="22"/>
                  <w:szCs w:val="22"/>
                  <w:lang w:bidi="ar"/>
                </w:rPr>
                <w:t>https://www.cureus.com/articles/43322-anti-programmed-cell-death-protein-1-pd-1-immunotherapy-for-metastatic-hepatocellular-carcinoma-after-liver-transplantation-a-report-of-three-cases - !/</w:t>
              </w:r>
            </w:hyperlink>
          </w:p>
        </w:tc>
      </w:tr>
      <w:tr w:rsidR="00A81413" w14:paraId="1BCC7FD1" w14:textId="77777777">
        <w:trPr>
          <w:trHeight w:val="310"/>
          <w:jc w:val="center"/>
        </w:trPr>
        <w:tc>
          <w:tcPr>
            <w:tcW w:w="7617" w:type="dxa"/>
            <w:tcBorders>
              <w:top w:val="nil"/>
              <w:left w:val="nil"/>
              <w:bottom w:val="nil"/>
              <w:right w:val="nil"/>
            </w:tcBorders>
            <w:shd w:val="clear" w:color="auto" w:fill="auto"/>
            <w:noWrap/>
            <w:vAlign w:val="center"/>
          </w:tcPr>
          <w:p w14:paraId="0F946776" w14:textId="445CD8AD"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Clinical outcomes of solid organ transplant recipients with metastatic cancers who are treated with immune checkpoint inhibitors: A single-center analysis</w:t>
            </w:r>
          </w:p>
        </w:tc>
        <w:tc>
          <w:tcPr>
            <w:tcW w:w="2693" w:type="dxa"/>
            <w:tcBorders>
              <w:top w:val="nil"/>
              <w:left w:val="nil"/>
              <w:bottom w:val="nil"/>
              <w:right w:val="nil"/>
            </w:tcBorders>
            <w:vAlign w:val="center"/>
          </w:tcPr>
          <w:p w14:paraId="358216C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3544" w:type="dxa"/>
            <w:tcBorders>
              <w:top w:val="nil"/>
              <w:left w:val="nil"/>
              <w:bottom w:val="nil"/>
              <w:right w:val="nil"/>
            </w:tcBorders>
            <w:vAlign w:val="center"/>
          </w:tcPr>
          <w:p w14:paraId="378AB99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8259" w:type="dxa"/>
            <w:tcBorders>
              <w:top w:val="nil"/>
              <w:left w:val="nil"/>
              <w:bottom w:val="nil"/>
              <w:right w:val="nil"/>
            </w:tcBorders>
            <w:vAlign w:val="center"/>
          </w:tcPr>
          <w:p w14:paraId="4B51CA5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7" w:history="1">
              <w:r>
                <w:rPr>
                  <w:rStyle w:val="a4"/>
                  <w:rFonts w:ascii="Times New Roman" w:eastAsia="DengXian" w:hAnsi="Times New Roman" w:cs="Times New Roman"/>
                  <w:kern w:val="0"/>
                  <w:sz w:val="22"/>
                  <w:szCs w:val="22"/>
                  <w:lang w:bidi="ar"/>
                </w:rPr>
                <w:t>https://acsjournals.onlinelibrary.wiley.com/doi/10.1002/cncr.33134</w:t>
              </w:r>
            </w:hyperlink>
          </w:p>
        </w:tc>
      </w:tr>
      <w:tr w:rsidR="00A81413" w14:paraId="1599B4C9" w14:textId="77777777">
        <w:trPr>
          <w:trHeight w:val="310"/>
          <w:jc w:val="center"/>
        </w:trPr>
        <w:tc>
          <w:tcPr>
            <w:tcW w:w="7617" w:type="dxa"/>
            <w:tcBorders>
              <w:top w:val="nil"/>
              <w:left w:val="nil"/>
              <w:bottom w:val="nil"/>
              <w:right w:val="nil"/>
            </w:tcBorders>
            <w:shd w:val="clear" w:color="auto" w:fill="auto"/>
            <w:noWrap/>
            <w:vAlign w:val="center"/>
          </w:tcPr>
          <w:p w14:paraId="0F503358" w14:textId="38F14E46"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Downstaging Hepatocellular Carcinoma with Checkpoint Inhibitor Therapy Improves Access to Curative Liver Transplant</w:t>
            </w:r>
          </w:p>
        </w:tc>
        <w:tc>
          <w:tcPr>
            <w:tcW w:w="2693" w:type="dxa"/>
            <w:vMerge w:val="restart"/>
            <w:tcBorders>
              <w:top w:val="nil"/>
              <w:left w:val="nil"/>
              <w:right w:val="nil"/>
            </w:tcBorders>
            <w:vAlign w:val="center"/>
          </w:tcPr>
          <w:p w14:paraId="26320FF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4</w:t>
            </w:r>
          </w:p>
        </w:tc>
        <w:tc>
          <w:tcPr>
            <w:tcW w:w="3544" w:type="dxa"/>
            <w:vMerge w:val="restart"/>
            <w:tcBorders>
              <w:top w:val="nil"/>
              <w:left w:val="nil"/>
              <w:right w:val="nil"/>
            </w:tcBorders>
            <w:vAlign w:val="center"/>
          </w:tcPr>
          <w:p w14:paraId="6C89F40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4</w:t>
            </w:r>
          </w:p>
        </w:tc>
        <w:tc>
          <w:tcPr>
            <w:tcW w:w="8259" w:type="dxa"/>
            <w:tcBorders>
              <w:top w:val="nil"/>
              <w:left w:val="nil"/>
              <w:bottom w:val="nil"/>
              <w:right w:val="nil"/>
            </w:tcBorders>
            <w:vAlign w:val="center"/>
          </w:tcPr>
          <w:p w14:paraId="12CE763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8" w:history="1">
              <w:r>
                <w:rPr>
                  <w:rStyle w:val="a4"/>
                  <w:rFonts w:ascii="Times New Roman" w:eastAsia="DengXian" w:hAnsi="Times New Roman" w:cs="Times New Roman"/>
                  <w:kern w:val="0"/>
                  <w:sz w:val="22"/>
                  <w:szCs w:val="22"/>
                  <w:lang w:bidi="ar"/>
                </w:rPr>
                <w:t>https://link.springer.com/article/10.1007/s12029-024-01040-8</w:t>
              </w:r>
            </w:hyperlink>
          </w:p>
        </w:tc>
      </w:tr>
      <w:tr w:rsidR="00A81413" w14:paraId="50574B4E" w14:textId="77777777">
        <w:trPr>
          <w:trHeight w:val="310"/>
          <w:jc w:val="center"/>
        </w:trPr>
        <w:tc>
          <w:tcPr>
            <w:tcW w:w="7617" w:type="dxa"/>
            <w:tcBorders>
              <w:top w:val="nil"/>
              <w:left w:val="nil"/>
              <w:bottom w:val="nil"/>
              <w:right w:val="nil"/>
            </w:tcBorders>
            <w:shd w:val="clear" w:color="auto" w:fill="auto"/>
            <w:noWrap/>
            <w:vAlign w:val="center"/>
          </w:tcPr>
          <w:p w14:paraId="72B0BA2D" w14:textId="750CBE51"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 xml:space="preserve">Immunotherapy as a Downstaging Tool for Liver Transplantation in </w:t>
            </w:r>
            <w:proofErr w:type="gramStart"/>
            <w:r>
              <w:rPr>
                <w:rFonts w:ascii="Times New Roman" w:eastAsia="DengXian" w:hAnsi="Times New Roman" w:cs="Times New Roman"/>
                <w:color w:val="000000"/>
                <w:kern w:val="0"/>
                <w:sz w:val="22"/>
                <w:szCs w:val="22"/>
                <w:lang w:bidi="ar"/>
              </w:rPr>
              <w:t>Hepatocellular  Carcinoma</w:t>
            </w:r>
            <w:proofErr w:type="gramEnd"/>
          </w:p>
        </w:tc>
        <w:tc>
          <w:tcPr>
            <w:tcW w:w="2693" w:type="dxa"/>
            <w:vMerge/>
            <w:tcBorders>
              <w:left w:val="nil"/>
              <w:bottom w:val="nil"/>
              <w:right w:val="nil"/>
            </w:tcBorders>
            <w:vAlign w:val="center"/>
          </w:tcPr>
          <w:p w14:paraId="00E34491" w14:textId="77777777" w:rsidR="00A81413" w:rsidRDefault="00A81413">
            <w:pPr>
              <w:widowControl/>
              <w:jc w:val="center"/>
              <w:textAlignment w:val="center"/>
              <w:rPr>
                <w:rFonts w:ascii="Times New Roman" w:hAnsi="Times New Roman" w:cs="Times New Roman"/>
              </w:rPr>
            </w:pPr>
          </w:p>
        </w:tc>
        <w:tc>
          <w:tcPr>
            <w:tcW w:w="3544" w:type="dxa"/>
            <w:vMerge/>
            <w:tcBorders>
              <w:left w:val="nil"/>
              <w:bottom w:val="nil"/>
              <w:right w:val="nil"/>
            </w:tcBorders>
            <w:vAlign w:val="center"/>
          </w:tcPr>
          <w:p w14:paraId="29CA17AA"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nil"/>
              <w:right w:val="nil"/>
            </w:tcBorders>
            <w:vAlign w:val="center"/>
          </w:tcPr>
          <w:p w14:paraId="48FA95F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59" w:history="1">
              <w:r>
                <w:rPr>
                  <w:rStyle w:val="a4"/>
                  <w:rFonts w:ascii="Times New Roman" w:eastAsia="DengXian" w:hAnsi="Times New Roman" w:cs="Times New Roman"/>
                  <w:kern w:val="0"/>
                  <w:sz w:val="22"/>
                  <w:szCs w:val="22"/>
                  <w:lang w:bidi="ar"/>
                </w:rPr>
                <w:t>https://journals.lww.com/ajg/fulltext/2021/12000/immunotherapy_as_a_downstaging_tool_for_liver.36.aspx</w:t>
              </w:r>
            </w:hyperlink>
          </w:p>
        </w:tc>
      </w:tr>
      <w:tr w:rsidR="00A81413" w14:paraId="4F9128B3" w14:textId="77777777">
        <w:trPr>
          <w:trHeight w:val="310"/>
          <w:jc w:val="center"/>
        </w:trPr>
        <w:tc>
          <w:tcPr>
            <w:tcW w:w="7617" w:type="dxa"/>
            <w:tcBorders>
              <w:top w:val="nil"/>
              <w:left w:val="nil"/>
              <w:bottom w:val="nil"/>
              <w:right w:val="nil"/>
            </w:tcBorders>
            <w:shd w:val="clear" w:color="auto" w:fill="auto"/>
            <w:noWrap/>
            <w:vAlign w:val="center"/>
          </w:tcPr>
          <w:p w14:paraId="44B93B37" w14:textId="1C549CB6"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Downstaging with atezolizumab-bevacizumab: a case series</w:t>
            </w:r>
          </w:p>
        </w:tc>
        <w:tc>
          <w:tcPr>
            <w:tcW w:w="2693" w:type="dxa"/>
            <w:tcBorders>
              <w:top w:val="nil"/>
              <w:left w:val="nil"/>
              <w:bottom w:val="nil"/>
              <w:right w:val="nil"/>
            </w:tcBorders>
            <w:vAlign w:val="center"/>
          </w:tcPr>
          <w:p w14:paraId="5E05742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3544" w:type="dxa"/>
            <w:tcBorders>
              <w:top w:val="nil"/>
              <w:left w:val="nil"/>
              <w:bottom w:val="nil"/>
              <w:right w:val="nil"/>
            </w:tcBorders>
            <w:vAlign w:val="center"/>
          </w:tcPr>
          <w:p w14:paraId="03D9023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8259" w:type="dxa"/>
            <w:tcBorders>
              <w:top w:val="nil"/>
              <w:left w:val="nil"/>
              <w:bottom w:val="nil"/>
              <w:right w:val="nil"/>
            </w:tcBorders>
            <w:vAlign w:val="center"/>
          </w:tcPr>
          <w:p w14:paraId="11218FAA"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0" w:history="1">
              <w:r>
                <w:rPr>
                  <w:rStyle w:val="a4"/>
                  <w:rFonts w:ascii="Times New Roman" w:eastAsia="DengXian" w:hAnsi="Times New Roman" w:cs="Times New Roman"/>
                  <w:kern w:val="0"/>
                  <w:sz w:val="22"/>
                  <w:szCs w:val="22"/>
                  <w:lang w:bidi="ar"/>
                </w:rPr>
                <w:t>https://e-jlc.org/journal/view.php?doi=10.17998/jlc.2024.05.12</w:t>
              </w:r>
            </w:hyperlink>
          </w:p>
        </w:tc>
      </w:tr>
      <w:tr w:rsidR="00A81413" w14:paraId="1B5523B0" w14:textId="77777777">
        <w:trPr>
          <w:trHeight w:val="310"/>
          <w:jc w:val="center"/>
        </w:trPr>
        <w:tc>
          <w:tcPr>
            <w:tcW w:w="7617" w:type="dxa"/>
            <w:tcBorders>
              <w:top w:val="nil"/>
              <w:left w:val="nil"/>
              <w:bottom w:val="nil"/>
              <w:right w:val="nil"/>
            </w:tcBorders>
            <w:shd w:val="clear" w:color="auto" w:fill="auto"/>
            <w:noWrap/>
            <w:vAlign w:val="center"/>
          </w:tcPr>
          <w:p w14:paraId="0ED340DC" w14:textId="04EE1F38"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Fatal orthotopic liver transplant organ rejection induced by a checkpoint inhibitor in two patients with refractory, metastatic hepatocellular carcinoma</w:t>
            </w:r>
          </w:p>
        </w:tc>
        <w:tc>
          <w:tcPr>
            <w:tcW w:w="2693" w:type="dxa"/>
            <w:tcBorders>
              <w:top w:val="nil"/>
              <w:left w:val="nil"/>
              <w:bottom w:val="nil"/>
              <w:right w:val="nil"/>
            </w:tcBorders>
            <w:vAlign w:val="center"/>
          </w:tcPr>
          <w:p w14:paraId="1FA254B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w:t>
            </w:r>
          </w:p>
        </w:tc>
        <w:tc>
          <w:tcPr>
            <w:tcW w:w="3544" w:type="dxa"/>
            <w:tcBorders>
              <w:top w:val="nil"/>
              <w:left w:val="nil"/>
              <w:bottom w:val="nil"/>
              <w:right w:val="nil"/>
            </w:tcBorders>
            <w:vAlign w:val="center"/>
          </w:tcPr>
          <w:p w14:paraId="2D1907A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w:t>
            </w:r>
          </w:p>
        </w:tc>
        <w:tc>
          <w:tcPr>
            <w:tcW w:w="8259" w:type="dxa"/>
            <w:tcBorders>
              <w:top w:val="nil"/>
              <w:left w:val="nil"/>
              <w:bottom w:val="nil"/>
              <w:right w:val="nil"/>
            </w:tcBorders>
            <w:vAlign w:val="center"/>
          </w:tcPr>
          <w:p w14:paraId="596BE5A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1" w:history="1">
              <w:r>
                <w:rPr>
                  <w:rStyle w:val="a4"/>
                  <w:rFonts w:ascii="Times New Roman" w:eastAsia="DengXian" w:hAnsi="Times New Roman" w:cs="Times New Roman"/>
                  <w:kern w:val="0"/>
                  <w:sz w:val="22"/>
                  <w:szCs w:val="22"/>
                  <w:lang w:bidi="ar"/>
                </w:rPr>
                <w:t>https://onlinelibrary.wiley.com/doi/10.1002/pbc.26682</w:t>
              </w:r>
            </w:hyperlink>
          </w:p>
        </w:tc>
      </w:tr>
      <w:tr w:rsidR="00A81413" w14:paraId="3E84BF8F" w14:textId="77777777">
        <w:trPr>
          <w:trHeight w:val="310"/>
          <w:jc w:val="center"/>
        </w:trPr>
        <w:tc>
          <w:tcPr>
            <w:tcW w:w="7617" w:type="dxa"/>
            <w:tcBorders>
              <w:top w:val="nil"/>
              <w:left w:val="nil"/>
              <w:bottom w:val="nil"/>
              <w:right w:val="nil"/>
            </w:tcBorders>
            <w:shd w:val="clear" w:color="auto" w:fill="auto"/>
            <w:noWrap/>
            <w:vAlign w:val="center"/>
          </w:tcPr>
          <w:p w14:paraId="2C46D461" w14:textId="3E304923"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Graft PD‐L1 expression as a marker for transplant rejection following anti‐PD1 immunotherapy for recurrent liver tumors</w:t>
            </w:r>
          </w:p>
        </w:tc>
        <w:tc>
          <w:tcPr>
            <w:tcW w:w="2693" w:type="dxa"/>
            <w:tcBorders>
              <w:top w:val="nil"/>
              <w:left w:val="nil"/>
              <w:bottom w:val="nil"/>
              <w:right w:val="nil"/>
            </w:tcBorders>
            <w:vAlign w:val="center"/>
          </w:tcPr>
          <w:p w14:paraId="30E627E4"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3544" w:type="dxa"/>
            <w:tcBorders>
              <w:top w:val="nil"/>
              <w:left w:val="nil"/>
              <w:bottom w:val="nil"/>
              <w:right w:val="nil"/>
            </w:tcBorders>
            <w:vAlign w:val="center"/>
          </w:tcPr>
          <w:p w14:paraId="4B60329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8259" w:type="dxa"/>
            <w:tcBorders>
              <w:top w:val="nil"/>
              <w:left w:val="nil"/>
              <w:bottom w:val="nil"/>
              <w:right w:val="nil"/>
            </w:tcBorders>
            <w:vAlign w:val="center"/>
          </w:tcPr>
          <w:p w14:paraId="344E64FB"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2" w:history="1">
              <w:r>
                <w:rPr>
                  <w:rStyle w:val="a4"/>
                  <w:rFonts w:ascii="Times New Roman" w:eastAsia="DengXian" w:hAnsi="Times New Roman" w:cs="Times New Roman"/>
                  <w:kern w:val="0"/>
                  <w:sz w:val="22"/>
                  <w:szCs w:val="22"/>
                  <w:lang w:bidi="ar"/>
                </w:rPr>
                <w:t>https://journals.lww.com/lt/citation/2021/03000/graft_programmed_death_ligand_1_expression_as_a.16.aspx</w:t>
              </w:r>
            </w:hyperlink>
          </w:p>
        </w:tc>
      </w:tr>
      <w:tr w:rsidR="00A81413" w14:paraId="72B7F3B1" w14:textId="77777777">
        <w:trPr>
          <w:trHeight w:val="310"/>
          <w:jc w:val="center"/>
        </w:trPr>
        <w:tc>
          <w:tcPr>
            <w:tcW w:w="7617" w:type="dxa"/>
            <w:tcBorders>
              <w:top w:val="nil"/>
              <w:left w:val="nil"/>
              <w:bottom w:val="nil"/>
              <w:right w:val="nil"/>
            </w:tcBorders>
            <w:shd w:val="clear" w:color="auto" w:fill="auto"/>
            <w:noWrap/>
            <w:vAlign w:val="center"/>
          </w:tcPr>
          <w:p w14:paraId="05B5AAA4" w14:textId="5D729A7B"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Immunotherapy before liver transplant in unresectable hepatocellular carcinoma: a case report</w:t>
            </w:r>
          </w:p>
        </w:tc>
        <w:tc>
          <w:tcPr>
            <w:tcW w:w="2693" w:type="dxa"/>
            <w:tcBorders>
              <w:top w:val="nil"/>
              <w:left w:val="nil"/>
              <w:bottom w:val="nil"/>
              <w:right w:val="nil"/>
            </w:tcBorders>
            <w:vAlign w:val="center"/>
          </w:tcPr>
          <w:p w14:paraId="5B2AC92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3544" w:type="dxa"/>
            <w:tcBorders>
              <w:top w:val="nil"/>
              <w:left w:val="nil"/>
              <w:bottom w:val="nil"/>
              <w:right w:val="nil"/>
            </w:tcBorders>
            <w:vAlign w:val="center"/>
          </w:tcPr>
          <w:p w14:paraId="61134E2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8259" w:type="dxa"/>
            <w:tcBorders>
              <w:top w:val="nil"/>
              <w:left w:val="nil"/>
              <w:bottom w:val="nil"/>
              <w:right w:val="nil"/>
            </w:tcBorders>
            <w:vAlign w:val="center"/>
          </w:tcPr>
          <w:p w14:paraId="25601951"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3" w:history="1">
              <w:r>
                <w:rPr>
                  <w:rStyle w:val="a4"/>
                  <w:rFonts w:ascii="Times New Roman" w:eastAsia="DengXian" w:hAnsi="Times New Roman" w:cs="Times New Roman"/>
                  <w:kern w:val="0"/>
                  <w:sz w:val="22"/>
                  <w:szCs w:val="22"/>
                  <w:lang w:bidi="ar"/>
                </w:rPr>
                <w:t>https://jgo.amegroups.org/article/view/81217/html</w:t>
              </w:r>
            </w:hyperlink>
          </w:p>
        </w:tc>
      </w:tr>
      <w:tr w:rsidR="00A81413" w14:paraId="7BC60229" w14:textId="77777777">
        <w:trPr>
          <w:trHeight w:val="310"/>
          <w:jc w:val="center"/>
        </w:trPr>
        <w:tc>
          <w:tcPr>
            <w:tcW w:w="7617" w:type="dxa"/>
            <w:tcBorders>
              <w:top w:val="nil"/>
              <w:left w:val="nil"/>
              <w:bottom w:val="nil"/>
              <w:right w:val="nil"/>
            </w:tcBorders>
            <w:shd w:val="clear" w:color="auto" w:fill="auto"/>
            <w:noWrap/>
            <w:vAlign w:val="center"/>
          </w:tcPr>
          <w:p w14:paraId="34A7DC7A" w14:textId="109D4790"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 xml:space="preserve">Liver transplantation for advanced hepatocellular carcinoma after downstaging with consequential </w:t>
            </w:r>
            <w:proofErr w:type="spellStart"/>
            <w:r>
              <w:rPr>
                <w:rFonts w:ascii="Times New Roman" w:eastAsia="DengXian" w:hAnsi="Times New Roman" w:cs="Times New Roman"/>
                <w:color w:val="000000"/>
                <w:kern w:val="0"/>
                <w:sz w:val="22"/>
                <w:szCs w:val="22"/>
                <w:lang w:bidi="ar"/>
              </w:rPr>
              <w:t>lenvatinib</w:t>
            </w:r>
            <w:proofErr w:type="spellEnd"/>
            <w:r>
              <w:rPr>
                <w:rFonts w:ascii="Times New Roman" w:eastAsia="DengXian" w:hAnsi="Times New Roman" w:cs="Times New Roman"/>
                <w:color w:val="000000"/>
                <w:kern w:val="0"/>
                <w:sz w:val="22"/>
                <w:szCs w:val="22"/>
                <w:lang w:bidi="ar"/>
              </w:rPr>
              <w:t xml:space="preserve">, transcatheter arterial chemoembolization and </w:t>
            </w:r>
            <w:proofErr w:type="spellStart"/>
            <w:r>
              <w:rPr>
                <w:rFonts w:ascii="Times New Roman" w:eastAsia="DengXian" w:hAnsi="Times New Roman" w:cs="Times New Roman"/>
                <w:color w:val="000000"/>
                <w:kern w:val="0"/>
                <w:sz w:val="22"/>
                <w:szCs w:val="22"/>
                <w:lang w:bidi="ar"/>
              </w:rPr>
              <w:t>camrelizumab</w:t>
            </w:r>
            <w:proofErr w:type="spellEnd"/>
          </w:p>
        </w:tc>
        <w:tc>
          <w:tcPr>
            <w:tcW w:w="2693" w:type="dxa"/>
            <w:tcBorders>
              <w:top w:val="nil"/>
              <w:left w:val="nil"/>
              <w:bottom w:val="nil"/>
              <w:right w:val="nil"/>
            </w:tcBorders>
            <w:vAlign w:val="center"/>
          </w:tcPr>
          <w:p w14:paraId="3D81B8F7"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3544" w:type="dxa"/>
            <w:tcBorders>
              <w:top w:val="nil"/>
              <w:left w:val="nil"/>
              <w:bottom w:val="nil"/>
              <w:right w:val="nil"/>
            </w:tcBorders>
            <w:vAlign w:val="center"/>
          </w:tcPr>
          <w:p w14:paraId="679C65D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8259" w:type="dxa"/>
            <w:tcBorders>
              <w:top w:val="nil"/>
              <w:left w:val="nil"/>
              <w:bottom w:val="nil"/>
              <w:right w:val="nil"/>
            </w:tcBorders>
            <w:vAlign w:val="center"/>
          </w:tcPr>
          <w:p w14:paraId="26C201A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4" w:history="1">
              <w:r>
                <w:rPr>
                  <w:rStyle w:val="a4"/>
                  <w:rFonts w:ascii="Times New Roman" w:eastAsia="DengXian" w:hAnsi="Times New Roman" w:cs="Times New Roman"/>
                  <w:kern w:val="0"/>
                  <w:sz w:val="22"/>
                  <w:szCs w:val="22"/>
                  <w:lang w:bidi="ar"/>
                </w:rPr>
                <w:t>https://academic.oup.com/bjs/article/111/3/znae048/7623266?login=false</w:t>
              </w:r>
            </w:hyperlink>
          </w:p>
        </w:tc>
      </w:tr>
      <w:tr w:rsidR="00A81413" w14:paraId="6847281B" w14:textId="77777777">
        <w:trPr>
          <w:trHeight w:val="310"/>
          <w:jc w:val="center"/>
        </w:trPr>
        <w:tc>
          <w:tcPr>
            <w:tcW w:w="7617" w:type="dxa"/>
            <w:tcBorders>
              <w:top w:val="nil"/>
              <w:left w:val="nil"/>
              <w:bottom w:val="nil"/>
              <w:right w:val="nil"/>
            </w:tcBorders>
            <w:shd w:val="clear" w:color="auto" w:fill="auto"/>
            <w:noWrap/>
            <w:vAlign w:val="center"/>
          </w:tcPr>
          <w:p w14:paraId="72C338B4" w14:textId="7CCF21D8"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Pilot evaluation of PD-1 inhibition in metastatic cancer patients with a history of liver transplantation: the Mayo Clinic experience</w:t>
            </w:r>
          </w:p>
        </w:tc>
        <w:tc>
          <w:tcPr>
            <w:tcW w:w="2693" w:type="dxa"/>
            <w:tcBorders>
              <w:top w:val="nil"/>
              <w:left w:val="nil"/>
              <w:bottom w:val="nil"/>
              <w:right w:val="nil"/>
            </w:tcBorders>
            <w:vAlign w:val="center"/>
          </w:tcPr>
          <w:p w14:paraId="544B35E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3544" w:type="dxa"/>
            <w:tcBorders>
              <w:top w:val="nil"/>
              <w:left w:val="nil"/>
              <w:bottom w:val="nil"/>
              <w:right w:val="nil"/>
            </w:tcBorders>
            <w:vAlign w:val="center"/>
          </w:tcPr>
          <w:p w14:paraId="41F2192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8259" w:type="dxa"/>
            <w:tcBorders>
              <w:top w:val="nil"/>
              <w:left w:val="nil"/>
              <w:bottom w:val="nil"/>
              <w:right w:val="nil"/>
            </w:tcBorders>
            <w:vAlign w:val="center"/>
          </w:tcPr>
          <w:p w14:paraId="46633DD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5" w:history="1">
              <w:r>
                <w:rPr>
                  <w:rStyle w:val="a4"/>
                  <w:rFonts w:ascii="Times New Roman" w:eastAsia="DengXian" w:hAnsi="Times New Roman" w:cs="Times New Roman"/>
                  <w:kern w:val="0"/>
                  <w:sz w:val="22"/>
                  <w:szCs w:val="22"/>
                  <w:lang w:bidi="ar"/>
                </w:rPr>
                <w:t>https://jgo.amegroups.org/article/view/23076/19134</w:t>
              </w:r>
            </w:hyperlink>
          </w:p>
        </w:tc>
      </w:tr>
      <w:tr w:rsidR="00A81413" w14:paraId="79AC4A94" w14:textId="77777777">
        <w:trPr>
          <w:trHeight w:val="310"/>
          <w:jc w:val="center"/>
        </w:trPr>
        <w:tc>
          <w:tcPr>
            <w:tcW w:w="7617" w:type="dxa"/>
            <w:tcBorders>
              <w:top w:val="nil"/>
              <w:left w:val="nil"/>
              <w:bottom w:val="nil"/>
              <w:right w:val="nil"/>
            </w:tcBorders>
            <w:shd w:val="clear" w:color="auto" w:fill="auto"/>
            <w:noWrap/>
            <w:vAlign w:val="center"/>
          </w:tcPr>
          <w:p w14:paraId="0CDA81F5" w14:textId="31526710"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Preliminary Evaluation of Atezolizumab Plus Bevacizumab as Salvage Treatment for Recurrent Hepatocellular Carcinoma After Liver Transplantation</w:t>
            </w:r>
          </w:p>
        </w:tc>
        <w:tc>
          <w:tcPr>
            <w:tcW w:w="2693" w:type="dxa"/>
            <w:tcBorders>
              <w:top w:val="nil"/>
              <w:left w:val="nil"/>
              <w:bottom w:val="nil"/>
              <w:right w:val="nil"/>
            </w:tcBorders>
            <w:vAlign w:val="center"/>
          </w:tcPr>
          <w:p w14:paraId="5717B12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w:t>
            </w:r>
          </w:p>
        </w:tc>
        <w:tc>
          <w:tcPr>
            <w:tcW w:w="3544" w:type="dxa"/>
            <w:tcBorders>
              <w:top w:val="nil"/>
              <w:left w:val="nil"/>
              <w:bottom w:val="nil"/>
              <w:right w:val="nil"/>
            </w:tcBorders>
            <w:vAlign w:val="center"/>
          </w:tcPr>
          <w:p w14:paraId="6990B008"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w:t>
            </w:r>
          </w:p>
        </w:tc>
        <w:tc>
          <w:tcPr>
            <w:tcW w:w="8259" w:type="dxa"/>
            <w:tcBorders>
              <w:top w:val="nil"/>
              <w:left w:val="nil"/>
              <w:bottom w:val="nil"/>
              <w:right w:val="nil"/>
            </w:tcBorders>
            <w:vAlign w:val="center"/>
          </w:tcPr>
          <w:p w14:paraId="35B847EE"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6" w:history="1">
              <w:r>
                <w:rPr>
                  <w:rStyle w:val="a4"/>
                  <w:rFonts w:ascii="Times New Roman" w:eastAsia="DengXian" w:hAnsi="Times New Roman" w:cs="Times New Roman"/>
                  <w:kern w:val="0"/>
                  <w:sz w:val="22"/>
                  <w:szCs w:val="22"/>
                  <w:lang w:bidi="ar"/>
                </w:rPr>
                <w:t>https://journals.lww.com/lt/citation/2022/05000/preliminary_evaluation_of_atezolizumab_plus.24.aspx</w:t>
              </w:r>
            </w:hyperlink>
          </w:p>
        </w:tc>
      </w:tr>
      <w:tr w:rsidR="00A81413" w14:paraId="7D311332" w14:textId="77777777">
        <w:trPr>
          <w:trHeight w:val="310"/>
          <w:jc w:val="center"/>
        </w:trPr>
        <w:tc>
          <w:tcPr>
            <w:tcW w:w="7617" w:type="dxa"/>
            <w:tcBorders>
              <w:top w:val="nil"/>
              <w:left w:val="nil"/>
              <w:bottom w:val="nil"/>
              <w:right w:val="nil"/>
            </w:tcBorders>
            <w:shd w:val="clear" w:color="auto" w:fill="auto"/>
            <w:noWrap/>
            <w:vAlign w:val="center"/>
          </w:tcPr>
          <w:p w14:paraId="61B5F6CA" w14:textId="41489393"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Standardized immunosuppressive protocol to prevent rejection under immunotherapy for post liver transplantation HCC recurrence: A French center's experience</w:t>
            </w:r>
          </w:p>
        </w:tc>
        <w:tc>
          <w:tcPr>
            <w:tcW w:w="2693" w:type="dxa"/>
            <w:tcBorders>
              <w:top w:val="nil"/>
              <w:left w:val="nil"/>
              <w:bottom w:val="nil"/>
              <w:right w:val="nil"/>
            </w:tcBorders>
            <w:vAlign w:val="center"/>
          </w:tcPr>
          <w:p w14:paraId="09FCBEC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7</w:t>
            </w:r>
          </w:p>
        </w:tc>
        <w:tc>
          <w:tcPr>
            <w:tcW w:w="3544" w:type="dxa"/>
            <w:tcBorders>
              <w:top w:val="nil"/>
              <w:left w:val="nil"/>
              <w:bottom w:val="nil"/>
              <w:right w:val="nil"/>
            </w:tcBorders>
            <w:vAlign w:val="center"/>
          </w:tcPr>
          <w:p w14:paraId="0DF70AA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7</w:t>
            </w:r>
          </w:p>
        </w:tc>
        <w:tc>
          <w:tcPr>
            <w:tcW w:w="8259" w:type="dxa"/>
            <w:tcBorders>
              <w:top w:val="nil"/>
              <w:left w:val="nil"/>
              <w:bottom w:val="nil"/>
              <w:right w:val="nil"/>
            </w:tcBorders>
            <w:vAlign w:val="center"/>
          </w:tcPr>
          <w:p w14:paraId="1CC99A4C"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7" w:history="1">
              <w:r>
                <w:rPr>
                  <w:rStyle w:val="a4"/>
                  <w:rFonts w:ascii="Times New Roman" w:eastAsia="DengXian" w:hAnsi="Times New Roman" w:cs="Times New Roman"/>
                  <w:kern w:val="0"/>
                  <w:sz w:val="22"/>
                  <w:szCs w:val="22"/>
                  <w:lang w:bidi="ar"/>
                </w:rPr>
                <w:t>https://www.sciencedirect.com/science/article/pii/S2666967624000539</w:t>
              </w:r>
            </w:hyperlink>
          </w:p>
        </w:tc>
      </w:tr>
      <w:tr w:rsidR="00A81413" w14:paraId="599EC446" w14:textId="77777777">
        <w:trPr>
          <w:trHeight w:val="310"/>
          <w:jc w:val="center"/>
        </w:trPr>
        <w:tc>
          <w:tcPr>
            <w:tcW w:w="7617" w:type="dxa"/>
            <w:tcBorders>
              <w:top w:val="nil"/>
              <w:left w:val="nil"/>
              <w:bottom w:val="nil"/>
              <w:right w:val="nil"/>
            </w:tcBorders>
            <w:shd w:val="clear" w:color="auto" w:fill="auto"/>
            <w:noWrap/>
            <w:vAlign w:val="center"/>
          </w:tcPr>
          <w:p w14:paraId="5EBA7134" w14:textId="1852422D"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Successful advanced hepatocellular carcinoma downstaging with atezolizumab-Bevacizumab and radioembolization before liver transplantation</w:t>
            </w:r>
          </w:p>
        </w:tc>
        <w:tc>
          <w:tcPr>
            <w:tcW w:w="2693" w:type="dxa"/>
            <w:tcBorders>
              <w:top w:val="nil"/>
              <w:left w:val="nil"/>
              <w:bottom w:val="nil"/>
              <w:right w:val="nil"/>
            </w:tcBorders>
            <w:vAlign w:val="center"/>
          </w:tcPr>
          <w:p w14:paraId="6D47F50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3907926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8259" w:type="dxa"/>
            <w:tcBorders>
              <w:top w:val="nil"/>
              <w:left w:val="nil"/>
              <w:bottom w:val="nil"/>
              <w:right w:val="nil"/>
            </w:tcBorders>
            <w:vAlign w:val="center"/>
          </w:tcPr>
          <w:p w14:paraId="3195C477"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8" w:history="1">
              <w:r>
                <w:rPr>
                  <w:rStyle w:val="a4"/>
                  <w:rFonts w:ascii="Times New Roman" w:eastAsia="DengXian" w:hAnsi="Times New Roman" w:cs="Times New Roman"/>
                  <w:kern w:val="0"/>
                  <w:sz w:val="22"/>
                  <w:szCs w:val="22"/>
                  <w:lang w:bidi="ar"/>
                </w:rPr>
                <w:t>https://www.sciencedirect.com/science/article/abs/pii/S221074012300092X?via%3Dihub</w:t>
              </w:r>
            </w:hyperlink>
          </w:p>
        </w:tc>
      </w:tr>
      <w:tr w:rsidR="00A81413" w14:paraId="6BFEF79D" w14:textId="77777777">
        <w:trPr>
          <w:trHeight w:val="310"/>
          <w:jc w:val="center"/>
        </w:trPr>
        <w:tc>
          <w:tcPr>
            <w:tcW w:w="7617" w:type="dxa"/>
            <w:tcBorders>
              <w:top w:val="nil"/>
              <w:left w:val="nil"/>
              <w:bottom w:val="nil"/>
              <w:right w:val="nil"/>
            </w:tcBorders>
            <w:shd w:val="clear" w:color="auto" w:fill="auto"/>
            <w:noWrap/>
            <w:vAlign w:val="center"/>
          </w:tcPr>
          <w:p w14:paraId="3ADC905D" w14:textId="26C16EAC"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Utilization of Immunotherapy as a Neoadjuvant Therapy for Liver Transplant Recipients with Hepatocellular Carcinoma</w:t>
            </w:r>
          </w:p>
        </w:tc>
        <w:tc>
          <w:tcPr>
            <w:tcW w:w="2693" w:type="dxa"/>
            <w:tcBorders>
              <w:top w:val="nil"/>
              <w:left w:val="nil"/>
              <w:bottom w:val="nil"/>
              <w:right w:val="nil"/>
            </w:tcBorders>
            <w:vAlign w:val="center"/>
          </w:tcPr>
          <w:p w14:paraId="599B258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6</w:t>
            </w:r>
          </w:p>
        </w:tc>
        <w:tc>
          <w:tcPr>
            <w:tcW w:w="3544" w:type="dxa"/>
            <w:tcBorders>
              <w:top w:val="nil"/>
              <w:left w:val="nil"/>
              <w:bottom w:val="nil"/>
              <w:right w:val="nil"/>
            </w:tcBorders>
            <w:vAlign w:val="center"/>
          </w:tcPr>
          <w:p w14:paraId="7D77235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6</w:t>
            </w:r>
          </w:p>
        </w:tc>
        <w:tc>
          <w:tcPr>
            <w:tcW w:w="8259" w:type="dxa"/>
            <w:tcBorders>
              <w:top w:val="nil"/>
              <w:left w:val="nil"/>
              <w:bottom w:val="nil"/>
              <w:right w:val="nil"/>
            </w:tcBorders>
            <w:vAlign w:val="center"/>
          </w:tcPr>
          <w:p w14:paraId="3A9B1EF2"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69" w:history="1">
              <w:r>
                <w:rPr>
                  <w:rStyle w:val="a4"/>
                  <w:rFonts w:ascii="Times New Roman" w:eastAsia="DengXian" w:hAnsi="Times New Roman" w:cs="Times New Roman"/>
                  <w:kern w:val="0"/>
                  <w:sz w:val="22"/>
                  <w:szCs w:val="22"/>
                  <w:lang w:bidi="ar"/>
                </w:rPr>
                <w:t>https://www.mdpi.com/2077-0383/13/11/3068</w:t>
              </w:r>
            </w:hyperlink>
          </w:p>
        </w:tc>
      </w:tr>
      <w:tr w:rsidR="00A81413" w14:paraId="46EA9D12" w14:textId="77777777">
        <w:trPr>
          <w:trHeight w:val="310"/>
          <w:jc w:val="center"/>
        </w:trPr>
        <w:tc>
          <w:tcPr>
            <w:tcW w:w="7617" w:type="dxa"/>
            <w:tcBorders>
              <w:top w:val="nil"/>
              <w:left w:val="nil"/>
              <w:bottom w:val="nil"/>
              <w:right w:val="nil"/>
            </w:tcBorders>
            <w:shd w:val="clear" w:color="auto" w:fill="auto"/>
            <w:noWrap/>
            <w:vAlign w:val="center"/>
          </w:tcPr>
          <w:p w14:paraId="24E0BC7D" w14:textId="65BF8A68"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Immune checkpoint inhibitors in liver transplant: a case series</w:t>
            </w:r>
          </w:p>
        </w:tc>
        <w:tc>
          <w:tcPr>
            <w:tcW w:w="2693" w:type="dxa"/>
            <w:tcBorders>
              <w:top w:val="nil"/>
              <w:left w:val="nil"/>
              <w:bottom w:val="nil"/>
              <w:right w:val="nil"/>
            </w:tcBorders>
            <w:vAlign w:val="center"/>
          </w:tcPr>
          <w:p w14:paraId="3434199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3544" w:type="dxa"/>
            <w:tcBorders>
              <w:top w:val="nil"/>
              <w:left w:val="nil"/>
              <w:bottom w:val="nil"/>
              <w:right w:val="nil"/>
            </w:tcBorders>
            <w:vAlign w:val="center"/>
          </w:tcPr>
          <w:p w14:paraId="1089113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8259" w:type="dxa"/>
            <w:tcBorders>
              <w:top w:val="nil"/>
              <w:left w:val="nil"/>
              <w:bottom w:val="nil"/>
              <w:right w:val="nil"/>
            </w:tcBorders>
            <w:vAlign w:val="center"/>
          </w:tcPr>
          <w:p w14:paraId="5CABD3D6"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0" w:history="1">
              <w:r>
                <w:rPr>
                  <w:rStyle w:val="a4"/>
                  <w:rFonts w:ascii="Times New Roman" w:eastAsia="DengXian" w:hAnsi="Times New Roman" w:cs="Times New Roman"/>
                  <w:kern w:val="0"/>
                  <w:sz w:val="22"/>
                  <w:szCs w:val="22"/>
                  <w:lang w:bidi="ar"/>
                </w:rPr>
                <w:t>https://jgo.amegroups.org/article/view/73986/html</w:t>
              </w:r>
            </w:hyperlink>
          </w:p>
        </w:tc>
      </w:tr>
      <w:tr w:rsidR="00A81413" w14:paraId="15D15CE7" w14:textId="77777777">
        <w:trPr>
          <w:trHeight w:val="310"/>
          <w:jc w:val="center"/>
        </w:trPr>
        <w:tc>
          <w:tcPr>
            <w:tcW w:w="7617" w:type="dxa"/>
            <w:tcBorders>
              <w:top w:val="nil"/>
              <w:left w:val="nil"/>
              <w:bottom w:val="nil"/>
              <w:right w:val="nil"/>
            </w:tcBorders>
            <w:shd w:val="clear" w:color="auto" w:fill="auto"/>
            <w:noWrap/>
            <w:vAlign w:val="center"/>
          </w:tcPr>
          <w:p w14:paraId="31989DB2" w14:textId="002DB464"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Feasibility, safety, and outcome of second-line nivolumab/bevacizumab in liver transplant patients with recurrent hepatocellular carcinoma</w:t>
            </w:r>
          </w:p>
        </w:tc>
        <w:tc>
          <w:tcPr>
            <w:tcW w:w="2693" w:type="dxa"/>
            <w:tcBorders>
              <w:top w:val="nil"/>
              <w:left w:val="nil"/>
              <w:bottom w:val="nil"/>
              <w:right w:val="nil"/>
            </w:tcBorders>
            <w:vAlign w:val="center"/>
          </w:tcPr>
          <w:p w14:paraId="33ABB72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11E3B0E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5</w:t>
            </w:r>
          </w:p>
        </w:tc>
        <w:tc>
          <w:tcPr>
            <w:tcW w:w="8259" w:type="dxa"/>
            <w:tcBorders>
              <w:top w:val="nil"/>
              <w:left w:val="nil"/>
              <w:bottom w:val="nil"/>
              <w:right w:val="nil"/>
            </w:tcBorders>
            <w:vAlign w:val="center"/>
          </w:tcPr>
          <w:p w14:paraId="46E68D8E"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1" w:history="1">
              <w:r>
                <w:rPr>
                  <w:rStyle w:val="a4"/>
                  <w:rFonts w:ascii="Times New Roman" w:eastAsia="DengXian" w:hAnsi="Times New Roman" w:cs="Times New Roman"/>
                  <w:kern w:val="0"/>
                  <w:sz w:val="22"/>
                  <w:szCs w:val="22"/>
                  <w:lang w:bidi="ar"/>
                </w:rPr>
                <w:t>https://journals.lww.com/lt/fulltext/2023/05000/feasibility,_safety,_and_outcome_of_second_line.13.aspx</w:t>
              </w:r>
            </w:hyperlink>
          </w:p>
        </w:tc>
      </w:tr>
      <w:tr w:rsidR="00A81413" w14:paraId="62967E6B" w14:textId="77777777">
        <w:trPr>
          <w:trHeight w:val="310"/>
          <w:jc w:val="center"/>
        </w:trPr>
        <w:tc>
          <w:tcPr>
            <w:tcW w:w="7617" w:type="dxa"/>
            <w:tcBorders>
              <w:top w:val="nil"/>
              <w:left w:val="nil"/>
              <w:bottom w:val="nil"/>
              <w:right w:val="nil"/>
            </w:tcBorders>
            <w:shd w:val="clear" w:color="auto" w:fill="auto"/>
            <w:noWrap/>
            <w:vAlign w:val="center"/>
          </w:tcPr>
          <w:p w14:paraId="1BE5B501" w14:textId="746E166C"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 xml:space="preserve">Liver transplantation following hepatocellular carcinoma downstaging with atezolizumab/bevacizumab: preliminary results of the prospective </w:t>
            </w:r>
            <w:proofErr w:type="spellStart"/>
            <w:r>
              <w:rPr>
                <w:rFonts w:ascii="Times New Roman" w:eastAsia="DengXian" w:hAnsi="Times New Roman" w:cs="Times New Roman"/>
                <w:color w:val="000000"/>
                <w:kern w:val="0"/>
                <w:sz w:val="22"/>
                <w:szCs w:val="22"/>
                <w:lang w:bidi="ar"/>
              </w:rPr>
              <w:t>ImmunoXXL</w:t>
            </w:r>
            <w:proofErr w:type="spellEnd"/>
            <w:r>
              <w:rPr>
                <w:rFonts w:ascii="Times New Roman" w:eastAsia="DengXian" w:hAnsi="Times New Roman" w:cs="Times New Roman"/>
                <w:color w:val="000000"/>
                <w:kern w:val="0"/>
                <w:sz w:val="22"/>
                <w:szCs w:val="22"/>
                <w:lang w:bidi="ar"/>
              </w:rPr>
              <w:t xml:space="preserve"> study</w:t>
            </w:r>
          </w:p>
        </w:tc>
        <w:tc>
          <w:tcPr>
            <w:tcW w:w="2693" w:type="dxa"/>
            <w:tcBorders>
              <w:top w:val="nil"/>
              <w:left w:val="nil"/>
              <w:bottom w:val="nil"/>
              <w:right w:val="nil"/>
            </w:tcBorders>
            <w:vAlign w:val="center"/>
          </w:tcPr>
          <w:p w14:paraId="6E8ED6F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0</w:t>
            </w:r>
          </w:p>
        </w:tc>
        <w:tc>
          <w:tcPr>
            <w:tcW w:w="3544" w:type="dxa"/>
            <w:tcBorders>
              <w:top w:val="nil"/>
              <w:left w:val="nil"/>
              <w:bottom w:val="nil"/>
              <w:right w:val="nil"/>
            </w:tcBorders>
            <w:vAlign w:val="center"/>
          </w:tcPr>
          <w:p w14:paraId="25307232"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7</w:t>
            </w:r>
          </w:p>
        </w:tc>
        <w:tc>
          <w:tcPr>
            <w:tcW w:w="8259" w:type="dxa"/>
            <w:tcBorders>
              <w:top w:val="nil"/>
              <w:left w:val="nil"/>
              <w:bottom w:val="nil"/>
              <w:right w:val="nil"/>
            </w:tcBorders>
            <w:vAlign w:val="center"/>
          </w:tcPr>
          <w:p w14:paraId="565DABD9"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2" w:history="1">
              <w:r>
                <w:rPr>
                  <w:rStyle w:val="a4"/>
                  <w:rFonts w:ascii="Times New Roman" w:eastAsia="DengXian" w:hAnsi="Times New Roman" w:cs="Times New Roman"/>
                  <w:kern w:val="0"/>
                  <w:sz w:val="22"/>
                  <w:szCs w:val="22"/>
                  <w:lang w:bidi="ar"/>
                </w:rPr>
                <w:t>https://www.journal-of-hepatology.eu/article/S0168-8278(24)00555-5/abstract</w:t>
              </w:r>
            </w:hyperlink>
          </w:p>
        </w:tc>
      </w:tr>
      <w:tr w:rsidR="00A81413" w14:paraId="1B0B31FD" w14:textId="77777777">
        <w:trPr>
          <w:trHeight w:val="310"/>
          <w:jc w:val="center"/>
        </w:trPr>
        <w:tc>
          <w:tcPr>
            <w:tcW w:w="7617" w:type="dxa"/>
            <w:tcBorders>
              <w:top w:val="nil"/>
              <w:left w:val="nil"/>
              <w:bottom w:val="nil"/>
              <w:right w:val="nil"/>
            </w:tcBorders>
            <w:shd w:val="clear" w:color="auto" w:fill="auto"/>
            <w:noWrap/>
            <w:vAlign w:val="center"/>
          </w:tcPr>
          <w:p w14:paraId="427CBFDD" w14:textId="05C7D168"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NEOADJUVANT IMMUNOTHERAPY IN PATIENTS UNDERGOING LIVER TRANSPLANTATION FOR PRIMARY LIVER CANCER AT A SINGLE CENTER</w:t>
            </w:r>
          </w:p>
        </w:tc>
        <w:tc>
          <w:tcPr>
            <w:tcW w:w="2693" w:type="dxa"/>
            <w:tcBorders>
              <w:top w:val="nil"/>
              <w:left w:val="nil"/>
              <w:bottom w:val="nil"/>
              <w:right w:val="nil"/>
            </w:tcBorders>
            <w:vAlign w:val="center"/>
          </w:tcPr>
          <w:p w14:paraId="28B9FCDC"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0</w:t>
            </w:r>
          </w:p>
        </w:tc>
        <w:tc>
          <w:tcPr>
            <w:tcW w:w="3544" w:type="dxa"/>
            <w:tcBorders>
              <w:top w:val="nil"/>
              <w:left w:val="nil"/>
              <w:bottom w:val="nil"/>
              <w:right w:val="nil"/>
            </w:tcBorders>
            <w:vAlign w:val="center"/>
          </w:tcPr>
          <w:p w14:paraId="7AA63E30"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10</w:t>
            </w:r>
          </w:p>
        </w:tc>
        <w:tc>
          <w:tcPr>
            <w:tcW w:w="8259" w:type="dxa"/>
            <w:tcBorders>
              <w:top w:val="nil"/>
              <w:left w:val="nil"/>
              <w:bottom w:val="nil"/>
              <w:right w:val="nil"/>
            </w:tcBorders>
            <w:vAlign w:val="center"/>
          </w:tcPr>
          <w:p w14:paraId="46D957D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3" w:history="1">
              <w:r>
                <w:rPr>
                  <w:rStyle w:val="a4"/>
                  <w:rFonts w:ascii="Times New Roman" w:eastAsia="DengXian" w:hAnsi="Times New Roman" w:cs="Times New Roman"/>
                  <w:kern w:val="0"/>
                  <w:sz w:val="22"/>
                  <w:szCs w:val="22"/>
                  <w:lang w:bidi="ar"/>
                </w:rPr>
                <w:t>https://www.amjtransplant.org/article/S1600-6135(24)00994-8/fulltext</w:t>
              </w:r>
            </w:hyperlink>
          </w:p>
        </w:tc>
      </w:tr>
      <w:tr w:rsidR="00A81413" w14:paraId="3BCC8F96" w14:textId="77777777">
        <w:trPr>
          <w:trHeight w:val="310"/>
          <w:jc w:val="center"/>
        </w:trPr>
        <w:tc>
          <w:tcPr>
            <w:tcW w:w="7617" w:type="dxa"/>
            <w:tcBorders>
              <w:top w:val="nil"/>
              <w:left w:val="nil"/>
              <w:bottom w:val="nil"/>
              <w:right w:val="nil"/>
            </w:tcBorders>
            <w:shd w:val="clear" w:color="auto" w:fill="auto"/>
            <w:noWrap/>
            <w:vAlign w:val="center"/>
          </w:tcPr>
          <w:p w14:paraId="178985D0" w14:textId="5DB94936"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Redefining down staging to liver transplantation with neo-adjuvant immunotherapy with Atezolizumab and Bevacizumab in patients with advanced hepatocellular carcinoma and portal vein tumoral thrombosis</w:t>
            </w:r>
          </w:p>
        </w:tc>
        <w:tc>
          <w:tcPr>
            <w:tcW w:w="2693" w:type="dxa"/>
            <w:tcBorders>
              <w:top w:val="nil"/>
              <w:left w:val="nil"/>
              <w:bottom w:val="nil"/>
              <w:right w:val="nil"/>
            </w:tcBorders>
            <w:vAlign w:val="center"/>
          </w:tcPr>
          <w:p w14:paraId="104D488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0</w:t>
            </w:r>
          </w:p>
        </w:tc>
        <w:tc>
          <w:tcPr>
            <w:tcW w:w="3544" w:type="dxa"/>
            <w:tcBorders>
              <w:top w:val="nil"/>
              <w:left w:val="nil"/>
              <w:bottom w:val="nil"/>
              <w:right w:val="nil"/>
            </w:tcBorders>
            <w:vAlign w:val="center"/>
          </w:tcPr>
          <w:p w14:paraId="3B8C5AA3"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w:t>
            </w:r>
          </w:p>
        </w:tc>
        <w:tc>
          <w:tcPr>
            <w:tcW w:w="8259" w:type="dxa"/>
            <w:tcBorders>
              <w:top w:val="nil"/>
              <w:left w:val="nil"/>
              <w:bottom w:val="nil"/>
              <w:right w:val="nil"/>
            </w:tcBorders>
            <w:vAlign w:val="center"/>
          </w:tcPr>
          <w:p w14:paraId="11DF3A4E"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4" w:history="1">
              <w:r>
                <w:rPr>
                  <w:rStyle w:val="a4"/>
                  <w:rFonts w:ascii="Times New Roman" w:eastAsia="DengXian" w:hAnsi="Times New Roman" w:cs="Times New Roman"/>
                  <w:kern w:val="0"/>
                  <w:sz w:val="22"/>
                  <w:szCs w:val="22"/>
                  <w:lang w:bidi="ar"/>
                </w:rPr>
                <w:t>https://www.jcehepatology.com/article/S0973-6883(24)00851-X/abstract</w:t>
              </w:r>
            </w:hyperlink>
          </w:p>
        </w:tc>
      </w:tr>
      <w:tr w:rsidR="00A81413" w14:paraId="0631CE6B" w14:textId="77777777">
        <w:trPr>
          <w:trHeight w:val="310"/>
          <w:jc w:val="center"/>
        </w:trPr>
        <w:tc>
          <w:tcPr>
            <w:tcW w:w="7617" w:type="dxa"/>
            <w:tcBorders>
              <w:top w:val="nil"/>
              <w:left w:val="nil"/>
              <w:bottom w:val="nil"/>
              <w:right w:val="nil"/>
            </w:tcBorders>
            <w:shd w:val="clear" w:color="auto" w:fill="auto"/>
            <w:noWrap/>
            <w:vAlign w:val="center"/>
          </w:tcPr>
          <w:p w14:paraId="31AD51BF" w14:textId="283A92EE"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Sequential regorafenib or nivolumab therapy in recurrent hepatocellular carcinoma with sorafenib failure in liver transplant patients does not improve prognosis</w:t>
            </w:r>
          </w:p>
        </w:tc>
        <w:tc>
          <w:tcPr>
            <w:tcW w:w="2693" w:type="dxa"/>
            <w:tcBorders>
              <w:top w:val="nil"/>
              <w:left w:val="nil"/>
              <w:bottom w:val="nil"/>
              <w:right w:val="nil"/>
            </w:tcBorders>
            <w:vAlign w:val="center"/>
          </w:tcPr>
          <w:p w14:paraId="7DAE0C4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0</w:t>
            </w:r>
          </w:p>
        </w:tc>
        <w:tc>
          <w:tcPr>
            <w:tcW w:w="3544" w:type="dxa"/>
            <w:tcBorders>
              <w:top w:val="nil"/>
              <w:left w:val="nil"/>
              <w:bottom w:val="nil"/>
              <w:right w:val="nil"/>
            </w:tcBorders>
            <w:vAlign w:val="center"/>
          </w:tcPr>
          <w:p w14:paraId="0295249F"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10</w:t>
            </w:r>
          </w:p>
        </w:tc>
        <w:tc>
          <w:tcPr>
            <w:tcW w:w="8259" w:type="dxa"/>
            <w:tcBorders>
              <w:top w:val="nil"/>
              <w:left w:val="nil"/>
              <w:bottom w:val="nil"/>
              <w:right w:val="nil"/>
            </w:tcBorders>
            <w:vAlign w:val="center"/>
          </w:tcPr>
          <w:p w14:paraId="6125E79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5" w:history="1">
              <w:r>
                <w:rPr>
                  <w:rStyle w:val="a4"/>
                  <w:rFonts w:ascii="Times New Roman" w:eastAsia="DengXian" w:hAnsi="Times New Roman" w:cs="Times New Roman"/>
                  <w:kern w:val="0"/>
                  <w:sz w:val="22"/>
                  <w:szCs w:val="22"/>
                  <w:lang w:bidi="ar"/>
                </w:rPr>
                <w:t>https://synapse.koreamed.org/articles/1516089507</w:t>
              </w:r>
            </w:hyperlink>
          </w:p>
        </w:tc>
      </w:tr>
      <w:tr w:rsidR="00A81413" w14:paraId="0A6C4323" w14:textId="77777777">
        <w:trPr>
          <w:trHeight w:val="310"/>
          <w:jc w:val="center"/>
        </w:trPr>
        <w:tc>
          <w:tcPr>
            <w:tcW w:w="7617" w:type="dxa"/>
            <w:tcBorders>
              <w:top w:val="nil"/>
              <w:left w:val="nil"/>
              <w:bottom w:val="nil"/>
              <w:right w:val="nil"/>
            </w:tcBorders>
            <w:shd w:val="clear" w:color="auto" w:fill="auto"/>
            <w:noWrap/>
            <w:vAlign w:val="center"/>
          </w:tcPr>
          <w:p w14:paraId="5E76E433" w14:textId="6A238708"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Optimizing the safe washout period for liver transplantation following immune checkpoint inhibitors with atezolizumab, nivolumab, or pembrolizumab</w:t>
            </w:r>
          </w:p>
        </w:tc>
        <w:tc>
          <w:tcPr>
            <w:tcW w:w="2693" w:type="dxa"/>
            <w:tcBorders>
              <w:top w:val="nil"/>
              <w:left w:val="nil"/>
              <w:bottom w:val="nil"/>
              <w:right w:val="nil"/>
            </w:tcBorders>
            <w:vAlign w:val="center"/>
          </w:tcPr>
          <w:p w14:paraId="0FF2AB4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w:t>
            </w:r>
          </w:p>
        </w:tc>
        <w:tc>
          <w:tcPr>
            <w:tcW w:w="3544" w:type="dxa"/>
            <w:tcBorders>
              <w:top w:val="nil"/>
              <w:left w:val="nil"/>
              <w:bottom w:val="nil"/>
              <w:right w:val="nil"/>
            </w:tcBorders>
            <w:vAlign w:val="center"/>
          </w:tcPr>
          <w:p w14:paraId="5FCABF16"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4</w:t>
            </w:r>
          </w:p>
        </w:tc>
        <w:tc>
          <w:tcPr>
            <w:tcW w:w="8259" w:type="dxa"/>
            <w:tcBorders>
              <w:top w:val="nil"/>
              <w:left w:val="nil"/>
              <w:bottom w:val="nil"/>
              <w:right w:val="nil"/>
            </w:tcBorders>
            <w:vAlign w:val="center"/>
          </w:tcPr>
          <w:p w14:paraId="121D55AB"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6" w:history="1">
              <w:r>
                <w:rPr>
                  <w:rStyle w:val="a4"/>
                  <w:rFonts w:ascii="Times New Roman" w:eastAsia="DengXian" w:hAnsi="Times New Roman" w:cs="Times New Roman"/>
                  <w:kern w:val="0"/>
                  <w:sz w:val="22"/>
                  <w:szCs w:val="22"/>
                  <w:lang w:bidi="ar"/>
                </w:rPr>
                <w:t>https://www.sciencedirect.com/science/article/abs/pii/S0041134523002324?via%3Dihub</w:t>
              </w:r>
            </w:hyperlink>
          </w:p>
        </w:tc>
      </w:tr>
      <w:tr w:rsidR="00A81413" w14:paraId="0C0DD951" w14:textId="77777777">
        <w:trPr>
          <w:trHeight w:val="310"/>
          <w:jc w:val="center"/>
        </w:trPr>
        <w:tc>
          <w:tcPr>
            <w:tcW w:w="7617" w:type="dxa"/>
            <w:tcBorders>
              <w:top w:val="nil"/>
              <w:left w:val="nil"/>
              <w:bottom w:val="nil"/>
              <w:right w:val="nil"/>
            </w:tcBorders>
            <w:shd w:val="clear" w:color="auto" w:fill="auto"/>
            <w:noWrap/>
            <w:vAlign w:val="center"/>
          </w:tcPr>
          <w:p w14:paraId="32321EDB" w14:textId="70001E30"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Intention-to-treat outcomes of patients with hepatocellular carcinoma receiving immunotherapy before liver transplant: The multicenter VITALITY study</w:t>
            </w:r>
          </w:p>
        </w:tc>
        <w:tc>
          <w:tcPr>
            <w:tcW w:w="2693" w:type="dxa"/>
            <w:vMerge w:val="restart"/>
            <w:tcBorders>
              <w:top w:val="nil"/>
              <w:left w:val="nil"/>
              <w:right w:val="nil"/>
            </w:tcBorders>
            <w:vAlign w:val="center"/>
          </w:tcPr>
          <w:p w14:paraId="27DF194E"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14</w:t>
            </w:r>
          </w:p>
        </w:tc>
        <w:tc>
          <w:tcPr>
            <w:tcW w:w="3544" w:type="dxa"/>
            <w:vMerge w:val="restart"/>
            <w:tcBorders>
              <w:top w:val="nil"/>
              <w:left w:val="nil"/>
              <w:right w:val="nil"/>
            </w:tcBorders>
            <w:vAlign w:val="center"/>
          </w:tcPr>
          <w:p w14:paraId="3DFFCAE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43</w:t>
            </w:r>
          </w:p>
        </w:tc>
        <w:tc>
          <w:tcPr>
            <w:tcW w:w="8259" w:type="dxa"/>
            <w:tcBorders>
              <w:top w:val="nil"/>
              <w:left w:val="nil"/>
              <w:bottom w:val="nil"/>
              <w:right w:val="nil"/>
            </w:tcBorders>
            <w:vAlign w:val="center"/>
          </w:tcPr>
          <w:p w14:paraId="47D68735"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7" w:history="1">
              <w:r>
                <w:rPr>
                  <w:rStyle w:val="a4"/>
                  <w:rFonts w:ascii="Times New Roman" w:eastAsia="DengXian" w:hAnsi="Times New Roman" w:cs="Times New Roman"/>
                  <w:kern w:val="0"/>
                  <w:sz w:val="22"/>
                  <w:szCs w:val="22"/>
                  <w:lang w:bidi="ar"/>
                </w:rPr>
                <w:t>https://www.journal-of-hepatology.eu/article/S0168-8278(24)02541-8/fulltext</w:t>
              </w:r>
            </w:hyperlink>
          </w:p>
        </w:tc>
      </w:tr>
      <w:tr w:rsidR="00A81413" w14:paraId="3E5389FF" w14:textId="77777777">
        <w:trPr>
          <w:trHeight w:val="310"/>
          <w:jc w:val="center"/>
        </w:trPr>
        <w:tc>
          <w:tcPr>
            <w:tcW w:w="7617" w:type="dxa"/>
            <w:tcBorders>
              <w:top w:val="nil"/>
              <w:left w:val="nil"/>
              <w:bottom w:val="nil"/>
              <w:right w:val="nil"/>
            </w:tcBorders>
            <w:shd w:val="clear" w:color="auto" w:fill="auto"/>
            <w:noWrap/>
            <w:vAlign w:val="center"/>
          </w:tcPr>
          <w:p w14:paraId="2E6732EC" w14:textId="5597C76F"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PD-1 inhibitor as bridge therapy to liver transplantation?</w:t>
            </w:r>
            <w:r w:rsidR="00230314">
              <w:rPr>
                <w:rFonts w:ascii="Times New Roman" w:eastAsia="DengXian" w:hAnsi="Times New Roman" w:cs="Times New Roman"/>
                <w:color w:val="000000"/>
                <w:kern w:val="0"/>
                <w:sz w:val="22"/>
                <w:szCs w:val="22"/>
                <w:lang w:bidi="ar"/>
              </w:rPr>
              <w:t xml:space="preserve"> </w:t>
            </w:r>
          </w:p>
        </w:tc>
        <w:tc>
          <w:tcPr>
            <w:tcW w:w="2693" w:type="dxa"/>
            <w:vMerge/>
            <w:tcBorders>
              <w:left w:val="nil"/>
              <w:right w:val="nil"/>
            </w:tcBorders>
            <w:vAlign w:val="center"/>
          </w:tcPr>
          <w:p w14:paraId="48194F4A" w14:textId="77777777" w:rsidR="00A81413" w:rsidRDefault="00A81413">
            <w:pPr>
              <w:widowControl/>
              <w:jc w:val="center"/>
              <w:textAlignment w:val="center"/>
              <w:rPr>
                <w:rFonts w:ascii="Times New Roman" w:hAnsi="Times New Roman" w:cs="Times New Roman"/>
              </w:rPr>
            </w:pPr>
          </w:p>
        </w:tc>
        <w:tc>
          <w:tcPr>
            <w:tcW w:w="3544" w:type="dxa"/>
            <w:vMerge/>
            <w:tcBorders>
              <w:left w:val="nil"/>
              <w:right w:val="nil"/>
            </w:tcBorders>
            <w:vAlign w:val="center"/>
          </w:tcPr>
          <w:p w14:paraId="0E03B5A2"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nil"/>
              <w:right w:val="nil"/>
            </w:tcBorders>
            <w:vAlign w:val="center"/>
          </w:tcPr>
          <w:p w14:paraId="3F5BC2F8"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8" w:history="1">
              <w:r>
                <w:rPr>
                  <w:rStyle w:val="a4"/>
                  <w:rFonts w:ascii="Times New Roman" w:eastAsia="DengXian" w:hAnsi="Times New Roman" w:cs="Times New Roman"/>
                  <w:kern w:val="0"/>
                  <w:sz w:val="22"/>
                  <w:szCs w:val="22"/>
                  <w:lang w:bidi="ar"/>
                </w:rPr>
                <w:t>https://www.amjtransplant.org/article/S1600-6135(22)08563-X/fulltext</w:t>
              </w:r>
            </w:hyperlink>
          </w:p>
        </w:tc>
      </w:tr>
      <w:tr w:rsidR="00A81413" w14:paraId="0A49BD25" w14:textId="77777777">
        <w:trPr>
          <w:trHeight w:val="310"/>
          <w:jc w:val="center"/>
        </w:trPr>
        <w:tc>
          <w:tcPr>
            <w:tcW w:w="7617" w:type="dxa"/>
            <w:tcBorders>
              <w:top w:val="nil"/>
              <w:left w:val="nil"/>
              <w:bottom w:val="nil"/>
              <w:right w:val="nil"/>
            </w:tcBorders>
            <w:shd w:val="clear" w:color="auto" w:fill="auto"/>
            <w:noWrap/>
            <w:vAlign w:val="center"/>
          </w:tcPr>
          <w:p w14:paraId="6656548A" w14:textId="3ACADBC5"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 xml:space="preserve">Liver transplantation for hepatocellular carcinoma following checkpoint </w:t>
            </w:r>
            <w:proofErr w:type="gramStart"/>
            <w:r>
              <w:rPr>
                <w:rFonts w:ascii="Times New Roman" w:eastAsia="DengXian" w:hAnsi="Times New Roman" w:cs="Times New Roman"/>
                <w:color w:val="000000"/>
                <w:kern w:val="0"/>
                <w:sz w:val="22"/>
                <w:szCs w:val="22"/>
                <w:lang w:bidi="ar"/>
              </w:rPr>
              <w:t>inhibitor  therapy</w:t>
            </w:r>
            <w:proofErr w:type="gramEnd"/>
            <w:r>
              <w:rPr>
                <w:rFonts w:ascii="Times New Roman" w:eastAsia="DengXian" w:hAnsi="Times New Roman" w:cs="Times New Roman"/>
                <w:color w:val="000000"/>
                <w:kern w:val="0"/>
                <w:sz w:val="22"/>
                <w:szCs w:val="22"/>
                <w:lang w:bidi="ar"/>
              </w:rPr>
              <w:t xml:space="preserve"> with nivolumab</w:t>
            </w:r>
          </w:p>
        </w:tc>
        <w:tc>
          <w:tcPr>
            <w:tcW w:w="2693" w:type="dxa"/>
            <w:vMerge/>
            <w:tcBorders>
              <w:left w:val="nil"/>
              <w:bottom w:val="nil"/>
              <w:right w:val="nil"/>
            </w:tcBorders>
            <w:vAlign w:val="center"/>
          </w:tcPr>
          <w:p w14:paraId="18F62E97" w14:textId="77777777" w:rsidR="00A81413" w:rsidRDefault="00A81413">
            <w:pPr>
              <w:widowControl/>
              <w:jc w:val="center"/>
              <w:textAlignment w:val="center"/>
              <w:rPr>
                <w:rFonts w:ascii="Times New Roman" w:hAnsi="Times New Roman" w:cs="Times New Roman"/>
              </w:rPr>
            </w:pPr>
          </w:p>
        </w:tc>
        <w:tc>
          <w:tcPr>
            <w:tcW w:w="3544" w:type="dxa"/>
            <w:vMerge/>
            <w:tcBorders>
              <w:left w:val="nil"/>
              <w:bottom w:val="nil"/>
              <w:right w:val="nil"/>
            </w:tcBorders>
            <w:vAlign w:val="center"/>
          </w:tcPr>
          <w:p w14:paraId="37662562"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nil"/>
              <w:right w:val="nil"/>
            </w:tcBorders>
            <w:vAlign w:val="center"/>
          </w:tcPr>
          <w:p w14:paraId="64B4E1DD"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79" w:history="1">
              <w:r>
                <w:rPr>
                  <w:rStyle w:val="a4"/>
                  <w:rFonts w:ascii="Times New Roman" w:eastAsia="DengXian" w:hAnsi="Times New Roman" w:cs="Times New Roman"/>
                  <w:kern w:val="0"/>
                  <w:sz w:val="22"/>
                  <w:szCs w:val="22"/>
                  <w:lang w:bidi="ar"/>
                </w:rPr>
                <w:t>https://www.amjtransplant.org/article/S1600-6135(22)08251-X/fulltext</w:t>
              </w:r>
            </w:hyperlink>
          </w:p>
        </w:tc>
      </w:tr>
      <w:tr w:rsidR="00A81413" w14:paraId="054EA2CB" w14:textId="77777777">
        <w:trPr>
          <w:trHeight w:val="310"/>
          <w:jc w:val="center"/>
        </w:trPr>
        <w:tc>
          <w:tcPr>
            <w:tcW w:w="7617" w:type="dxa"/>
            <w:tcBorders>
              <w:top w:val="nil"/>
              <w:left w:val="nil"/>
              <w:bottom w:val="nil"/>
              <w:right w:val="nil"/>
            </w:tcBorders>
            <w:shd w:val="clear" w:color="auto" w:fill="auto"/>
            <w:noWrap/>
            <w:vAlign w:val="center"/>
          </w:tcPr>
          <w:p w14:paraId="0A56C2D5" w14:textId="135DE45E"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 xml:space="preserve">Pembrolizumab in combination with </w:t>
            </w:r>
            <w:proofErr w:type="spellStart"/>
            <w:r>
              <w:rPr>
                <w:rFonts w:ascii="Times New Roman" w:eastAsia="DengXian" w:hAnsi="Times New Roman" w:cs="Times New Roman"/>
                <w:color w:val="000000"/>
                <w:kern w:val="0"/>
                <w:sz w:val="22"/>
                <w:szCs w:val="22"/>
                <w:lang w:bidi="ar"/>
              </w:rPr>
              <w:t>lenvatinib</w:t>
            </w:r>
            <w:proofErr w:type="spellEnd"/>
            <w:r>
              <w:rPr>
                <w:rFonts w:ascii="Times New Roman" w:eastAsia="DengXian" w:hAnsi="Times New Roman" w:cs="Times New Roman"/>
                <w:color w:val="000000"/>
                <w:kern w:val="0"/>
                <w:sz w:val="22"/>
                <w:szCs w:val="22"/>
                <w:lang w:bidi="ar"/>
              </w:rPr>
              <w:t xml:space="preserve"> in participants with </w:t>
            </w:r>
            <w:proofErr w:type="gramStart"/>
            <w:r>
              <w:rPr>
                <w:rFonts w:ascii="Times New Roman" w:eastAsia="DengXian" w:hAnsi="Times New Roman" w:cs="Times New Roman"/>
                <w:color w:val="000000"/>
                <w:kern w:val="0"/>
                <w:sz w:val="22"/>
                <w:szCs w:val="22"/>
                <w:lang w:bidi="ar"/>
              </w:rPr>
              <w:t>hepatocellular  carcinoma</w:t>
            </w:r>
            <w:proofErr w:type="gramEnd"/>
            <w:r>
              <w:rPr>
                <w:rFonts w:ascii="Times New Roman" w:eastAsia="DengXian" w:hAnsi="Times New Roman" w:cs="Times New Roman"/>
                <w:color w:val="000000"/>
                <w:kern w:val="0"/>
                <w:sz w:val="22"/>
                <w:szCs w:val="22"/>
                <w:lang w:bidi="ar"/>
              </w:rPr>
              <w:t xml:space="preserve"> (HCC) before liver transplant as neoadjuvant </w:t>
            </w:r>
            <w:proofErr w:type="spellStart"/>
            <w:r>
              <w:rPr>
                <w:rFonts w:ascii="Times New Roman" w:eastAsia="DengXian" w:hAnsi="Times New Roman" w:cs="Times New Roman"/>
                <w:color w:val="000000"/>
                <w:kern w:val="0"/>
                <w:sz w:val="22"/>
                <w:szCs w:val="22"/>
                <w:lang w:bidi="ar"/>
              </w:rPr>
              <w:t>therapY</w:t>
            </w:r>
            <w:proofErr w:type="spellEnd"/>
            <w:r>
              <w:rPr>
                <w:rFonts w:ascii="Times New Roman" w:eastAsia="DengXian" w:hAnsi="Times New Roman" w:cs="Times New Roman"/>
                <w:color w:val="000000"/>
                <w:kern w:val="0"/>
                <w:sz w:val="22"/>
                <w:szCs w:val="22"/>
                <w:lang w:bidi="ar"/>
              </w:rPr>
              <w:t xml:space="preserve">-PLENTY </w:t>
            </w:r>
            <w:proofErr w:type="gramStart"/>
            <w:r>
              <w:rPr>
                <w:rFonts w:ascii="Times New Roman" w:eastAsia="DengXian" w:hAnsi="Times New Roman" w:cs="Times New Roman"/>
                <w:color w:val="000000"/>
                <w:kern w:val="0"/>
                <w:sz w:val="22"/>
                <w:szCs w:val="22"/>
                <w:lang w:bidi="ar"/>
              </w:rPr>
              <w:t>pilot  study</w:t>
            </w:r>
            <w:proofErr w:type="gramEnd"/>
          </w:p>
        </w:tc>
        <w:tc>
          <w:tcPr>
            <w:tcW w:w="2693" w:type="dxa"/>
            <w:tcBorders>
              <w:top w:val="nil"/>
              <w:left w:val="nil"/>
              <w:bottom w:val="nil"/>
              <w:right w:val="nil"/>
            </w:tcBorders>
            <w:vAlign w:val="center"/>
          </w:tcPr>
          <w:p w14:paraId="420DD389"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24</w:t>
            </w:r>
          </w:p>
        </w:tc>
        <w:tc>
          <w:tcPr>
            <w:tcW w:w="3544" w:type="dxa"/>
            <w:tcBorders>
              <w:top w:val="nil"/>
              <w:left w:val="nil"/>
              <w:bottom w:val="nil"/>
              <w:right w:val="nil"/>
            </w:tcBorders>
            <w:vAlign w:val="center"/>
          </w:tcPr>
          <w:p w14:paraId="6731A65B"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24</w:t>
            </w:r>
          </w:p>
        </w:tc>
        <w:tc>
          <w:tcPr>
            <w:tcW w:w="8259" w:type="dxa"/>
            <w:tcBorders>
              <w:top w:val="nil"/>
              <w:left w:val="nil"/>
              <w:bottom w:val="nil"/>
              <w:right w:val="nil"/>
            </w:tcBorders>
            <w:vAlign w:val="center"/>
          </w:tcPr>
          <w:p w14:paraId="3D7D270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0" w:history="1">
              <w:r>
                <w:rPr>
                  <w:rStyle w:val="a4"/>
                  <w:rFonts w:ascii="Times New Roman" w:eastAsia="DengXian" w:hAnsi="Times New Roman" w:cs="Times New Roman"/>
                  <w:kern w:val="0"/>
                  <w:sz w:val="22"/>
                  <w:szCs w:val="22"/>
                  <w:lang w:bidi="ar"/>
                </w:rPr>
                <w:t>https://journals.lww.com/international-journal-of-surgery/fulltext/2024/10000/pembrolizumab_in_combination_with_lenvatinib_in.58.aspx</w:t>
              </w:r>
            </w:hyperlink>
          </w:p>
        </w:tc>
      </w:tr>
      <w:tr w:rsidR="00A81413" w14:paraId="1E14B73C" w14:textId="77777777">
        <w:trPr>
          <w:trHeight w:val="310"/>
          <w:jc w:val="center"/>
        </w:trPr>
        <w:tc>
          <w:tcPr>
            <w:tcW w:w="7617" w:type="dxa"/>
            <w:tcBorders>
              <w:top w:val="nil"/>
              <w:left w:val="nil"/>
              <w:bottom w:val="nil"/>
              <w:right w:val="nil"/>
            </w:tcBorders>
            <w:shd w:val="clear" w:color="auto" w:fill="auto"/>
            <w:noWrap/>
            <w:vAlign w:val="center"/>
          </w:tcPr>
          <w:p w14:paraId="34C7ED29" w14:textId="140EAEC9"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Risk of transplant rejection associated with ICIs prior to liver transplantation in HCC: A multicenter retrospective study</w:t>
            </w:r>
          </w:p>
        </w:tc>
        <w:tc>
          <w:tcPr>
            <w:tcW w:w="2693" w:type="dxa"/>
            <w:tcBorders>
              <w:top w:val="nil"/>
              <w:left w:val="nil"/>
              <w:bottom w:val="nil"/>
              <w:right w:val="nil"/>
            </w:tcBorders>
            <w:vAlign w:val="center"/>
          </w:tcPr>
          <w:p w14:paraId="6BB33EAA"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25</w:t>
            </w:r>
          </w:p>
        </w:tc>
        <w:tc>
          <w:tcPr>
            <w:tcW w:w="3544" w:type="dxa"/>
            <w:tcBorders>
              <w:top w:val="nil"/>
              <w:left w:val="nil"/>
              <w:bottom w:val="nil"/>
              <w:right w:val="nil"/>
            </w:tcBorders>
            <w:vAlign w:val="center"/>
          </w:tcPr>
          <w:p w14:paraId="6A9A2165"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25</w:t>
            </w:r>
          </w:p>
        </w:tc>
        <w:tc>
          <w:tcPr>
            <w:tcW w:w="8259" w:type="dxa"/>
            <w:tcBorders>
              <w:top w:val="nil"/>
              <w:left w:val="nil"/>
              <w:bottom w:val="nil"/>
              <w:right w:val="nil"/>
            </w:tcBorders>
            <w:vAlign w:val="center"/>
          </w:tcPr>
          <w:p w14:paraId="74E2063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1" w:history="1">
              <w:r>
                <w:rPr>
                  <w:rStyle w:val="a4"/>
                  <w:rFonts w:ascii="Times New Roman" w:eastAsia="DengXian" w:hAnsi="Times New Roman" w:cs="Times New Roman"/>
                  <w:kern w:val="0"/>
                  <w:sz w:val="22"/>
                  <w:szCs w:val="22"/>
                  <w:lang w:bidi="ar"/>
                </w:rPr>
                <w:t>https://www.sciencedirect.com/science/article/abs/pii/S1567576924019222?via%3Dihub</w:t>
              </w:r>
            </w:hyperlink>
          </w:p>
        </w:tc>
      </w:tr>
      <w:tr w:rsidR="00A81413" w14:paraId="6AF176D6" w14:textId="77777777">
        <w:trPr>
          <w:trHeight w:val="310"/>
          <w:jc w:val="center"/>
        </w:trPr>
        <w:tc>
          <w:tcPr>
            <w:tcW w:w="7617" w:type="dxa"/>
            <w:tcBorders>
              <w:top w:val="nil"/>
              <w:left w:val="nil"/>
              <w:bottom w:val="nil"/>
              <w:right w:val="nil"/>
            </w:tcBorders>
            <w:shd w:val="clear" w:color="auto" w:fill="auto"/>
            <w:noWrap/>
            <w:vAlign w:val="center"/>
          </w:tcPr>
          <w:p w14:paraId="1BC63112" w14:textId="1254172F"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Pretransplant immunotherapy increases acute rejection yet improves survival outcome of HCC patients with MVI post-liver transplantation</w:t>
            </w:r>
          </w:p>
        </w:tc>
        <w:tc>
          <w:tcPr>
            <w:tcW w:w="2693" w:type="dxa"/>
            <w:vMerge w:val="restart"/>
            <w:tcBorders>
              <w:top w:val="nil"/>
              <w:left w:val="nil"/>
              <w:right w:val="nil"/>
            </w:tcBorders>
            <w:vAlign w:val="center"/>
          </w:tcPr>
          <w:p w14:paraId="54A3521D"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30</w:t>
            </w:r>
          </w:p>
        </w:tc>
        <w:tc>
          <w:tcPr>
            <w:tcW w:w="3544" w:type="dxa"/>
            <w:vMerge w:val="restart"/>
            <w:tcBorders>
              <w:top w:val="nil"/>
              <w:left w:val="nil"/>
              <w:right w:val="nil"/>
            </w:tcBorders>
            <w:vAlign w:val="center"/>
          </w:tcPr>
          <w:p w14:paraId="3CD1B181" w14:textId="77777777" w:rsidR="00A81413" w:rsidRDefault="00000000">
            <w:pPr>
              <w:widowControl/>
              <w:jc w:val="center"/>
              <w:textAlignment w:val="center"/>
              <w:rPr>
                <w:rFonts w:ascii="Times New Roman" w:hAnsi="Times New Roman" w:cs="Times New Roman"/>
              </w:rPr>
            </w:pPr>
            <w:r>
              <w:rPr>
                <w:rFonts w:ascii="Times New Roman" w:hAnsi="Times New Roman" w:cs="Times New Roman"/>
              </w:rPr>
              <w:t>83</w:t>
            </w:r>
          </w:p>
        </w:tc>
        <w:tc>
          <w:tcPr>
            <w:tcW w:w="8259" w:type="dxa"/>
            <w:tcBorders>
              <w:top w:val="nil"/>
              <w:left w:val="nil"/>
              <w:bottom w:val="nil"/>
              <w:right w:val="nil"/>
            </w:tcBorders>
            <w:vAlign w:val="center"/>
          </w:tcPr>
          <w:p w14:paraId="1D5542D4"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2" w:history="1">
              <w:r>
                <w:rPr>
                  <w:rStyle w:val="a4"/>
                  <w:rFonts w:ascii="Times New Roman" w:eastAsia="DengXian" w:hAnsi="Times New Roman" w:cs="Times New Roman"/>
                  <w:kern w:val="0"/>
                  <w:sz w:val="22"/>
                  <w:szCs w:val="22"/>
                  <w:lang w:bidi="ar"/>
                </w:rPr>
                <w:t>https://link.springer.com/article/10.1007/s00262-024-03853-9</w:t>
              </w:r>
            </w:hyperlink>
          </w:p>
        </w:tc>
      </w:tr>
      <w:tr w:rsidR="00A81413" w14:paraId="461EFE5F" w14:textId="77777777">
        <w:trPr>
          <w:trHeight w:val="310"/>
          <w:jc w:val="center"/>
        </w:trPr>
        <w:tc>
          <w:tcPr>
            <w:tcW w:w="7617" w:type="dxa"/>
            <w:tcBorders>
              <w:top w:val="nil"/>
              <w:left w:val="nil"/>
              <w:bottom w:val="nil"/>
              <w:right w:val="nil"/>
            </w:tcBorders>
            <w:shd w:val="clear" w:color="auto" w:fill="auto"/>
            <w:noWrap/>
            <w:vAlign w:val="center"/>
          </w:tcPr>
          <w:p w14:paraId="449A4FBB" w14:textId="3F0A2876" w:rsidR="00A81413" w:rsidRDefault="00000000">
            <w:pPr>
              <w:widowControl/>
              <w:textAlignment w:val="center"/>
              <w:rPr>
                <w:rFonts w:ascii="Times New Roman" w:eastAsia="DengXian" w:hAnsi="Times New Roman" w:cs="Times New Roman"/>
                <w:color w:val="000000"/>
                <w:sz w:val="22"/>
                <w:szCs w:val="22"/>
              </w:rPr>
            </w:pPr>
            <w:r>
              <w:rPr>
                <w:rFonts w:ascii="Times New Roman" w:eastAsia="DengXian" w:hAnsi="Times New Roman" w:cs="Times New Roman"/>
                <w:color w:val="000000"/>
                <w:kern w:val="0"/>
                <w:sz w:val="22"/>
                <w:szCs w:val="22"/>
                <w:lang w:bidi="ar"/>
              </w:rPr>
              <w:t>Fatal graft-versus-host disease in recipient with pretransplant exposure to immune checkpoint inhibitors and donor-dominant one-way HLA matching after liver transplantation: A case report</w:t>
            </w:r>
          </w:p>
        </w:tc>
        <w:tc>
          <w:tcPr>
            <w:tcW w:w="2693" w:type="dxa"/>
            <w:vMerge/>
            <w:tcBorders>
              <w:left w:val="nil"/>
              <w:right w:val="nil"/>
            </w:tcBorders>
            <w:vAlign w:val="center"/>
          </w:tcPr>
          <w:p w14:paraId="6EF188CE" w14:textId="77777777" w:rsidR="00A81413" w:rsidRDefault="00A81413">
            <w:pPr>
              <w:widowControl/>
              <w:jc w:val="center"/>
              <w:textAlignment w:val="center"/>
              <w:rPr>
                <w:rFonts w:ascii="Times New Roman" w:hAnsi="Times New Roman" w:cs="Times New Roman"/>
              </w:rPr>
            </w:pPr>
          </w:p>
        </w:tc>
        <w:tc>
          <w:tcPr>
            <w:tcW w:w="3544" w:type="dxa"/>
            <w:vMerge/>
            <w:tcBorders>
              <w:left w:val="nil"/>
              <w:right w:val="nil"/>
            </w:tcBorders>
            <w:vAlign w:val="center"/>
          </w:tcPr>
          <w:p w14:paraId="431A38CD"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nil"/>
              <w:right w:val="nil"/>
            </w:tcBorders>
            <w:vAlign w:val="center"/>
          </w:tcPr>
          <w:p w14:paraId="6001F4F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3" w:history="1">
              <w:r>
                <w:rPr>
                  <w:rStyle w:val="a4"/>
                  <w:rFonts w:ascii="Times New Roman" w:eastAsia="DengXian" w:hAnsi="Times New Roman" w:cs="Times New Roman"/>
                  <w:kern w:val="0"/>
                  <w:sz w:val="22"/>
                  <w:szCs w:val="22"/>
                  <w:lang w:bidi="ar"/>
                </w:rPr>
                <w:t>https://www.sciencedirect.com/science/article/pii/S2210261224010484?via%3Dihub</w:t>
              </w:r>
            </w:hyperlink>
          </w:p>
        </w:tc>
      </w:tr>
      <w:tr w:rsidR="00A81413" w14:paraId="1CDF079A" w14:textId="77777777">
        <w:trPr>
          <w:trHeight w:val="310"/>
          <w:jc w:val="center"/>
        </w:trPr>
        <w:tc>
          <w:tcPr>
            <w:tcW w:w="7617" w:type="dxa"/>
            <w:tcBorders>
              <w:top w:val="nil"/>
              <w:left w:val="nil"/>
              <w:bottom w:val="nil"/>
              <w:right w:val="nil"/>
            </w:tcBorders>
            <w:shd w:val="clear" w:color="auto" w:fill="auto"/>
            <w:noWrap/>
            <w:vAlign w:val="center"/>
          </w:tcPr>
          <w:p w14:paraId="6EF60837" w14:textId="03BF0E2A"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 xml:space="preserve">Prognosis after liver transplantation in patients treated with anti PD-1 immunotherapy for advanced hepatocellular </w:t>
            </w:r>
            <w:proofErr w:type="spellStart"/>
            <w:proofErr w:type="gramStart"/>
            <w:r>
              <w:rPr>
                <w:rFonts w:ascii="Times New Roman" w:eastAsia="DengXian" w:hAnsi="Times New Roman" w:cs="Times New Roman"/>
                <w:color w:val="000000"/>
                <w:kern w:val="0"/>
                <w:sz w:val="22"/>
                <w:szCs w:val="22"/>
                <w:lang w:bidi="ar"/>
              </w:rPr>
              <w:t>carcinoma:case</w:t>
            </w:r>
            <w:proofErr w:type="spellEnd"/>
            <w:proofErr w:type="gramEnd"/>
            <w:r>
              <w:rPr>
                <w:rFonts w:ascii="Times New Roman" w:eastAsia="DengXian" w:hAnsi="Times New Roman" w:cs="Times New Roman"/>
                <w:color w:val="000000"/>
                <w:kern w:val="0"/>
                <w:sz w:val="22"/>
                <w:szCs w:val="22"/>
                <w:lang w:bidi="ar"/>
              </w:rPr>
              <w:t xml:space="preserve"> series</w:t>
            </w:r>
          </w:p>
        </w:tc>
        <w:tc>
          <w:tcPr>
            <w:tcW w:w="2693" w:type="dxa"/>
            <w:vMerge/>
            <w:tcBorders>
              <w:left w:val="nil"/>
              <w:right w:val="nil"/>
            </w:tcBorders>
            <w:vAlign w:val="center"/>
          </w:tcPr>
          <w:p w14:paraId="6FA61E8A" w14:textId="77777777" w:rsidR="00A81413" w:rsidRDefault="00A81413">
            <w:pPr>
              <w:widowControl/>
              <w:jc w:val="center"/>
              <w:textAlignment w:val="center"/>
              <w:rPr>
                <w:rFonts w:ascii="Times New Roman" w:hAnsi="Times New Roman" w:cs="Times New Roman"/>
              </w:rPr>
            </w:pPr>
          </w:p>
        </w:tc>
        <w:tc>
          <w:tcPr>
            <w:tcW w:w="3544" w:type="dxa"/>
            <w:vMerge/>
            <w:tcBorders>
              <w:left w:val="nil"/>
              <w:right w:val="nil"/>
            </w:tcBorders>
            <w:vAlign w:val="center"/>
          </w:tcPr>
          <w:p w14:paraId="52EE7803"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nil"/>
              <w:right w:val="nil"/>
            </w:tcBorders>
            <w:vAlign w:val="center"/>
          </w:tcPr>
          <w:p w14:paraId="217EE9E0"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4" w:history="1">
              <w:r>
                <w:rPr>
                  <w:rStyle w:val="a4"/>
                  <w:rFonts w:ascii="Times New Roman" w:eastAsia="DengXian" w:hAnsi="Times New Roman" w:cs="Times New Roman"/>
                  <w:kern w:val="0"/>
                  <w:sz w:val="22"/>
                  <w:szCs w:val="22"/>
                  <w:lang w:bidi="ar"/>
                </w:rPr>
                <w:t>https://apm.amegroups.org/article/view/76531/html</w:t>
              </w:r>
            </w:hyperlink>
          </w:p>
        </w:tc>
      </w:tr>
      <w:tr w:rsidR="00A81413" w14:paraId="5E384DAE" w14:textId="77777777">
        <w:trPr>
          <w:trHeight w:val="310"/>
          <w:jc w:val="center"/>
        </w:trPr>
        <w:tc>
          <w:tcPr>
            <w:tcW w:w="7617" w:type="dxa"/>
            <w:tcBorders>
              <w:top w:val="nil"/>
              <w:left w:val="nil"/>
              <w:bottom w:val="nil"/>
              <w:right w:val="nil"/>
            </w:tcBorders>
            <w:shd w:val="clear" w:color="auto" w:fill="auto"/>
            <w:noWrap/>
            <w:vAlign w:val="center"/>
          </w:tcPr>
          <w:p w14:paraId="33334E87" w14:textId="538F05D2"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Neoadjuvant programmed cell death 1 inhibitor before liver transplantation for HCC is not associated with increased graft loss</w:t>
            </w:r>
          </w:p>
        </w:tc>
        <w:tc>
          <w:tcPr>
            <w:tcW w:w="2693" w:type="dxa"/>
            <w:vMerge/>
            <w:tcBorders>
              <w:left w:val="nil"/>
              <w:right w:val="nil"/>
            </w:tcBorders>
            <w:vAlign w:val="center"/>
          </w:tcPr>
          <w:p w14:paraId="525851A1" w14:textId="77777777" w:rsidR="00A81413" w:rsidRDefault="00A81413">
            <w:pPr>
              <w:widowControl/>
              <w:jc w:val="center"/>
              <w:textAlignment w:val="center"/>
              <w:rPr>
                <w:rFonts w:ascii="Times New Roman" w:hAnsi="Times New Roman" w:cs="Times New Roman"/>
              </w:rPr>
            </w:pPr>
          </w:p>
        </w:tc>
        <w:tc>
          <w:tcPr>
            <w:tcW w:w="3544" w:type="dxa"/>
            <w:vMerge/>
            <w:tcBorders>
              <w:left w:val="nil"/>
              <w:right w:val="nil"/>
            </w:tcBorders>
            <w:vAlign w:val="center"/>
          </w:tcPr>
          <w:p w14:paraId="21407D5C"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nil"/>
              <w:right w:val="nil"/>
            </w:tcBorders>
            <w:vAlign w:val="center"/>
          </w:tcPr>
          <w:p w14:paraId="4215ED2A"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5" w:history="1">
              <w:r>
                <w:rPr>
                  <w:rStyle w:val="a4"/>
                  <w:rFonts w:ascii="Times New Roman" w:eastAsia="DengXian" w:hAnsi="Times New Roman" w:cs="Times New Roman"/>
                  <w:kern w:val="0"/>
                  <w:sz w:val="22"/>
                  <w:szCs w:val="22"/>
                  <w:lang w:bidi="ar"/>
                </w:rPr>
                <w:t>https://journals.lww.com/lt/fulltext/2023/06000/neoadjuvant_programmed_cell_death_1_inhibitor.7.aspx</w:t>
              </w:r>
            </w:hyperlink>
          </w:p>
        </w:tc>
      </w:tr>
      <w:tr w:rsidR="00A81413" w14:paraId="6F2D26B0" w14:textId="77777777">
        <w:trPr>
          <w:trHeight w:val="310"/>
          <w:jc w:val="center"/>
        </w:trPr>
        <w:tc>
          <w:tcPr>
            <w:tcW w:w="7617" w:type="dxa"/>
            <w:tcBorders>
              <w:top w:val="nil"/>
              <w:left w:val="nil"/>
              <w:bottom w:val="single" w:sz="12" w:space="0" w:color="auto"/>
              <w:right w:val="nil"/>
            </w:tcBorders>
            <w:shd w:val="clear" w:color="auto" w:fill="auto"/>
            <w:noWrap/>
            <w:vAlign w:val="center"/>
          </w:tcPr>
          <w:p w14:paraId="7B75BEB0" w14:textId="30DF3BB5" w:rsidR="00A81413" w:rsidRDefault="00000000">
            <w:pPr>
              <w:widowControl/>
              <w:textAlignment w:val="center"/>
              <w:rPr>
                <w:rFonts w:ascii="Times New Roman" w:eastAsia="DengXian" w:hAnsi="Times New Roman" w:cs="Times New Roman"/>
                <w:color w:val="000000"/>
                <w:kern w:val="0"/>
                <w:sz w:val="22"/>
                <w:szCs w:val="22"/>
                <w:lang w:bidi="ar"/>
              </w:rPr>
            </w:pPr>
            <w:r>
              <w:rPr>
                <w:rFonts w:ascii="Times New Roman" w:eastAsia="DengXian" w:hAnsi="Times New Roman" w:cs="Times New Roman"/>
                <w:color w:val="000000"/>
                <w:kern w:val="0"/>
                <w:sz w:val="22"/>
                <w:szCs w:val="22"/>
                <w:lang w:bidi="ar"/>
              </w:rPr>
              <w:t>Pretransplant use of immune checkpoint inhibitors for hepatocellular carcinoma: A multicenter, retrospective cohort study</w:t>
            </w:r>
          </w:p>
        </w:tc>
        <w:tc>
          <w:tcPr>
            <w:tcW w:w="2693" w:type="dxa"/>
            <w:vMerge/>
            <w:tcBorders>
              <w:left w:val="nil"/>
              <w:bottom w:val="single" w:sz="12" w:space="0" w:color="auto"/>
              <w:right w:val="nil"/>
            </w:tcBorders>
            <w:vAlign w:val="center"/>
          </w:tcPr>
          <w:p w14:paraId="3485D54C" w14:textId="77777777" w:rsidR="00A81413" w:rsidRDefault="00A81413">
            <w:pPr>
              <w:widowControl/>
              <w:jc w:val="center"/>
              <w:textAlignment w:val="center"/>
              <w:rPr>
                <w:rFonts w:ascii="Times New Roman" w:hAnsi="Times New Roman" w:cs="Times New Roman"/>
              </w:rPr>
            </w:pPr>
          </w:p>
        </w:tc>
        <w:tc>
          <w:tcPr>
            <w:tcW w:w="3544" w:type="dxa"/>
            <w:vMerge/>
            <w:tcBorders>
              <w:left w:val="nil"/>
              <w:bottom w:val="single" w:sz="12" w:space="0" w:color="auto"/>
              <w:right w:val="nil"/>
            </w:tcBorders>
            <w:vAlign w:val="center"/>
          </w:tcPr>
          <w:p w14:paraId="5A0390D3" w14:textId="77777777" w:rsidR="00A81413" w:rsidRDefault="00A81413">
            <w:pPr>
              <w:widowControl/>
              <w:jc w:val="center"/>
              <w:textAlignment w:val="center"/>
              <w:rPr>
                <w:rFonts w:ascii="Times New Roman" w:hAnsi="Times New Roman" w:cs="Times New Roman"/>
              </w:rPr>
            </w:pPr>
          </w:p>
        </w:tc>
        <w:tc>
          <w:tcPr>
            <w:tcW w:w="8259" w:type="dxa"/>
            <w:tcBorders>
              <w:top w:val="nil"/>
              <w:left w:val="nil"/>
              <w:bottom w:val="single" w:sz="12" w:space="0" w:color="auto"/>
              <w:right w:val="nil"/>
            </w:tcBorders>
            <w:vAlign w:val="center"/>
          </w:tcPr>
          <w:p w14:paraId="6F216503" w14:textId="77777777" w:rsidR="00A81413" w:rsidRDefault="00A81413">
            <w:pPr>
              <w:widowControl/>
              <w:textAlignment w:val="center"/>
              <w:rPr>
                <w:rFonts w:ascii="Times New Roman" w:eastAsia="DengXian" w:hAnsi="Times New Roman" w:cs="Times New Roman"/>
                <w:color w:val="000000"/>
                <w:kern w:val="0"/>
                <w:sz w:val="22"/>
                <w:szCs w:val="22"/>
                <w:lang w:bidi="ar"/>
              </w:rPr>
            </w:pPr>
            <w:hyperlink r:id="rId86" w:history="1">
              <w:r>
                <w:rPr>
                  <w:rStyle w:val="a4"/>
                  <w:rFonts w:ascii="Times New Roman" w:eastAsia="DengXian" w:hAnsi="Times New Roman" w:cs="Times New Roman"/>
                  <w:kern w:val="0"/>
                  <w:sz w:val="22"/>
                  <w:szCs w:val="22"/>
                  <w:lang w:bidi="ar"/>
                </w:rPr>
                <w:t>https://www.amjtransplant.org/article/S1600-6135(24)00278-8/abstract</w:t>
              </w:r>
            </w:hyperlink>
          </w:p>
        </w:tc>
      </w:tr>
    </w:tbl>
    <w:p w14:paraId="38356AD3" w14:textId="0B654A68" w:rsidR="00A81413" w:rsidRDefault="00A81413"/>
    <w:sectPr w:rsidR="00A81413" w:rsidSect="00230314">
      <w:pgSz w:w="22677" w:h="16838" w:orient="landscape"/>
      <w:pgMar w:top="1440" w:right="1803" w:bottom="1440" w:left="1803"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 numbering&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361F0"/>
    <w:rsid w:val="000A1F28"/>
    <w:rsid w:val="00164C4B"/>
    <w:rsid w:val="00230314"/>
    <w:rsid w:val="002352DB"/>
    <w:rsid w:val="00282C38"/>
    <w:rsid w:val="00284BFD"/>
    <w:rsid w:val="00363279"/>
    <w:rsid w:val="005735FC"/>
    <w:rsid w:val="00606A72"/>
    <w:rsid w:val="00610E8A"/>
    <w:rsid w:val="0062489C"/>
    <w:rsid w:val="009234F2"/>
    <w:rsid w:val="00A74610"/>
    <w:rsid w:val="00A81413"/>
    <w:rsid w:val="00AA0642"/>
    <w:rsid w:val="00AB7598"/>
    <w:rsid w:val="00AC760A"/>
    <w:rsid w:val="00B003DA"/>
    <w:rsid w:val="00BB5719"/>
    <w:rsid w:val="00C361F0"/>
    <w:rsid w:val="00CA224E"/>
    <w:rsid w:val="00CA230E"/>
    <w:rsid w:val="00CD25BC"/>
    <w:rsid w:val="00D379E9"/>
    <w:rsid w:val="00D80ABF"/>
    <w:rsid w:val="00DC28CB"/>
    <w:rsid w:val="00F56CFC"/>
    <w:rsid w:val="00F60039"/>
    <w:rsid w:val="00FC6A1F"/>
    <w:rsid w:val="00FE0F7D"/>
    <w:rsid w:val="106D393B"/>
    <w:rsid w:val="154B059B"/>
    <w:rsid w:val="188C4B97"/>
    <w:rsid w:val="1DBD5480"/>
    <w:rsid w:val="2F212B1B"/>
    <w:rsid w:val="38561F4B"/>
    <w:rsid w:val="66D42751"/>
    <w:rsid w:val="681F4B53"/>
    <w:rsid w:val="72253366"/>
    <w:rsid w:val="7AAD407F"/>
    <w:rsid w:val="7B515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7100C77"/>
  <w15:docId w15:val="{6C41C57F-0A23-6D49-BD6C-9D4E5394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qFormat="1"/>
    <w:lsdException w:name="Followed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qFormat/>
    <w:rPr>
      <w:color w:val="7E1FAD" w:themeColor="followedHyperlink"/>
      <w:u w:val="single"/>
    </w:rPr>
  </w:style>
  <w:style w:type="character" w:styleId="a4">
    <w:name w:val="Hyperlink"/>
    <w:basedOn w:val="a0"/>
    <w:uiPriority w:val="99"/>
    <w:qFormat/>
    <w:rPr>
      <w:color w:val="0026E5" w:themeColor="hyperlink"/>
      <w:u w:val="single"/>
    </w:rPr>
  </w:style>
  <w:style w:type="paragraph" w:customStyle="1" w:styleId="EndNoteBibliographyTitle">
    <w:name w:val="EndNote Bibliography Title"/>
    <w:basedOn w:val="a"/>
    <w:link w:val="EndNoteBibliographyTitle0"/>
    <w:qFormat/>
    <w:pPr>
      <w:jc w:val="center"/>
    </w:pPr>
    <w:rPr>
      <w:rFonts w:ascii="Times New Roman" w:hAnsi="Times New Roman" w:cs="Times New Roman"/>
      <w:sz w:val="20"/>
    </w:rPr>
  </w:style>
  <w:style w:type="character" w:customStyle="1" w:styleId="EndNoteBibliographyTitle0">
    <w:name w:val="EndNote Bibliography Title 字符"/>
    <w:basedOn w:val="a0"/>
    <w:link w:val="EndNoteBibliographyTitle"/>
    <w:qFormat/>
    <w:rPr>
      <w:rFonts w:eastAsiaTheme="minorEastAsia"/>
      <w:kern w:val="2"/>
      <w:szCs w:val="24"/>
    </w:rPr>
  </w:style>
  <w:style w:type="paragraph" w:customStyle="1" w:styleId="EndNoteBibliography">
    <w:name w:val="EndNote Bibliography"/>
    <w:basedOn w:val="a"/>
    <w:link w:val="EndNoteBibliography0"/>
    <w:qFormat/>
    <w:rPr>
      <w:rFonts w:ascii="Times New Roman" w:hAnsi="Times New Roman" w:cs="Times New Roman"/>
      <w:sz w:val="20"/>
    </w:rPr>
  </w:style>
  <w:style w:type="character" w:customStyle="1" w:styleId="EndNoteBibliography0">
    <w:name w:val="EndNote Bibliography 字符"/>
    <w:basedOn w:val="a0"/>
    <w:link w:val="EndNoteBibliography"/>
    <w:qFormat/>
    <w:rPr>
      <w:rFonts w:eastAsiaTheme="minorEastAsia"/>
      <w:kern w:val="2"/>
      <w:szCs w:val="24"/>
    </w:rPr>
  </w:style>
  <w:style w:type="character" w:customStyle="1" w:styleId="1">
    <w:name w:val="未处理的提及1"/>
    <w:basedOn w:val="a0"/>
    <w:uiPriority w:val="99"/>
    <w:semiHidden/>
    <w:unhideWhenUsed/>
    <w:qFormat/>
    <w:rPr>
      <w:color w:val="605E5C"/>
      <w:shd w:val="clear" w:color="auto" w:fill="E1DFDD"/>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xl63">
    <w:name w:val="xl63"/>
    <w:basedOn w:val="a"/>
    <w:qFormat/>
    <w:pPr>
      <w:widowControl/>
      <w:spacing w:before="100" w:beforeAutospacing="1" w:after="100" w:afterAutospacing="1"/>
      <w:jc w:val="left"/>
    </w:pPr>
    <w:rPr>
      <w:rFonts w:ascii="宋体" w:eastAsia="宋体" w:hAnsi="宋体" w:cs="宋体"/>
      <w:kern w:val="0"/>
      <w:sz w:val="24"/>
    </w:rPr>
  </w:style>
  <w:style w:type="paragraph" w:customStyle="1" w:styleId="xl64">
    <w:name w:val="xl64"/>
    <w:basedOn w:val="a"/>
    <w:qFormat/>
    <w:pPr>
      <w:widowControl/>
      <w:spacing w:before="100" w:beforeAutospacing="1" w:after="100" w:afterAutospacing="1"/>
      <w:jc w:val="center"/>
    </w:pPr>
    <w:rPr>
      <w:rFonts w:ascii="宋体" w:eastAsia="宋体" w:hAnsi="宋体" w:cs="宋体"/>
      <w:kern w:val="0"/>
      <w:sz w:val="24"/>
    </w:rPr>
  </w:style>
  <w:style w:type="character" w:styleId="a5">
    <w:name w:val="Unresolved Mention"/>
    <w:basedOn w:val="a0"/>
    <w:uiPriority w:val="99"/>
    <w:semiHidden/>
    <w:unhideWhenUsed/>
    <w:rsid w:val="00230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journals.lww.com/hep/citation/2020/10000/immunotherapy_as_a_downstaging_therapy_for_liver.33.aspx" TargetMode="External"/><Relationship Id="rId21" Type="http://schemas.openxmlformats.org/officeDocument/2006/relationships/hyperlink" Target="https://www.amjtransplant.org/article/S1600-6135(23)00702-5/fulltext" TargetMode="External"/><Relationship Id="rId42" Type="http://schemas.openxmlformats.org/officeDocument/2006/relationships/hyperlink" Target="https://www.spandidos-publications.com/10.3892/ol.2023.14185" TargetMode="External"/><Relationship Id="rId47" Type="http://schemas.openxmlformats.org/officeDocument/2006/relationships/hyperlink" Target="https://journals.lww.com/ajg/fulltext/2018/10001/A_Case_of_Hepatocellular_Carcinoma__HCC_.2415.aspx" TargetMode="External"/><Relationship Id="rId63" Type="http://schemas.openxmlformats.org/officeDocument/2006/relationships/hyperlink" Target="https://jgo.amegroups.org/article/view/81217/html" TargetMode="External"/><Relationship Id="rId68" Type="http://schemas.openxmlformats.org/officeDocument/2006/relationships/hyperlink" Target="https://www.sciencedirect.com/science/article/abs/pii/S221074012300092X?via%3Dihub" TargetMode="External"/><Relationship Id="rId84" Type="http://schemas.openxmlformats.org/officeDocument/2006/relationships/hyperlink" Target="https://apm.amegroups.org/article/view/76531/html" TargetMode="External"/><Relationship Id="rId16" Type="http://schemas.openxmlformats.org/officeDocument/2006/relationships/hyperlink" Target="https://www.frontiersin.org/journals/immunology/articles/10.3389/fimmu.2023.1205997/full" TargetMode="External"/><Relationship Id="rId11" Type="http://schemas.openxmlformats.org/officeDocument/2006/relationships/hyperlink" Target="https://www.frontiersin.org/journals/medicine/articles/10.3389/fmed.2022.712466/full" TargetMode="External"/><Relationship Id="rId32" Type="http://schemas.openxmlformats.org/officeDocument/2006/relationships/hyperlink" Target="https://www.frontiersin.org/journals/oncology/articles/10.3389/fonc.2022.951303/full" TargetMode="External"/><Relationship Id="rId37" Type="http://schemas.openxmlformats.org/officeDocument/2006/relationships/hyperlink" Target="https://journals.lww.com/ajg/fulltext/2017/12000/preserved_liver_transplant_after_pd_1_pathway.35.aspx" TargetMode="External"/><Relationship Id="rId53" Type="http://schemas.openxmlformats.org/officeDocument/2006/relationships/hyperlink" Target="https://d.wanfangdata.com.cn/periodical/ChVQZXJpb2RpY2FsQ0hJMjAyNTA2MjISEXpocWd5ejk4MjAyMjA3MDAzGghzd3R2eGpybA%3D%3D" TargetMode="External"/><Relationship Id="rId58" Type="http://schemas.openxmlformats.org/officeDocument/2006/relationships/hyperlink" Target="https://link.springer.com/article/10.1007/s12029-024-01040-8" TargetMode="External"/><Relationship Id="rId74" Type="http://schemas.openxmlformats.org/officeDocument/2006/relationships/hyperlink" Target="https://www.jcehepatology.com/article/S0973-6883(24)00851-X/abstract" TargetMode="External"/><Relationship Id="rId79" Type="http://schemas.openxmlformats.org/officeDocument/2006/relationships/hyperlink" Target="https://www.amjtransplant.org/article/S1600-6135(22)08251-X/fulltext" TargetMode="External"/><Relationship Id="rId5" Type="http://schemas.openxmlformats.org/officeDocument/2006/relationships/hyperlink" Target="https://d.wanfangdata.com.cn/periodical/ChVQZXJpb2RpY2FsQ0hJMjAyNTA2MjISD3poeXp6ejIwMjIwMjAwORoINzhnbnV0eXM%3D" TargetMode="External"/><Relationship Id="rId19" Type="http://schemas.openxmlformats.org/officeDocument/2006/relationships/hyperlink" Target="https://www.amjtransplant.org/article/S1600-6135(22)22253-9/fulltext" TargetMode="External"/><Relationship Id="rId14" Type="http://schemas.openxmlformats.org/officeDocument/2006/relationships/hyperlink" Target="https://www.amjtransplant.org/article/S1600-6135(24)00072-8/fulltext" TargetMode="External"/><Relationship Id="rId22" Type="http://schemas.openxmlformats.org/officeDocument/2006/relationships/hyperlink" Target="https://www.sciencedirect.com/science/article/abs/pii/S1499387219302115?via%3Dihub" TargetMode="External"/><Relationship Id="rId27" Type="http://schemas.openxmlformats.org/officeDocument/2006/relationships/hyperlink" Target="https://www.mdpi.com/1718-7729/29/6/341" TargetMode="External"/><Relationship Id="rId30" Type="http://schemas.openxmlformats.org/officeDocument/2006/relationships/hyperlink" Target="https://karger.com/ddi/article-abstract/41/4/641/836922/Liver-Transplantation-after-Successful-Downstaging?redirectedFrom=fulltext" TargetMode="External"/><Relationship Id="rId35" Type="http://schemas.openxmlformats.org/officeDocument/2006/relationships/hyperlink" Target="https://journals.lww.com/ajg/abstract/2019/10001/2235_nivolumab_induced_severe_allograft_rejection.2236.aspx" TargetMode="External"/><Relationship Id="rId43" Type="http://schemas.openxmlformats.org/officeDocument/2006/relationships/hyperlink" Target="https://www.jcehepatology.com/article/S0973-6883(19)30283-X/abstract" TargetMode="External"/><Relationship Id="rId48" Type="http://schemas.openxmlformats.org/officeDocument/2006/relationships/hyperlink" Target="https://d.wanfangdata.com.cn/periodical/ChVQZXJpb2RpY2FsQ0hJMjAyNTA2MjISD3pnbGN5eDIwMjAwMzAyMxoIMzNpb2VzOHc%3D" TargetMode="External"/><Relationship Id="rId56" Type="http://schemas.openxmlformats.org/officeDocument/2006/relationships/hyperlink" Target="https://www.cureus.com/articles/43322-anti-programmed-cell-death-protein-1-pd-1-immunotherapy-for-metastatic-hepatocellular-carcinoma-after-liver-transplantation-a-report-of-three-cases" TargetMode="External"/><Relationship Id="rId64" Type="http://schemas.openxmlformats.org/officeDocument/2006/relationships/hyperlink" Target="https://academic.oup.com/bjs/article/111/3/znae048/7623266?login=false" TargetMode="External"/><Relationship Id="rId69" Type="http://schemas.openxmlformats.org/officeDocument/2006/relationships/hyperlink" Target="https://www.mdpi.com/2077-0383/13/11/3068" TargetMode="External"/><Relationship Id="rId77" Type="http://schemas.openxmlformats.org/officeDocument/2006/relationships/hyperlink" Target="https://www.journal-of-hepatology.eu/article/S0168-8278(24)02541-8/fulltext" TargetMode="External"/><Relationship Id="rId8" Type="http://schemas.openxmlformats.org/officeDocument/2006/relationships/hyperlink" Target="https://d.wanfangdata.com.cn/periodical/ChVQZXJpb2RpY2FsQ0hJMjAyNTA2MjISEXl3bHhieHp6MjAyNDAzMDExGgg2dm14ZG45bQ%3D%3D" TargetMode="External"/><Relationship Id="rId51" Type="http://schemas.openxmlformats.org/officeDocument/2006/relationships/hyperlink" Target="https://d.wanfangdata.com.cn/periodical/ChVQZXJpb2RpY2FsQ0hJMjAyNTA2MjISD3poZ2R3azIwMjIwMTAwNRoIaGd2NHFhdmE%3D" TargetMode="External"/><Relationship Id="rId72" Type="http://schemas.openxmlformats.org/officeDocument/2006/relationships/hyperlink" Target="https://www.journal-of-hepatology.eu/article/S0168-8278(24)00555-5/abstract" TargetMode="External"/><Relationship Id="rId80" Type="http://schemas.openxmlformats.org/officeDocument/2006/relationships/hyperlink" Target="https://journals.lww.com/international-journal-of-surgery/fulltext/2024/10000/pembrolizumab_in_combination_with_lenvatinib_in.58.aspx" TargetMode="External"/><Relationship Id="rId85" Type="http://schemas.openxmlformats.org/officeDocument/2006/relationships/hyperlink" Target="https://journals.lww.com/lt/fulltext/2023/06000/neoadjuvant_programmed_cell_death_1_inhibitor.7.aspx" TargetMode="External"/><Relationship Id="rId3" Type="http://schemas.openxmlformats.org/officeDocument/2006/relationships/webSettings" Target="webSettings.xml"/><Relationship Id="rId12" Type="http://schemas.openxmlformats.org/officeDocument/2006/relationships/hyperlink" Target="https://www.sciencedirect.com/science/article/pii/S1930043323008865?via%3Dihub" TargetMode="External"/><Relationship Id="rId17" Type="http://schemas.openxmlformats.org/officeDocument/2006/relationships/hyperlink" Target="https://journals.lww.com/transplantjournal/fulltext/2021/12000/durvalumab_as_a_successful_downstaging_therapy_for.43.aspx" TargetMode="External"/><Relationship Id="rId25" Type="http://schemas.openxmlformats.org/officeDocument/2006/relationships/hyperlink" Target="https://karger.com/ort/article/47/Suppl.%202/11/914493/Jahrestagung-der-Deutschen-Osterreichischen-und" TargetMode="External"/><Relationship Id="rId33" Type="http://schemas.openxmlformats.org/officeDocument/2006/relationships/hyperlink" Target="https://journals.lww.com/ajg/fulltext/2021/10001/s2780_nivolumab_as_a_bridge_to_liver.2784.aspx" TargetMode="External"/><Relationship Id="rId38" Type="http://schemas.openxmlformats.org/officeDocument/2006/relationships/hyperlink" Target="https://www.sciencedirect.com/science/article/abs/pii/S0966327421000265?via%3Dihub" TargetMode="External"/><Relationship Id="rId46" Type="http://schemas.openxmlformats.org/officeDocument/2006/relationships/hyperlink" Target="https://journals.lww.com/hep/citation/2021/07000/neoadjuvant_radiation_lobectomy_and_immunotherapy.43.aspx" TargetMode="External"/><Relationship Id="rId59" Type="http://schemas.openxmlformats.org/officeDocument/2006/relationships/hyperlink" Target="https://journals.lww.com/ajg/fulltext/2021/12000/immunotherapy_as_a_downstaging_tool_for_liver.36.aspx" TargetMode="External"/><Relationship Id="rId67" Type="http://schemas.openxmlformats.org/officeDocument/2006/relationships/hyperlink" Target="https://www.sciencedirect.com/science/article/pii/S2666967624000539" TargetMode="External"/><Relationship Id="rId20" Type="http://schemas.openxmlformats.org/officeDocument/2006/relationships/hyperlink" Target="https://www.sciencedirect.com/science/article/abs/pii/S0041134522006790?via%3Dihub" TargetMode="External"/><Relationship Id="rId41" Type="http://schemas.openxmlformats.org/officeDocument/2006/relationships/hyperlink" Target="https://karger.com/ort/article-abstract/45/7-8/430/826111/Successful-Liver-Transplantation-of-Recurrent?redirectedFrom=fulltext" TargetMode="External"/><Relationship Id="rId54" Type="http://schemas.openxmlformats.org/officeDocument/2006/relationships/hyperlink" Target="https://d.wanfangdata.com.cn/periodical/ChVQZXJpb2RpY2FsQ0hJMjAyNTA2MjISE3N5cWd5emR6enoyMDIyMDYwMDkaCHo4cHpkcXg2" TargetMode="External"/><Relationship Id="rId62" Type="http://schemas.openxmlformats.org/officeDocument/2006/relationships/hyperlink" Target="https://journals.lww.com/lt/citation/2021/03000/graft_programmed_death_ligand_1_expression_as_a.16.aspx" TargetMode="External"/><Relationship Id="rId70" Type="http://schemas.openxmlformats.org/officeDocument/2006/relationships/hyperlink" Target="https://jgo.amegroups.org/article/view/73986/html" TargetMode="External"/><Relationship Id="rId75" Type="http://schemas.openxmlformats.org/officeDocument/2006/relationships/hyperlink" Target="https://synapse.koreamed.org/articles/1516089507" TargetMode="External"/><Relationship Id="rId83" Type="http://schemas.openxmlformats.org/officeDocument/2006/relationships/hyperlink" Target="https://www.sciencedirect.com/science/article/pii/S2210261224010484?via%3Dihub"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wanfangdata.com.cn/periodical/ChVQZXJpb2RpY2FsQ0hJMjAyNTA2MjISEXpocWd5ejk4MjAyMjA1MDAzGghtdDVwdzVoZg%3D%3D" TargetMode="External"/><Relationship Id="rId15" Type="http://schemas.openxmlformats.org/officeDocument/2006/relationships/hyperlink" Target="https://www.frontiersin.org/journals/transplantation/articles/10.3389/frtra.2023.1211916/full" TargetMode="External"/><Relationship Id="rId23" Type="http://schemas.openxmlformats.org/officeDocument/2006/relationships/hyperlink" Target="https://journals.lww.com/transplantationdirect/fulltext/2022/04000/immune_checkpoint_inhibitor_therapy_before_liver.3.aspx" TargetMode="External"/><Relationship Id="rId28" Type="http://schemas.openxmlformats.org/officeDocument/2006/relationships/hyperlink" Target="https://www.tandfonline.com/doi/10.2217/imt-2020-0014?url_ver=Z39.88-2003&amp;rfr_id=ori:rid:crossref.org&amp;rfr_dat=cr_pub%20%200pubmed" TargetMode="External"/><Relationship Id="rId36" Type="http://schemas.openxmlformats.org/officeDocument/2006/relationships/hyperlink" Target="https://journals.lww.com/hep/citation/2018/03000/pembrolizumab_for_metastatic_hepatocellular.36.aspx" TargetMode="External"/><Relationship Id="rId49" Type="http://schemas.openxmlformats.org/officeDocument/2006/relationships/hyperlink" Target="https://zhyzzz.cma-cmc.com.cn/CN/10.3877/cma.j.issn.1674-3903.2021.06.003" TargetMode="External"/><Relationship Id="rId57" Type="http://schemas.openxmlformats.org/officeDocument/2006/relationships/hyperlink" Target="https://acsjournals.onlinelibrary.wiley.com/doi/10.1002/cncr.33134" TargetMode="External"/><Relationship Id="rId10" Type="http://schemas.openxmlformats.org/officeDocument/2006/relationships/hyperlink" Target="https://d.wanfangdata.com.cn/periodical/ChVQZXJpb2RpY2FsQ0hJMjAyNTA2MjISEWxueGRsY3drMjAyNDAxMDExGghhNHc5OHkycg%3D%3D" TargetMode="External"/><Relationship Id="rId31" Type="http://schemas.openxmlformats.org/officeDocument/2006/relationships/hyperlink" Target="https://www.wjgnet.com/1007-9327/full/v30/i36/4071.htm" TargetMode="External"/><Relationship Id="rId44" Type="http://schemas.openxmlformats.org/officeDocument/2006/relationships/hyperlink" Target="https://www.gastrojournal.org/article/S0016-5085(17)30268-8/fulltext?referrer=https%3A%2F%2Fpubmed.ncbi.nlm.nih.gov%2F" TargetMode="External"/><Relationship Id="rId52" Type="http://schemas.openxmlformats.org/officeDocument/2006/relationships/hyperlink" Target="https://d.wanfangdata.com.cn/periodical/ChVQZXJpb2RpY2FsQ0hJMjAyNTA2MjISEXpocWd5ejk4MjAyMjA1MDAyGghmd3FkaGlieg%3D%3D" TargetMode="External"/><Relationship Id="rId60" Type="http://schemas.openxmlformats.org/officeDocument/2006/relationships/hyperlink" Target="https://e-jlc.org/journal/view.php?doi=10.17998/jlc.2024.05.12" TargetMode="External"/><Relationship Id="rId65" Type="http://schemas.openxmlformats.org/officeDocument/2006/relationships/hyperlink" Target="https://jgo.amegroups.org/article/view/23076/19134" TargetMode="External"/><Relationship Id="rId73" Type="http://schemas.openxmlformats.org/officeDocument/2006/relationships/hyperlink" Target="https://www.amjtransplant.org/article/S1600-6135(24)00994-8/fulltext" TargetMode="External"/><Relationship Id="rId78" Type="http://schemas.openxmlformats.org/officeDocument/2006/relationships/hyperlink" Target="https://www.amjtransplant.org/article/S1600-6135(22)08563-X/fulltext" TargetMode="External"/><Relationship Id="rId81" Type="http://schemas.openxmlformats.org/officeDocument/2006/relationships/hyperlink" Target="https://www.sciencedirect.com/science/article/abs/pii/S1567576924019222?via%3Dihub" TargetMode="External"/><Relationship Id="rId86" Type="http://schemas.openxmlformats.org/officeDocument/2006/relationships/hyperlink" Target="https://www.amjtransplant.org/article/S1600-6135(24)00278-8/abstract" TargetMode="External"/><Relationship Id="rId4" Type="http://schemas.openxmlformats.org/officeDocument/2006/relationships/hyperlink" Target="https://d.wanfangdata.com.cn/periodical/ChVQZXJpb2RpY2FsQ0hJMjAyNTA2MjISDXFneXoyMDE2MDEwMDgaCDRya3FkMjU0" TargetMode="External"/><Relationship Id="rId9" Type="http://schemas.openxmlformats.org/officeDocument/2006/relationships/hyperlink" Target="https://zhgzwkssxdzzz.cma-cmc.com.cn/CN/10.3877/cma.j.issn.2095-3232.2024.01.017" TargetMode="External"/><Relationship Id="rId13" Type="http://schemas.openxmlformats.org/officeDocument/2006/relationships/hyperlink" Target="https://journals.lww.com/ajg/fulltext/2018/10001/Acute_Liver_Rejection_After_Exposure_to_Nivolumab.2336.aspx" TargetMode="External"/><Relationship Id="rId18" Type="http://schemas.openxmlformats.org/officeDocument/2006/relationships/hyperlink" Target="https://journals.lww.com/lt/citation/2021/06000/extending_the_use_of_atezolizumab_and_bevacizumab.20.aspx" TargetMode="External"/><Relationship Id="rId39" Type="http://schemas.openxmlformats.org/officeDocument/2006/relationships/hyperlink" Target="https://www.sciencedirect.com/science/article/abs/pii/S0966327424000959?via%3Dihub" TargetMode="External"/><Relationship Id="rId34" Type="http://schemas.openxmlformats.org/officeDocument/2006/relationships/hyperlink" Target="https://journals.lww.com/acgcr/fulltext/2020/07000/nivolumab_induced_autoimmune_like_cholestatic.9.aspx" TargetMode="External"/><Relationship Id="rId50" Type="http://schemas.openxmlformats.org/officeDocument/2006/relationships/hyperlink" Target="https://d.wanfangdata.com.cn/periodical/ChVQZXJpb2RpY2FsQ0hJMjAyNTA2MjISDXFneXoyMDIxMDQwMTEaCDZ3aTR1eXRl" TargetMode="External"/><Relationship Id="rId55" Type="http://schemas.openxmlformats.org/officeDocument/2006/relationships/hyperlink" Target="https://d.wanfangdata.com.cn/periodical/ChVQZXJpb2RpY2FsQ0hJMjAyNTA2MjISEXpocWd5ejk4MjAyMjA1MDA0GghkcGdtYXJnMg%3D%3D" TargetMode="External"/><Relationship Id="rId76" Type="http://schemas.openxmlformats.org/officeDocument/2006/relationships/hyperlink" Target="https://www.sciencedirect.com/science/article/abs/pii/S0041134523002324?via%3Dihub" TargetMode="External"/><Relationship Id="rId7" Type="http://schemas.openxmlformats.org/officeDocument/2006/relationships/hyperlink" Target="https://d.wanfangdata.com.cn/periodical/ChVQZXJpb2RpY2FsQ0hJMjAyNTA2MjISDXhod2syMDIyUzEwMDUaCGYyanAzMWV2" TargetMode="External"/><Relationship Id="rId71" Type="http://schemas.openxmlformats.org/officeDocument/2006/relationships/hyperlink" Target="https://journals.lww.com/lt/fulltext/2023/05000/feasibility,_safety,_and_outcome_of_second_line.13.aspx" TargetMode="External"/><Relationship Id="rId2" Type="http://schemas.openxmlformats.org/officeDocument/2006/relationships/settings" Target="settings.xml"/><Relationship Id="rId29" Type="http://schemas.openxmlformats.org/officeDocument/2006/relationships/hyperlink" Target="https://journals.lww.com/transplantationdirect/fulltext/2018/08000/liver_allograft_failure_after_nivolumab.4.aspx" TargetMode="External"/><Relationship Id="rId24" Type="http://schemas.openxmlformats.org/officeDocument/2006/relationships/hyperlink" Target="https://www.eurekaselect.com/article/106787" TargetMode="External"/><Relationship Id="rId40" Type="http://schemas.openxmlformats.org/officeDocument/2006/relationships/hyperlink" Target="https://onlinelibrary.wiley.com/doi/10.1111/petr.14209" TargetMode="External"/><Relationship Id="rId45" Type="http://schemas.openxmlformats.org/officeDocument/2006/relationships/hyperlink" Target="https://www.scielo.br/j/bjt/a/ZmKbcVnQrBVVBpdkgp7T5Nf/?lang=pt" TargetMode="External"/><Relationship Id="rId66" Type="http://schemas.openxmlformats.org/officeDocument/2006/relationships/hyperlink" Target="https://journals.lww.com/lt/citation/2022/05000/preliminary_evaluation_of_atezolizumab_plus.24.aspx" TargetMode="External"/><Relationship Id="rId87" Type="http://schemas.openxmlformats.org/officeDocument/2006/relationships/fontTable" Target="fontTable.xml"/><Relationship Id="rId61" Type="http://schemas.openxmlformats.org/officeDocument/2006/relationships/hyperlink" Target="https://onlinelibrary.wiley.com/doi/10.1002/pbc.26682" TargetMode="External"/><Relationship Id="rId82" Type="http://schemas.openxmlformats.org/officeDocument/2006/relationships/hyperlink" Target="https://link.springer.com/article/10.1007/s00262-024-03853-9"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262</TotalTime>
  <Pages>5</Pages>
  <Words>3815</Words>
  <Characters>21747</Characters>
  <Application>Microsoft Office Word</Application>
  <DocSecurity>0</DocSecurity>
  <Lines>181</Lines>
  <Paragraphs>51</Paragraphs>
  <ScaleCrop>false</ScaleCrop>
  <Company/>
  <LinksUpToDate>false</LinksUpToDate>
  <CharactersWithSpaces>25511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韦鹏程</cp:lastModifiedBy>
  <cp:revision>15</cp:revision>
  <dcterms:created xsi:type="dcterms:W3CDTF">2025-04-09T07:26:00Z</dcterms:created>
  <dcterms:modified xsi:type="dcterms:W3CDTF">2025-08-01T05:01:00Z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eyJoZGlkIjoiOWVmY2EyMzVjYjM4NzgyNzBlNDNkNTNlMmY1YTNhODUiLCJ1c2VySWQiOiI0MDk5MzIwOTgifQ==</vt:lpwstr>
  </property>
  <property fmtid="{D5CDD505-2E9C-101B-9397-08002B2CF9AE}" pid="4" name="ICV">
    <vt:lpwstr>E01DCFC965284414BACAF4806AE6269F_12</vt:lpwstr>
  </property>
</Properties>
</file>