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9671" w:type="dxa"/>
        <w:jc w:val="center"/>
        <w:tblLayout w:type="fixed"/>
        <w:tblLook w:val="04A0" w:firstRow="1" w:lastRow="0" w:firstColumn="1" w:lastColumn="0" w:noHBand="0" w:noVBand="1"/>
      </w:tblPr>
      <w:tblGrid>
        <w:gridCol w:w="8451"/>
        <w:gridCol w:w="1093"/>
        <w:gridCol w:w="1093"/>
        <w:gridCol w:w="1093"/>
        <w:gridCol w:w="1093"/>
        <w:gridCol w:w="1093"/>
        <w:gridCol w:w="1093"/>
        <w:gridCol w:w="1093"/>
        <w:gridCol w:w="1093"/>
        <w:gridCol w:w="902"/>
        <w:gridCol w:w="1574"/>
      </w:tblGrid>
      <w:tr w:rsidR="00C361F0" w14:paraId="340C5EC0" w14:textId="77777777">
        <w:trPr>
          <w:trHeight w:val="310"/>
          <w:jc w:val="center"/>
        </w:trPr>
        <w:tc>
          <w:tcPr>
            <w:tcW w:w="19671" w:type="dxa"/>
            <w:gridSpan w:val="11"/>
            <w:tcBorders>
              <w:top w:val="nil"/>
              <w:left w:val="nil"/>
              <w:bottom w:val="single" w:sz="12" w:space="0" w:color="auto"/>
              <w:right w:val="nil"/>
            </w:tcBorders>
            <w:shd w:val="clear" w:color="auto" w:fill="auto"/>
            <w:noWrap/>
            <w:vAlign w:val="center"/>
          </w:tcPr>
          <w:p w14:paraId="38D9DA09" w14:textId="45BAD9F0" w:rsidR="00C361F0" w:rsidRDefault="00426FEE">
            <w:pPr>
              <w:widowControl/>
              <w:jc w:val="left"/>
              <w:textAlignment w:val="center"/>
              <w:rPr>
                <w:rFonts w:ascii="Times New Roman" w:eastAsia="DengXian" w:hAnsi="Times New Roman" w:cs="Times New Roman"/>
                <w:color w:val="000000"/>
                <w:kern w:val="0"/>
                <w:sz w:val="22"/>
                <w:szCs w:val="22"/>
                <w:lang w:bidi="ar"/>
              </w:rPr>
            </w:pPr>
            <w:r w:rsidRPr="00426FEE">
              <w:rPr>
                <w:rFonts w:ascii="Times New Roman" w:eastAsia="DengXian" w:hAnsi="Times New Roman" w:cs="Times New Roman"/>
                <w:b/>
                <w:bCs/>
                <w:color w:val="000000"/>
                <w:kern w:val="0"/>
                <w:sz w:val="22"/>
                <w:szCs w:val="22"/>
                <w:lang w:bidi="ar"/>
              </w:rPr>
              <w:t>Table S</w:t>
            </w:r>
            <w:r>
              <w:rPr>
                <w:rFonts w:ascii="Times New Roman" w:eastAsia="DengXian" w:hAnsi="Times New Roman" w:cs="Times New Roman" w:hint="eastAsia"/>
                <w:b/>
                <w:bCs/>
                <w:color w:val="000000"/>
                <w:kern w:val="0"/>
                <w:sz w:val="22"/>
                <w:szCs w:val="22"/>
                <w:lang w:bidi="ar"/>
              </w:rPr>
              <w:t>2. Quality Assessment Checklist for Case Reports</w:t>
            </w:r>
          </w:p>
        </w:tc>
      </w:tr>
      <w:tr w:rsidR="00C361F0" w14:paraId="6F9F0E89" w14:textId="77777777">
        <w:trPr>
          <w:trHeight w:val="310"/>
          <w:jc w:val="center"/>
        </w:trPr>
        <w:tc>
          <w:tcPr>
            <w:tcW w:w="8451" w:type="dxa"/>
            <w:tcBorders>
              <w:top w:val="single" w:sz="12" w:space="0" w:color="auto"/>
              <w:left w:val="nil"/>
              <w:bottom w:val="single" w:sz="12" w:space="0" w:color="auto"/>
              <w:right w:val="nil"/>
            </w:tcBorders>
            <w:shd w:val="clear" w:color="auto" w:fill="auto"/>
            <w:noWrap/>
            <w:vAlign w:val="center"/>
          </w:tcPr>
          <w:p w14:paraId="0950BFC7" w14:textId="77777777" w:rsidR="00C361F0" w:rsidRDefault="00000000">
            <w:pPr>
              <w:widowControl/>
              <w:jc w:val="left"/>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Title</w:t>
            </w:r>
          </w:p>
        </w:tc>
        <w:tc>
          <w:tcPr>
            <w:tcW w:w="1093" w:type="dxa"/>
            <w:tcBorders>
              <w:top w:val="single" w:sz="12" w:space="0" w:color="auto"/>
              <w:left w:val="nil"/>
              <w:bottom w:val="single" w:sz="12" w:space="0" w:color="auto"/>
              <w:right w:val="nil"/>
            </w:tcBorders>
            <w:shd w:val="clear" w:color="auto" w:fill="auto"/>
            <w:noWrap/>
            <w:vAlign w:val="center"/>
          </w:tcPr>
          <w:p w14:paraId="260339F7"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Q1</w:t>
            </w:r>
          </w:p>
        </w:tc>
        <w:tc>
          <w:tcPr>
            <w:tcW w:w="1093" w:type="dxa"/>
            <w:tcBorders>
              <w:top w:val="single" w:sz="12" w:space="0" w:color="auto"/>
              <w:left w:val="nil"/>
              <w:bottom w:val="single" w:sz="12" w:space="0" w:color="auto"/>
              <w:right w:val="nil"/>
            </w:tcBorders>
            <w:shd w:val="clear" w:color="auto" w:fill="auto"/>
            <w:noWrap/>
            <w:vAlign w:val="center"/>
          </w:tcPr>
          <w:p w14:paraId="5501A886"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Q2</w:t>
            </w:r>
          </w:p>
        </w:tc>
        <w:tc>
          <w:tcPr>
            <w:tcW w:w="1093" w:type="dxa"/>
            <w:tcBorders>
              <w:top w:val="single" w:sz="12" w:space="0" w:color="auto"/>
              <w:left w:val="nil"/>
              <w:bottom w:val="single" w:sz="12" w:space="0" w:color="auto"/>
              <w:right w:val="nil"/>
            </w:tcBorders>
            <w:shd w:val="clear" w:color="auto" w:fill="auto"/>
            <w:noWrap/>
            <w:vAlign w:val="center"/>
          </w:tcPr>
          <w:p w14:paraId="657C25D1"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Q3</w:t>
            </w:r>
          </w:p>
        </w:tc>
        <w:tc>
          <w:tcPr>
            <w:tcW w:w="1093" w:type="dxa"/>
            <w:tcBorders>
              <w:top w:val="single" w:sz="12" w:space="0" w:color="auto"/>
              <w:left w:val="nil"/>
              <w:bottom w:val="single" w:sz="12" w:space="0" w:color="auto"/>
              <w:right w:val="nil"/>
            </w:tcBorders>
            <w:shd w:val="clear" w:color="auto" w:fill="auto"/>
            <w:noWrap/>
            <w:vAlign w:val="center"/>
          </w:tcPr>
          <w:p w14:paraId="335A5145"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Q4</w:t>
            </w:r>
          </w:p>
        </w:tc>
        <w:tc>
          <w:tcPr>
            <w:tcW w:w="1093" w:type="dxa"/>
            <w:tcBorders>
              <w:top w:val="single" w:sz="12" w:space="0" w:color="auto"/>
              <w:left w:val="nil"/>
              <w:bottom w:val="single" w:sz="12" w:space="0" w:color="auto"/>
              <w:right w:val="nil"/>
            </w:tcBorders>
            <w:shd w:val="clear" w:color="auto" w:fill="auto"/>
            <w:noWrap/>
            <w:vAlign w:val="center"/>
          </w:tcPr>
          <w:p w14:paraId="5037191E"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Q5</w:t>
            </w:r>
          </w:p>
        </w:tc>
        <w:tc>
          <w:tcPr>
            <w:tcW w:w="1093" w:type="dxa"/>
            <w:tcBorders>
              <w:top w:val="single" w:sz="12" w:space="0" w:color="auto"/>
              <w:left w:val="nil"/>
              <w:bottom w:val="single" w:sz="12" w:space="0" w:color="auto"/>
              <w:right w:val="nil"/>
            </w:tcBorders>
            <w:shd w:val="clear" w:color="auto" w:fill="auto"/>
            <w:noWrap/>
            <w:vAlign w:val="center"/>
          </w:tcPr>
          <w:p w14:paraId="15BBC97D"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Q6</w:t>
            </w:r>
          </w:p>
        </w:tc>
        <w:tc>
          <w:tcPr>
            <w:tcW w:w="1093" w:type="dxa"/>
            <w:tcBorders>
              <w:top w:val="single" w:sz="12" w:space="0" w:color="auto"/>
              <w:left w:val="nil"/>
              <w:bottom w:val="single" w:sz="12" w:space="0" w:color="auto"/>
              <w:right w:val="nil"/>
            </w:tcBorders>
            <w:shd w:val="clear" w:color="auto" w:fill="auto"/>
            <w:noWrap/>
            <w:vAlign w:val="center"/>
          </w:tcPr>
          <w:p w14:paraId="295E2DD4"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Q7</w:t>
            </w:r>
          </w:p>
        </w:tc>
        <w:tc>
          <w:tcPr>
            <w:tcW w:w="1093" w:type="dxa"/>
            <w:tcBorders>
              <w:top w:val="single" w:sz="12" w:space="0" w:color="auto"/>
              <w:left w:val="nil"/>
              <w:bottom w:val="single" w:sz="12" w:space="0" w:color="auto"/>
              <w:right w:val="nil"/>
            </w:tcBorders>
            <w:shd w:val="clear" w:color="auto" w:fill="auto"/>
            <w:noWrap/>
            <w:vAlign w:val="center"/>
          </w:tcPr>
          <w:p w14:paraId="46688338"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Q8</w:t>
            </w:r>
          </w:p>
        </w:tc>
        <w:tc>
          <w:tcPr>
            <w:tcW w:w="902" w:type="dxa"/>
            <w:tcBorders>
              <w:top w:val="single" w:sz="12" w:space="0" w:color="auto"/>
              <w:left w:val="nil"/>
              <w:bottom w:val="single" w:sz="12" w:space="0" w:color="auto"/>
              <w:right w:val="nil"/>
            </w:tcBorders>
            <w:shd w:val="clear" w:color="auto" w:fill="auto"/>
            <w:noWrap/>
            <w:vAlign w:val="center"/>
          </w:tcPr>
          <w:p w14:paraId="6DCA3019"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b/>
                <w:bCs/>
                <w:color w:val="000000"/>
                <w:kern w:val="0"/>
                <w:sz w:val="22"/>
                <w:szCs w:val="22"/>
                <w:lang w:bidi="ar"/>
              </w:rPr>
              <w:t xml:space="preserve">Total </w:t>
            </w:r>
            <w:proofErr w:type="spellStart"/>
            <w:r>
              <w:rPr>
                <w:rFonts w:ascii="Times New Roman" w:eastAsia="DengXian" w:hAnsi="Times New Roman" w:cs="Times New Roman"/>
                <w:b/>
                <w:bCs/>
                <w:color w:val="000000"/>
                <w:kern w:val="0"/>
                <w:sz w:val="22"/>
                <w:szCs w:val="22"/>
                <w:lang w:bidi="ar"/>
              </w:rPr>
              <w:t>Score</w:t>
            </w:r>
            <w:r>
              <w:rPr>
                <w:rFonts w:ascii="Times New Roman" w:eastAsia="DengXian" w:hAnsi="Times New Roman" w:cs="Times New Roman" w:hint="eastAsia"/>
                <w:b/>
                <w:bCs/>
                <w:color w:val="000000"/>
                <w:kern w:val="0"/>
                <w:sz w:val="22"/>
                <w:szCs w:val="22"/>
                <w:vertAlign w:val="superscript"/>
                <w:lang w:bidi="ar"/>
              </w:rPr>
              <w:t>a</w:t>
            </w:r>
            <w:proofErr w:type="spellEnd"/>
          </w:p>
        </w:tc>
        <w:tc>
          <w:tcPr>
            <w:tcW w:w="1574" w:type="dxa"/>
            <w:tcBorders>
              <w:top w:val="single" w:sz="12" w:space="0" w:color="auto"/>
              <w:left w:val="nil"/>
              <w:bottom w:val="single" w:sz="12" w:space="0" w:color="auto"/>
              <w:right w:val="nil"/>
            </w:tcBorders>
            <w:shd w:val="clear" w:color="auto" w:fill="auto"/>
            <w:noWrap/>
            <w:vAlign w:val="center"/>
          </w:tcPr>
          <w:p w14:paraId="16CDB942"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b/>
                <w:bCs/>
                <w:color w:val="000000"/>
                <w:kern w:val="0"/>
                <w:sz w:val="22"/>
                <w:szCs w:val="22"/>
                <w:lang w:bidi="ar"/>
              </w:rPr>
              <w:t xml:space="preserve">Quality </w:t>
            </w:r>
            <w:proofErr w:type="spellStart"/>
            <w:r>
              <w:rPr>
                <w:rFonts w:ascii="Times New Roman" w:eastAsia="DengXian" w:hAnsi="Times New Roman" w:cs="Times New Roman"/>
                <w:b/>
                <w:bCs/>
                <w:color w:val="000000"/>
                <w:kern w:val="0"/>
                <w:sz w:val="22"/>
                <w:szCs w:val="22"/>
                <w:lang w:bidi="ar"/>
              </w:rPr>
              <w:t>Assessment</w:t>
            </w:r>
            <w:r>
              <w:rPr>
                <w:rFonts w:ascii="Times New Roman" w:eastAsia="DengXian" w:hAnsi="Times New Roman" w:cs="Times New Roman" w:hint="eastAsia"/>
                <w:b/>
                <w:bCs/>
                <w:color w:val="000000"/>
                <w:kern w:val="0"/>
                <w:sz w:val="22"/>
                <w:szCs w:val="22"/>
                <w:vertAlign w:val="superscript"/>
                <w:lang w:bidi="ar"/>
              </w:rPr>
              <w:t>b</w:t>
            </w:r>
            <w:proofErr w:type="spellEnd"/>
          </w:p>
        </w:tc>
      </w:tr>
      <w:tr w:rsidR="00C361F0" w14:paraId="091FB47C" w14:textId="77777777">
        <w:trPr>
          <w:trHeight w:val="310"/>
          <w:jc w:val="center"/>
        </w:trPr>
        <w:tc>
          <w:tcPr>
            <w:tcW w:w="8451" w:type="dxa"/>
            <w:tcBorders>
              <w:top w:val="single" w:sz="12" w:space="0" w:color="auto"/>
              <w:left w:val="nil"/>
              <w:bottom w:val="nil"/>
              <w:right w:val="nil"/>
            </w:tcBorders>
            <w:shd w:val="clear" w:color="auto" w:fill="auto"/>
            <w:noWrap/>
            <w:vAlign w:val="center"/>
          </w:tcPr>
          <w:p w14:paraId="362756A5" w14:textId="4CE1EA2A" w:rsidR="00C361F0" w:rsidRDefault="00000000">
            <w:pPr>
              <w:widowControl/>
              <w:jc w:val="left"/>
              <w:textAlignment w:val="center"/>
              <w:rPr>
                <w:rFonts w:ascii="Times New Roman" w:eastAsia="DengXian" w:hAnsi="Times New Roman" w:cs="Times New Roman"/>
                <w:color w:val="000000"/>
                <w:sz w:val="22"/>
                <w:szCs w:val="22"/>
              </w:rPr>
            </w:pPr>
            <w:bookmarkStart w:id="0" w:name="OLE_LINK55"/>
            <w:r>
              <w:rPr>
                <w:rFonts w:ascii="Times New Roman" w:eastAsia="DengXian" w:hAnsi="Times New Roman" w:cs="Times New Roman"/>
                <w:color w:val="000000"/>
                <w:kern w:val="0"/>
                <w:sz w:val="22"/>
                <w:szCs w:val="22"/>
                <w:lang w:bidi="ar"/>
              </w:rPr>
              <w:t>程序性死亡受体（</w:t>
            </w:r>
            <w:r>
              <w:rPr>
                <w:rFonts w:ascii="Times New Roman" w:eastAsia="DengXian" w:hAnsi="Times New Roman" w:cs="Times New Roman"/>
                <w:color w:val="000000"/>
                <w:kern w:val="0"/>
                <w:sz w:val="22"/>
                <w:szCs w:val="22"/>
                <w:lang w:bidi="ar"/>
              </w:rPr>
              <w:t>PD</w:t>
            </w:r>
            <w:r>
              <w:rPr>
                <w:rFonts w:ascii="Times New Roman" w:eastAsia="DengXian" w:hAnsi="Times New Roman" w:cs="Times New Roman"/>
                <w:color w:val="000000"/>
                <w:kern w:val="0"/>
                <w:sz w:val="22"/>
                <w:szCs w:val="22"/>
                <w:lang w:bidi="ar"/>
              </w:rPr>
              <w:t>）</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单克隆抗体治疗肝癌肝移植术后复发诱发急性免疫性肝炎：附</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例报告</w:t>
            </w:r>
            <w:bookmarkEnd w:id="0"/>
          </w:p>
        </w:tc>
        <w:tc>
          <w:tcPr>
            <w:tcW w:w="1093" w:type="dxa"/>
            <w:tcBorders>
              <w:top w:val="single" w:sz="12" w:space="0" w:color="auto"/>
              <w:left w:val="nil"/>
              <w:bottom w:val="nil"/>
              <w:right w:val="nil"/>
            </w:tcBorders>
            <w:shd w:val="clear" w:color="auto" w:fill="auto"/>
            <w:noWrap/>
            <w:vAlign w:val="center"/>
          </w:tcPr>
          <w:p w14:paraId="2171661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single" w:sz="12" w:space="0" w:color="auto"/>
              <w:left w:val="nil"/>
              <w:bottom w:val="nil"/>
              <w:right w:val="nil"/>
            </w:tcBorders>
            <w:shd w:val="clear" w:color="auto" w:fill="auto"/>
            <w:noWrap/>
            <w:vAlign w:val="center"/>
          </w:tcPr>
          <w:p w14:paraId="19BBF95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single" w:sz="12" w:space="0" w:color="auto"/>
              <w:left w:val="nil"/>
              <w:bottom w:val="nil"/>
              <w:right w:val="nil"/>
            </w:tcBorders>
            <w:shd w:val="clear" w:color="auto" w:fill="auto"/>
            <w:noWrap/>
            <w:vAlign w:val="center"/>
          </w:tcPr>
          <w:p w14:paraId="585EDE6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single" w:sz="12" w:space="0" w:color="auto"/>
              <w:left w:val="nil"/>
              <w:bottom w:val="nil"/>
              <w:right w:val="nil"/>
            </w:tcBorders>
            <w:shd w:val="clear" w:color="auto" w:fill="auto"/>
            <w:noWrap/>
            <w:vAlign w:val="center"/>
          </w:tcPr>
          <w:p w14:paraId="3C4E608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single" w:sz="12" w:space="0" w:color="auto"/>
              <w:left w:val="nil"/>
              <w:bottom w:val="nil"/>
              <w:right w:val="nil"/>
            </w:tcBorders>
            <w:shd w:val="clear" w:color="auto" w:fill="auto"/>
            <w:noWrap/>
            <w:vAlign w:val="center"/>
          </w:tcPr>
          <w:p w14:paraId="30A3E4F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single" w:sz="12" w:space="0" w:color="auto"/>
              <w:left w:val="nil"/>
              <w:bottom w:val="nil"/>
              <w:right w:val="nil"/>
            </w:tcBorders>
            <w:shd w:val="clear" w:color="auto" w:fill="auto"/>
            <w:noWrap/>
            <w:vAlign w:val="center"/>
          </w:tcPr>
          <w:p w14:paraId="5B3A434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single" w:sz="12" w:space="0" w:color="auto"/>
              <w:left w:val="nil"/>
              <w:bottom w:val="nil"/>
              <w:right w:val="nil"/>
            </w:tcBorders>
            <w:shd w:val="clear" w:color="auto" w:fill="auto"/>
            <w:noWrap/>
            <w:vAlign w:val="center"/>
          </w:tcPr>
          <w:p w14:paraId="2CB99A2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single" w:sz="12" w:space="0" w:color="auto"/>
              <w:left w:val="nil"/>
              <w:bottom w:val="nil"/>
              <w:right w:val="nil"/>
            </w:tcBorders>
            <w:shd w:val="clear" w:color="auto" w:fill="auto"/>
            <w:noWrap/>
            <w:vAlign w:val="center"/>
          </w:tcPr>
          <w:p w14:paraId="794CE09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single" w:sz="12" w:space="0" w:color="auto"/>
              <w:left w:val="nil"/>
              <w:bottom w:val="nil"/>
              <w:right w:val="nil"/>
            </w:tcBorders>
            <w:shd w:val="clear" w:color="auto" w:fill="auto"/>
            <w:noWrap/>
            <w:vAlign w:val="center"/>
          </w:tcPr>
          <w:p w14:paraId="49D21DF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single" w:sz="12" w:space="0" w:color="auto"/>
              <w:left w:val="nil"/>
              <w:bottom w:val="nil"/>
              <w:right w:val="nil"/>
            </w:tcBorders>
            <w:shd w:val="clear" w:color="auto" w:fill="auto"/>
            <w:noWrap/>
            <w:vAlign w:val="center"/>
          </w:tcPr>
          <w:p w14:paraId="4649BAE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321C5816" w14:textId="77777777">
        <w:trPr>
          <w:trHeight w:val="310"/>
          <w:jc w:val="center"/>
        </w:trPr>
        <w:tc>
          <w:tcPr>
            <w:tcW w:w="8451" w:type="dxa"/>
            <w:tcBorders>
              <w:top w:val="nil"/>
              <w:left w:val="nil"/>
              <w:bottom w:val="nil"/>
              <w:right w:val="nil"/>
            </w:tcBorders>
            <w:shd w:val="clear" w:color="auto" w:fill="auto"/>
            <w:noWrap/>
            <w:vAlign w:val="center"/>
          </w:tcPr>
          <w:p w14:paraId="644A4DCF" w14:textId="0604977D" w:rsidR="00C361F0" w:rsidRDefault="00000000">
            <w:pPr>
              <w:widowControl/>
              <w:jc w:val="left"/>
              <w:textAlignment w:val="center"/>
              <w:rPr>
                <w:rFonts w:ascii="Times New Roman" w:eastAsia="DengXian" w:hAnsi="Times New Roman" w:cs="Times New Roman"/>
                <w:color w:val="000000"/>
                <w:sz w:val="22"/>
                <w:szCs w:val="22"/>
              </w:rPr>
            </w:pPr>
            <w:bookmarkStart w:id="1" w:name="OLE_LINK56"/>
            <w:r>
              <w:rPr>
                <w:rFonts w:ascii="Times New Roman" w:eastAsia="DengXian" w:hAnsi="Times New Roman" w:cs="Times New Roman"/>
                <w:color w:val="000000"/>
                <w:kern w:val="0"/>
                <w:sz w:val="22"/>
                <w:szCs w:val="22"/>
                <w:lang w:bidi="ar"/>
              </w:rPr>
              <w:t>肝癌肝移植术前使用程序性死亡受体</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抑制剂致术后重度混合性排斥反应一例</w:t>
            </w:r>
            <w:bookmarkEnd w:id="1"/>
          </w:p>
        </w:tc>
        <w:tc>
          <w:tcPr>
            <w:tcW w:w="1093" w:type="dxa"/>
            <w:tcBorders>
              <w:top w:val="nil"/>
              <w:left w:val="nil"/>
              <w:bottom w:val="nil"/>
              <w:right w:val="nil"/>
            </w:tcBorders>
            <w:shd w:val="clear" w:color="auto" w:fill="auto"/>
            <w:noWrap/>
            <w:vAlign w:val="center"/>
          </w:tcPr>
          <w:p w14:paraId="63E7173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0317BB6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1539D35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2D68DAA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1F847B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44E48D1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28DB98A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36A4615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34F4067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2</w:t>
            </w:r>
          </w:p>
        </w:tc>
        <w:tc>
          <w:tcPr>
            <w:tcW w:w="1574" w:type="dxa"/>
            <w:tcBorders>
              <w:top w:val="nil"/>
              <w:left w:val="nil"/>
              <w:bottom w:val="nil"/>
              <w:right w:val="nil"/>
            </w:tcBorders>
            <w:shd w:val="clear" w:color="auto" w:fill="auto"/>
            <w:noWrap/>
            <w:vAlign w:val="center"/>
          </w:tcPr>
          <w:p w14:paraId="6908E09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Low</w:t>
            </w:r>
          </w:p>
        </w:tc>
      </w:tr>
      <w:tr w:rsidR="00C361F0" w14:paraId="1A60DE23" w14:textId="77777777">
        <w:trPr>
          <w:trHeight w:val="310"/>
          <w:jc w:val="center"/>
        </w:trPr>
        <w:tc>
          <w:tcPr>
            <w:tcW w:w="8451" w:type="dxa"/>
            <w:tcBorders>
              <w:top w:val="nil"/>
              <w:left w:val="nil"/>
              <w:bottom w:val="nil"/>
              <w:right w:val="nil"/>
            </w:tcBorders>
            <w:shd w:val="clear" w:color="auto" w:fill="auto"/>
            <w:noWrap/>
            <w:vAlign w:val="center"/>
          </w:tcPr>
          <w:p w14:paraId="744D8895" w14:textId="11E12993" w:rsidR="00C361F0" w:rsidRDefault="00000000">
            <w:pPr>
              <w:widowControl/>
              <w:jc w:val="left"/>
              <w:textAlignment w:val="center"/>
              <w:rPr>
                <w:rFonts w:ascii="Times New Roman" w:eastAsia="DengXian" w:hAnsi="Times New Roman" w:cs="Times New Roman"/>
                <w:color w:val="000000"/>
                <w:sz w:val="22"/>
                <w:szCs w:val="22"/>
              </w:rPr>
            </w:pPr>
            <w:bookmarkStart w:id="2" w:name="OLE_LINK57"/>
            <w:r>
              <w:rPr>
                <w:rFonts w:ascii="Times New Roman" w:eastAsia="DengXian" w:hAnsi="Times New Roman" w:cs="Times New Roman"/>
                <w:color w:val="000000"/>
                <w:kern w:val="0"/>
                <w:sz w:val="22"/>
                <w:szCs w:val="22"/>
                <w:lang w:bidi="ar"/>
              </w:rPr>
              <w:t>肝移植术后应用免疫检查点抑制剂治疗</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例并文献复习</w:t>
            </w:r>
            <w:bookmarkEnd w:id="2"/>
          </w:p>
        </w:tc>
        <w:tc>
          <w:tcPr>
            <w:tcW w:w="1093" w:type="dxa"/>
            <w:tcBorders>
              <w:top w:val="nil"/>
              <w:left w:val="nil"/>
              <w:bottom w:val="nil"/>
              <w:right w:val="nil"/>
            </w:tcBorders>
            <w:shd w:val="clear" w:color="auto" w:fill="auto"/>
            <w:noWrap/>
            <w:vAlign w:val="center"/>
          </w:tcPr>
          <w:p w14:paraId="5825192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50C3525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5281FCB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44838B0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5239B6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2BC63F1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207B685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0724AD1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329A09B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2</w:t>
            </w:r>
          </w:p>
        </w:tc>
        <w:tc>
          <w:tcPr>
            <w:tcW w:w="1574" w:type="dxa"/>
            <w:tcBorders>
              <w:top w:val="nil"/>
              <w:left w:val="nil"/>
              <w:bottom w:val="nil"/>
              <w:right w:val="nil"/>
            </w:tcBorders>
            <w:shd w:val="clear" w:color="auto" w:fill="auto"/>
            <w:noWrap/>
            <w:vAlign w:val="center"/>
          </w:tcPr>
          <w:p w14:paraId="376871C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Low</w:t>
            </w:r>
          </w:p>
        </w:tc>
      </w:tr>
      <w:tr w:rsidR="00C361F0" w14:paraId="03794517" w14:textId="77777777">
        <w:trPr>
          <w:trHeight w:val="310"/>
          <w:jc w:val="center"/>
        </w:trPr>
        <w:tc>
          <w:tcPr>
            <w:tcW w:w="8451" w:type="dxa"/>
            <w:tcBorders>
              <w:top w:val="nil"/>
              <w:left w:val="nil"/>
              <w:bottom w:val="nil"/>
              <w:right w:val="nil"/>
            </w:tcBorders>
            <w:shd w:val="clear" w:color="auto" w:fill="auto"/>
            <w:noWrap/>
            <w:vAlign w:val="center"/>
          </w:tcPr>
          <w:p w14:paraId="0B6CB4F8" w14:textId="79345AE4"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阿替利珠单克隆抗体与贝伐珠单克隆抗体联合局部治疗在复发性肝癌肝移植前治疗中的临床疗效</w:t>
            </w:r>
          </w:p>
        </w:tc>
        <w:tc>
          <w:tcPr>
            <w:tcW w:w="1093" w:type="dxa"/>
            <w:tcBorders>
              <w:top w:val="nil"/>
              <w:left w:val="nil"/>
              <w:bottom w:val="nil"/>
              <w:right w:val="nil"/>
            </w:tcBorders>
            <w:shd w:val="clear" w:color="auto" w:fill="auto"/>
            <w:noWrap/>
            <w:vAlign w:val="center"/>
          </w:tcPr>
          <w:p w14:paraId="528688B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17399B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B9F855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D89997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475C5AE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F60FCD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5EE24E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21BD6E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125C9FA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464EE1A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32ECAF8" w14:textId="77777777">
        <w:trPr>
          <w:trHeight w:val="310"/>
          <w:jc w:val="center"/>
        </w:trPr>
        <w:tc>
          <w:tcPr>
            <w:tcW w:w="8451" w:type="dxa"/>
            <w:tcBorders>
              <w:top w:val="nil"/>
              <w:left w:val="nil"/>
              <w:bottom w:val="nil"/>
              <w:right w:val="nil"/>
            </w:tcBorders>
            <w:shd w:val="clear" w:color="auto" w:fill="auto"/>
            <w:noWrap/>
            <w:vAlign w:val="center"/>
          </w:tcPr>
          <w:p w14:paraId="6BFC7112" w14:textId="688FDDC7"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仑伐替尼联合替雷利珠单抗治疗肝细胞癌致结肠炎迅速进展</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例</w:t>
            </w:r>
          </w:p>
        </w:tc>
        <w:tc>
          <w:tcPr>
            <w:tcW w:w="1093" w:type="dxa"/>
            <w:tcBorders>
              <w:top w:val="nil"/>
              <w:left w:val="nil"/>
              <w:bottom w:val="nil"/>
              <w:right w:val="nil"/>
            </w:tcBorders>
            <w:shd w:val="clear" w:color="auto" w:fill="auto"/>
            <w:noWrap/>
            <w:vAlign w:val="center"/>
          </w:tcPr>
          <w:p w14:paraId="78B4789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636FB5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CFFFB3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D86509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D2AAB6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880E8D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86CE49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FF1293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06B7EBA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0183F5C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2FB3D376" w14:textId="77777777">
        <w:trPr>
          <w:trHeight w:val="310"/>
          <w:jc w:val="center"/>
        </w:trPr>
        <w:tc>
          <w:tcPr>
            <w:tcW w:w="8451" w:type="dxa"/>
            <w:tcBorders>
              <w:top w:val="nil"/>
              <w:left w:val="nil"/>
              <w:bottom w:val="nil"/>
              <w:right w:val="nil"/>
            </w:tcBorders>
            <w:shd w:val="clear" w:color="auto" w:fill="auto"/>
            <w:noWrap/>
            <w:vAlign w:val="center"/>
          </w:tcPr>
          <w:p w14:paraId="557EBF9A" w14:textId="723C0C5B"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肝癌肝移植术前应用</w:t>
            </w: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抑制剂后发生急性排斥反应一例并文献复习</w:t>
            </w:r>
          </w:p>
        </w:tc>
        <w:tc>
          <w:tcPr>
            <w:tcW w:w="1093" w:type="dxa"/>
            <w:tcBorders>
              <w:top w:val="nil"/>
              <w:left w:val="nil"/>
              <w:bottom w:val="nil"/>
              <w:right w:val="nil"/>
            </w:tcBorders>
            <w:shd w:val="clear" w:color="auto" w:fill="auto"/>
            <w:noWrap/>
            <w:vAlign w:val="center"/>
          </w:tcPr>
          <w:p w14:paraId="2DE80D9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19A01B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90B4E6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210FE1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4FC6A76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867D55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1A165C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04F480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7EB821F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0F5ED6C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1AD4BD7D" w14:textId="77777777">
        <w:trPr>
          <w:trHeight w:val="310"/>
          <w:jc w:val="center"/>
        </w:trPr>
        <w:tc>
          <w:tcPr>
            <w:tcW w:w="8451" w:type="dxa"/>
            <w:tcBorders>
              <w:top w:val="nil"/>
              <w:left w:val="nil"/>
              <w:bottom w:val="nil"/>
              <w:right w:val="nil"/>
            </w:tcBorders>
            <w:shd w:val="clear" w:color="auto" w:fill="auto"/>
            <w:noWrap/>
            <w:vAlign w:val="center"/>
          </w:tcPr>
          <w:p w14:paraId="07D82EF4" w14:textId="04B302F0"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钇</w:t>
            </w:r>
            <w:r>
              <w:rPr>
                <w:rFonts w:ascii="Times New Roman" w:eastAsia="DengXian" w:hAnsi="Times New Roman" w:cs="Times New Roman"/>
                <w:color w:val="000000"/>
                <w:kern w:val="0"/>
                <w:sz w:val="22"/>
                <w:szCs w:val="22"/>
                <w:lang w:bidi="ar"/>
              </w:rPr>
              <w:t>-90</w:t>
            </w:r>
            <w:r>
              <w:rPr>
                <w:rFonts w:ascii="Times New Roman" w:eastAsia="DengXian" w:hAnsi="Times New Roman" w:cs="Times New Roman"/>
                <w:color w:val="000000"/>
                <w:kern w:val="0"/>
                <w:sz w:val="22"/>
                <w:szCs w:val="22"/>
                <w:lang w:bidi="ar"/>
              </w:rPr>
              <w:t>微球放射栓塞联合靶向和免疫治疗后成功肝移植</w:t>
            </w:r>
            <w:r>
              <w:rPr>
                <w:rFonts w:ascii="Times New Roman" w:eastAsia="DengXian" w:hAnsi="Times New Roman" w:cs="Times New Roman"/>
                <w:color w:val="000000"/>
                <w:kern w:val="0"/>
                <w:sz w:val="22"/>
                <w:szCs w:val="22"/>
                <w:lang w:bidi="ar"/>
              </w:rPr>
              <w:t>:</w:t>
            </w:r>
            <w:r>
              <w:rPr>
                <w:rFonts w:ascii="Times New Roman" w:eastAsia="DengXian" w:hAnsi="Times New Roman" w:cs="Times New Roman"/>
                <w:color w:val="000000"/>
                <w:kern w:val="0"/>
                <w:sz w:val="22"/>
                <w:szCs w:val="22"/>
                <w:lang w:bidi="ar"/>
              </w:rPr>
              <w:t>一例报道并文献复习</w:t>
            </w:r>
          </w:p>
        </w:tc>
        <w:tc>
          <w:tcPr>
            <w:tcW w:w="1093" w:type="dxa"/>
            <w:tcBorders>
              <w:top w:val="nil"/>
              <w:left w:val="nil"/>
              <w:bottom w:val="nil"/>
              <w:right w:val="nil"/>
            </w:tcBorders>
            <w:shd w:val="clear" w:color="auto" w:fill="auto"/>
            <w:noWrap/>
            <w:vAlign w:val="center"/>
          </w:tcPr>
          <w:p w14:paraId="25DEE3C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EAB935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AD9F1D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AA415A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117298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E698FA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F5C3AD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FC86A1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1DE8432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61F472E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A756DC1" w14:textId="77777777">
        <w:trPr>
          <w:trHeight w:val="310"/>
          <w:jc w:val="center"/>
        </w:trPr>
        <w:tc>
          <w:tcPr>
            <w:tcW w:w="8451" w:type="dxa"/>
            <w:tcBorders>
              <w:top w:val="nil"/>
              <w:left w:val="nil"/>
              <w:bottom w:val="nil"/>
              <w:right w:val="nil"/>
            </w:tcBorders>
            <w:shd w:val="clear" w:color="auto" w:fill="auto"/>
            <w:noWrap/>
            <w:vAlign w:val="center"/>
          </w:tcPr>
          <w:p w14:paraId="28D6D432" w14:textId="628458AC" w:rsidR="00C361F0" w:rsidRDefault="00000000">
            <w:pPr>
              <w:widowControl/>
              <w:jc w:val="left"/>
              <w:textAlignment w:val="center"/>
              <w:rPr>
                <w:rFonts w:ascii="Times New Roman" w:eastAsia="DengXian" w:hAnsi="Times New Roman" w:cs="Times New Roman"/>
                <w:color w:val="000000"/>
                <w:sz w:val="22"/>
                <w:szCs w:val="22"/>
              </w:rPr>
            </w:pPr>
            <w:bookmarkStart w:id="3" w:name="OLE_LINK58"/>
            <w:r>
              <w:rPr>
                <w:rFonts w:ascii="Times New Roman" w:eastAsia="DengXian" w:hAnsi="Times New Roman" w:cs="Times New Roman"/>
                <w:color w:val="000000"/>
                <w:kern w:val="0"/>
                <w:sz w:val="22"/>
                <w:szCs w:val="22"/>
                <w:lang w:bidi="ar"/>
              </w:rPr>
              <w:t xml:space="preserve">A Patient </w:t>
            </w:r>
            <w:proofErr w:type="gramStart"/>
            <w:r>
              <w:rPr>
                <w:rFonts w:ascii="Times New Roman" w:eastAsia="DengXian" w:hAnsi="Times New Roman" w:cs="Times New Roman"/>
                <w:color w:val="000000"/>
                <w:kern w:val="0"/>
                <w:sz w:val="22"/>
                <w:szCs w:val="22"/>
                <w:lang w:bidi="ar"/>
              </w:rPr>
              <w:t>With</w:t>
            </w:r>
            <w:proofErr w:type="gramEnd"/>
            <w:r>
              <w:rPr>
                <w:rFonts w:ascii="Times New Roman" w:eastAsia="DengXian" w:hAnsi="Times New Roman" w:cs="Times New Roman"/>
                <w:color w:val="000000"/>
                <w:kern w:val="0"/>
                <w:sz w:val="22"/>
                <w:szCs w:val="22"/>
                <w:lang w:bidi="ar"/>
              </w:rPr>
              <w:t xml:space="preserve"> Failed Liver Transplantation After the Use of PD-1 Blockade Combined </w:t>
            </w:r>
            <w:proofErr w:type="gramStart"/>
            <w:r>
              <w:rPr>
                <w:rFonts w:ascii="Times New Roman" w:eastAsia="DengXian" w:hAnsi="Times New Roman" w:cs="Times New Roman"/>
                <w:color w:val="000000"/>
                <w:kern w:val="0"/>
                <w:sz w:val="22"/>
                <w:szCs w:val="22"/>
                <w:lang w:bidi="ar"/>
              </w:rPr>
              <w:t>With</w:t>
            </w:r>
            <w:proofErr w:type="gramEnd"/>
            <w:r>
              <w:rPr>
                <w:rFonts w:ascii="Times New Roman" w:eastAsia="DengXian" w:hAnsi="Times New Roman" w:cs="Times New Roman"/>
                <w:color w:val="000000"/>
                <w:kern w:val="0"/>
                <w:sz w:val="22"/>
                <w:szCs w:val="22"/>
                <w:lang w:bidi="ar"/>
              </w:rPr>
              <w:t xml:space="preserve"> </w:t>
            </w:r>
            <w:proofErr w:type="spellStart"/>
            <w:r>
              <w:rPr>
                <w:rFonts w:ascii="Times New Roman" w:eastAsia="DengXian" w:hAnsi="Times New Roman" w:cs="Times New Roman"/>
                <w:color w:val="000000"/>
                <w:kern w:val="0"/>
                <w:sz w:val="22"/>
                <w:szCs w:val="22"/>
                <w:lang w:bidi="ar"/>
              </w:rPr>
              <w:t>Lenvaxen</w:t>
            </w:r>
            <w:bookmarkEnd w:id="3"/>
            <w:proofErr w:type="spellEnd"/>
          </w:p>
        </w:tc>
        <w:tc>
          <w:tcPr>
            <w:tcW w:w="1093" w:type="dxa"/>
            <w:tcBorders>
              <w:top w:val="nil"/>
              <w:left w:val="nil"/>
              <w:bottom w:val="nil"/>
              <w:right w:val="nil"/>
            </w:tcBorders>
            <w:shd w:val="clear" w:color="auto" w:fill="auto"/>
            <w:noWrap/>
            <w:vAlign w:val="center"/>
          </w:tcPr>
          <w:p w14:paraId="03A11D8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CF5E16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0F1C17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BE641B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33BA68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43B5E1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896266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80EC65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5778472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7978A37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34AAB790" w14:textId="77777777">
        <w:trPr>
          <w:trHeight w:val="310"/>
          <w:jc w:val="center"/>
        </w:trPr>
        <w:tc>
          <w:tcPr>
            <w:tcW w:w="8451" w:type="dxa"/>
            <w:tcBorders>
              <w:top w:val="nil"/>
              <w:left w:val="nil"/>
              <w:bottom w:val="nil"/>
              <w:right w:val="nil"/>
            </w:tcBorders>
            <w:shd w:val="clear" w:color="auto" w:fill="auto"/>
            <w:noWrap/>
            <w:vAlign w:val="center"/>
          </w:tcPr>
          <w:p w14:paraId="133D267A" w14:textId="0A4AB420" w:rsidR="00C361F0" w:rsidRDefault="00000000">
            <w:pPr>
              <w:widowControl/>
              <w:jc w:val="left"/>
              <w:textAlignment w:val="center"/>
              <w:rPr>
                <w:rFonts w:ascii="Times New Roman" w:eastAsia="DengXian" w:hAnsi="Times New Roman" w:cs="Times New Roman"/>
                <w:color w:val="000000"/>
                <w:sz w:val="22"/>
                <w:szCs w:val="22"/>
              </w:rPr>
            </w:pPr>
            <w:bookmarkStart w:id="4" w:name="OLE_LINK59"/>
            <w:r>
              <w:rPr>
                <w:rFonts w:ascii="Times New Roman" w:eastAsia="DengXian" w:hAnsi="Times New Roman" w:cs="Times New Roman"/>
                <w:color w:val="000000"/>
                <w:kern w:val="0"/>
                <w:sz w:val="22"/>
                <w:szCs w:val="22"/>
                <w:lang w:bidi="ar"/>
              </w:rPr>
              <w:t>Abscopal downstaging of intermediate stage hepatocellular via combination cryoablation and immunotherapy with complete pathologic response</w:t>
            </w:r>
            <w:bookmarkEnd w:id="4"/>
          </w:p>
        </w:tc>
        <w:tc>
          <w:tcPr>
            <w:tcW w:w="1093" w:type="dxa"/>
            <w:tcBorders>
              <w:top w:val="nil"/>
              <w:left w:val="nil"/>
              <w:bottom w:val="nil"/>
              <w:right w:val="nil"/>
            </w:tcBorders>
            <w:shd w:val="clear" w:color="auto" w:fill="auto"/>
            <w:noWrap/>
            <w:vAlign w:val="center"/>
          </w:tcPr>
          <w:p w14:paraId="4DA3EC9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2F6D06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59EC46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C18BDD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33CCE3A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94F54B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BC2F54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099FA43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2B4D8E0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4AAB865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7D1BDAF6" w14:textId="77777777">
        <w:trPr>
          <w:trHeight w:val="310"/>
          <w:jc w:val="center"/>
        </w:trPr>
        <w:tc>
          <w:tcPr>
            <w:tcW w:w="8451" w:type="dxa"/>
            <w:tcBorders>
              <w:top w:val="nil"/>
              <w:left w:val="nil"/>
              <w:bottom w:val="nil"/>
              <w:right w:val="nil"/>
            </w:tcBorders>
            <w:shd w:val="clear" w:color="auto" w:fill="auto"/>
            <w:noWrap/>
            <w:vAlign w:val="center"/>
          </w:tcPr>
          <w:p w14:paraId="70AB600E" w14:textId="6EECE9D7" w:rsidR="00C361F0" w:rsidRDefault="00000000">
            <w:pPr>
              <w:widowControl/>
              <w:jc w:val="left"/>
              <w:textAlignment w:val="center"/>
              <w:rPr>
                <w:rFonts w:ascii="Times New Roman" w:eastAsia="DengXian" w:hAnsi="Times New Roman" w:cs="Times New Roman"/>
                <w:color w:val="000000"/>
                <w:sz w:val="22"/>
                <w:szCs w:val="22"/>
              </w:rPr>
            </w:pPr>
            <w:bookmarkStart w:id="5" w:name="OLE_LINK60"/>
            <w:r>
              <w:rPr>
                <w:rFonts w:ascii="Times New Roman" w:eastAsia="DengXian" w:hAnsi="Times New Roman" w:cs="Times New Roman"/>
                <w:color w:val="000000"/>
                <w:kern w:val="0"/>
                <w:sz w:val="22"/>
                <w:szCs w:val="22"/>
                <w:lang w:bidi="ar"/>
              </w:rPr>
              <w:t>Acute Liver Rejection After Exposure to Nivolumab in Treatment of Metastatic Hepatocellular Carcinoma</w:t>
            </w:r>
            <w:bookmarkEnd w:id="5"/>
          </w:p>
        </w:tc>
        <w:tc>
          <w:tcPr>
            <w:tcW w:w="1093" w:type="dxa"/>
            <w:tcBorders>
              <w:top w:val="nil"/>
              <w:left w:val="nil"/>
              <w:bottom w:val="nil"/>
              <w:right w:val="nil"/>
            </w:tcBorders>
            <w:shd w:val="clear" w:color="auto" w:fill="auto"/>
            <w:noWrap/>
            <w:vAlign w:val="center"/>
          </w:tcPr>
          <w:p w14:paraId="516F01D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576802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18220D7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510E40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C57E87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A720D8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4025B8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FD981E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42B7FFD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2588C3A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7B792E2" w14:textId="77777777">
        <w:trPr>
          <w:trHeight w:val="310"/>
          <w:jc w:val="center"/>
        </w:trPr>
        <w:tc>
          <w:tcPr>
            <w:tcW w:w="8451" w:type="dxa"/>
            <w:tcBorders>
              <w:top w:val="nil"/>
              <w:left w:val="nil"/>
              <w:bottom w:val="nil"/>
              <w:right w:val="nil"/>
            </w:tcBorders>
            <w:shd w:val="clear" w:color="auto" w:fill="auto"/>
            <w:noWrap/>
            <w:vAlign w:val="center"/>
          </w:tcPr>
          <w:p w14:paraId="586C1F36" w14:textId="11D3E27B" w:rsidR="00C361F0" w:rsidRDefault="00000000">
            <w:pPr>
              <w:widowControl/>
              <w:jc w:val="left"/>
              <w:textAlignment w:val="center"/>
              <w:rPr>
                <w:rFonts w:ascii="Times New Roman" w:eastAsia="DengXian" w:hAnsi="Times New Roman" w:cs="Times New Roman"/>
                <w:color w:val="000000"/>
                <w:sz w:val="22"/>
                <w:szCs w:val="22"/>
              </w:rPr>
            </w:pPr>
            <w:bookmarkStart w:id="6" w:name="OLE_LINK61"/>
            <w:r>
              <w:rPr>
                <w:rFonts w:ascii="Times New Roman" w:eastAsia="DengXian" w:hAnsi="Times New Roman" w:cs="Times New Roman"/>
                <w:color w:val="000000"/>
                <w:kern w:val="0"/>
                <w:sz w:val="22"/>
                <w:szCs w:val="22"/>
                <w:lang w:bidi="ar"/>
              </w:rPr>
              <w:t>Atezolizumab plus bevacizumab as a downstaging therapy for liver transplantation in hepatocellular carcinoma with portal vein thrombosis: The first report</w:t>
            </w:r>
            <w:bookmarkEnd w:id="6"/>
          </w:p>
        </w:tc>
        <w:tc>
          <w:tcPr>
            <w:tcW w:w="1093" w:type="dxa"/>
            <w:tcBorders>
              <w:top w:val="nil"/>
              <w:left w:val="nil"/>
              <w:bottom w:val="nil"/>
              <w:right w:val="nil"/>
            </w:tcBorders>
            <w:shd w:val="clear" w:color="auto" w:fill="auto"/>
            <w:noWrap/>
            <w:vAlign w:val="center"/>
          </w:tcPr>
          <w:p w14:paraId="3911784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F75EF0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7C9125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5C9842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22E4C22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5E5EA4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BECA9B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3E9E702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0A2F9CD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58967F0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54D6688A" w14:textId="77777777">
        <w:trPr>
          <w:trHeight w:val="310"/>
          <w:jc w:val="center"/>
        </w:trPr>
        <w:tc>
          <w:tcPr>
            <w:tcW w:w="8451" w:type="dxa"/>
            <w:tcBorders>
              <w:top w:val="nil"/>
              <w:left w:val="nil"/>
              <w:bottom w:val="nil"/>
              <w:right w:val="nil"/>
            </w:tcBorders>
            <w:shd w:val="clear" w:color="auto" w:fill="auto"/>
            <w:noWrap/>
            <w:vAlign w:val="center"/>
          </w:tcPr>
          <w:p w14:paraId="28441E87" w14:textId="08A44874" w:rsidR="00C361F0" w:rsidRDefault="00000000">
            <w:pPr>
              <w:widowControl/>
              <w:jc w:val="left"/>
              <w:textAlignment w:val="center"/>
              <w:rPr>
                <w:rFonts w:ascii="Times New Roman" w:eastAsia="DengXian" w:hAnsi="Times New Roman" w:cs="Times New Roman"/>
                <w:color w:val="000000"/>
                <w:sz w:val="22"/>
                <w:szCs w:val="22"/>
              </w:rPr>
            </w:pPr>
            <w:bookmarkStart w:id="7" w:name="OLE_LINK62"/>
            <w:r>
              <w:rPr>
                <w:rFonts w:ascii="Times New Roman" w:eastAsia="DengXian" w:hAnsi="Times New Roman" w:cs="Times New Roman"/>
                <w:color w:val="000000"/>
                <w:kern w:val="0"/>
                <w:sz w:val="22"/>
                <w:szCs w:val="22"/>
                <w:lang w:bidi="ar"/>
              </w:rPr>
              <w:t>Case report: Predictability of clinical response and rejection risk after immune checkpoint inhibition in liver transplantation</w:t>
            </w:r>
            <w:bookmarkEnd w:id="7"/>
          </w:p>
        </w:tc>
        <w:tc>
          <w:tcPr>
            <w:tcW w:w="1093" w:type="dxa"/>
            <w:tcBorders>
              <w:top w:val="nil"/>
              <w:left w:val="nil"/>
              <w:bottom w:val="nil"/>
              <w:right w:val="nil"/>
            </w:tcBorders>
            <w:shd w:val="clear" w:color="auto" w:fill="auto"/>
            <w:noWrap/>
            <w:vAlign w:val="center"/>
          </w:tcPr>
          <w:p w14:paraId="5FD8826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3684BB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4ADAA4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CDF959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09D1C0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B58F4F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DEADF2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916CA3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1DD4396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471767A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75F5E75B" w14:textId="77777777">
        <w:trPr>
          <w:trHeight w:val="310"/>
          <w:jc w:val="center"/>
        </w:trPr>
        <w:tc>
          <w:tcPr>
            <w:tcW w:w="8451" w:type="dxa"/>
            <w:tcBorders>
              <w:top w:val="nil"/>
              <w:left w:val="nil"/>
              <w:bottom w:val="nil"/>
              <w:right w:val="nil"/>
            </w:tcBorders>
            <w:shd w:val="clear" w:color="auto" w:fill="auto"/>
            <w:noWrap/>
            <w:vAlign w:val="center"/>
          </w:tcPr>
          <w:p w14:paraId="5B98ED5C" w14:textId="217C2D5C" w:rsidR="00C361F0" w:rsidRDefault="00000000">
            <w:pPr>
              <w:widowControl/>
              <w:jc w:val="left"/>
              <w:textAlignment w:val="center"/>
              <w:rPr>
                <w:rFonts w:ascii="Times New Roman" w:eastAsia="DengXian" w:hAnsi="Times New Roman" w:cs="Times New Roman"/>
                <w:color w:val="000000"/>
                <w:sz w:val="22"/>
                <w:szCs w:val="22"/>
              </w:rPr>
            </w:pPr>
            <w:bookmarkStart w:id="8" w:name="OLE_LINK63"/>
            <w:r>
              <w:rPr>
                <w:rFonts w:ascii="Times New Roman" w:eastAsia="DengXian" w:hAnsi="Times New Roman" w:cs="Times New Roman"/>
                <w:color w:val="000000"/>
                <w:kern w:val="0"/>
                <w:sz w:val="22"/>
                <w:szCs w:val="22"/>
                <w:lang w:bidi="ar"/>
              </w:rPr>
              <w:t>Case Report: Successful liver transplantation after achieving complete clinical remission of advanced HCC with Atezolizumab plus Bevacizumab combination therapy</w:t>
            </w:r>
            <w:bookmarkEnd w:id="8"/>
          </w:p>
        </w:tc>
        <w:tc>
          <w:tcPr>
            <w:tcW w:w="1093" w:type="dxa"/>
            <w:tcBorders>
              <w:top w:val="nil"/>
              <w:left w:val="nil"/>
              <w:bottom w:val="nil"/>
              <w:right w:val="nil"/>
            </w:tcBorders>
            <w:shd w:val="clear" w:color="auto" w:fill="auto"/>
            <w:noWrap/>
            <w:vAlign w:val="center"/>
          </w:tcPr>
          <w:p w14:paraId="42AA6F0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A56BB1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8B7787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18774D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0CFA7F8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888AB1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75CFF5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B87646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28307BF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6F0E439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52C2BB47" w14:textId="77777777">
        <w:trPr>
          <w:trHeight w:val="310"/>
          <w:jc w:val="center"/>
        </w:trPr>
        <w:tc>
          <w:tcPr>
            <w:tcW w:w="8451" w:type="dxa"/>
            <w:tcBorders>
              <w:top w:val="nil"/>
              <w:left w:val="nil"/>
              <w:bottom w:val="nil"/>
              <w:right w:val="nil"/>
            </w:tcBorders>
            <w:shd w:val="clear" w:color="auto" w:fill="auto"/>
            <w:noWrap/>
            <w:vAlign w:val="center"/>
          </w:tcPr>
          <w:p w14:paraId="2AF36B0D" w14:textId="33E4E423" w:rsidR="00C361F0" w:rsidRDefault="00000000">
            <w:pPr>
              <w:widowControl/>
              <w:jc w:val="left"/>
              <w:textAlignment w:val="center"/>
              <w:rPr>
                <w:rFonts w:ascii="Times New Roman" w:eastAsia="DengXian" w:hAnsi="Times New Roman" w:cs="Times New Roman"/>
                <w:color w:val="000000"/>
                <w:sz w:val="22"/>
                <w:szCs w:val="22"/>
              </w:rPr>
            </w:pPr>
            <w:bookmarkStart w:id="9" w:name="OLE_LINK64"/>
            <w:r>
              <w:rPr>
                <w:rFonts w:ascii="Times New Roman" w:eastAsia="DengXian" w:hAnsi="Times New Roman" w:cs="Times New Roman"/>
                <w:color w:val="000000"/>
                <w:kern w:val="0"/>
                <w:sz w:val="22"/>
                <w:szCs w:val="22"/>
                <w:lang w:bidi="ar"/>
              </w:rPr>
              <w:t>Durvalumab as a Successful Downstaging Therapy for Liver Transplantation in Hepatocellular Carcinoma: The Importance of a Washout Period</w:t>
            </w:r>
            <w:bookmarkEnd w:id="9"/>
          </w:p>
        </w:tc>
        <w:tc>
          <w:tcPr>
            <w:tcW w:w="1093" w:type="dxa"/>
            <w:tcBorders>
              <w:top w:val="nil"/>
              <w:left w:val="nil"/>
              <w:bottom w:val="nil"/>
              <w:right w:val="nil"/>
            </w:tcBorders>
            <w:shd w:val="clear" w:color="auto" w:fill="auto"/>
            <w:noWrap/>
            <w:vAlign w:val="center"/>
          </w:tcPr>
          <w:p w14:paraId="0105D8D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8084DE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677F7E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7D391B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D8AD82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A18E78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70C5E8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6ECEAEB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619C928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1EA74A7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051790E4" w14:textId="77777777">
        <w:trPr>
          <w:trHeight w:val="310"/>
          <w:jc w:val="center"/>
        </w:trPr>
        <w:tc>
          <w:tcPr>
            <w:tcW w:w="8451" w:type="dxa"/>
            <w:tcBorders>
              <w:top w:val="nil"/>
              <w:left w:val="nil"/>
              <w:bottom w:val="nil"/>
              <w:right w:val="nil"/>
            </w:tcBorders>
            <w:shd w:val="clear" w:color="auto" w:fill="auto"/>
            <w:noWrap/>
            <w:vAlign w:val="center"/>
          </w:tcPr>
          <w:p w14:paraId="2B3E21DE" w14:textId="6F10D1A7" w:rsidR="00C361F0" w:rsidRDefault="00000000">
            <w:pPr>
              <w:widowControl/>
              <w:jc w:val="left"/>
              <w:textAlignment w:val="center"/>
              <w:rPr>
                <w:rFonts w:ascii="Times New Roman" w:eastAsia="DengXian" w:hAnsi="Times New Roman" w:cs="Times New Roman"/>
                <w:color w:val="000000"/>
                <w:sz w:val="22"/>
                <w:szCs w:val="22"/>
              </w:rPr>
            </w:pPr>
            <w:bookmarkStart w:id="10" w:name="OLE_LINK65"/>
            <w:r>
              <w:rPr>
                <w:rFonts w:ascii="Times New Roman" w:eastAsia="DengXian" w:hAnsi="Times New Roman" w:cs="Times New Roman"/>
                <w:color w:val="000000"/>
                <w:kern w:val="0"/>
                <w:sz w:val="22"/>
                <w:szCs w:val="22"/>
                <w:lang w:bidi="ar"/>
              </w:rPr>
              <w:t>Extending the Use of Atezolizumab and Bevacizumab to a Liver Transplant Recipient: Need for a Posttransplant Registry</w:t>
            </w:r>
            <w:bookmarkEnd w:id="10"/>
          </w:p>
        </w:tc>
        <w:tc>
          <w:tcPr>
            <w:tcW w:w="1093" w:type="dxa"/>
            <w:tcBorders>
              <w:top w:val="nil"/>
              <w:left w:val="nil"/>
              <w:bottom w:val="nil"/>
              <w:right w:val="nil"/>
            </w:tcBorders>
            <w:shd w:val="clear" w:color="auto" w:fill="auto"/>
            <w:noWrap/>
            <w:vAlign w:val="center"/>
          </w:tcPr>
          <w:p w14:paraId="45BE57C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78DE79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B58505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74138C9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1C55FBF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222C9EB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AFE712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393DD37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14C9DC4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4</w:t>
            </w:r>
          </w:p>
        </w:tc>
        <w:tc>
          <w:tcPr>
            <w:tcW w:w="1574" w:type="dxa"/>
            <w:tcBorders>
              <w:top w:val="nil"/>
              <w:left w:val="nil"/>
              <w:bottom w:val="nil"/>
              <w:right w:val="nil"/>
            </w:tcBorders>
            <w:shd w:val="clear" w:color="auto" w:fill="auto"/>
            <w:noWrap/>
            <w:vAlign w:val="center"/>
          </w:tcPr>
          <w:p w14:paraId="6056DD6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Low</w:t>
            </w:r>
          </w:p>
        </w:tc>
      </w:tr>
      <w:tr w:rsidR="00C361F0" w14:paraId="1FB2787E" w14:textId="77777777">
        <w:trPr>
          <w:trHeight w:val="310"/>
          <w:jc w:val="center"/>
        </w:trPr>
        <w:tc>
          <w:tcPr>
            <w:tcW w:w="8451" w:type="dxa"/>
            <w:tcBorders>
              <w:top w:val="nil"/>
              <w:left w:val="nil"/>
              <w:bottom w:val="nil"/>
              <w:right w:val="nil"/>
            </w:tcBorders>
            <w:shd w:val="clear" w:color="auto" w:fill="auto"/>
            <w:noWrap/>
            <w:vAlign w:val="center"/>
          </w:tcPr>
          <w:p w14:paraId="12D8022F" w14:textId="7347E3AF" w:rsidR="00C361F0" w:rsidRDefault="00000000">
            <w:pPr>
              <w:widowControl/>
              <w:jc w:val="left"/>
              <w:textAlignment w:val="center"/>
              <w:rPr>
                <w:rFonts w:ascii="Times New Roman" w:eastAsia="DengXian" w:hAnsi="Times New Roman" w:cs="Times New Roman"/>
                <w:color w:val="000000"/>
                <w:sz w:val="22"/>
                <w:szCs w:val="22"/>
              </w:rPr>
            </w:pPr>
            <w:bookmarkStart w:id="11" w:name="OLE_LINK66"/>
            <w:r>
              <w:rPr>
                <w:rFonts w:ascii="Times New Roman" w:eastAsia="DengXian" w:hAnsi="Times New Roman" w:cs="Times New Roman"/>
                <w:color w:val="000000"/>
                <w:kern w:val="0"/>
                <w:sz w:val="22"/>
                <w:szCs w:val="22"/>
                <w:lang w:bidi="ar"/>
              </w:rPr>
              <w:t>Fatal graft-versus-host disease in recipient with pretransplant exposure to immune checkpoint inhibitors and donor-dominant one-way HLA matching after liver transplantation: A case report</w:t>
            </w:r>
            <w:bookmarkEnd w:id="11"/>
          </w:p>
        </w:tc>
        <w:tc>
          <w:tcPr>
            <w:tcW w:w="1093" w:type="dxa"/>
            <w:tcBorders>
              <w:top w:val="nil"/>
              <w:left w:val="nil"/>
              <w:bottom w:val="nil"/>
              <w:right w:val="nil"/>
            </w:tcBorders>
            <w:shd w:val="clear" w:color="auto" w:fill="auto"/>
            <w:noWrap/>
            <w:vAlign w:val="center"/>
          </w:tcPr>
          <w:p w14:paraId="1AC0037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6F8412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F3C7AC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A05933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083D193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7137A4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7565CA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47DC7C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0703FB7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4888110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2A6CB3AA" w14:textId="77777777">
        <w:trPr>
          <w:trHeight w:val="310"/>
          <w:jc w:val="center"/>
        </w:trPr>
        <w:tc>
          <w:tcPr>
            <w:tcW w:w="8451" w:type="dxa"/>
            <w:tcBorders>
              <w:top w:val="nil"/>
              <w:left w:val="nil"/>
              <w:bottom w:val="nil"/>
              <w:right w:val="nil"/>
            </w:tcBorders>
            <w:shd w:val="clear" w:color="auto" w:fill="auto"/>
            <w:noWrap/>
            <w:vAlign w:val="center"/>
          </w:tcPr>
          <w:p w14:paraId="6D21F158" w14:textId="3B593187" w:rsidR="00C361F0" w:rsidRDefault="00000000">
            <w:pPr>
              <w:widowControl/>
              <w:jc w:val="left"/>
              <w:textAlignment w:val="center"/>
              <w:rPr>
                <w:rFonts w:ascii="Times New Roman" w:eastAsia="DengXian" w:hAnsi="Times New Roman" w:cs="Times New Roman"/>
                <w:color w:val="000000"/>
                <w:sz w:val="22"/>
                <w:szCs w:val="22"/>
              </w:rPr>
            </w:pPr>
            <w:bookmarkStart w:id="12" w:name="OLE_LINK67"/>
            <w:r>
              <w:rPr>
                <w:rFonts w:ascii="Times New Roman" w:eastAsia="DengXian" w:hAnsi="Times New Roman" w:cs="Times New Roman"/>
                <w:color w:val="000000"/>
                <w:kern w:val="0"/>
                <w:sz w:val="22"/>
                <w:szCs w:val="22"/>
                <w:lang w:bidi="ar"/>
              </w:rPr>
              <w:t>Fatal hepatic necrosis after nivolumab as a bridge to liver transplant for HCC: Are checkpoint inhibitors safe for the pretransplant patient?</w:t>
            </w:r>
            <w:bookmarkEnd w:id="12"/>
            <w:r w:rsidR="00A47392">
              <w:rPr>
                <w:rFonts w:ascii="Times New Roman" w:eastAsia="DengXian" w:hAnsi="Times New Roman" w:cs="Times New Roman"/>
                <w:color w:val="000000"/>
                <w:sz w:val="22"/>
                <w:szCs w:val="22"/>
              </w:rPr>
              <w:t xml:space="preserve"> </w:t>
            </w:r>
          </w:p>
        </w:tc>
        <w:tc>
          <w:tcPr>
            <w:tcW w:w="1093" w:type="dxa"/>
            <w:tcBorders>
              <w:top w:val="nil"/>
              <w:left w:val="nil"/>
              <w:bottom w:val="nil"/>
              <w:right w:val="nil"/>
            </w:tcBorders>
            <w:shd w:val="clear" w:color="auto" w:fill="auto"/>
            <w:noWrap/>
            <w:vAlign w:val="center"/>
          </w:tcPr>
          <w:p w14:paraId="7629284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19CA20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551AB0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43361A4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71A53B7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9784AA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C82107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FC5691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31582A3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76C844E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34E2CF4A" w14:textId="77777777">
        <w:trPr>
          <w:trHeight w:val="310"/>
          <w:jc w:val="center"/>
        </w:trPr>
        <w:tc>
          <w:tcPr>
            <w:tcW w:w="8451" w:type="dxa"/>
            <w:tcBorders>
              <w:top w:val="nil"/>
              <w:left w:val="nil"/>
              <w:bottom w:val="nil"/>
              <w:right w:val="nil"/>
            </w:tcBorders>
            <w:shd w:val="clear" w:color="auto" w:fill="auto"/>
            <w:noWrap/>
            <w:vAlign w:val="center"/>
          </w:tcPr>
          <w:p w14:paraId="5DD28D49" w14:textId="67CDD4EB" w:rsidR="00C361F0" w:rsidRDefault="00000000">
            <w:pPr>
              <w:widowControl/>
              <w:jc w:val="left"/>
              <w:textAlignment w:val="center"/>
              <w:rPr>
                <w:rFonts w:ascii="Times New Roman" w:eastAsia="DengXian" w:hAnsi="Times New Roman" w:cs="Times New Roman"/>
                <w:color w:val="000000"/>
                <w:sz w:val="22"/>
                <w:szCs w:val="22"/>
              </w:rPr>
            </w:pPr>
            <w:bookmarkStart w:id="13" w:name="OLE_LINK68"/>
            <w:r>
              <w:rPr>
                <w:rFonts w:ascii="Times New Roman" w:eastAsia="DengXian" w:hAnsi="Times New Roman" w:cs="Times New Roman"/>
                <w:color w:val="000000"/>
                <w:kern w:val="0"/>
                <w:sz w:val="22"/>
                <w:szCs w:val="22"/>
                <w:lang w:bidi="ar"/>
              </w:rPr>
              <w:t xml:space="preserve">Finding </w:t>
            </w:r>
            <w:proofErr w:type="spellStart"/>
            <w:r>
              <w:rPr>
                <w:rFonts w:ascii="Times New Roman" w:eastAsia="DengXian" w:hAnsi="Times New Roman" w:cs="Times New Roman"/>
                <w:color w:val="000000"/>
                <w:kern w:val="0"/>
                <w:sz w:val="22"/>
                <w:szCs w:val="22"/>
                <w:lang w:bidi="ar"/>
              </w:rPr>
              <w:t>Nivo</w:t>
            </w:r>
            <w:proofErr w:type="spellEnd"/>
            <w:r>
              <w:rPr>
                <w:rFonts w:ascii="Times New Roman" w:eastAsia="DengXian" w:hAnsi="Times New Roman" w:cs="Times New Roman"/>
                <w:color w:val="000000"/>
                <w:kern w:val="0"/>
                <w:sz w:val="22"/>
                <w:szCs w:val="22"/>
                <w:lang w:bidi="ar"/>
              </w:rPr>
              <w:t>: A Case Report of 2 Forms of Nivolumab-Induced Liver Injury in an Allograft Liver in the Immediate Post-Transplant Period</w:t>
            </w:r>
            <w:bookmarkEnd w:id="13"/>
          </w:p>
        </w:tc>
        <w:tc>
          <w:tcPr>
            <w:tcW w:w="1093" w:type="dxa"/>
            <w:tcBorders>
              <w:top w:val="nil"/>
              <w:left w:val="nil"/>
              <w:bottom w:val="nil"/>
              <w:right w:val="nil"/>
            </w:tcBorders>
            <w:shd w:val="clear" w:color="auto" w:fill="auto"/>
            <w:noWrap/>
            <w:vAlign w:val="center"/>
          </w:tcPr>
          <w:p w14:paraId="675B5A2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598F25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3E9091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B6FBC1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D0B01E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E4B953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59F6A3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6C154F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2AC8FEB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2614C29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217538E1" w14:textId="77777777">
        <w:trPr>
          <w:trHeight w:val="310"/>
          <w:jc w:val="center"/>
        </w:trPr>
        <w:tc>
          <w:tcPr>
            <w:tcW w:w="8451" w:type="dxa"/>
            <w:tcBorders>
              <w:top w:val="nil"/>
              <w:left w:val="nil"/>
              <w:bottom w:val="nil"/>
              <w:right w:val="nil"/>
            </w:tcBorders>
            <w:shd w:val="clear" w:color="auto" w:fill="auto"/>
            <w:noWrap/>
            <w:vAlign w:val="center"/>
          </w:tcPr>
          <w:p w14:paraId="6C80624B" w14:textId="5BD9DC98" w:rsidR="00C361F0" w:rsidRDefault="00000000">
            <w:pPr>
              <w:widowControl/>
              <w:jc w:val="left"/>
              <w:textAlignment w:val="center"/>
              <w:rPr>
                <w:rFonts w:ascii="Times New Roman" w:eastAsia="DengXian" w:hAnsi="Times New Roman" w:cs="Times New Roman"/>
                <w:color w:val="000000"/>
                <w:sz w:val="22"/>
                <w:szCs w:val="22"/>
              </w:rPr>
            </w:pPr>
            <w:bookmarkStart w:id="14" w:name="_Hlk195725017"/>
            <w:r>
              <w:rPr>
                <w:rFonts w:ascii="Times New Roman" w:eastAsia="DengXian" w:hAnsi="Times New Roman" w:cs="Times New Roman"/>
                <w:color w:val="000000"/>
                <w:kern w:val="0"/>
                <w:sz w:val="22"/>
                <w:szCs w:val="22"/>
                <w:lang w:bidi="ar"/>
              </w:rPr>
              <w:t>First-in-human liver transplantation from a centenarian deceased donor after brain death</w:t>
            </w:r>
          </w:p>
        </w:tc>
        <w:tc>
          <w:tcPr>
            <w:tcW w:w="1093" w:type="dxa"/>
            <w:tcBorders>
              <w:top w:val="nil"/>
              <w:left w:val="nil"/>
              <w:bottom w:val="nil"/>
              <w:right w:val="nil"/>
            </w:tcBorders>
            <w:shd w:val="clear" w:color="auto" w:fill="auto"/>
            <w:noWrap/>
            <w:vAlign w:val="center"/>
          </w:tcPr>
          <w:p w14:paraId="22BCFC2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0D74D9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519BFC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513325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612241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4BFAB3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6161F3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124155A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21C179F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2CDE992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52C6D389" w14:textId="77777777">
        <w:trPr>
          <w:trHeight w:val="310"/>
          <w:jc w:val="center"/>
        </w:trPr>
        <w:tc>
          <w:tcPr>
            <w:tcW w:w="8451" w:type="dxa"/>
            <w:tcBorders>
              <w:top w:val="nil"/>
              <w:left w:val="nil"/>
              <w:bottom w:val="nil"/>
              <w:right w:val="nil"/>
            </w:tcBorders>
            <w:shd w:val="clear" w:color="auto" w:fill="auto"/>
            <w:noWrap/>
            <w:vAlign w:val="center"/>
          </w:tcPr>
          <w:p w14:paraId="6F364C51" w14:textId="2558D46B" w:rsidR="00C361F0" w:rsidRDefault="00000000">
            <w:pPr>
              <w:widowControl/>
              <w:jc w:val="left"/>
              <w:textAlignment w:val="center"/>
              <w:rPr>
                <w:rFonts w:ascii="Times New Roman" w:eastAsia="DengXian" w:hAnsi="Times New Roman" w:cs="Times New Roman"/>
                <w:color w:val="000000"/>
                <w:sz w:val="22"/>
                <w:szCs w:val="22"/>
              </w:rPr>
            </w:pPr>
            <w:bookmarkStart w:id="15" w:name="OLE_LINK71"/>
            <w:bookmarkEnd w:id="14"/>
            <w:r>
              <w:rPr>
                <w:rFonts w:ascii="Times New Roman" w:eastAsia="DengXian" w:hAnsi="Times New Roman" w:cs="Times New Roman"/>
                <w:color w:val="000000"/>
                <w:kern w:val="0"/>
                <w:sz w:val="22"/>
                <w:szCs w:val="22"/>
                <w:lang w:bidi="ar"/>
              </w:rPr>
              <w:t>Immune checkpoint inhibitor for hepatocellular carcinoma recurrence after liver transplantation</w:t>
            </w:r>
            <w:bookmarkEnd w:id="15"/>
          </w:p>
        </w:tc>
        <w:tc>
          <w:tcPr>
            <w:tcW w:w="1093" w:type="dxa"/>
            <w:tcBorders>
              <w:top w:val="nil"/>
              <w:left w:val="nil"/>
              <w:bottom w:val="nil"/>
              <w:right w:val="nil"/>
            </w:tcBorders>
            <w:shd w:val="clear" w:color="auto" w:fill="auto"/>
            <w:noWrap/>
            <w:vAlign w:val="center"/>
          </w:tcPr>
          <w:p w14:paraId="2F64A0C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F6125B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57519A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FEFCF5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3AFE253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746A86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F932EC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3BAC225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1D52723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3E3FD24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3D4ED97C" w14:textId="77777777">
        <w:trPr>
          <w:trHeight w:val="310"/>
          <w:jc w:val="center"/>
        </w:trPr>
        <w:tc>
          <w:tcPr>
            <w:tcW w:w="8451" w:type="dxa"/>
            <w:tcBorders>
              <w:top w:val="nil"/>
              <w:left w:val="nil"/>
              <w:bottom w:val="nil"/>
              <w:right w:val="nil"/>
            </w:tcBorders>
            <w:shd w:val="clear" w:color="auto" w:fill="auto"/>
            <w:noWrap/>
            <w:vAlign w:val="center"/>
          </w:tcPr>
          <w:p w14:paraId="3512B288" w14:textId="4FF0973F" w:rsidR="00C361F0" w:rsidRDefault="00000000">
            <w:pPr>
              <w:widowControl/>
              <w:jc w:val="left"/>
              <w:textAlignment w:val="center"/>
              <w:rPr>
                <w:rFonts w:ascii="Times New Roman" w:eastAsia="DengXian" w:hAnsi="Times New Roman" w:cs="Times New Roman"/>
                <w:color w:val="000000"/>
                <w:sz w:val="22"/>
                <w:szCs w:val="22"/>
              </w:rPr>
            </w:pPr>
            <w:bookmarkStart w:id="16" w:name="_Hlk195725073"/>
            <w:r>
              <w:rPr>
                <w:rFonts w:ascii="Times New Roman" w:eastAsia="DengXian" w:hAnsi="Times New Roman" w:cs="Times New Roman"/>
                <w:color w:val="000000"/>
                <w:kern w:val="0"/>
                <w:sz w:val="22"/>
                <w:szCs w:val="22"/>
                <w:lang w:bidi="ar"/>
              </w:rPr>
              <w:t>Immune Checkpoint Inhibitor Therapy before Liver Transplantation - Case and Literature Review</w:t>
            </w:r>
          </w:p>
        </w:tc>
        <w:tc>
          <w:tcPr>
            <w:tcW w:w="1093" w:type="dxa"/>
            <w:tcBorders>
              <w:top w:val="nil"/>
              <w:left w:val="nil"/>
              <w:bottom w:val="nil"/>
              <w:right w:val="nil"/>
            </w:tcBorders>
            <w:shd w:val="clear" w:color="auto" w:fill="auto"/>
            <w:noWrap/>
            <w:vAlign w:val="center"/>
          </w:tcPr>
          <w:p w14:paraId="67F0328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2072FE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E80C26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E639A2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2AF8913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A1CF36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396425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93FAA1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05BCE1E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30B210D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3BA2D700" w14:textId="77777777">
        <w:trPr>
          <w:trHeight w:val="310"/>
          <w:jc w:val="center"/>
        </w:trPr>
        <w:tc>
          <w:tcPr>
            <w:tcW w:w="8451" w:type="dxa"/>
            <w:tcBorders>
              <w:top w:val="nil"/>
              <w:left w:val="nil"/>
              <w:bottom w:val="nil"/>
              <w:right w:val="nil"/>
            </w:tcBorders>
            <w:shd w:val="clear" w:color="auto" w:fill="auto"/>
            <w:noWrap/>
            <w:vAlign w:val="center"/>
          </w:tcPr>
          <w:p w14:paraId="407A21FE" w14:textId="5BE73888" w:rsidR="00C361F0" w:rsidRDefault="00000000">
            <w:pPr>
              <w:widowControl/>
              <w:jc w:val="left"/>
              <w:textAlignment w:val="center"/>
              <w:rPr>
                <w:rFonts w:ascii="Times New Roman" w:eastAsia="DengXian" w:hAnsi="Times New Roman" w:cs="Times New Roman"/>
                <w:color w:val="000000"/>
                <w:sz w:val="22"/>
                <w:szCs w:val="22"/>
              </w:rPr>
            </w:pPr>
            <w:bookmarkStart w:id="17" w:name="OLE_LINK74"/>
            <w:bookmarkEnd w:id="16"/>
            <w:r>
              <w:rPr>
                <w:rFonts w:ascii="Times New Roman" w:eastAsia="DengXian" w:hAnsi="Times New Roman" w:cs="Times New Roman"/>
                <w:color w:val="000000"/>
                <w:kern w:val="0"/>
                <w:sz w:val="22"/>
                <w:szCs w:val="22"/>
                <w:lang w:bidi="ar"/>
              </w:rPr>
              <w:t>Immune Checkpoint Inhibitors in Patients with Recurrent Hepatocellular Carcinoma after Liver Transplantation: A Case Report and Literature Review</w:t>
            </w:r>
            <w:bookmarkEnd w:id="17"/>
          </w:p>
        </w:tc>
        <w:tc>
          <w:tcPr>
            <w:tcW w:w="1093" w:type="dxa"/>
            <w:tcBorders>
              <w:top w:val="nil"/>
              <w:left w:val="nil"/>
              <w:bottom w:val="nil"/>
              <w:right w:val="nil"/>
            </w:tcBorders>
            <w:shd w:val="clear" w:color="auto" w:fill="auto"/>
            <w:noWrap/>
            <w:vAlign w:val="center"/>
          </w:tcPr>
          <w:p w14:paraId="7AAE4F4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3B09D1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D1E9CD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3ADE45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0D62B0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92A6AC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292403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7A369B7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2EE9BA6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21D43DE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7D5E2EE6" w14:textId="77777777">
        <w:trPr>
          <w:trHeight w:val="310"/>
          <w:jc w:val="center"/>
        </w:trPr>
        <w:tc>
          <w:tcPr>
            <w:tcW w:w="8451" w:type="dxa"/>
            <w:tcBorders>
              <w:top w:val="nil"/>
              <w:left w:val="nil"/>
              <w:bottom w:val="nil"/>
              <w:right w:val="nil"/>
            </w:tcBorders>
            <w:shd w:val="clear" w:color="auto" w:fill="auto"/>
            <w:noWrap/>
            <w:vAlign w:val="center"/>
          </w:tcPr>
          <w:p w14:paraId="70F72337" w14:textId="5070A1C8" w:rsidR="00C361F0" w:rsidRDefault="00000000">
            <w:pPr>
              <w:widowControl/>
              <w:jc w:val="left"/>
              <w:textAlignment w:val="center"/>
              <w:rPr>
                <w:rFonts w:ascii="Times New Roman" w:eastAsia="DengXian" w:hAnsi="Times New Roman" w:cs="Times New Roman"/>
                <w:color w:val="000000"/>
                <w:sz w:val="22"/>
                <w:szCs w:val="22"/>
              </w:rPr>
            </w:pPr>
            <w:bookmarkStart w:id="18" w:name="OLE_LINK75"/>
            <w:r w:rsidRPr="00AC760A">
              <w:rPr>
                <w:rFonts w:ascii="Times New Roman" w:eastAsia="DengXian" w:hAnsi="Times New Roman" w:cs="Times New Roman"/>
                <w:color w:val="000000"/>
                <w:kern w:val="0"/>
                <w:sz w:val="22"/>
                <w:szCs w:val="22"/>
                <w:lang w:bidi="ar"/>
              </w:rPr>
              <w:t>Immune checkpoint inhibitors in post-liver transplant of hepatocellular carcinoma: A case report</w:t>
            </w:r>
            <w:bookmarkEnd w:id="18"/>
          </w:p>
        </w:tc>
        <w:tc>
          <w:tcPr>
            <w:tcW w:w="1093" w:type="dxa"/>
            <w:tcBorders>
              <w:top w:val="nil"/>
              <w:left w:val="nil"/>
              <w:bottom w:val="nil"/>
              <w:right w:val="nil"/>
            </w:tcBorders>
            <w:shd w:val="clear" w:color="auto" w:fill="auto"/>
            <w:noWrap/>
            <w:vAlign w:val="center"/>
          </w:tcPr>
          <w:p w14:paraId="3938BFA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C5AAB0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7A8DBA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07614C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B8E9A1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2CFA00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4AFD33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C7D8D4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1D3D95E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04154E0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D50D014" w14:textId="77777777">
        <w:trPr>
          <w:trHeight w:val="310"/>
          <w:jc w:val="center"/>
        </w:trPr>
        <w:tc>
          <w:tcPr>
            <w:tcW w:w="8451" w:type="dxa"/>
            <w:tcBorders>
              <w:top w:val="nil"/>
              <w:left w:val="nil"/>
              <w:bottom w:val="nil"/>
              <w:right w:val="nil"/>
            </w:tcBorders>
            <w:shd w:val="clear" w:color="auto" w:fill="auto"/>
            <w:noWrap/>
            <w:vAlign w:val="center"/>
          </w:tcPr>
          <w:p w14:paraId="3A0C08F3" w14:textId="0BFB5079" w:rsidR="00C361F0" w:rsidRDefault="00000000">
            <w:pPr>
              <w:widowControl/>
              <w:jc w:val="left"/>
              <w:textAlignment w:val="center"/>
              <w:rPr>
                <w:rFonts w:ascii="Times New Roman" w:eastAsia="DengXian" w:hAnsi="Times New Roman" w:cs="Times New Roman"/>
                <w:color w:val="000000"/>
                <w:sz w:val="22"/>
                <w:szCs w:val="22"/>
              </w:rPr>
            </w:pPr>
            <w:bookmarkStart w:id="19" w:name="OLE_LINK76"/>
            <w:r>
              <w:rPr>
                <w:rFonts w:ascii="Times New Roman" w:eastAsia="DengXian" w:hAnsi="Times New Roman" w:cs="Times New Roman"/>
                <w:color w:val="000000"/>
                <w:kern w:val="0"/>
                <w:sz w:val="22"/>
                <w:szCs w:val="22"/>
                <w:lang w:bidi="ar"/>
              </w:rPr>
              <w:lastRenderedPageBreak/>
              <w:t>Immunotherapy as a Downstaging Therapy for Liver Transplantation</w:t>
            </w:r>
            <w:bookmarkEnd w:id="19"/>
          </w:p>
        </w:tc>
        <w:tc>
          <w:tcPr>
            <w:tcW w:w="1093" w:type="dxa"/>
            <w:tcBorders>
              <w:top w:val="nil"/>
              <w:left w:val="nil"/>
              <w:bottom w:val="nil"/>
              <w:right w:val="nil"/>
            </w:tcBorders>
            <w:shd w:val="clear" w:color="auto" w:fill="auto"/>
            <w:noWrap/>
            <w:vAlign w:val="center"/>
          </w:tcPr>
          <w:p w14:paraId="02A9DF1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884770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D74EBC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753A50E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24C7931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5BCB23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60A794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54BBAD9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387D647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5</w:t>
            </w:r>
          </w:p>
        </w:tc>
        <w:tc>
          <w:tcPr>
            <w:tcW w:w="1574" w:type="dxa"/>
            <w:tcBorders>
              <w:top w:val="nil"/>
              <w:left w:val="nil"/>
              <w:bottom w:val="nil"/>
              <w:right w:val="nil"/>
            </w:tcBorders>
            <w:shd w:val="clear" w:color="auto" w:fill="auto"/>
            <w:noWrap/>
            <w:vAlign w:val="center"/>
          </w:tcPr>
          <w:p w14:paraId="21471AA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54FFB674" w14:textId="77777777">
        <w:trPr>
          <w:trHeight w:val="310"/>
          <w:jc w:val="center"/>
        </w:trPr>
        <w:tc>
          <w:tcPr>
            <w:tcW w:w="8451" w:type="dxa"/>
            <w:tcBorders>
              <w:top w:val="nil"/>
              <w:left w:val="nil"/>
              <w:bottom w:val="nil"/>
              <w:right w:val="nil"/>
            </w:tcBorders>
            <w:shd w:val="clear" w:color="auto" w:fill="auto"/>
            <w:noWrap/>
            <w:vAlign w:val="center"/>
          </w:tcPr>
          <w:p w14:paraId="168AF247" w14:textId="434AEB21" w:rsidR="00C361F0" w:rsidRDefault="00000000">
            <w:pPr>
              <w:widowControl/>
              <w:jc w:val="left"/>
              <w:textAlignment w:val="center"/>
              <w:rPr>
                <w:rFonts w:ascii="Times New Roman" w:eastAsia="DengXian" w:hAnsi="Times New Roman" w:cs="Times New Roman"/>
                <w:color w:val="000000"/>
                <w:sz w:val="22"/>
                <w:szCs w:val="22"/>
              </w:rPr>
            </w:pPr>
            <w:bookmarkStart w:id="20" w:name="OLE_LINK77"/>
            <w:r>
              <w:rPr>
                <w:rFonts w:ascii="Times New Roman" w:eastAsia="DengXian" w:hAnsi="Times New Roman" w:cs="Times New Roman"/>
                <w:color w:val="000000"/>
                <w:kern w:val="0"/>
                <w:sz w:val="22"/>
                <w:szCs w:val="22"/>
                <w:lang w:bidi="ar"/>
              </w:rPr>
              <w:t xml:space="preserve">Immunotherapy as a Downstaging Tool for Liver Transplantation in </w:t>
            </w:r>
            <w:proofErr w:type="gramStart"/>
            <w:r>
              <w:rPr>
                <w:rFonts w:ascii="Times New Roman" w:eastAsia="DengXian" w:hAnsi="Times New Roman" w:cs="Times New Roman"/>
                <w:color w:val="000000"/>
                <w:kern w:val="0"/>
                <w:sz w:val="22"/>
                <w:szCs w:val="22"/>
                <w:lang w:bidi="ar"/>
              </w:rPr>
              <w:t>Hepatocellular  Carcinoma</w:t>
            </w:r>
            <w:bookmarkEnd w:id="20"/>
            <w:proofErr w:type="gramEnd"/>
          </w:p>
        </w:tc>
        <w:tc>
          <w:tcPr>
            <w:tcW w:w="1093" w:type="dxa"/>
            <w:tcBorders>
              <w:top w:val="nil"/>
              <w:left w:val="nil"/>
              <w:bottom w:val="nil"/>
              <w:right w:val="nil"/>
            </w:tcBorders>
            <w:shd w:val="clear" w:color="auto" w:fill="auto"/>
            <w:noWrap/>
            <w:vAlign w:val="center"/>
          </w:tcPr>
          <w:p w14:paraId="3EB6638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B56961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026F41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1B6D8F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3EC988E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904C1F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D628BB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5B7C17D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4D2DE65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3A6BBE9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1F4896EA" w14:textId="77777777">
        <w:trPr>
          <w:trHeight w:val="310"/>
          <w:jc w:val="center"/>
        </w:trPr>
        <w:tc>
          <w:tcPr>
            <w:tcW w:w="8451" w:type="dxa"/>
            <w:tcBorders>
              <w:top w:val="nil"/>
              <w:left w:val="nil"/>
              <w:bottom w:val="nil"/>
              <w:right w:val="nil"/>
            </w:tcBorders>
            <w:shd w:val="clear" w:color="auto" w:fill="auto"/>
            <w:noWrap/>
            <w:vAlign w:val="center"/>
          </w:tcPr>
          <w:p w14:paraId="0CF19A93" w14:textId="2C2B1B2B" w:rsidR="00C361F0" w:rsidRDefault="00000000">
            <w:pPr>
              <w:widowControl/>
              <w:jc w:val="left"/>
              <w:textAlignment w:val="center"/>
              <w:rPr>
                <w:rFonts w:ascii="Times New Roman" w:eastAsia="DengXian" w:hAnsi="Times New Roman" w:cs="Times New Roman"/>
                <w:color w:val="000000"/>
                <w:sz w:val="22"/>
                <w:szCs w:val="22"/>
              </w:rPr>
            </w:pPr>
            <w:bookmarkStart w:id="21" w:name="OLE_LINK78"/>
            <w:r>
              <w:rPr>
                <w:rFonts w:ascii="Times New Roman" w:eastAsia="DengXian" w:hAnsi="Times New Roman" w:cs="Times New Roman"/>
                <w:color w:val="000000"/>
                <w:kern w:val="0"/>
                <w:sz w:val="22"/>
                <w:szCs w:val="22"/>
                <w:lang w:bidi="ar"/>
              </w:rPr>
              <w:t>Immunotherapy as a Neoadjuvant Therapy for a Patient with Hepatocellular Carcinoma in the Pretransplant Setting: A Case Report</w:t>
            </w:r>
            <w:bookmarkEnd w:id="21"/>
          </w:p>
        </w:tc>
        <w:tc>
          <w:tcPr>
            <w:tcW w:w="1093" w:type="dxa"/>
            <w:tcBorders>
              <w:top w:val="nil"/>
              <w:left w:val="nil"/>
              <w:bottom w:val="nil"/>
              <w:right w:val="nil"/>
            </w:tcBorders>
            <w:shd w:val="clear" w:color="auto" w:fill="auto"/>
            <w:noWrap/>
            <w:vAlign w:val="center"/>
          </w:tcPr>
          <w:p w14:paraId="32CFD67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5AB1D9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4DE693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401D71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6A086D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B9746A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7D928C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58C89B0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5926703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4CEAD4D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301A4627" w14:textId="77777777">
        <w:trPr>
          <w:trHeight w:val="310"/>
          <w:jc w:val="center"/>
        </w:trPr>
        <w:tc>
          <w:tcPr>
            <w:tcW w:w="8451" w:type="dxa"/>
            <w:tcBorders>
              <w:top w:val="nil"/>
              <w:left w:val="nil"/>
              <w:bottom w:val="nil"/>
              <w:right w:val="nil"/>
            </w:tcBorders>
            <w:shd w:val="clear" w:color="auto" w:fill="auto"/>
            <w:noWrap/>
            <w:vAlign w:val="center"/>
          </w:tcPr>
          <w:p w14:paraId="2C899672" w14:textId="0CBE13B8" w:rsidR="00C361F0" w:rsidRDefault="00000000">
            <w:pPr>
              <w:widowControl/>
              <w:jc w:val="left"/>
              <w:textAlignment w:val="center"/>
              <w:rPr>
                <w:rFonts w:ascii="Times New Roman" w:eastAsia="DengXian" w:hAnsi="Times New Roman" w:cs="Times New Roman"/>
                <w:color w:val="000000"/>
                <w:sz w:val="22"/>
                <w:szCs w:val="22"/>
              </w:rPr>
            </w:pPr>
            <w:bookmarkStart w:id="22" w:name="OLE_LINK79"/>
            <w:proofErr w:type="spellStart"/>
            <w:r>
              <w:rPr>
                <w:rFonts w:ascii="Times New Roman" w:eastAsia="DengXian" w:hAnsi="Times New Roman" w:cs="Times New Roman"/>
                <w:color w:val="000000"/>
                <w:kern w:val="0"/>
                <w:sz w:val="22"/>
                <w:szCs w:val="22"/>
                <w:lang w:bidi="ar"/>
              </w:rPr>
              <w:t>Ipilumumab</w:t>
            </w:r>
            <w:proofErr w:type="spellEnd"/>
            <w:r>
              <w:rPr>
                <w:rFonts w:ascii="Times New Roman" w:eastAsia="DengXian" w:hAnsi="Times New Roman" w:cs="Times New Roman"/>
                <w:color w:val="000000"/>
                <w:kern w:val="0"/>
                <w:sz w:val="22"/>
                <w:szCs w:val="22"/>
                <w:lang w:bidi="ar"/>
              </w:rPr>
              <w:t xml:space="preserve"> for hepatocellular cancer in a liver transplant recipient, with durable response, tolerance and without allograft rejection</w:t>
            </w:r>
            <w:bookmarkEnd w:id="22"/>
          </w:p>
        </w:tc>
        <w:tc>
          <w:tcPr>
            <w:tcW w:w="1093" w:type="dxa"/>
            <w:tcBorders>
              <w:top w:val="nil"/>
              <w:left w:val="nil"/>
              <w:bottom w:val="nil"/>
              <w:right w:val="nil"/>
            </w:tcBorders>
            <w:shd w:val="clear" w:color="auto" w:fill="auto"/>
            <w:noWrap/>
            <w:vAlign w:val="center"/>
          </w:tcPr>
          <w:p w14:paraId="6B04862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0228B0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7883EF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99206C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6F4FADB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9CA62C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739668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FA1229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525634A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09DEBD3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28640447" w14:textId="77777777">
        <w:trPr>
          <w:trHeight w:val="310"/>
          <w:jc w:val="center"/>
        </w:trPr>
        <w:tc>
          <w:tcPr>
            <w:tcW w:w="8451" w:type="dxa"/>
            <w:tcBorders>
              <w:top w:val="nil"/>
              <w:left w:val="nil"/>
              <w:bottom w:val="nil"/>
              <w:right w:val="nil"/>
            </w:tcBorders>
            <w:shd w:val="clear" w:color="auto" w:fill="auto"/>
            <w:noWrap/>
            <w:vAlign w:val="center"/>
          </w:tcPr>
          <w:p w14:paraId="1ACA23B7" w14:textId="73073E2D" w:rsidR="00C361F0" w:rsidRDefault="00000000">
            <w:pPr>
              <w:widowControl/>
              <w:jc w:val="left"/>
              <w:textAlignment w:val="center"/>
              <w:rPr>
                <w:rFonts w:ascii="Times New Roman" w:eastAsia="DengXian" w:hAnsi="Times New Roman" w:cs="Times New Roman"/>
                <w:color w:val="000000"/>
                <w:sz w:val="22"/>
                <w:szCs w:val="22"/>
              </w:rPr>
            </w:pPr>
            <w:bookmarkStart w:id="23" w:name="OLE_LINK80"/>
            <w:r>
              <w:rPr>
                <w:rFonts w:ascii="Times New Roman" w:eastAsia="DengXian" w:hAnsi="Times New Roman" w:cs="Times New Roman"/>
                <w:color w:val="000000"/>
                <w:kern w:val="0"/>
                <w:sz w:val="22"/>
                <w:szCs w:val="22"/>
                <w:lang w:bidi="ar"/>
              </w:rPr>
              <w:t>Liver allograft failure after nivolumab treatment—A Case report with systematic literature research</w:t>
            </w:r>
            <w:bookmarkEnd w:id="23"/>
          </w:p>
        </w:tc>
        <w:tc>
          <w:tcPr>
            <w:tcW w:w="1093" w:type="dxa"/>
            <w:tcBorders>
              <w:top w:val="nil"/>
              <w:left w:val="nil"/>
              <w:bottom w:val="nil"/>
              <w:right w:val="nil"/>
            </w:tcBorders>
            <w:shd w:val="clear" w:color="auto" w:fill="auto"/>
            <w:noWrap/>
            <w:vAlign w:val="center"/>
          </w:tcPr>
          <w:p w14:paraId="56C322C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365C44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9B2937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D89B40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152A48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4C9A05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BE5DEB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215681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4A87E25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24CD8A8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373EC2E0" w14:textId="77777777">
        <w:trPr>
          <w:trHeight w:val="310"/>
          <w:jc w:val="center"/>
        </w:trPr>
        <w:tc>
          <w:tcPr>
            <w:tcW w:w="8451" w:type="dxa"/>
            <w:tcBorders>
              <w:top w:val="nil"/>
              <w:left w:val="nil"/>
              <w:bottom w:val="nil"/>
              <w:right w:val="nil"/>
            </w:tcBorders>
            <w:shd w:val="clear" w:color="auto" w:fill="auto"/>
            <w:noWrap/>
            <w:vAlign w:val="center"/>
          </w:tcPr>
          <w:p w14:paraId="6AFACC74" w14:textId="77E9375C"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Liver Transplantation after Successful Downstaging of a Locally Advanced Hepatocellular Carcinoma with Systemic Therapy</w:t>
            </w:r>
          </w:p>
        </w:tc>
        <w:tc>
          <w:tcPr>
            <w:tcW w:w="1093" w:type="dxa"/>
            <w:tcBorders>
              <w:top w:val="nil"/>
              <w:left w:val="nil"/>
              <w:bottom w:val="nil"/>
              <w:right w:val="nil"/>
            </w:tcBorders>
            <w:shd w:val="clear" w:color="auto" w:fill="auto"/>
            <w:noWrap/>
            <w:vAlign w:val="center"/>
          </w:tcPr>
          <w:p w14:paraId="76F382B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3F8C0C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0C0862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58D7907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0D1A1E8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1093" w:type="dxa"/>
            <w:tcBorders>
              <w:top w:val="nil"/>
              <w:left w:val="nil"/>
              <w:bottom w:val="nil"/>
              <w:right w:val="nil"/>
            </w:tcBorders>
            <w:shd w:val="clear" w:color="auto" w:fill="auto"/>
            <w:noWrap/>
            <w:vAlign w:val="center"/>
          </w:tcPr>
          <w:p w14:paraId="65F8F29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0E5055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1D13BC5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0663FA4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4</w:t>
            </w:r>
          </w:p>
        </w:tc>
        <w:tc>
          <w:tcPr>
            <w:tcW w:w="1574" w:type="dxa"/>
            <w:tcBorders>
              <w:top w:val="nil"/>
              <w:left w:val="nil"/>
              <w:bottom w:val="nil"/>
              <w:right w:val="nil"/>
            </w:tcBorders>
            <w:shd w:val="clear" w:color="auto" w:fill="auto"/>
            <w:noWrap/>
            <w:vAlign w:val="center"/>
          </w:tcPr>
          <w:p w14:paraId="42D1950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Low</w:t>
            </w:r>
          </w:p>
        </w:tc>
      </w:tr>
      <w:tr w:rsidR="00C361F0" w14:paraId="103A611B" w14:textId="77777777">
        <w:trPr>
          <w:trHeight w:val="310"/>
          <w:jc w:val="center"/>
        </w:trPr>
        <w:tc>
          <w:tcPr>
            <w:tcW w:w="8451" w:type="dxa"/>
            <w:tcBorders>
              <w:top w:val="nil"/>
              <w:left w:val="nil"/>
              <w:bottom w:val="nil"/>
              <w:right w:val="nil"/>
            </w:tcBorders>
            <w:shd w:val="clear" w:color="auto" w:fill="auto"/>
            <w:noWrap/>
            <w:vAlign w:val="center"/>
          </w:tcPr>
          <w:p w14:paraId="71A596FD" w14:textId="48FDBDBB" w:rsidR="00C361F0" w:rsidRDefault="00000000">
            <w:pPr>
              <w:widowControl/>
              <w:jc w:val="left"/>
              <w:textAlignment w:val="center"/>
              <w:rPr>
                <w:rFonts w:ascii="Times New Roman" w:eastAsia="DengXian" w:hAnsi="Times New Roman" w:cs="Times New Roman"/>
                <w:color w:val="000000"/>
                <w:sz w:val="22"/>
                <w:szCs w:val="22"/>
              </w:rPr>
            </w:pPr>
            <w:bookmarkStart w:id="24" w:name="_Hlk195725458"/>
            <w:r>
              <w:rPr>
                <w:rFonts w:ascii="Times New Roman" w:eastAsia="DengXian" w:hAnsi="Times New Roman" w:cs="Times New Roman"/>
                <w:color w:val="000000"/>
                <w:kern w:val="0"/>
                <w:sz w:val="22"/>
                <w:szCs w:val="22"/>
                <w:lang w:bidi="ar"/>
              </w:rPr>
              <w:t>Liver transplantation following two conversions in a patient with huge hepatocellular carcinoma and portal vein invasion: A case report</w:t>
            </w:r>
          </w:p>
        </w:tc>
        <w:tc>
          <w:tcPr>
            <w:tcW w:w="1093" w:type="dxa"/>
            <w:tcBorders>
              <w:top w:val="nil"/>
              <w:left w:val="nil"/>
              <w:bottom w:val="nil"/>
              <w:right w:val="nil"/>
            </w:tcBorders>
            <w:shd w:val="clear" w:color="auto" w:fill="auto"/>
            <w:noWrap/>
            <w:vAlign w:val="center"/>
          </w:tcPr>
          <w:p w14:paraId="5D00FF6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8A78E0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5AD3D0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C5ABCE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73559A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58C642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35A660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3708B71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4E041AE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0B49B3E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bookmarkEnd w:id="24"/>
      <w:tr w:rsidR="00C361F0" w14:paraId="39710D41" w14:textId="77777777">
        <w:trPr>
          <w:trHeight w:val="310"/>
          <w:jc w:val="center"/>
        </w:trPr>
        <w:tc>
          <w:tcPr>
            <w:tcW w:w="8451" w:type="dxa"/>
            <w:tcBorders>
              <w:top w:val="nil"/>
              <w:left w:val="nil"/>
              <w:bottom w:val="nil"/>
              <w:right w:val="nil"/>
            </w:tcBorders>
            <w:shd w:val="clear" w:color="auto" w:fill="auto"/>
            <w:noWrap/>
            <w:vAlign w:val="center"/>
          </w:tcPr>
          <w:p w14:paraId="5D130C98" w14:textId="49648BC5"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Low-dose PD-1 inhibitor combined with </w:t>
            </w:r>
            <w:proofErr w:type="spellStart"/>
            <w:r>
              <w:rPr>
                <w:rFonts w:ascii="Times New Roman" w:eastAsia="DengXian" w:hAnsi="Times New Roman" w:cs="Times New Roman"/>
                <w:color w:val="000000"/>
                <w:kern w:val="0"/>
                <w:sz w:val="22"/>
                <w:szCs w:val="22"/>
                <w:lang w:bidi="ar"/>
              </w:rPr>
              <w:t>lenvatinib</w:t>
            </w:r>
            <w:proofErr w:type="spellEnd"/>
            <w:r>
              <w:rPr>
                <w:rFonts w:ascii="Times New Roman" w:eastAsia="DengXian" w:hAnsi="Times New Roman" w:cs="Times New Roman"/>
                <w:color w:val="000000"/>
                <w:kern w:val="0"/>
                <w:sz w:val="22"/>
                <w:szCs w:val="22"/>
                <w:lang w:bidi="ar"/>
              </w:rPr>
              <w:t xml:space="preserve"> for preemptive treatment </w:t>
            </w:r>
            <w:proofErr w:type="gramStart"/>
            <w:r>
              <w:rPr>
                <w:rFonts w:ascii="Times New Roman" w:eastAsia="DengXian" w:hAnsi="Times New Roman" w:cs="Times New Roman"/>
                <w:color w:val="000000"/>
                <w:kern w:val="0"/>
                <w:sz w:val="22"/>
                <w:szCs w:val="22"/>
                <w:lang w:bidi="ar"/>
              </w:rPr>
              <w:t>of  recurrence</w:t>
            </w:r>
            <w:proofErr w:type="gramEnd"/>
            <w:r>
              <w:rPr>
                <w:rFonts w:ascii="Times New Roman" w:eastAsia="DengXian" w:hAnsi="Times New Roman" w:cs="Times New Roman"/>
                <w:color w:val="000000"/>
                <w:kern w:val="0"/>
                <w:sz w:val="22"/>
                <w:szCs w:val="22"/>
                <w:lang w:bidi="ar"/>
              </w:rPr>
              <w:t xml:space="preserve"> after liver transplantation for hepatocellular carcinoma: Case </w:t>
            </w:r>
            <w:proofErr w:type="gramStart"/>
            <w:r>
              <w:rPr>
                <w:rFonts w:ascii="Times New Roman" w:eastAsia="DengXian" w:hAnsi="Times New Roman" w:cs="Times New Roman"/>
                <w:color w:val="000000"/>
                <w:kern w:val="0"/>
                <w:sz w:val="22"/>
                <w:szCs w:val="22"/>
                <w:lang w:bidi="ar"/>
              </w:rPr>
              <w:t>report  and</w:t>
            </w:r>
            <w:proofErr w:type="gramEnd"/>
            <w:r>
              <w:rPr>
                <w:rFonts w:ascii="Times New Roman" w:eastAsia="DengXian" w:hAnsi="Times New Roman" w:cs="Times New Roman"/>
                <w:color w:val="000000"/>
                <w:kern w:val="0"/>
                <w:sz w:val="22"/>
                <w:szCs w:val="22"/>
                <w:lang w:bidi="ar"/>
              </w:rPr>
              <w:t xml:space="preserve"> literature review</w:t>
            </w:r>
          </w:p>
        </w:tc>
        <w:tc>
          <w:tcPr>
            <w:tcW w:w="1093" w:type="dxa"/>
            <w:tcBorders>
              <w:top w:val="nil"/>
              <w:left w:val="nil"/>
              <w:bottom w:val="nil"/>
              <w:right w:val="nil"/>
            </w:tcBorders>
            <w:shd w:val="clear" w:color="auto" w:fill="auto"/>
            <w:noWrap/>
            <w:vAlign w:val="center"/>
          </w:tcPr>
          <w:p w14:paraId="74C1ACC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6358CB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9C52F9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E18463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4D0EF2F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EBE06B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82C3C4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3CE9401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1C75B7C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6B9BECC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76620C2F" w14:textId="77777777">
        <w:trPr>
          <w:trHeight w:val="310"/>
          <w:jc w:val="center"/>
        </w:trPr>
        <w:tc>
          <w:tcPr>
            <w:tcW w:w="8451" w:type="dxa"/>
            <w:tcBorders>
              <w:top w:val="nil"/>
              <w:left w:val="nil"/>
              <w:bottom w:val="nil"/>
              <w:right w:val="nil"/>
            </w:tcBorders>
            <w:shd w:val="clear" w:color="auto" w:fill="auto"/>
            <w:noWrap/>
            <w:vAlign w:val="center"/>
          </w:tcPr>
          <w:p w14:paraId="6C9BE8E2" w14:textId="3152E06E" w:rsidR="00C361F0" w:rsidRPr="005735FC" w:rsidRDefault="00000000">
            <w:pPr>
              <w:widowControl/>
              <w:jc w:val="left"/>
              <w:textAlignment w:val="center"/>
              <w:rPr>
                <w:rFonts w:ascii="Times New Roman" w:eastAsia="DengXian" w:hAnsi="Times New Roman" w:cs="Times New Roman"/>
                <w:color w:val="000000"/>
                <w:sz w:val="22"/>
                <w:szCs w:val="22"/>
                <w:highlight w:val="yellow"/>
              </w:rPr>
            </w:pPr>
            <w:bookmarkStart w:id="25" w:name="OLE_LINK83"/>
            <w:r w:rsidRPr="00AC760A">
              <w:rPr>
                <w:rFonts w:ascii="Times New Roman" w:eastAsia="DengXian" w:hAnsi="Times New Roman" w:cs="Times New Roman"/>
                <w:color w:val="000000"/>
                <w:kern w:val="0"/>
                <w:sz w:val="22"/>
                <w:szCs w:val="22"/>
                <w:lang w:bidi="ar"/>
              </w:rPr>
              <w:t>Nivolumab as a bridge to liver transplantation in advanced hepatocellular carcinoma</w:t>
            </w:r>
            <w:bookmarkEnd w:id="25"/>
          </w:p>
        </w:tc>
        <w:tc>
          <w:tcPr>
            <w:tcW w:w="1093" w:type="dxa"/>
            <w:tcBorders>
              <w:top w:val="nil"/>
              <w:left w:val="nil"/>
              <w:bottom w:val="nil"/>
              <w:right w:val="nil"/>
            </w:tcBorders>
            <w:shd w:val="clear" w:color="auto" w:fill="auto"/>
            <w:noWrap/>
            <w:vAlign w:val="center"/>
          </w:tcPr>
          <w:p w14:paraId="5BB9243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F0B0ED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306EA3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90EDB9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FFEEEF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7771D3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E8AF6A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F01512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014E2A6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6657A11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CABCDC1" w14:textId="77777777">
        <w:trPr>
          <w:trHeight w:val="310"/>
          <w:jc w:val="center"/>
        </w:trPr>
        <w:tc>
          <w:tcPr>
            <w:tcW w:w="8451" w:type="dxa"/>
            <w:tcBorders>
              <w:top w:val="nil"/>
              <w:left w:val="nil"/>
              <w:bottom w:val="nil"/>
              <w:right w:val="nil"/>
            </w:tcBorders>
            <w:shd w:val="clear" w:color="auto" w:fill="auto"/>
            <w:noWrap/>
            <w:vAlign w:val="center"/>
          </w:tcPr>
          <w:p w14:paraId="69D9283B" w14:textId="5378A9F6" w:rsidR="00C361F0" w:rsidRDefault="00000000">
            <w:pPr>
              <w:widowControl/>
              <w:jc w:val="left"/>
              <w:textAlignment w:val="center"/>
              <w:rPr>
                <w:rFonts w:ascii="Times New Roman" w:eastAsia="DengXian" w:hAnsi="Times New Roman" w:cs="Times New Roman"/>
                <w:color w:val="000000"/>
                <w:sz w:val="22"/>
                <w:szCs w:val="22"/>
              </w:rPr>
            </w:pPr>
            <w:bookmarkStart w:id="26" w:name="OLE_LINK84"/>
            <w:r>
              <w:rPr>
                <w:rFonts w:ascii="Times New Roman" w:eastAsia="DengXian" w:hAnsi="Times New Roman" w:cs="Times New Roman"/>
                <w:color w:val="000000"/>
                <w:kern w:val="0"/>
                <w:sz w:val="22"/>
                <w:szCs w:val="22"/>
                <w:lang w:bidi="ar"/>
              </w:rPr>
              <w:t>Nivolumab-Induced Autoimmune-Like Cholestatic Hepatitis in a Liver Transplant Recipient</w:t>
            </w:r>
            <w:bookmarkEnd w:id="26"/>
          </w:p>
        </w:tc>
        <w:tc>
          <w:tcPr>
            <w:tcW w:w="1093" w:type="dxa"/>
            <w:tcBorders>
              <w:top w:val="nil"/>
              <w:left w:val="nil"/>
              <w:bottom w:val="nil"/>
              <w:right w:val="nil"/>
            </w:tcBorders>
            <w:shd w:val="clear" w:color="auto" w:fill="auto"/>
            <w:noWrap/>
            <w:vAlign w:val="center"/>
          </w:tcPr>
          <w:p w14:paraId="2ED4686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00A671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43E566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C28399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B568F0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46D154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CFECCE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260B3C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35A98C7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00D24CE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6802F878" w14:textId="77777777">
        <w:trPr>
          <w:trHeight w:val="310"/>
          <w:jc w:val="center"/>
        </w:trPr>
        <w:tc>
          <w:tcPr>
            <w:tcW w:w="8451" w:type="dxa"/>
            <w:tcBorders>
              <w:top w:val="nil"/>
              <w:left w:val="nil"/>
              <w:bottom w:val="nil"/>
              <w:right w:val="nil"/>
            </w:tcBorders>
            <w:shd w:val="clear" w:color="auto" w:fill="auto"/>
            <w:noWrap/>
            <w:vAlign w:val="center"/>
          </w:tcPr>
          <w:p w14:paraId="393C4D3F" w14:textId="571D1F94" w:rsidR="00C361F0" w:rsidRDefault="00000000">
            <w:pPr>
              <w:widowControl/>
              <w:jc w:val="left"/>
              <w:textAlignment w:val="center"/>
              <w:rPr>
                <w:rFonts w:ascii="Times New Roman" w:eastAsia="DengXian" w:hAnsi="Times New Roman" w:cs="Times New Roman"/>
                <w:color w:val="000000"/>
                <w:sz w:val="22"/>
                <w:szCs w:val="22"/>
              </w:rPr>
            </w:pPr>
            <w:bookmarkStart w:id="27" w:name="_Hlk195725608"/>
            <w:r>
              <w:rPr>
                <w:rFonts w:ascii="Times New Roman" w:eastAsia="DengXian" w:hAnsi="Times New Roman" w:cs="Times New Roman"/>
                <w:color w:val="000000"/>
                <w:kern w:val="0"/>
                <w:sz w:val="22"/>
                <w:szCs w:val="22"/>
                <w:lang w:bidi="ar"/>
              </w:rPr>
              <w:t>Nivolumab-induced severe allograft rejection in recurrent post-transplant hepatocellular carcinoma</w:t>
            </w:r>
          </w:p>
        </w:tc>
        <w:tc>
          <w:tcPr>
            <w:tcW w:w="1093" w:type="dxa"/>
            <w:tcBorders>
              <w:top w:val="nil"/>
              <w:left w:val="nil"/>
              <w:bottom w:val="nil"/>
              <w:right w:val="nil"/>
            </w:tcBorders>
            <w:shd w:val="clear" w:color="auto" w:fill="auto"/>
            <w:noWrap/>
            <w:vAlign w:val="center"/>
          </w:tcPr>
          <w:p w14:paraId="28CF72E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B78A81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01363E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87E9EC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27CDE00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753810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125289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1C6E58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10EC308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4B142DF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7EF3DF0C" w14:textId="77777777">
        <w:trPr>
          <w:trHeight w:val="310"/>
          <w:jc w:val="center"/>
        </w:trPr>
        <w:tc>
          <w:tcPr>
            <w:tcW w:w="8451" w:type="dxa"/>
            <w:tcBorders>
              <w:top w:val="nil"/>
              <w:left w:val="nil"/>
              <w:bottom w:val="nil"/>
              <w:right w:val="nil"/>
            </w:tcBorders>
            <w:shd w:val="clear" w:color="auto" w:fill="auto"/>
            <w:noWrap/>
            <w:vAlign w:val="center"/>
          </w:tcPr>
          <w:p w14:paraId="6A9DB89C" w14:textId="306E7091" w:rsidR="00C361F0" w:rsidRDefault="00000000">
            <w:pPr>
              <w:widowControl/>
              <w:jc w:val="left"/>
              <w:textAlignment w:val="center"/>
              <w:rPr>
                <w:rFonts w:ascii="Times New Roman" w:eastAsia="DengXian" w:hAnsi="Times New Roman" w:cs="Times New Roman"/>
                <w:color w:val="000000"/>
                <w:sz w:val="22"/>
                <w:szCs w:val="22"/>
              </w:rPr>
            </w:pPr>
            <w:bookmarkStart w:id="28" w:name="_Hlk195725686"/>
            <w:bookmarkEnd w:id="27"/>
            <w:r>
              <w:rPr>
                <w:rFonts w:ascii="Times New Roman" w:eastAsia="DengXian" w:hAnsi="Times New Roman" w:cs="Times New Roman"/>
                <w:color w:val="000000"/>
                <w:kern w:val="0"/>
                <w:sz w:val="22"/>
                <w:szCs w:val="22"/>
                <w:lang w:bidi="ar"/>
              </w:rPr>
              <w:t>Pembrolizumab for metastatic hepatocellular carcinoma following live donor liver transplantation: The silver bullet?</w:t>
            </w:r>
            <w:r w:rsidR="00A47392">
              <w:rPr>
                <w:rFonts w:ascii="Times New Roman" w:eastAsia="DengXian" w:hAnsi="Times New Roman" w:cs="Times New Roman"/>
                <w:color w:val="000000"/>
                <w:sz w:val="22"/>
                <w:szCs w:val="22"/>
              </w:rPr>
              <w:t xml:space="preserve"> </w:t>
            </w:r>
          </w:p>
        </w:tc>
        <w:tc>
          <w:tcPr>
            <w:tcW w:w="1093" w:type="dxa"/>
            <w:tcBorders>
              <w:top w:val="nil"/>
              <w:left w:val="nil"/>
              <w:bottom w:val="nil"/>
              <w:right w:val="nil"/>
            </w:tcBorders>
            <w:shd w:val="clear" w:color="auto" w:fill="auto"/>
            <w:noWrap/>
            <w:vAlign w:val="center"/>
          </w:tcPr>
          <w:p w14:paraId="39D7F58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7174FB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1B9975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62046E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B57523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F7F120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F20412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0F48BF3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5A48540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4397CCA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BF69D78" w14:textId="77777777">
        <w:trPr>
          <w:trHeight w:val="310"/>
          <w:jc w:val="center"/>
        </w:trPr>
        <w:tc>
          <w:tcPr>
            <w:tcW w:w="8451" w:type="dxa"/>
            <w:tcBorders>
              <w:top w:val="nil"/>
              <w:left w:val="nil"/>
              <w:bottom w:val="nil"/>
              <w:right w:val="nil"/>
            </w:tcBorders>
            <w:shd w:val="clear" w:color="auto" w:fill="auto"/>
            <w:noWrap/>
            <w:vAlign w:val="center"/>
          </w:tcPr>
          <w:p w14:paraId="689B9386" w14:textId="38D78493" w:rsidR="00C361F0" w:rsidRDefault="00000000">
            <w:pPr>
              <w:widowControl/>
              <w:jc w:val="left"/>
              <w:textAlignment w:val="center"/>
              <w:rPr>
                <w:rFonts w:ascii="Times New Roman" w:eastAsia="DengXian" w:hAnsi="Times New Roman" w:cs="Times New Roman"/>
                <w:color w:val="000000"/>
                <w:sz w:val="22"/>
                <w:szCs w:val="22"/>
              </w:rPr>
            </w:pPr>
            <w:bookmarkStart w:id="29" w:name="OLE_LINK89"/>
            <w:bookmarkEnd w:id="28"/>
            <w:r>
              <w:rPr>
                <w:rFonts w:ascii="Times New Roman" w:eastAsia="DengXian" w:hAnsi="Times New Roman" w:cs="Times New Roman"/>
                <w:color w:val="000000"/>
                <w:kern w:val="0"/>
                <w:sz w:val="22"/>
                <w:szCs w:val="22"/>
                <w:lang w:bidi="ar"/>
              </w:rPr>
              <w:t>Preserved Liver Transplant After PD-1 Pathway Inhibitor for Hepatocellular Carcinoma</w:t>
            </w:r>
            <w:bookmarkEnd w:id="29"/>
          </w:p>
        </w:tc>
        <w:tc>
          <w:tcPr>
            <w:tcW w:w="1093" w:type="dxa"/>
            <w:tcBorders>
              <w:top w:val="nil"/>
              <w:left w:val="nil"/>
              <w:bottom w:val="nil"/>
              <w:right w:val="nil"/>
            </w:tcBorders>
            <w:shd w:val="clear" w:color="auto" w:fill="auto"/>
            <w:noWrap/>
            <w:vAlign w:val="center"/>
          </w:tcPr>
          <w:p w14:paraId="55B3706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E0B5FE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E8E0EB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CC7F9C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A74CB1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60DC88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6F7253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4C8AA0A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755FF56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437B139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7432CB0" w14:textId="77777777">
        <w:trPr>
          <w:trHeight w:val="310"/>
          <w:jc w:val="center"/>
        </w:trPr>
        <w:tc>
          <w:tcPr>
            <w:tcW w:w="8451" w:type="dxa"/>
            <w:tcBorders>
              <w:top w:val="nil"/>
              <w:left w:val="nil"/>
              <w:bottom w:val="nil"/>
              <w:right w:val="nil"/>
            </w:tcBorders>
            <w:shd w:val="clear" w:color="auto" w:fill="auto"/>
            <w:noWrap/>
            <w:vAlign w:val="center"/>
          </w:tcPr>
          <w:p w14:paraId="48E8851C" w14:textId="17E149C3" w:rsidR="00C361F0" w:rsidRDefault="00000000">
            <w:pPr>
              <w:widowControl/>
              <w:jc w:val="left"/>
              <w:textAlignment w:val="center"/>
              <w:rPr>
                <w:rFonts w:ascii="Times New Roman" w:eastAsia="DengXian" w:hAnsi="Times New Roman" w:cs="Times New Roman"/>
                <w:color w:val="000000"/>
                <w:sz w:val="22"/>
                <w:szCs w:val="22"/>
              </w:rPr>
            </w:pPr>
            <w:bookmarkStart w:id="30" w:name="OLE_LINK90"/>
            <w:r>
              <w:rPr>
                <w:rFonts w:ascii="Times New Roman" w:eastAsia="DengXian" w:hAnsi="Times New Roman" w:cs="Times New Roman"/>
                <w:color w:val="000000"/>
                <w:kern w:val="0"/>
                <w:sz w:val="22"/>
                <w:szCs w:val="22"/>
                <w:lang w:bidi="ar"/>
              </w:rPr>
              <w:t xml:space="preserve">Pretransplant use of </w:t>
            </w:r>
            <w:proofErr w:type="spellStart"/>
            <w:r>
              <w:rPr>
                <w:rFonts w:ascii="Times New Roman" w:eastAsia="DengXian" w:hAnsi="Times New Roman" w:cs="Times New Roman"/>
                <w:color w:val="000000"/>
                <w:kern w:val="0"/>
                <w:sz w:val="22"/>
                <w:szCs w:val="22"/>
                <w:lang w:bidi="ar"/>
              </w:rPr>
              <w:t>toripalimab</w:t>
            </w:r>
            <w:proofErr w:type="spellEnd"/>
            <w:r>
              <w:rPr>
                <w:rFonts w:ascii="Times New Roman" w:eastAsia="DengXian" w:hAnsi="Times New Roman" w:cs="Times New Roman"/>
                <w:color w:val="000000"/>
                <w:kern w:val="0"/>
                <w:sz w:val="22"/>
                <w:szCs w:val="22"/>
                <w:lang w:bidi="ar"/>
              </w:rPr>
              <w:t xml:space="preserve"> for hepatocellular carcinoma resulting in fatal acute hepatic necrosis in the immediate postoperative period</w:t>
            </w:r>
            <w:bookmarkEnd w:id="30"/>
          </w:p>
        </w:tc>
        <w:tc>
          <w:tcPr>
            <w:tcW w:w="1093" w:type="dxa"/>
            <w:tcBorders>
              <w:top w:val="nil"/>
              <w:left w:val="nil"/>
              <w:bottom w:val="nil"/>
              <w:right w:val="nil"/>
            </w:tcBorders>
            <w:shd w:val="clear" w:color="auto" w:fill="auto"/>
            <w:noWrap/>
            <w:vAlign w:val="center"/>
          </w:tcPr>
          <w:p w14:paraId="0F18310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098E63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787D5F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32B896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1B9997D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A1D9A9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E92E8D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0C776D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2F933C0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1B2F491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687A7B95" w14:textId="77777777">
        <w:trPr>
          <w:trHeight w:val="310"/>
          <w:jc w:val="center"/>
        </w:trPr>
        <w:tc>
          <w:tcPr>
            <w:tcW w:w="8451" w:type="dxa"/>
            <w:tcBorders>
              <w:top w:val="nil"/>
              <w:left w:val="nil"/>
              <w:bottom w:val="nil"/>
              <w:right w:val="nil"/>
            </w:tcBorders>
            <w:shd w:val="clear" w:color="auto" w:fill="auto"/>
            <w:noWrap/>
            <w:vAlign w:val="center"/>
          </w:tcPr>
          <w:p w14:paraId="0D5C6DD6" w14:textId="3F05C0DC" w:rsidR="00C361F0" w:rsidRDefault="00000000">
            <w:pPr>
              <w:widowControl/>
              <w:jc w:val="left"/>
              <w:textAlignment w:val="center"/>
              <w:rPr>
                <w:rFonts w:ascii="Times New Roman" w:eastAsia="DengXian" w:hAnsi="Times New Roman" w:cs="Times New Roman"/>
                <w:color w:val="000000"/>
                <w:sz w:val="22"/>
                <w:szCs w:val="22"/>
              </w:rPr>
            </w:pPr>
            <w:bookmarkStart w:id="31" w:name="OLE_LINK91"/>
            <w:r>
              <w:rPr>
                <w:rFonts w:ascii="Times New Roman" w:eastAsia="DengXian" w:hAnsi="Times New Roman" w:cs="Times New Roman"/>
                <w:color w:val="000000"/>
                <w:kern w:val="0"/>
                <w:sz w:val="22"/>
                <w:szCs w:val="22"/>
                <w:lang w:bidi="ar"/>
              </w:rPr>
              <w:t xml:space="preserve">Prior to </w:t>
            </w:r>
            <w:proofErr w:type="spellStart"/>
            <w:r>
              <w:rPr>
                <w:rFonts w:ascii="Times New Roman" w:eastAsia="DengXian" w:hAnsi="Times New Roman" w:cs="Times New Roman"/>
                <w:color w:val="000000"/>
                <w:kern w:val="0"/>
                <w:sz w:val="22"/>
                <w:szCs w:val="22"/>
                <w:lang w:bidi="ar"/>
              </w:rPr>
              <w:t>ABOi</w:t>
            </w:r>
            <w:proofErr w:type="spellEnd"/>
            <w:r>
              <w:rPr>
                <w:rFonts w:ascii="Times New Roman" w:eastAsia="DengXian" w:hAnsi="Times New Roman" w:cs="Times New Roman"/>
                <w:color w:val="000000"/>
                <w:kern w:val="0"/>
                <w:sz w:val="22"/>
                <w:szCs w:val="22"/>
                <w:lang w:bidi="ar"/>
              </w:rPr>
              <w:t xml:space="preserve"> liver transplant with PD-1 inhibitor in patients with hepatocellular carcinoma: A case report</w:t>
            </w:r>
            <w:bookmarkEnd w:id="31"/>
          </w:p>
        </w:tc>
        <w:tc>
          <w:tcPr>
            <w:tcW w:w="1093" w:type="dxa"/>
            <w:tcBorders>
              <w:top w:val="nil"/>
              <w:left w:val="nil"/>
              <w:bottom w:val="nil"/>
              <w:right w:val="nil"/>
            </w:tcBorders>
            <w:shd w:val="clear" w:color="auto" w:fill="auto"/>
            <w:noWrap/>
            <w:vAlign w:val="center"/>
          </w:tcPr>
          <w:p w14:paraId="7AED56F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F25755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205E35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59DB8F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5AF658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D318AF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094B0B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6FB7423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70214C7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225B91B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7DA27314" w14:textId="77777777">
        <w:trPr>
          <w:trHeight w:val="310"/>
          <w:jc w:val="center"/>
        </w:trPr>
        <w:tc>
          <w:tcPr>
            <w:tcW w:w="8451" w:type="dxa"/>
            <w:tcBorders>
              <w:top w:val="nil"/>
              <w:left w:val="nil"/>
              <w:bottom w:val="nil"/>
              <w:right w:val="nil"/>
            </w:tcBorders>
            <w:shd w:val="clear" w:color="auto" w:fill="auto"/>
            <w:noWrap/>
            <w:vAlign w:val="center"/>
          </w:tcPr>
          <w:p w14:paraId="4D7E1BE2" w14:textId="5AC4A05F" w:rsidR="00C361F0" w:rsidRDefault="00000000">
            <w:pPr>
              <w:widowControl/>
              <w:jc w:val="left"/>
              <w:textAlignment w:val="center"/>
              <w:rPr>
                <w:rFonts w:ascii="Times New Roman" w:eastAsia="DengXian" w:hAnsi="Times New Roman" w:cs="Times New Roman"/>
                <w:color w:val="000000"/>
                <w:sz w:val="22"/>
                <w:szCs w:val="22"/>
              </w:rPr>
            </w:pPr>
            <w:bookmarkStart w:id="32" w:name="OLE_LINK92"/>
            <w:r>
              <w:rPr>
                <w:rFonts w:ascii="Times New Roman" w:eastAsia="DengXian" w:hAnsi="Times New Roman" w:cs="Times New Roman"/>
                <w:color w:val="000000"/>
                <w:kern w:val="0"/>
                <w:sz w:val="22"/>
                <w:szCs w:val="22"/>
                <w:lang w:bidi="ar"/>
              </w:rPr>
              <w:t>Stable liver graft post anti-PD1 therapy as a bridge to transplantation in an adolescent with hepatocellular carcinoma</w:t>
            </w:r>
            <w:bookmarkEnd w:id="32"/>
          </w:p>
        </w:tc>
        <w:tc>
          <w:tcPr>
            <w:tcW w:w="1093" w:type="dxa"/>
            <w:tcBorders>
              <w:top w:val="nil"/>
              <w:left w:val="nil"/>
              <w:bottom w:val="nil"/>
              <w:right w:val="nil"/>
            </w:tcBorders>
            <w:shd w:val="clear" w:color="auto" w:fill="auto"/>
            <w:noWrap/>
            <w:vAlign w:val="center"/>
          </w:tcPr>
          <w:p w14:paraId="2C95C9B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8C5148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8C53FA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ACE34F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338226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D6D674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6B0229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2D4A3BC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540C4B4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4BF0A41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1BD710D2" w14:textId="77777777">
        <w:trPr>
          <w:trHeight w:val="310"/>
          <w:jc w:val="center"/>
        </w:trPr>
        <w:tc>
          <w:tcPr>
            <w:tcW w:w="8451" w:type="dxa"/>
            <w:tcBorders>
              <w:top w:val="nil"/>
              <w:left w:val="nil"/>
              <w:bottom w:val="nil"/>
              <w:right w:val="nil"/>
            </w:tcBorders>
            <w:shd w:val="clear" w:color="auto" w:fill="auto"/>
            <w:noWrap/>
            <w:vAlign w:val="center"/>
          </w:tcPr>
          <w:p w14:paraId="7CE62D99" w14:textId="44493E4B" w:rsidR="00C361F0" w:rsidRDefault="00000000">
            <w:pPr>
              <w:widowControl/>
              <w:jc w:val="left"/>
              <w:textAlignment w:val="center"/>
              <w:rPr>
                <w:rFonts w:ascii="Times New Roman" w:eastAsia="DengXian" w:hAnsi="Times New Roman" w:cs="Times New Roman"/>
                <w:color w:val="000000"/>
                <w:sz w:val="22"/>
                <w:szCs w:val="22"/>
              </w:rPr>
            </w:pPr>
            <w:bookmarkStart w:id="33" w:name="_Hlk195725787"/>
            <w:r>
              <w:rPr>
                <w:rFonts w:ascii="Times New Roman" w:eastAsia="DengXian" w:hAnsi="Times New Roman" w:cs="Times New Roman"/>
                <w:color w:val="000000"/>
                <w:kern w:val="0"/>
                <w:sz w:val="22"/>
                <w:szCs w:val="22"/>
                <w:lang w:bidi="ar"/>
              </w:rPr>
              <w:t>Successful Liver Transplantation of Recurrent Fibrolamellar Carcinoma following Clinical and Pathologic Complete Response to Triple Immunochemotherapy: A Case Report</w:t>
            </w:r>
          </w:p>
        </w:tc>
        <w:tc>
          <w:tcPr>
            <w:tcW w:w="1093" w:type="dxa"/>
            <w:tcBorders>
              <w:top w:val="nil"/>
              <w:left w:val="nil"/>
              <w:bottom w:val="nil"/>
              <w:right w:val="nil"/>
            </w:tcBorders>
            <w:shd w:val="clear" w:color="auto" w:fill="auto"/>
            <w:noWrap/>
            <w:vAlign w:val="center"/>
          </w:tcPr>
          <w:p w14:paraId="721093F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A1DBC2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5393BC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B5F611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3FAF0A9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996149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F6BC44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084C4C7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07D4E4A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5EEFE19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bookmarkEnd w:id="33"/>
      <w:tr w:rsidR="00C361F0" w14:paraId="6470089D" w14:textId="77777777">
        <w:trPr>
          <w:trHeight w:val="310"/>
          <w:jc w:val="center"/>
        </w:trPr>
        <w:tc>
          <w:tcPr>
            <w:tcW w:w="8451" w:type="dxa"/>
            <w:tcBorders>
              <w:top w:val="nil"/>
              <w:left w:val="nil"/>
              <w:bottom w:val="nil"/>
              <w:right w:val="nil"/>
            </w:tcBorders>
            <w:shd w:val="clear" w:color="auto" w:fill="auto"/>
            <w:noWrap/>
            <w:vAlign w:val="center"/>
          </w:tcPr>
          <w:p w14:paraId="1A8EF4C6" w14:textId="48E79EA9"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Successful liver transplantation with ctDNA clearance after PD</w:t>
            </w:r>
            <w:r>
              <w:rPr>
                <w:rFonts w:ascii="Times New Roman" w:eastAsia="DengXian" w:hAnsi="Times New Roman" w:cs="Times New Roman"/>
                <w:color w:val="000000"/>
                <w:kern w:val="0"/>
                <w:sz w:val="22"/>
                <w:szCs w:val="22"/>
                <w:lang w:bidi="ar"/>
              </w:rPr>
              <w:noBreakHyphen/>
              <w:t>1 inhibitor plus FOLFOX</w:t>
            </w:r>
            <w:r>
              <w:rPr>
                <w:rFonts w:ascii="Times New Roman" w:eastAsia="DengXian" w:hAnsi="Times New Roman" w:cs="Times New Roman"/>
                <w:color w:val="000000"/>
                <w:kern w:val="0"/>
                <w:sz w:val="22"/>
                <w:szCs w:val="22"/>
                <w:lang w:bidi="ar"/>
              </w:rPr>
              <w:noBreakHyphen/>
              <w:t>HAIC treatment in HCC: A case report</w:t>
            </w:r>
          </w:p>
        </w:tc>
        <w:tc>
          <w:tcPr>
            <w:tcW w:w="1093" w:type="dxa"/>
            <w:tcBorders>
              <w:top w:val="nil"/>
              <w:left w:val="nil"/>
              <w:bottom w:val="nil"/>
              <w:right w:val="nil"/>
            </w:tcBorders>
            <w:shd w:val="clear" w:color="auto" w:fill="auto"/>
            <w:noWrap/>
            <w:vAlign w:val="center"/>
          </w:tcPr>
          <w:p w14:paraId="5D8DDFD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3D1E0A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A1B1B8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8027A1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A3F7A5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D3E375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937F02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1F80F14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4E9CD5D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63CB945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66C25A6E" w14:textId="77777777">
        <w:trPr>
          <w:trHeight w:val="310"/>
          <w:jc w:val="center"/>
        </w:trPr>
        <w:tc>
          <w:tcPr>
            <w:tcW w:w="8451" w:type="dxa"/>
            <w:tcBorders>
              <w:top w:val="nil"/>
              <w:left w:val="nil"/>
              <w:bottom w:val="nil"/>
              <w:right w:val="nil"/>
            </w:tcBorders>
            <w:shd w:val="clear" w:color="auto" w:fill="auto"/>
            <w:noWrap/>
            <w:vAlign w:val="center"/>
          </w:tcPr>
          <w:p w14:paraId="20A05A6F" w14:textId="78BE83F2"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Successful Treatment of Disseminated Hepatocellular Carcinoma After Liver Transplantation </w:t>
            </w:r>
            <w:proofErr w:type="gramStart"/>
            <w:r>
              <w:rPr>
                <w:rFonts w:ascii="Times New Roman" w:eastAsia="DengXian" w:hAnsi="Times New Roman" w:cs="Times New Roman"/>
                <w:color w:val="000000"/>
                <w:kern w:val="0"/>
                <w:sz w:val="22"/>
                <w:szCs w:val="22"/>
                <w:lang w:bidi="ar"/>
              </w:rPr>
              <w:t>With</w:t>
            </w:r>
            <w:proofErr w:type="gramEnd"/>
            <w:r>
              <w:rPr>
                <w:rFonts w:ascii="Times New Roman" w:eastAsia="DengXian" w:hAnsi="Times New Roman" w:cs="Times New Roman"/>
                <w:color w:val="000000"/>
                <w:kern w:val="0"/>
                <w:sz w:val="22"/>
                <w:szCs w:val="22"/>
                <w:lang w:bidi="ar"/>
              </w:rPr>
              <w:t xml:space="preserve"> Nivolumab</w:t>
            </w:r>
          </w:p>
        </w:tc>
        <w:tc>
          <w:tcPr>
            <w:tcW w:w="1093" w:type="dxa"/>
            <w:tcBorders>
              <w:top w:val="nil"/>
              <w:left w:val="nil"/>
              <w:bottom w:val="nil"/>
              <w:right w:val="nil"/>
            </w:tcBorders>
            <w:shd w:val="clear" w:color="auto" w:fill="auto"/>
            <w:noWrap/>
            <w:vAlign w:val="center"/>
          </w:tcPr>
          <w:p w14:paraId="7DB485A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7A75D2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835AF7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E72BF7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4A206B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516F93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0DDAF8D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A63532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09EAF3F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6C1C8DA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0304151C" w14:textId="77777777">
        <w:trPr>
          <w:trHeight w:val="310"/>
          <w:jc w:val="center"/>
        </w:trPr>
        <w:tc>
          <w:tcPr>
            <w:tcW w:w="8451" w:type="dxa"/>
            <w:tcBorders>
              <w:top w:val="nil"/>
              <w:left w:val="nil"/>
              <w:bottom w:val="nil"/>
              <w:right w:val="nil"/>
            </w:tcBorders>
            <w:shd w:val="clear" w:color="auto" w:fill="auto"/>
            <w:noWrap/>
            <w:vAlign w:val="center"/>
          </w:tcPr>
          <w:p w14:paraId="3E9B7649" w14:textId="3FD8D0DA" w:rsidR="00C361F0" w:rsidRDefault="00000000">
            <w:pPr>
              <w:widowControl/>
              <w:jc w:val="left"/>
              <w:textAlignment w:val="center"/>
              <w:rPr>
                <w:rFonts w:ascii="Times New Roman" w:eastAsia="DengXian" w:hAnsi="Times New Roman" w:cs="Times New Roman"/>
                <w:color w:val="000000"/>
                <w:sz w:val="22"/>
                <w:szCs w:val="22"/>
              </w:rPr>
            </w:pPr>
            <w:bookmarkStart w:id="34" w:name="OLE_LINK95"/>
            <w:r>
              <w:rPr>
                <w:rFonts w:ascii="Times New Roman" w:eastAsia="DengXian" w:hAnsi="Times New Roman" w:cs="Times New Roman"/>
                <w:color w:val="000000"/>
                <w:kern w:val="0"/>
                <w:sz w:val="22"/>
                <w:szCs w:val="22"/>
                <w:lang w:bidi="ar"/>
              </w:rPr>
              <w:t xml:space="preserve">Tapering of Immunosuppression and Sustained Treatment </w:t>
            </w:r>
            <w:proofErr w:type="gramStart"/>
            <w:r>
              <w:rPr>
                <w:rFonts w:ascii="Times New Roman" w:eastAsia="DengXian" w:hAnsi="Times New Roman" w:cs="Times New Roman"/>
                <w:color w:val="000000"/>
                <w:kern w:val="0"/>
                <w:sz w:val="22"/>
                <w:szCs w:val="22"/>
                <w:lang w:bidi="ar"/>
              </w:rPr>
              <w:t>With</w:t>
            </w:r>
            <w:proofErr w:type="gramEnd"/>
            <w:r>
              <w:rPr>
                <w:rFonts w:ascii="Times New Roman" w:eastAsia="DengXian" w:hAnsi="Times New Roman" w:cs="Times New Roman"/>
                <w:color w:val="000000"/>
                <w:kern w:val="0"/>
                <w:sz w:val="22"/>
                <w:szCs w:val="22"/>
                <w:lang w:bidi="ar"/>
              </w:rPr>
              <w:t xml:space="preserve"> Nivolumab in a Liver Transplant Recipient</w:t>
            </w:r>
            <w:bookmarkEnd w:id="34"/>
          </w:p>
        </w:tc>
        <w:tc>
          <w:tcPr>
            <w:tcW w:w="1093" w:type="dxa"/>
            <w:tcBorders>
              <w:top w:val="nil"/>
              <w:left w:val="nil"/>
              <w:bottom w:val="nil"/>
              <w:right w:val="nil"/>
            </w:tcBorders>
            <w:shd w:val="clear" w:color="auto" w:fill="auto"/>
            <w:noWrap/>
            <w:vAlign w:val="center"/>
          </w:tcPr>
          <w:p w14:paraId="438337A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5A2AF8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2BE1BD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91F282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0872F8F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988AEF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33E3CB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7D10A7C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3A18F4E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669DB27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1DEB0873" w14:textId="77777777">
        <w:trPr>
          <w:trHeight w:val="310"/>
          <w:jc w:val="center"/>
        </w:trPr>
        <w:tc>
          <w:tcPr>
            <w:tcW w:w="8451" w:type="dxa"/>
            <w:tcBorders>
              <w:top w:val="nil"/>
              <w:left w:val="nil"/>
              <w:bottom w:val="nil"/>
              <w:right w:val="nil"/>
            </w:tcBorders>
            <w:shd w:val="clear" w:color="auto" w:fill="auto"/>
            <w:noWrap/>
            <w:vAlign w:val="center"/>
          </w:tcPr>
          <w:p w14:paraId="2BB874DE" w14:textId="1E911269" w:rsidR="00C361F0" w:rsidRPr="00AC760A" w:rsidRDefault="00000000">
            <w:pPr>
              <w:widowControl/>
              <w:jc w:val="left"/>
              <w:textAlignment w:val="center"/>
              <w:rPr>
                <w:rFonts w:ascii="Times New Roman" w:eastAsia="DengXian" w:hAnsi="Times New Roman" w:cs="Times New Roman"/>
                <w:color w:val="000000"/>
                <w:sz w:val="22"/>
                <w:szCs w:val="22"/>
              </w:rPr>
            </w:pPr>
            <w:bookmarkStart w:id="35" w:name="_Hlk195725879"/>
            <w:r w:rsidRPr="00AC760A">
              <w:rPr>
                <w:rFonts w:ascii="Times New Roman" w:eastAsia="DengXian" w:hAnsi="Times New Roman" w:cs="Times New Roman"/>
                <w:color w:val="000000"/>
                <w:kern w:val="0"/>
                <w:sz w:val="22"/>
                <w:szCs w:val="22"/>
                <w:lang w:bidi="ar"/>
              </w:rPr>
              <w:t>Atezolizumab plus bevacizumab as a bridge for liver transplant in hepatocellular carcinoma</w:t>
            </w:r>
          </w:p>
        </w:tc>
        <w:tc>
          <w:tcPr>
            <w:tcW w:w="1093" w:type="dxa"/>
            <w:tcBorders>
              <w:top w:val="nil"/>
              <w:left w:val="nil"/>
              <w:bottom w:val="nil"/>
              <w:right w:val="nil"/>
            </w:tcBorders>
            <w:shd w:val="clear" w:color="auto" w:fill="auto"/>
            <w:noWrap/>
            <w:vAlign w:val="center"/>
          </w:tcPr>
          <w:p w14:paraId="78C4E25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5315723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49B4710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A453DE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6033BF3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73196F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2A2DE1E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62BB50D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5EEF527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3C85D25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bookmarkEnd w:id="35"/>
      <w:tr w:rsidR="00C361F0" w14:paraId="3274C0D7" w14:textId="77777777">
        <w:trPr>
          <w:trHeight w:val="310"/>
          <w:jc w:val="center"/>
        </w:trPr>
        <w:tc>
          <w:tcPr>
            <w:tcW w:w="8451" w:type="dxa"/>
            <w:tcBorders>
              <w:top w:val="nil"/>
              <w:left w:val="nil"/>
              <w:bottom w:val="nil"/>
              <w:right w:val="nil"/>
            </w:tcBorders>
            <w:shd w:val="clear" w:color="auto" w:fill="auto"/>
            <w:noWrap/>
            <w:vAlign w:val="center"/>
          </w:tcPr>
          <w:p w14:paraId="41DB2BA2" w14:textId="7BD11149"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Neoadjuvant radiation lobectomy and immunotherapy for </w:t>
            </w:r>
            <w:proofErr w:type="spellStart"/>
            <w:r>
              <w:rPr>
                <w:rFonts w:ascii="Times New Roman" w:eastAsia="DengXian" w:hAnsi="Times New Roman" w:cs="Times New Roman"/>
                <w:color w:val="000000"/>
                <w:kern w:val="0"/>
                <w:sz w:val="22"/>
                <w:szCs w:val="22"/>
                <w:lang w:bidi="ar"/>
              </w:rPr>
              <w:t>angioinvasive</w:t>
            </w:r>
            <w:proofErr w:type="spellEnd"/>
            <w:r>
              <w:rPr>
                <w:rFonts w:ascii="Times New Roman" w:eastAsia="DengXian" w:hAnsi="Times New Roman" w:cs="Times New Roman"/>
                <w:color w:val="000000"/>
                <w:kern w:val="0"/>
                <w:sz w:val="22"/>
                <w:szCs w:val="22"/>
                <w:lang w:bidi="ar"/>
              </w:rPr>
              <w:t xml:space="preserve"> HCC resulting in complete pathologic response</w:t>
            </w:r>
          </w:p>
        </w:tc>
        <w:tc>
          <w:tcPr>
            <w:tcW w:w="1093" w:type="dxa"/>
            <w:tcBorders>
              <w:top w:val="nil"/>
              <w:left w:val="nil"/>
              <w:bottom w:val="nil"/>
              <w:right w:val="nil"/>
            </w:tcBorders>
            <w:shd w:val="clear" w:color="auto" w:fill="auto"/>
            <w:noWrap/>
            <w:vAlign w:val="center"/>
          </w:tcPr>
          <w:p w14:paraId="3705F94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7FED3E1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1234C1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338BD8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4585CBE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114440E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nil"/>
              <w:right w:val="nil"/>
            </w:tcBorders>
            <w:shd w:val="clear" w:color="auto" w:fill="auto"/>
            <w:noWrap/>
            <w:vAlign w:val="center"/>
          </w:tcPr>
          <w:p w14:paraId="3AB93D5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nil"/>
              <w:right w:val="nil"/>
            </w:tcBorders>
            <w:shd w:val="clear" w:color="auto" w:fill="auto"/>
            <w:noWrap/>
            <w:vAlign w:val="center"/>
          </w:tcPr>
          <w:p w14:paraId="4333BAF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nil"/>
              <w:right w:val="nil"/>
            </w:tcBorders>
            <w:shd w:val="clear" w:color="auto" w:fill="auto"/>
            <w:noWrap/>
            <w:vAlign w:val="center"/>
          </w:tcPr>
          <w:p w14:paraId="7AE058C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0390ABC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1A481208" w14:textId="77777777">
        <w:trPr>
          <w:trHeight w:val="310"/>
          <w:jc w:val="center"/>
        </w:trPr>
        <w:tc>
          <w:tcPr>
            <w:tcW w:w="8451" w:type="dxa"/>
            <w:tcBorders>
              <w:top w:val="nil"/>
              <w:left w:val="nil"/>
              <w:bottom w:val="single" w:sz="12" w:space="0" w:color="auto"/>
              <w:right w:val="nil"/>
            </w:tcBorders>
            <w:shd w:val="clear" w:color="auto" w:fill="auto"/>
            <w:noWrap/>
            <w:vAlign w:val="center"/>
          </w:tcPr>
          <w:p w14:paraId="67C2978C" w14:textId="3E7C0768" w:rsidR="00C361F0" w:rsidRDefault="00000000">
            <w:pPr>
              <w:widowControl/>
              <w:jc w:val="left"/>
              <w:textAlignment w:val="center"/>
              <w:rPr>
                <w:rFonts w:ascii="Times New Roman" w:eastAsia="DengXian" w:hAnsi="Times New Roman" w:cs="Times New Roman"/>
                <w:color w:val="000000"/>
                <w:sz w:val="22"/>
                <w:szCs w:val="22"/>
              </w:rPr>
            </w:pPr>
            <w:bookmarkStart w:id="36" w:name="OLE_LINK98"/>
            <w:r>
              <w:rPr>
                <w:rFonts w:ascii="Times New Roman" w:eastAsia="DengXian" w:hAnsi="Times New Roman" w:cs="Times New Roman"/>
                <w:color w:val="000000"/>
                <w:kern w:val="0"/>
                <w:sz w:val="22"/>
                <w:szCs w:val="22"/>
                <w:lang w:bidi="ar"/>
              </w:rPr>
              <w:t>A Case of Hepatocellular Carcinoma (HCC) Immunotherapy Inducing Liver Transplant Rejection</w:t>
            </w:r>
            <w:bookmarkEnd w:id="36"/>
          </w:p>
        </w:tc>
        <w:tc>
          <w:tcPr>
            <w:tcW w:w="1093" w:type="dxa"/>
            <w:tcBorders>
              <w:top w:val="nil"/>
              <w:left w:val="nil"/>
              <w:bottom w:val="single" w:sz="12" w:space="0" w:color="auto"/>
              <w:right w:val="nil"/>
            </w:tcBorders>
            <w:shd w:val="clear" w:color="auto" w:fill="auto"/>
            <w:noWrap/>
            <w:vAlign w:val="center"/>
          </w:tcPr>
          <w:p w14:paraId="4043E04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single" w:sz="12" w:space="0" w:color="auto"/>
              <w:right w:val="nil"/>
            </w:tcBorders>
            <w:shd w:val="clear" w:color="auto" w:fill="auto"/>
            <w:noWrap/>
            <w:vAlign w:val="center"/>
          </w:tcPr>
          <w:p w14:paraId="7B0474B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single" w:sz="12" w:space="0" w:color="auto"/>
              <w:right w:val="nil"/>
            </w:tcBorders>
            <w:shd w:val="clear" w:color="auto" w:fill="auto"/>
            <w:noWrap/>
            <w:vAlign w:val="center"/>
          </w:tcPr>
          <w:p w14:paraId="10DDE0C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single" w:sz="12" w:space="0" w:color="auto"/>
              <w:right w:val="nil"/>
            </w:tcBorders>
            <w:shd w:val="clear" w:color="auto" w:fill="auto"/>
            <w:noWrap/>
            <w:vAlign w:val="center"/>
          </w:tcPr>
          <w:p w14:paraId="6260035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1093" w:type="dxa"/>
            <w:tcBorders>
              <w:top w:val="nil"/>
              <w:left w:val="nil"/>
              <w:bottom w:val="single" w:sz="12" w:space="0" w:color="auto"/>
              <w:right w:val="nil"/>
            </w:tcBorders>
            <w:shd w:val="clear" w:color="auto" w:fill="auto"/>
            <w:noWrap/>
            <w:vAlign w:val="center"/>
          </w:tcPr>
          <w:p w14:paraId="096F660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single" w:sz="12" w:space="0" w:color="auto"/>
              <w:right w:val="nil"/>
            </w:tcBorders>
            <w:shd w:val="clear" w:color="auto" w:fill="auto"/>
            <w:noWrap/>
            <w:vAlign w:val="center"/>
          </w:tcPr>
          <w:p w14:paraId="475509B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single" w:sz="12" w:space="0" w:color="auto"/>
              <w:right w:val="nil"/>
            </w:tcBorders>
            <w:shd w:val="clear" w:color="auto" w:fill="auto"/>
            <w:noWrap/>
            <w:vAlign w:val="center"/>
          </w:tcPr>
          <w:p w14:paraId="710C99D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1093" w:type="dxa"/>
            <w:tcBorders>
              <w:top w:val="nil"/>
              <w:left w:val="nil"/>
              <w:bottom w:val="single" w:sz="12" w:space="0" w:color="auto"/>
              <w:right w:val="nil"/>
            </w:tcBorders>
            <w:shd w:val="clear" w:color="auto" w:fill="auto"/>
            <w:noWrap/>
            <w:vAlign w:val="center"/>
          </w:tcPr>
          <w:p w14:paraId="4E13897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02" w:type="dxa"/>
            <w:tcBorders>
              <w:top w:val="nil"/>
              <w:left w:val="nil"/>
              <w:bottom w:val="single" w:sz="12" w:space="0" w:color="auto"/>
              <w:right w:val="nil"/>
            </w:tcBorders>
            <w:shd w:val="clear" w:color="auto" w:fill="auto"/>
            <w:noWrap/>
            <w:vAlign w:val="center"/>
          </w:tcPr>
          <w:p w14:paraId="144E818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single" w:sz="12" w:space="0" w:color="auto"/>
              <w:right w:val="nil"/>
            </w:tcBorders>
            <w:shd w:val="clear" w:color="auto" w:fill="auto"/>
            <w:noWrap/>
            <w:vAlign w:val="center"/>
          </w:tcPr>
          <w:p w14:paraId="4369C76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6D14043C" w14:textId="77777777">
        <w:trPr>
          <w:trHeight w:val="310"/>
          <w:jc w:val="center"/>
        </w:trPr>
        <w:tc>
          <w:tcPr>
            <w:tcW w:w="19671" w:type="dxa"/>
            <w:gridSpan w:val="11"/>
            <w:tcBorders>
              <w:top w:val="single" w:sz="12" w:space="0" w:color="auto"/>
              <w:left w:val="nil"/>
              <w:bottom w:val="nil"/>
              <w:right w:val="nil"/>
            </w:tcBorders>
            <w:shd w:val="clear" w:color="auto" w:fill="auto"/>
            <w:noWrap/>
            <w:vAlign w:val="center"/>
          </w:tcPr>
          <w:p w14:paraId="546A2EC6"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Q1. Were patient</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s demographic characteristics clearly described? (Yes / No / Unclear / Not applicable)</w:t>
            </w:r>
          </w:p>
          <w:p w14:paraId="215A5D17"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Q2. Was the patient</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s history clearly described and presented as a timeline? (Yes / No / Unclear / Not applicable)</w:t>
            </w:r>
          </w:p>
          <w:p w14:paraId="4368CE7F"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Q3. Was the current clinical condition of the patient on presentation clearly described? (Yes / No / Unclear / Not applicable)</w:t>
            </w:r>
          </w:p>
          <w:p w14:paraId="746D374C"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Q4. Were diagnostic tests or assessment methods and the results clearly described? (Yes / No / Unclear / Not applicable)</w:t>
            </w:r>
          </w:p>
          <w:p w14:paraId="7B09159C"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Q5. Was the intervention(s) or treatment procedure(s) clearly described? (Yes / No / Unclear / Not applicable)</w:t>
            </w:r>
          </w:p>
          <w:p w14:paraId="614896C9"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Q6. Was the post-intervention clinical condition clearly described?  (Yes / No / Unclear / Not applicable)</w:t>
            </w:r>
          </w:p>
          <w:p w14:paraId="7ED3F548"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Q7. Were adverse events (harms) or unanticipated events identified and described? (Yes / No / Unclear / Not applicable)</w:t>
            </w:r>
          </w:p>
          <w:p w14:paraId="396037E1"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Q8. Does the case report provide takeaway lessons? (Yes / No / Unclear / Not applicable)</w:t>
            </w:r>
          </w:p>
          <w:p w14:paraId="5F6D52E6"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proofErr w:type="gramStart"/>
            <w:r>
              <w:rPr>
                <w:rFonts w:ascii="Times New Roman" w:eastAsia="DengXian" w:hAnsi="Times New Roman" w:cs="Times New Roman" w:hint="eastAsia"/>
                <w:color w:val="000000"/>
                <w:kern w:val="0"/>
                <w:sz w:val="22"/>
                <w:szCs w:val="22"/>
                <w:vertAlign w:val="superscript"/>
                <w:lang w:bidi="ar"/>
              </w:rPr>
              <w:t xml:space="preserve">a  </w:t>
            </w:r>
            <w:r>
              <w:rPr>
                <w:rFonts w:ascii="Times New Roman" w:eastAsia="DengXian" w:hAnsi="Times New Roman" w:cs="Times New Roman" w:hint="eastAsia"/>
                <w:color w:val="000000"/>
                <w:kern w:val="0"/>
                <w:sz w:val="22"/>
                <w:szCs w:val="22"/>
                <w:lang w:bidi="ar"/>
              </w:rPr>
              <w:t>Represents</w:t>
            </w:r>
            <w:proofErr w:type="gramEnd"/>
            <w:r>
              <w:rPr>
                <w:rFonts w:ascii="Times New Roman" w:eastAsia="DengXian" w:hAnsi="Times New Roman" w:cs="Times New Roman" w:hint="eastAsia"/>
                <w:color w:val="000000"/>
                <w:kern w:val="0"/>
                <w:sz w:val="22"/>
                <w:szCs w:val="22"/>
                <w:lang w:bidi="ar"/>
              </w:rPr>
              <w:t xml:space="preserve"> the total number of "Yes" responses for each study.</w:t>
            </w:r>
          </w:p>
          <w:p w14:paraId="463983DD"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vertAlign w:val="superscript"/>
                <w:lang w:bidi="ar"/>
              </w:rPr>
              <w:t xml:space="preserve">b  </w:t>
            </w:r>
            <w:r>
              <w:rPr>
                <w:rFonts w:ascii="Times New Roman" w:eastAsia="DengXian" w:hAnsi="Times New Roman" w:cs="Times New Roman" w:hint="eastAsia"/>
                <w:color w:val="000000"/>
                <w:kern w:val="0"/>
                <w:sz w:val="22"/>
                <w:szCs w:val="22"/>
                <w:lang w:bidi="ar"/>
              </w:rPr>
              <w:t xml:space="preserve">Quality Assessment is determined based on the Total Score, with scores </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 xml:space="preserve">50% of the maximum rated as Low, scores &gt;50% and </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 xml:space="preserve">75% as Moderate, and scores </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75% as High.</w:t>
            </w:r>
          </w:p>
        </w:tc>
      </w:tr>
    </w:tbl>
    <w:p w14:paraId="679935E1" w14:textId="77777777" w:rsidR="00C361F0" w:rsidRDefault="00C361F0"/>
    <w:p w14:paraId="4491792F" w14:textId="77777777" w:rsidR="00C361F0" w:rsidRDefault="00C361F0"/>
    <w:p w14:paraId="3ACF9CD7" w14:textId="77777777" w:rsidR="00C361F0" w:rsidRDefault="00C361F0"/>
    <w:p w14:paraId="05741CD3" w14:textId="77777777" w:rsidR="00C361F0" w:rsidRDefault="00C361F0"/>
    <w:tbl>
      <w:tblPr>
        <w:tblW w:w="19717" w:type="dxa"/>
        <w:jc w:val="center"/>
        <w:tblLayout w:type="fixed"/>
        <w:tblLook w:val="04A0" w:firstRow="1" w:lastRow="0" w:firstColumn="1" w:lastColumn="0" w:noHBand="0" w:noVBand="1"/>
      </w:tblPr>
      <w:tblGrid>
        <w:gridCol w:w="8067"/>
        <w:gridCol w:w="914"/>
        <w:gridCol w:w="914"/>
        <w:gridCol w:w="914"/>
        <w:gridCol w:w="914"/>
        <w:gridCol w:w="914"/>
        <w:gridCol w:w="914"/>
        <w:gridCol w:w="914"/>
        <w:gridCol w:w="914"/>
        <w:gridCol w:w="914"/>
        <w:gridCol w:w="918"/>
        <w:gridCol w:w="932"/>
        <w:gridCol w:w="1574"/>
      </w:tblGrid>
      <w:tr w:rsidR="00C361F0" w14:paraId="7F09D153" w14:textId="77777777">
        <w:trPr>
          <w:trHeight w:val="310"/>
          <w:jc w:val="center"/>
        </w:trPr>
        <w:tc>
          <w:tcPr>
            <w:tcW w:w="19717" w:type="dxa"/>
            <w:gridSpan w:val="13"/>
            <w:tcBorders>
              <w:top w:val="nil"/>
              <w:left w:val="nil"/>
              <w:bottom w:val="single" w:sz="12" w:space="0" w:color="auto"/>
              <w:right w:val="nil"/>
            </w:tcBorders>
            <w:shd w:val="clear" w:color="auto" w:fill="auto"/>
            <w:noWrap/>
            <w:vAlign w:val="center"/>
          </w:tcPr>
          <w:p w14:paraId="26CBE7AA" w14:textId="4AE05900" w:rsidR="00C361F0" w:rsidRDefault="00426FEE">
            <w:pPr>
              <w:widowControl/>
              <w:jc w:val="left"/>
              <w:textAlignment w:val="center"/>
              <w:rPr>
                <w:rFonts w:ascii="Times New Roman" w:eastAsia="DengXian" w:hAnsi="Times New Roman" w:cs="Times New Roman"/>
                <w:color w:val="000000"/>
                <w:kern w:val="0"/>
                <w:sz w:val="22"/>
                <w:szCs w:val="22"/>
                <w:lang w:bidi="ar"/>
              </w:rPr>
            </w:pPr>
            <w:r w:rsidRPr="00426FEE">
              <w:rPr>
                <w:rFonts w:ascii="Times New Roman" w:eastAsia="DengXian" w:hAnsi="Times New Roman" w:cs="Times New Roman"/>
                <w:b/>
                <w:bCs/>
                <w:color w:val="000000"/>
                <w:kern w:val="0"/>
                <w:sz w:val="22"/>
                <w:szCs w:val="22"/>
                <w:lang w:bidi="ar"/>
              </w:rPr>
              <w:t>Table S</w:t>
            </w:r>
            <w:r>
              <w:rPr>
                <w:rFonts w:ascii="Times New Roman" w:eastAsia="DengXian" w:hAnsi="Times New Roman" w:cs="Times New Roman" w:hint="eastAsia"/>
                <w:b/>
                <w:bCs/>
                <w:color w:val="000000"/>
                <w:kern w:val="0"/>
                <w:sz w:val="22"/>
                <w:szCs w:val="22"/>
                <w:lang w:bidi="ar"/>
              </w:rPr>
              <w:t>3. Quality Assessment Checklist for Case Series</w:t>
            </w:r>
          </w:p>
        </w:tc>
      </w:tr>
      <w:tr w:rsidR="00C361F0" w14:paraId="6A4D3C18" w14:textId="77777777">
        <w:trPr>
          <w:trHeight w:val="310"/>
          <w:jc w:val="center"/>
        </w:trPr>
        <w:tc>
          <w:tcPr>
            <w:tcW w:w="8067" w:type="dxa"/>
            <w:tcBorders>
              <w:top w:val="single" w:sz="12" w:space="0" w:color="auto"/>
              <w:left w:val="nil"/>
              <w:bottom w:val="single" w:sz="12" w:space="0" w:color="auto"/>
              <w:right w:val="nil"/>
            </w:tcBorders>
            <w:shd w:val="clear" w:color="auto" w:fill="auto"/>
            <w:noWrap/>
            <w:vAlign w:val="center"/>
          </w:tcPr>
          <w:p w14:paraId="307D822C"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Title</w:t>
            </w:r>
          </w:p>
        </w:tc>
        <w:tc>
          <w:tcPr>
            <w:tcW w:w="914" w:type="dxa"/>
            <w:tcBorders>
              <w:top w:val="single" w:sz="12" w:space="0" w:color="auto"/>
              <w:left w:val="nil"/>
              <w:bottom w:val="single" w:sz="12" w:space="0" w:color="auto"/>
              <w:right w:val="nil"/>
            </w:tcBorders>
            <w:shd w:val="clear" w:color="auto" w:fill="auto"/>
            <w:noWrap/>
            <w:vAlign w:val="center"/>
          </w:tcPr>
          <w:p w14:paraId="578BDD2D"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Q1</w:t>
            </w:r>
          </w:p>
        </w:tc>
        <w:tc>
          <w:tcPr>
            <w:tcW w:w="914" w:type="dxa"/>
            <w:tcBorders>
              <w:top w:val="single" w:sz="12" w:space="0" w:color="auto"/>
              <w:left w:val="nil"/>
              <w:bottom w:val="single" w:sz="12" w:space="0" w:color="auto"/>
              <w:right w:val="nil"/>
            </w:tcBorders>
            <w:shd w:val="clear" w:color="auto" w:fill="auto"/>
            <w:noWrap/>
            <w:vAlign w:val="center"/>
          </w:tcPr>
          <w:p w14:paraId="12C46D6D"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Q2</w:t>
            </w:r>
          </w:p>
        </w:tc>
        <w:tc>
          <w:tcPr>
            <w:tcW w:w="914" w:type="dxa"/>
            <w:tcBorders>
              <w:top w:val="single" w:sz="12" w:space="0" w:color="auto"/>
              <w:left w:val="nil"/>
              <w:bottom w:val="single" w:sz="12" w:space="0" w:color="auto"/>
              <w:right w:val="nil"/>
            </w:tcBorders>
            <w:shd w:val="clear" w:color="auto" w:fill="auto"/>
            <w:noWrap/>
            <w:vAlign w:val="center"/>
          </w:tcPr>
          <w:p w14:paraId="2588D598"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Q3</w:t>
            </w:r>
          </w:p>
        </w:tc>
        <w:tc>
          <w:tcPr>
            <w:tcW w:w="914" w:type="dxa"/>
            <w:tcBorders>
              <w:top w:val="single" w:sz="12" w:space="0" w:color="auto"/>
              <w:left w:val="nil"/>
              <w:bottom w:val="single" w:sz="12" w:space="0" w:color="auto"/>
              <w:right w:val="nil"/>
            </w:tcBorders>
            <w:shd w:val="clear" w:color="auto" w:fill="auto"/>
            <w:noWrap/>
            <w:vAlign w:val="center"/>
          </w:tcPr>
          <w:p w14:paraId="63DCBB8E"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Q4</w:t>
            </w:r>
          </w:p>
        </w:tc>
        <w:tc>
          <w:tcPr>
            <w:tcW w:w="914" w:type="dxa"/>
            <w:tcBorders>
              <w:top w:val="single" w:sz="12" w:space="0" w:color="auto"/>
              <w:left w:val="nil"/>
              <w:bottom w:val="single" w:sz="12" w:space="0" w:color="auto"/>
              <w:right w:val="nil"/>
            </w:tcBorders>
            <w:shd w:val="clear" w:color="auto" w:fill="auto"/>
            <w:noWrap/>
            <w:vAlign w:val="center"/>
          </w:tcPr>
          <w:p w14:paraId="73C05658"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Q5</w:t>
            </w:r>
          </w:p>
        </w:tc>
        <w:tc>
          <w:tcPr>
            <w:tcW w:w="914" w:type="dxa"/>
            <w:tcBorders>
              <w:top w:val="single" w:sz="12" w:space="0" w:color="auto"/>
              <w:left w:val="nil"/>
              <w:bottom w:val="single" w:sz="12" w:space="0" w:color="auto"/>
              <w:right w:val="nil"/>
            </w:tcBorders>
            <w:shd w:val="clear" w:color="auto" w:fill="auto"/>
            <w:noWrap/>
            <w:vAlign w:val="center"/>
          </w:tcPr>
          <w:p w14:paraId="7B3AAB90"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Q6</w:t>
            </w:r>
          </w:p>
        </w:tc>
        <w:tc>
          <w:tcPr>
            <w:tcW w:w="914" w:type="dxa"/>
            <w:tcBorders>
              <w:top w:val="single" w:sz="12" w:space="0" w:color="auto"/>
              <w:left w:val="nil"/>
              <w:bottom w:val="single" w:sz="12" w:space="0" w:color="auto"/>
              <w:right w:val="nil"/>
            </w:tcBorders>
            <w:shd w:val="clear" w:color="auto" w:fill="auto"/>
            <w:noWrap/>
            <w:vAlign w:val="center"/>
          </w:tcPr>
          <w:p w14:paraId="1C6C96D6"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Q7</w:t>
            </w:r>
          </w:p>
        </w:tc>
        <w:tc>
          <w:tcPr>
            <w:tcW w:w="914" w:type="dxa"/>
            <w:tcBorders>
              <w:top w:val="single" w:sz="12" w:space="0" w:color="auto"/>
              <w:left w:val="nil"/>
              <w:bottom w:val="single" w:sz="12" w:space="0" w:color="auto"/>
              <w:right w:val="nil"/>
            </w:tcBorders>
            <w:shd w:val="clear" w:color="auto" w:fill="auto"/>
            <w:noWrap/>
            <w:vAlign w:val="center"/>
          </w:tcPr>
          <w:p w14:paraId="0676A1F3"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Q8</w:t>
            </w:r>
          </w:p>
        </w:tc>
        <w:tc>
          <w:tcPr>
            <w:tcW w:w="914" w:type="dxa"/>
            <w:tcBorders>
              <w:top w:val="single" w:sz="12" w:space="0" w:color="auto"/>
              <w:left w:val="nil"/>
              <w:bottom w:val="single" w:sz="12" w:space="0" w:color="auto"/>
              <w:right w:val="nil"/>
            </w:tcBorders>
            <w:shd w:val="clear" w:color="auto" w:fill="auto"/>
            <w:noWrap/>
            <w:vAlign w:val="center"/>
          </w:tcPr>
          <w:p w14:paraId="6B4E40A9"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Q9</w:t>
            </w:r>
          </w:p>
        </w:tc>
        <w:tc>
          <w:tcPr>
            <w:tcW w:w="918" w:type="dxa"/>
            <w:tcBorders>
              <w:top w:val="single" w:sz="12" w:space="0" w:color="auto"/>
              <w:left w:val="nil"/>
              <w:bottom w:val="single" w:sz="12" w:space="0" w:color="auto"/>
              <w:right w:val="nil"/>
            </w:tcBorders>
            <w:shd w:val="clear" w:color="auto" w:fill="auto"/>
            <w:noWrap/>
            <w:vAlign w:val="center"/>
          </w:tcPr>
          <w:p w14:paraId="45EF3525"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Q10</w:t>
            </w:r>
          </w:p>
        </w:tc>
        <w:tc>
          <w:tcPr>
            <w:tcW w:w="932" w:type="dxa"/>
            <w:tcBorders>
              <w:top w:val="single" w:sz="12" w:space="0" w:color="auto"/>
              <w:left w:val="nil"/>
              <w:bottom w:val="single" w:sz="12" w:space="0" w:color="auto"/>
              <w:right w:val="nil"/>
            </w:tcBorders>
            <w:shd w:val="clear" w:color="auto" w:fill="auto"/>
            <w:noWrap/>
            <w:vAlign w:val="center"/>
          </w:tcPr>
          <w:p w14:paraId="68846666"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b/>
                <w:bCs/>
                <w:color w:val="000000"/>
                <w:kern w:val="0"/>
                <w:sz w:val="22"/>
                <w:szCs w:val="22"/>
                <w:lang w:bidi="ar"/>
              </w:rPr>
              <w:t xml:space="preserve">Total </w:t>
            </w:r>
            <w:proofErr w:type="spellStart"/>
            <w:r>
              <w:rPr>
                <w:rFonts w:ascii="Times New Roman" w:eastAsia="DengXian" w:hAnsi="Times New Roman" w:cs="Times New Roman"/>
                <w:b/>
                <w:bCs/>
                <w:color w:val="000000"/>
                <w:kern w:val="0"/>
                <w:sz w:val="22"/>
                <w:szCs w:val="22"/>
                <w:lang w:bidi="ar"/>
              </w:rPr>
              <w:t>Score</w:t>
            </w:r>
            <w:r>
              <w:rPr>
                <w:rFonts w:ascii="Times New Roman" w:eastAsia="DengXian" w:hAnsi="Times New Roman" w:cs="Times New Roman" w:hint="eastAsia"/>
                <w:b/>
                <w:bCs/>
                <w:color w:val="000000"/>
                <w:kern w:val="0"/>
                <w:sz w:val="22"/>
                <w:szCs w:val="22"/>
                <w:vertAlign w:val="superscript"/>
                <w:lang w:bidi="ar"/>
              </w:rPr>
              <w:t>a</w:t>
            </w:r>
            <w:proofErr w:type="spellEnd"/>
          </w:p>
        </w:tc>
        <w:tc>
          <w:tcPr>
            <w:tcW w:w="1574" w:type="dxa"/>
            <w:tcBorders>
              <w:top w:val="single" w:sz="12" w:space="0" w:color="auto"/>
              <w:left w:val="nil"/>
              <w:bottom w:val="single" w:sz="12" w:space="0" w:color="auto"/>
              <w:right w:val="nil"/>
            </w:tcBorders>
            <w:shd w:val="clear" w:color="auto" w:fill="auto"/>
            <w:noWrap/>
            <w:vAlign w:val="center"/>
          </w:tcPr>
          <w:p w14:paraId="562DD226"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b/>
                <w:bCs/>
                <w:color w:val="000000"/>
                <w:kern w:val="0"/>
                <w:sz w:val="22"/>
                <w:szCs w:val="22"/>
                <w:lang w:bidi="ar"/>
              </w:rPr>
              <w:t xml:space="preserve">Quality </w:t>
            </w:r>
            <w:proofErr w:type="spellStart"/>
            <w:r>
              <w:rPr>
                <w:rFonts w:ascii="Times New Roman" w:eastAsia="DengXian" w:hAnsi="Times New Roman" w:cs="Times New Roman"/>
                <w:b/>
                <w:bCs/>
                <w:color w:val="000000"/>
                <w:kern w:val="0"/>
                <w:sz w:val="22"/>
                <w:szCs w:val="22"/>
                <w:lang w:bidi="ar"/>
              </w:rPr>
              <w:t>Assessment</w:t>
            </w:r>
            <w:r>
              <w:rPr>
                <w:rFonts w:ascii="Times New Roman" w:eastAsia="DengXian" w:hAnsi="Times New Roman" w:cs="Times New Roman" w:hint="eastAsia"/>
                <w:b/>
                <w:bCs/>
                <w:color w:val="000000"/>
                <w:kern w:val="0"/>
                <w:sz w:val="22"/>
                <w:szCs w:val="22"/>
                <w:vertAlign w:val="superscript"/>
                <w:lang w:bidi="ar"/>
              </w:rPr>
              <w:t>b</w:t>
            </w:r>
            <w:proofErr w:type="spellEnd"/>
          </w:p>
        </w:tc>
      </w:tr>
      <w:tr w:rsidR="00C361F0" w14:paraId="296F3D4B" w14:textId="77777777">
        <w:trPr>
          <w:trHeight w:val="310"/>
          <w:jc w:val="center"/>
        </w:trPr>
        <w:tc>
          <w:tcPr>
            <w:tcW w:w="8067" w:type="dxa"/>
            <w:tcBorders>
              <w:top w:val="single" w:sz="12" w:space="0" w:color="auto"/>
              <w:left w:val="nil"/>
              <w:bottom w:val="nil"/>
              <w:right w:val="nil"/>
            </w:tcBorders>
            <w:shd w:val="clear" w:color="auto" w:fill="auto"/>
            <w:noWrap/>
            <w:vAlign w:val="center"/>
          </w:tcPr>
          <w:p w14:paraId="00111BF9" w14:textId="373502A3" w:rsidR="00C361F0" w:rsidRDefault="00000000">
            <w:pPr>
              <w:widowControl/>
              <w:jc w:val="left"/>
              <w:textAlignment w:val="center"/>
              <w:rPr>
                <w:rFonts w:ascii="Times New Roman" w:eastAsia="DengXian" w:hAnsi="Times New Roman" w:cs="Times New Roman"/>
                <w:color w:val="000000"/>
                <w:sz w:val="22"/>
                <w:szCs w:val="22"/>
              </w:rPr>
            </w:pPr>
            <w:bookmarkStart w:id="37" w:name="OLE_LINK99"/>
            <w:r>
              <w:rPr>
                <w:rFonts w:ascii="Times New Roman" w:eastAsia="DengXian" w:hAnsi="Times New Roman" w:cs="Times New Roman"/>
                <w:color w:val="000000"/>
                <w:kern w:val="0"/>
                <w:sz w:val="22"/>
                <w:szCs w:val="22"/>
                <w:lang w:bidi="ar"/>
              </w:rPr>
              <w:t>肝癌患者肝移植术前使用</w:t>
            </w: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抑制剂对移植后排斥反应的影响</w:t>
            </w:r>
            <w:bookmarkEnd w:id="37"/>
          </w:p>
        </w:tc>
        <w:tc>
          <w:tcPr>
            <w:tcW w:w="914" w:type="dxa"/>
            <w:tcBorders>
              <w:top w:val="single" w:sz="12" w:space="0" w:color="auto"/>
              <w:left w:val="nil"/>
              <w:bottom w:val="nil"/>
              <w:right w:val="nil"/>
            </w:tcBorders>
            <w:shd w:val="clear" w:color="auto" w:fill="auto"/>
            <w:noWrap/>
            <w:vAlign w:val="center"/>
          </w:tcPr>
          <w:p w14:paraId="784C16F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single" w:sz="12" w:space="0" w:color="auto"/>
              <w:left w:val="nil"/>
              <w:bottom w:val="nil"/>
              <w:right w:val="nil"/>
            </w:tcBorders>
            <w:shd w:val="clear" w:color="auto" w:fill="auto"/>
            <w:noWrap/>
            <w:vAlign w:val="center"/>
          </w:tcPr>
          <w:p w14:paraId="3E5F935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single" w:sz="12" w:space="0" w:color="auto"/>
              <w:left w:val="nil"/>
              <w:bottom w:val="nil"/>
              <w:right w:val="nil"/>
            </w:tcBorders>
            <w:shd w:val="clear" w:color="auto" w:fill="auto"/>
            <w:noWrap/>
            <w:vAlign w:val="center"/>
          </w:tcPr>
          <w:p w14:paraId="37F1B31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single" w:sz="12" w:space="0" w:color="auto"/>
              <w:left w:val="nil"/>
              <w:bottom w:val="nil"/>
              <w:right w:val="nil"/>
            </w:tcBorders>
            <w:shd w:val="clear" w:color="auto" w:fill="auto"/>
            <w:noWrap/>
            <w:vAlign w:val="center"/>
          </w:tcPr>
          <w:p w14:paraId="4C4CBA7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single" w:sz="12" w:space="0" w:color="auto"/>
              <w:left w:val="nil"/>
              <w:bottom w:val="nil"/>
              <w:right w:val="nil"/>
            </w:tcBorders>
            <w:shd w:val="clear" w:color="auto" w:fill="auto"/>
            <w:noWrap/>
            <w:vAlign w:val="center"/>
          </w:tcPr>
          <w:p w14:paraId="1D701CC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single" w:sz="12" w:space="0" w:color="auto"/>
              <w:left w:val="nil"/>
              <w:bottom w:val="nil"/>
              <w:right w:val="nil"/>
            </w:tcBorders>
            <w:shd w:val="clear" w:color="auto" w:fill="auto"/>
            <w:noWrap/>
            <w:vAlign w:val="center"/>
          </w:tcPr>
          <w:p w14:paraId="77D7FB1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single" w:sz="12" w:space="0" w:color="auto"/>
              <w:left w:val="nil"/>
              <w:bottom w:val="nil"/>
              <w:right w:val="nil"/>
            </w:tcBorders>
            <w:shd w:val="clear" w:color="auto" w:fill="auto"/>
            <w:noWrap/>
            <w:vAlign w:val="center"/>
          </w:tcPr>
          <w:p w14:paraId="6511107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single" w:sz="12" w:space="0" w:color="auto"/>
              <w:left w:val="nil"/>
              <w:bottom w:val="nil"/>
              <w:right w:val="nil"/>
            </w:tcBorders>
            <w:shd w:val="clear" w:color="auto" w:fill="auto"/>
            <w:noWrap/>
            <w:vAlign w:val="center"/>
          </w:tcPr>
          <w:p w14:paraId="46E254A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single" w:sz="12" w:space="0" w:color="auto"/>
              <w:left w:val="nil"/>
              <w:bottom w:val="nil"/>
              <w:right w:val="nil"/>
            </w:tcBorders>
            <w:shd w:val="clear" w:color="auto" w:fill="auto"/>
            <w:noWrap/>
            <w:vAlign w:val="center"/>
          </w:tcPr>
          <w:p w14:paraId="150DF7D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single" w:sz="12" w:space="0" w:color="auto"/>
              <w:left w:val="nil"/>
              <w:bottom w:val="nil"/>
              <w:right w:val="nil"/>
            </w:tcBorders>
            <w:shd w:val="clear" w:color="auto" w:fill="auto"/>
            <w:noWrap/>
            <w:vAlign w:val="center"/>
          </w:tcPr>
          <w:p w14:paraId="69CE36E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single" w:sz="12" w:space="0" w:color="auto"/>
              <w:left w:val="nil"/>
              <w:bottom w:val="nil"/>
              <w:right w:val="nil"/>
            </w:tcBorders>
            <w:shd w:val="clear" w:color="auto" w:fill="auto"/>
            <w:noWrap/>
            <w:vAlign w:val="center"/>
          </w:tcPr>
          <w:p w14:paraId="0926695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574" w:type="dxa"/>
            <w:tcBorders>
              <w:top w:val="single" w:sz="12" w:space="0" w:color="auto"/>
              <w:left w:val="nil"/>
              <w:bottom w:val="nil"/>
              <w:right w:val="nil"/>
            </w:tcBorders>
            <w:shd w:val="clear" w:color="auto" w:fill="auto"/>
            <w:noWrap/>
            <w:vAlign w:val="center"/>
          </w:tcPr>
          <w:p w14:paraId="2A46716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71D2D0F7" w14:textId="77777777">
        <w:trPr>
          <w:trHeight w:val="310"/>
          <w:jc w:val="center"/>
        </w:trPr>
        <w:tc>
          <w:tcPr>
            <w:tcW w:w="8067" w:type="dxa"/>
            <w:tcBorders>
              <w:top w:val="nil"/>
              <w:left w:val="nil"/>
              <w:bottom w:val="nil"/>
              <w:right w:val="nil"/>
            </w:tcBorders>
            <w:shd w:val="clear" w:color="auto" w:fill="auto"/>
            <w:noWrap/>
            <w:vAlign w:val="center"/>
          </w:tcPr>
          <w:p w14:paraId="571401F8" w14:textId="07B30999"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使用程序性死亡受体</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单克隆抗体治疗肝癌肝移植术后复发的临床策略</w:t>
            </w:r>
          </w:p>
        </w:tc>
        <w:tc>
          <w:tcPr>
            <w:tcW w:w="914" w:type="dxa"/>
            <w:tcBorders>
              <w:top w:val="nil"/>
              <w:left w:val="nil"/>
              <w:bottom w:val="nil"/>
              <w:right w:val="nil"/>
            </w:tcBorders>
            <w:shd w:val="clear" w:color="auto" w:fill="auto"/>
            <w:noWrap/>
            <w:vAlign w:val="center"/>
          </w:tcPr>
          <w:p w14:paraId="1B3B644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D60ED3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B749EF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7EB4E96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5A767CA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4A4D887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D1EE73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61C20F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BAECA8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4F7719F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2452390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p>
        </w:tc>
        <w:tc>
          <w:tcPr>
            <w:tcW w:w="1574" w:type="dxa"/>
            <w:tcBorders>
              <w:top w:val="nil"/>
              <w:left w:val="nil"/>
              <w:bottom w:val="nil"/>
              <w:right w:val="nil"/>
            </w:tcBorders>
            <w:shd w:val="clear" w:color="auto" w:fill="auto"/>
            <w:noWrap/>
            <w:vAlign w:val="center"/>
          </w:tcPr>
          <w:p w14:paraId="5D40F96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17F9EF73" w14:textId="77777777">
        <w:trPr>
          <w:trHeight w:val="310"/>
          <w:jc w:val="center"/>
        </w:trPr>
        <w:tc>
          <w:tcPr>
            <w:tcW w:w="8067" w:type="dxa"/>
            <w:tcBorders>
              <w:top w:val="nil"/>
              <w:left w:val="nil"/>
              <w:bottom w:val="nil"/>
              <w:right w:val="nil"/>
            </w:tcBorders>
            <w:shd w:val="clear" w:color="auto" w:fill="auto"/>
            <w:noWrap/>
            <w:vAlign w:val="center"/>
          </w:tcPr>
          <w:p w14:paraId="3A88A5EE" w14:textId="7A83F903"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抑制剂用于肝癌肝移植术前治疗的安全性探讨</w:t>
            </w:r>
          </w:p>
        </w:tc>
        <w:tc>
          <w:tcPr>
            <w:tcW w:w="914" w:type="dxa"/>
            <w:tcBorders>
              <w:top w:val="nil"/>
              <w:left w:val="nil"/>
              <w:bottom w:val="nil"/>
              <w:right w:val="nil"/>
            </w:tcBorders>
            <w:shd w:val="clear" w:color="auto" w:fill="auto"/>
            <w:noWrap/>
            <w:vAlign w:val="center"/>
          </w:tcPr>
          <w:p w14:paraId="000B45D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2086B9F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130EFB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F59A2E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4A57236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057319D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DE4D20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A310ED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4EB05FD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6CA27D1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5007676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5</w:t>
            </w:r>
          </w:p>
        </w:tc>
        <w:tc>
          <w:tcPr>
            <w:tcW w:w="1574" w:type="dxa"/>
            <w:tcBorders>
              <w:top w:val="nil"/>
              <w:left w:val="nil"/>
              <w:bottom w:val="nil"/>
              <w:right w:val="nil"/>
            </w:tcBorders>
            <w:shd w:val="clear" w:color="auto" w:fill="auto"/>
            <w:noWrap/>
            <w:vAlign w:val="center"/>
          </w:tcPr>
          <w:p w14:paraId="7F214FE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Low</w:t>
            </w:r>
          </w:p>
        </w:tc>
      </w:tr>
      <w:tr w:rsidR="00C361F0" w14:paraId="29562F7B" w14:textId="77777777">
        <w:trPr>
          <w:trHeight w:val="310"/>
          <w:jc w:val="center"/>
        </w:trPr>
        <w:tc>
          <w:tcPr>
            <w:tcW w:w="8067" w:type="dxa"/>
            <w:tcBorders>
              <w:top w:val="nil"/>
              <w:left w:val="nil"/>
              <w:bottom w:val="nil"/>
              <w:right w:val="nil"/>
            </w:tcBorders>
            <w:shd w:val="clear" w:color="auto" w:fill="auto"/>
            <w:noWrap/>
            <w:vAlign w:val="center"/>
          </w:tcPr>
          <w:p w14:paraId="3C561323" w14:textId="33F4DE67"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抑制剂联合</w:t>
            </w:r>
            <w:r>
              <w:rPr>
                <w:rFonts w:ascii="Times New Roman" w:eastAsia="DengXian" w:hAnsi="Times New Roman" w:cs="Times New Roman"/>
                <w:color w:val="000000"/>
                <w:kern w:val="0"/>
                <w:sz w:val="22"/>
                <w:szCs w:val="22"/>
                <w:lang w:bidi="ar"/>
              </w:rPr>
              <w:t>TKIs</w:t>
            </w:r>
            <w:r>
              <w:rPr>
                <w:rFonts w:ascii="Times New Roman" w:eastAsia="DengXian" w:hAnsi="Times New Roman" w:cs="Times New Roman"/>
                <w:color w:val="000000"/>
                <w:kern w:val="0"/>
                <w:sz w:val="22"/>
                <w:szCs w:val="22"/>
                <w:lang w:bidi="ar"/>
              </w:rPr>
              <w:t>治疗中晚期肝细胞癌后实施肝移植的可行性探讨</w:t>
            </w:r>
          </w:p>
        </w:tc>
        <w:tc>
          <w:tcPr>
            <w:tcW w:w="914" w:type="dxa"/>
            <w:tcBorders>
              <w:top w:val="nil"/>
              <w:left w:val="nil"/>
              <w:bottom w:val="nil"/>
              <w:right w:val="nil"/>
            </w:tcBorders>
            <w:shd w:val="clear" w:color="auto" w:fill="auto"/>
            <w:noWrap/>
            <w:vAlign w:val="center"/>
          </w:tcPr>
          <w:p w14:paraId="6133D6F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49EF104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42F2E7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0E6727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0D62F6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4B93D0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892AA3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E324F1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06E6FF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6B11066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6490E80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7F22F68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F53C99D" w14:textId="77777777">
        <w:trPr>
          <w:trHeight w:val="310"/>
          <w:jc w:val="center"/>
        </w:trPr>
        <w:tc>
          <w:tcPr>
            <w:tcW w:w="8067" w:type="dxa"/>
            <w:tcBorders>
              <w:top w:val="nil"/>
              <w:left w:val="nil"/>
              <w:bottom w:val="nil"/>
              <w:right w:val="nil"/>
            </w:tcBorders>
            <w:shd w:val="clear" w:color="auto" w:fill="auto"/>
            <w:noWrap/>
            <w:vAlign w:val="center"/>
          </w:tcPr>
          <w:p w14:paraId="6645F80F" w14:textId="5B479510" w:rsidR="00C361F0" w:rsidRDefault="00000000">
            <w:pPr>
              <w:widowControl/>
              <w:jc w:val="left"/>
              <w:textAlignment w:val="center"/>
              <w:rPr>
                <w:rFonts w:ascii="Times New Roman" w:eastAsia="DengXian" w:hAnsi="Times New Roman" w:cs="Times New Roman"/>
                <w:color w:val="000000"/>
                <w:sz w:val="22"/>
                <w:szCs w:val="22"/>
              </w:rPr>
            </w:pPr>
            <w:bookmarkStart w:id="38" w:name="_Hlk195726529"/>
            <w:r>
              <w:rPr>
                <w:rFonts w:ascii="Times New Roman" w:eastAsia="DengXian" w:hAnsi="Times New Roman" w:cs="Times New Roman"/>
                <w:color w:val="000000"/>
                <w:kern w:val="0"/>
                <w:sz w:val="22"/>
                <w:szCs w:val="22"/>
                <w:lang w:bidi="ar"/>
              </w:rPr>
              <w:t>术前免疫治疗对肝移植受者预后的影响</w:t>
            </w:r>
          </w:p>
        </w:tc>
        <w:tc>
          <w:tcPr>
            <w:tcW w:w="914" w:type="dxa"/>
            <w:tcBorders>
              <w:top w:val="nil"/>
              <w:left w:val="nil"/>
              <w:bottom w:val="nil"/>
              <w:right w:val="nil"/>
            </w:tcBorders>
            <w:shd w:val="clear" w:color="auto" w:fill="auto"/>
            <w:noWrap/>
            <w:vAlign w:val="center"/>
          </w:tcPr>
          <w:p w14:paraId="65A6D91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36FFCC2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B5DE76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26849A9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512C85C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75A23AD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3E7BD9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7F9BF8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8580EF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2656D6D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4F6456E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5</w:t>
            </w:r>
          </w:p>
        </w:tc>
        <w:tc>
          <w:tcPr>
            <w:tcW w:w="1574" w:type="dxa"/>
            <w:tcBorders>
              <w:top w:val="nil"/>
              <w:left w:val="nil"/>
              <w:bottom w:val="nil"/>
              <w:right w:val="nil"/>
            </w:tcBorders>
            <w:shd w:val="clear" w:color="auto" w:fill="auto"/>
            <w:noWrap/>
            <w:vAlign w:val="center"/>
          </w:tcPr>
          <w:p w14:paraId="6419753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Low</w:t>
            </w:r>
          </w:p>
        </w:tc>
      </w:tr>
      <w:bookmarkEnd w:id="38"/>
      <w:tr w:rsidR="00C361F0" w14:paraId="153F2D02" w14:textId="77777777">
        <w:trPr>
          <w:trHeight w:val="310"/>
          <w:jc w:val="center"/>
        </w:trPr>
        <w:tc>
          <w:tcPr>
            <w:tcW w:w="8067" w:type="dxa"/>
            <w:tcBorders>
              <w:top w:val="nil"/>
              <w:left w:val="nil"/>
              <w:bottom w:val="nil"/>
              <w:right w:val="nil"/>
            </w:tcBorders>
            <w:shd w:val="clear" w:color="auto" w:fill="auto"/>
            <w:noWrap/>
            <w:vAlign w:val="center"/>
          </w:tcPr>
          <w:p w14:paraId="2163FDD1" w14:textId="5404E810"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6</w:t>
            </w:r>
            <w:r>
              <w:rPr>
                <w:rFonts w:ascii="Times New Roman" w:eastAsia="DengXian" w:hAnsi="Times New Roman" w:cs="Times New Roman"/>
                <w:color w:val="000000"/>
                <w:kern w:val="0"/>
                <w:sz w:val="22"/>
                <w:szCs w:val="22"/>
                <w:lang w:bidi="ar"/>
              </w:rPr>
              <w:t>例免疫检查点抑制剂挽救性治疗肝癌肝移植术后肿瘤复发的初步评价</w:t>
            </w:r>
          </w:p>
        </w:tc>
        <w:tc>
          <w:tcPr>
            <w:tcW w:w="914" w:type="dxa"/>
            <w:tcBorders>
              <w:top w:val="nil"/>
              <w:left w:val="nil"/>
              <w:bottom w:val="nil"/>
              <w:right w:val="nil"/>
            </w:tcBorders>
            <w:shd w:val="clear" w:color="auto" w:fill="auto"/>
            <w:noWrap/>
            <w:vAlign w:val="center"/>
          </w:tcPr>
          <w:p w14:paraId="69FE9CE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4E0B78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A0AA5C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5DCB1CC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5640A0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D6DC3C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2461DA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BAAFC6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AEB0D9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233239F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7056DC2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2AA5A89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19E1F0D2" w14:textId="77777777">
        <w:trPr>
          <w:trHeight w:val="310"/>
          <w:jc w:val="center"/>
        </w:trPr>
        <w:tc>
          <w:tcPr>
            <w:tcW w:w="8067" w:type="dxa"/>
            <w:tcBorders>
              <w:top w:val="nil"/>
              <w:left w:val="nil"/>
              <w:bottom w:val="nil"/>
              <w:right w:val="nil"/>
            </w:tcBorders>
            <w:shd w:val="clear" w:color="auto" w:fill="auto"/>
            <w:noWrap/>
            <w:vAlign w:val="center"/>
          </w:tcPr>
          <w:p w14:paraId="54794A16" w14:textId="642E6C30"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抑制剂在肝癌肝移植术前使用的安全性分析</w:t>
            </w:r>
          </w:p>
        </w:tc>
        <w:tc>
          <w:tcPr>
            <w:tcW w:w="914" w:type="dxa"/>
            <w:tcBorders>
              <w:top w:val="nil"/>
              <w:left w:val="nil"/>
              <w:bottom w:val="nil"/>
              <w:right w:val="nil"/>
            </w:tcBorders>
            <w:shd w:val="clear" w:color="auto" w:fill="auto"/>
            <w:noWrap/>
            <w:vAlign w:val="center"/>
          </w:tcPr>
          <w:p w14:paraId="4588378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0E8B029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0F0D5C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C98692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0459A2D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44D19A4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F2381B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535096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58860DA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0C8416D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356106D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5</w:t>
            </w:r>
          </w:p>
        </w:tc>
        <w:tc>
          <w:tcPr>
            <w:tcW w:w="1574" w:type="dxa"/>
            <w:tcBorders>
              <w:top w:val="nil"/>
              <w:left w:val="nil"/>
              <w:bottom w:val="nil"/>
              <w:right w:val="nil"/>
            </w:tcBorders>
            <w:shd w:val="clear" w:color="auto" w:fill="auto"/>
            <w:noWrap/>
            <w:vAlign w:val="center"/>
          </w:tcPr>
          <w:p w14:paraId="4270BB6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Low</w:t>
            </w:r>
          </w:p>
        </w:tc>
      </w:tr>
      <w:tr w:rsidR="00C361F0" w14:paraId="5CD16351" w14:textId="77777777">
        <w:trPr>
          <w:trHeight w:val="310"/>
          <w:jc w:val="center"/>
        </w:trPr>
        <w:tc>
          <w:tcPr>
            <w:tcW w:w="8067" w:type="dxa"/>
            <w:tcBorders>
              <w:top w:val="nil"/>
              <w:left w:val="nil"/>
              <w:bottom w:val="nil"/>
              <w:right w:val="nil"/>
            </w:tcBorders>
            <w:shd w:val="clear" w:color="auto" w:fill="auto"/>
            <w:noWrap/>
            <w:vAlign w:val="center"/>
          </w:tcPr>
          <w:p w14:paraId="69E6C3AB" w14:textId="63F9646C"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卡瑞利珠单抗挽救性治疗移植肝组织</w:t>
            </w:r>
            <w:r>
              <w:rPr>
                <w:rFonts w:ascii="Times New Roman" w:eastAsia="DengXian" w:hAnsi="Times New Roman" w:cs="Times New Roman"/>
                <w:color w:val="000000"/>
                <w:kern w:val="0"/>
                <w:sz w:val="22"/>
                <w:szCs w:val="22"/>
                <w:lang w:bidi="ar"/>
              </w:rPr>
              <w:t>PD-L1</w:t>
            </w:r>
            <w:r>
              <w:rPr>
                <w:rFonts w:ascii="Times New Roman" w:eastAsia="DengXian" w:hAnsi="Times New Roman" w:cs="Times New Roman"/>
                <w:color w:val="000000"/>
                <w:kern w:val="0"/>
                <w:sz w:val="22"/>
                <w:szCs w:val="22"/>
                <w:lang w:bidi="ar"/>
              </w:rPr>
              <w:t>阴性肝外复发性肝癌</w:t>
            </w:r>
          </w:p>
        </w:tc>
        <w:tc>
          <w:tcPr>
            <w:tcW w:w="914" w:type="dxa"/>
            <w:tcBorders>
              <w:top w:val="nil"/>
              <w:left w:val="nil"/>
              <w:bottom w:val="nil"/>
              <w:right w:val="nil"/>
            </w:tcBorders>
            <w:shd w:val="clear" w:color="auto" w:fill="auto"/>
            <w:noWrap/>
            <w:vAlign w:val="center"/>
          </w:tcPr>
          <w:p w14:paraId="3A52C02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352AE0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0F9BE2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0773AF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37CC54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65B9AF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736063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41A212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A57B17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4BDA974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3F9C171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574" w:type="dxa"/>
            <w:tcBorders>
              <w:top w:val="nil"/>
              <w:left w:val="nil"/>
              <w:bottom w:val="nil"/>
              <w:right w:val="nil"/>
            </w:tcBorders>
            <w:shd w:val="clear" w:color="auto" w:fill="auto"/>
            <w:noWrap/>
            <w:vAlign w:val="center"/>
          </w:tcPr>
          <w:p w14:paraId="6527B3F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2C136496" w14:textId="77777777">
        <w:trPr>
          <w:trHeight w:val="310"/>
          <w:jc w:val="center"/>
        </w:trPr>
        <w:tc>
          <w:tcPr>
            <w:tcW w:w="8067" w:type="dxa"/>
            <w:tcBorders>
              <w:top w:val="nil"/>
              <w:left w:val="nil"/>
              <w:bottom w:val="nil"/>
              <w:right w:val="nil"/>
            </w:tcBorders>
            <w:shd w:val="clear" w:color="auto" w:fill="auto"/>
            <w:noWrap/>
            <w:vAlign w:val="center"/>
          </w:tcPr>
          <w:p w14:paraId="6EA0BA4F" w14:textId="718E6E28" w:rsidR="00C361F0" w:rsidRDefault="00000000">
            <w:pPr>
              <w:widowControl/>
              <w:jc w:val="left"/>
              <w:textAlignment w:val="center"/>
              <w:rPr>
                <w:rFonts w:ascii="Times New Roman" w:eastAsia="DengXian" w:hAnsi="Times New Roman" w:cs="Times New Roman"/>
                <w:color w:val="000000"/>
                <w:sz w:val="22"/>
                <w:szCs w:val="22"/>
              </w:rPr>
            </w:pPr>
            <w:bookmarkStart w:id="39" w:name="OLE_LINK102"/>
            <w:r>
              <w:rPr>
                <w:rFonts w:ascii="Times New Roman" w:eastAsia="DengXian" w:hAnsi="Times New Roman" w:cs="Times New Roman"/>
                <w:color w:val="000000"/>
                <w:kern w:val="0"/>
                <w:sz w:val="22"/>
                <w:szCs w:val="22"/>
                <w:lang w:bidi="ar"/>
              </w:rPr>
              <w:t>Anti-Programmed Cell Death Protein 1 (PD-1) Immunotherapy for Metastatic Hepatocellular Carcinoma After Liver Transplantation: A Report of Three Cases</w:t>
            </w:r>
            <w:bookmarkEnd w:id="39"/>
          </w:p>
        </w:tc>
        <w:tc>
          <w:tcPr>
            <w:tcW w:w="914" w:type="dxa"/>
            <w:tcBorders>
              <w:top w:val="nil"/>
              <w:left w:val="nil"/>
              <w:bottom w:val="nil"/>
              <w:right w:val="nil"/>
            </w:tcBorders>
            <w:shd w:val="clear" w:color="auto" w:fill="auto"/>
            <w:noWrap/>
            <w:vAlign w:val="center"/>
          </w:tcPr>
          <w:p w14:paraId="706A920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3986BEF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61AD6A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6E7D5CF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FF7F44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6B8B55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0B6B7D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97104D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1DFAD8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71AFD91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7C3BB62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0544F7F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7B49295B" w14:textId="77777777">
        <w:trPr>
          <w:trHeight w:val="310"/>
          <w:jc w:val="center"/>
        </w:trPr>
        <w:tc>
          <w:tcPr>
            <w:tcW w:w="8067" w:type="dxa"/>
            <w:tcBorders>
              <w:top w:val="nil"/>
              <w:left w:val="nil"/>
              <w:bottom w:val="nil"/>
              <w:right w:val="nil"/>
            </w:tcBorders>
            <w:shd w:val="clear" w:color="auto" w:fill="auto"/>
            <w:noWrap/>
            <w:vAlign w:val="center"/>
          </w:tcPr>
          <w:p w14:paraId="6E57F9BD" w14:textId="0024D618"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Clinical outcomes of solid organ transplant recipients with metastatic cancers who are treated with immune checkpoint inhibitors: A single-center analysis</w:t>
            </w:r>
          </w:p>
        </w:tc>
        <w:tc>
          <w:tcPr>
            <w:tcW w:w="914" w:type="dxa"/>
            <w:tcBorders>
              <w:top w:val="nil"/>
              <w:left w:val="nil"/>
              <w:bottom w:val="nil"/>
              <w:right w:val="nil"/>
            </w:tcBorders>
            <w:shd w:val="clear" w:color="auto" w:fill="auto"/>
            <w:noWrap/>
            <w:vAlign w:val="center"/>
          </w:tcPr>
          <w:p w14:paraId="27067C2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53C5A4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F6CB6F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B59905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83D075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D78F3F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1642F4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7911CB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1CF908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7B7B7EC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5256A1E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574" w:type="dxa"/>
            <w:tcBorders>
              <w:top w:val="nil"/>
              <w:left w:val="nil"/>
              <w:bottom w:val="nil"/>
              <w:right w:val="nil"/>
            </w:tcBorders>
            <w:shd w:val="clear" w:color="auto" w:fill="auto"/>
            <w:noWrap/>
            <w:vAlign w:val="center"/>
          </w:tcPr>
          <w:p w14:paraId="08E315F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7ECF5EC2" w14:textId="77777777">
        <w:trPr>
          <w:trHeight w:val="310"/>
          <w:jc w:val="center"/>
        </w:trPr>
        <w:tc>
          <w:tcPr>
            <w:tcW w:w="8067" w:type="dxa"/>
            <w:tcBorders>
              <w:top w:val="nil"/>
              <w:left w:val="nil"/>
              <w:bottom w:val="nil"/>
              <w:right w:val="nil"/>
            </w:tcBorders>
            <w:shd w:val="clear" w:color="auto" w:fill="auto"/>
            <w:noWrap/>
            <w:vAlign w:val="center"/>
          </w:tcPr>
          <w:p w14:paraId="663407F9" w14:textId="2035F6DE"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Downstaging Hepatocellular Carcinoma with Checkpoint Inhibitor Therapy Improves Access to Curative Liver Transplant</w:t>
            </w:r>
          </w:p>
        </w:tc>
        <w:tc>
          <w:tcPr>
            <w:tcW w:w="914" w:type="dxa"/>
            <w:tcBorders>
              <w:top w:val="nil"/>
              <w:left w:val="nil"/>
              <w:bottom w:val="nil"/>
              <w:right w:val="nil"/>
            </w:tcBorders>
            <w:shd w:val="clear" w:color="auto" w:fill="auto"/>
            <w:noWrap/>
            <w:vAlign w:val="center"/>
          </w:tcPr>
          <w:p w14:paraId="24D3EFA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EFD588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F3BCE0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AF93E0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68C64EA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603516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1FE88F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2D33CE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57D7A9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751986F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2BF4B30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1A3435F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359E5072" w14:textId="77777777">
        <w:trPr>
          <w:trHeight w:val="310"/>
          <w:jc w:val="center"/>
        </w:trPr>
        <w:tc>
          <w:tcPr>
            <w:tcW w:w="8067" w:type="dxa"/>
            <w:tcBorders>
              <w:top w:val="nil"/>
              <w:left w:val="nil"/>
              <w:bottom w:val="nil"/>
              <w:right w:val="nil"/>
            </w:tcBorders>
            <w:shd w:val="clear" w:color="auto" w:fill="auto"/>
            <w:noWrap/>
            <w:vAlign w:val="center"/>
          </w:tcPr>
          <w:p w14:paraId="71A4C60E" w14:textId="514C5334"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Downstaging with atezolizumab-bevacizumab: a case series</w:t>
            </w:r>
          </w:p>
        </w:tc>
        <w:tc>
          <w:tcPr>
            <w:tcW w:w="914" w:type="dxa"/>
            <w:tcBorders>
              <w:top w:val="nil"/>
              <w:left w:val="nil"/>
              <w:bottom w:val="nil"/>
              <w:right w:val="nil"/>
            </w:tcBorders>
            <w:shd w:val="clear" w:color="auto" w:fill="auto"/>
            <w:noWrap/>
            <w:vAlign w:val="center"/>
          </w:tcPr>
          <w:p w14:paraId="3B5A42D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1D658C7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292355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43CF28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8CF46B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A8C8BD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9303A9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96F5AA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B3D4AC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381C34A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3AC358A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5E9AD1C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63514376" w14:textId="77777777">
        <w:trPr>
          <w:trHeight w:val="310"/>
          <w:jc w:val="center"/>
        </w:trPr>
        <w:tc>
          <w:tcPr>
            <w:tcW w:w="8067" w:type="dxa"/>
            <w:tcBorders>
              <w:top w:val="nil"/>
              <w:left w:val="nil"/>
              <w:bottom w:val="nil"/>
              <w:right w:val="nil"/>
            </w:tcBorders>
            <w:shd w:val="clear" w:color="auto" w:fill="auto"/>
            <w:noWrap/>
            <w:vAlign w:val="center"/>
          </w:tcPr>
          <w:p w14:paraId="604CF143" w14:textId="602A69E2"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Fatal orthotopic liver transplant organ rejection induced by a checkpoint inhibitor in two patients with refractory, metastatic hepatocellular carcinoma</w:t>
            </w:r>
          </w:p>
        </w:tc>
        <w:tc>
          <w:tcPr>
            <w:tcW w:w="914" w:type="dxa"/>
            <w:tcBorders>
              <w:top w:val="nil"/>
              <w:left w:val="nil"/>
              <w:bottom w:val="nil"/>
              <w:right w:val="nil"/>
            </w:tcBorders>
            <w:shd w:val="clear" w:color="auto" w:fill="auto"/>
            <w:noWrap/>
            <w:vAlign w:val="center"/>
          </w:tcPr>
          <w:p w14:paraId="7914AF6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41E07D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FDCCC0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7EF3B6B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590979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D3F26C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B717BA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BA499A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03022D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1A3A5B0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32" w:type="dxa"/>
            <w:tcBorders>
              <w:top w:val="nil"/>
              <w:left w:val="nil"/>
              <w:bottom w:val="nil"/>
              <w:right w:val="nil"/>
            </w:tcBorders>
            <w:shd w:val="clear" w:color="auto" w:fill="auto"/>
            <w:noWrap/>
            <w:vAlign w:val="center"/>
          </w:tcPr>
          <w:p w14:paraId="60DCAD5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00855DF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6640AB56" w14:textId="77777777">
        <w:trPr>
          <w:trHeight w:val="310"/>
          <w:jc w:val="center"/>
        </w:trPr>
        <w:tc>
          <w:tcPr>
            <w:tcW w:w="8067" w:type="dxa"/>
            <w:tcBorders>
              <w:top w:val="nil"/>
              <w:left w:val="nil"/>
              <w:bottom w:val="nil"/>
              <w:right w:val="nil"/>
            </w:tcBorders>
            <w:shd w:val="clear" w:color="auto" w:fill="auto"/>
            <w:noWrap/>
            <w:vAlign w:val="center"/>
          </w:tcPr>
          <w:p w14:paraId="69B2640A" w14:textId="562CDE37"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Graft PD‐L1 expression as a marker for transplant rejection following anti‐PD1 immunotherapy for recurrent liver tumors</w:t>
            </w:r>
          </w:p>
        </w:tc>
        <w:tc>
          <w:tcPr>
            <w:tcW w:w="914" w:type="dxa"/>
            <w:tcBorders>
              <w:top w:val="nil"/>
              <w:left w:val="nil"/>
              <w:bottom w:val="nil"/>
              <w:right w:val="nil"/>
            </w:tcBorders>
            <w:shd w:val="clear" w:color="auto" w:fill="auto"/>
            <w:noWrap/>
            <w:vAlign w:val="center"/>
          </w:tcPr>
          <w:p w14:paraId="452833C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F9A4FD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E8C828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EDEC9C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CE80F0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EBC598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F5E001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FB67E7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64D0C6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29E0008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564E111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574" w:type="dxa"/>
            <w:tcBorders>
              <w:top w:val="nil"/>
              <w:left w:val="nil"/>
              <w:bottom w:val="nil"/>
              <w:right w:val="nil"/>
            </w:tcBorders>
            <w:shd w:val="clear" w:color="auto" w:fill="auto"/>
            <w:noWrap/>
            <w:vAlign w:val="center"/>
          </w:tcPr>
          <w:p w14:paraId="1D4C541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07056244" w14:textId="77777777">
        <w:trPr>
          <w:trHeight w:val="310"/>
          <w:jc w:val="center"/>
        </w:trPr>
        <w:tc>
          <w:tcPr>
            <w:tcW w:w="8067" w:type="dxa"/>
            <w:tcBorders>
              <w:top w:val="nil"/>
              <w:left w:val="nil"/>
              <w:bottom w:val="nil"/>
              <w:right w:val="nil"/>
            </w:tcBorders>
            <w:shd w:val="clear" w:color="auto" w:fill="auto"/>
            <w:noWrap/>
            <w:vAlign w:val="center"/>
          </w:tcPr>
          <w:p w14:paraId="6FBE29E1" w14:textId="1255B907" w:rsidR="00C361F0" w:rsidRDefault="00000000">
            <w:pPr>
              <w:widowControl/>
              <w:jc w:val="left"/>
              <w:textAlignment w:val="center"/>
              <w:rPr>
                <w:rFonts w:ascii="Times New Roman" w:eastAsia="DengXian" w:hAnsi="Times New Roman" w:cs="Times New Roman"/>
                <w:color w:val="000000"/>
                <w:sz w:val="22"/>
                <w:szCs w:val="22"/>
              </w:rPr>
            </w:pPr>
            <w:bookmarkStart w:id="40" w:name="OLE_LINK103"/>
            <w:r>
              <w:rPr>
                <w:rFonts w:ascii="Times New Roman" w:eastAsia="DengXian" w:hAnsi="Times New Roman" w:cs="Times New Roman"/>
                <w:color w:val="000000"/>
                <w:kern w:val="0"/>
                <w:sz w:val="22"/>
                <w:szCs w:val="22"/>
                <w:lang w:bidi="ar"/>
              </w:rPr>
              <w:t>Immunotherapy before liver transplant in unresectable hepatocellular carcinoma: a case report</w:t>
            </w:r>
            <w:bookmarkEnd w:id="40"/>
          </w:p>
        </w:tc>
        <w:tc>
          <w:tcPr>
            <w:tcW w:w="914" w:type="dxa"/>
            <w:tcBorders>
              <w:top w:val="nil"/>
              <w:left w:val="nil"/>
              <w:bottom w:val="nil"/>
              <w:right w:val="nil"/>
            </w:tcBorders>
            <w:shd w:val="clear" w:color="auto" w:fill="auto"/>
            <w:noWrap/>
            <w:vAlign w:val="center"/>
          </w:tcPr>
          <w:p w14:paraId="39A086F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2307C62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694DE7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F6701A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18A705A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9C5568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C98C5A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AC9172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E43020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18F3F1F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521CB42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5376662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55237B2D" w14:textId="77777777">
        <w:trPr>
          <w:trHeight w:val="310"/>
          <w:jc w:val="center"/>
        </w:trPr>
        <w:tc>
          <w:tcPr>
            <w:tcW w:w="8067" w:type="dxa"/>
            <w:tcBorders>
              <w:top w:val="nil"/>
              <w:left w:val="nil"/>
              <w:bottom w:val="nil"/>
              <w:right w:val="nil"/>
            </w:tcBorders>
            <w:shd w:val="clear" w:color="auto" w:fill="auto"/>
            <w:noWrap/>
            <w:vAlign w:val="center"/>
          </w:tcPr>
          <w:p w14:paraId="2702A54D" w14:textId="7DA7FB3C"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Liver transplantation for advanced hepatocellular carcinoma after downstaging with consequential </w:t>
            </w:r>
            <w:proofErr w:type="spellStart"/>
            <w:r>
              <w:rPr>
                <w:rFonts w:ascii="Times New Roman" w:eastAsia="DengXian" w:hAnsi="Times New Roman" w:cs="Times New Roman"/>
                <w:color w:val="000000"/>
                <w:kern w:val="0"/>
                <w:sz w:val="22"/>
                <w:szCs w:val="22"/>
                <w:lang w:bidi="ar"/>
              </w:rPr>
              <w:t>lenvatinib</w:t>
            </w:r>
            <w:proofErr w:type="spellEnd"/>
            <w:r>
              <w:rPr>
                <w:rFonts w:ascii="Times New Roman" w:eastAsia="DengXian" w:hAnsi="Times New Roman" w:cs="Times New Roman"/>
                <w:color w:val="000000"/>
                <w:kern w:val="0"/>
                <w:sz w:val="22"/>
                <w:szCs w:val="22"/>
                <w:lang w:bidi="ar"/>
              </w:rPr>
              <w:t xml:space="preserve">, transcatheter arterial chemoembolization and </w:t>
            </w:r>
            <w:proofErr w:type="spellStart"/>
            <w:r>
              <w:rPr>
                <w:rFonts w:ascii="Times New Roman" w:eastAsia="DengXian" w:hAnsi="Times New Roman" w:cs="Times New Roman"/>
                <w:color w:val="000000"/>
                <w:kern w:val="0"/>
                <w:sz w:val="22"/>
                <w:szCs w:val="22"/>
                <w:lang w:bidi="ar"/>
              </w:rPr>
              <w:t>camrelizumab</w:t>
            </w:r>
            <w:proofErr w:type="spellEnd"/>
          </w:p>
        </w:tc>
        <w:tc>
          <w:tcPr>
            <w:tcW w:w="914" w:type="dxa"/>
            <w:tcBorders>
              <w:top w:val="nil"/>
              <w:left w:val="nil"/>
              <w:bottom w:val="nil"/>
              <w:right w:val="nil"/>
            </w:tcBorders>
            <w:shd w:val="clear" w:color="auto" w:fill="auto"/>
            <w:noWrap/>
            <w:vAlign w:val="center"/>
          </w:tcPr>
          <w:p w14:paraId="781804E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85CF5C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7AB9D2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23B8CC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3FB80BA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0FF717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BA9B2E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992A25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D71D1E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38CF63E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5538135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6408833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27A9F600" w14:textId="77777777">
        <w:trPr>
          <w:trHeight w:val="310"/>
          <w:jc w:val="center"/>
        </w:trPr>
        <w:tc>
          <w:tcPr>
            <w:tcW w:w="8067" w:type="dxa"/>
            <w:tcBorders>
              <w:top w:val="nil"/>
              <w:left w:val="nil"/>
              <w:bottom w:val="nil"/>
              <w:right w:val="nil"/>
            </w:tcBorders>
            <w:shd w:val="clear" w:color="auto" w:fill="auto"/>
            <w:noWrap/>
            <w:vAlign w:val="center"/>
          </w:tcPr>
          <w:p w14:paraId="4EC55201" w14:textId="305E27C1"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Liver transplantation for hepatocellular carcinoma following checkpoint </w:t>
            </w:r>
            <w:proofErr w:type="gramStart"/>
            <w:r>
              <w:rPr>
                <w:rFonts w:ascii="Times New Roman" w:eastAsia="DengXian" w:hAnsi="Times New Roman" w:cs="Times New Roman"/>
                <w:color w:val="000000"/>
                <w:kern w:val="0"/>
                <w:sz w:val="22"/>
                <w:szCs w:val="22"/>
                <w:lang w:bidi="ar"/>
              </w:rPr>
              <w:t>inhibitor  therapy</w:t>
            </w:r>
            <w:proofErr w:type="gramEnd"/>
            <w:r>
              <w:rPr>
                <w:rFonts w:ascii="Times New Roman" w:eastAsia="DengXian" w:hAnsi="Times New Roman" w:cs="Times New Roman"/>
                <w:color w:val="000000"/>
                <w:kern w:val="0"/>
                <w:sz w:val="22"/>
                <w:szCs w:val="22"/>
                <w:lang w:bidi="ar"/>
              </w:rPr>
              <w:t xml:space="preserve"> with nivolumab</w:t>
            </w:r>
          </w:p>
        </w:tc>
        <w:tc>
          <w:tcPr>
            <w:tcW w:w="914" w:type="dxa"/>
            <w:tcBorders>
              <w:top w:val="nil"/>
              <w:left w:val="nil"/>
              <w:bottom w:val="nil"/>
              <w:right w:val="nil"/>
            </w:tcBorders>
            <w:shd w:val="clear" w:color="auto" w:fill="auto"/>
            <w:noWrap/>
            <w:vAlign w:val="center"/>
          </w:tcPr>
          <w:p w14:paraId="093444D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60E13E4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7FE8DE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18B66CF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E39599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FB44F7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64E49B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616AB2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A99D85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44DAEE4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617857F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35AB16E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7DA53013" w14:textId="77777777">
        <w:trPr>
          <w:trHeight w:val="310"/>
          <w:jc w:val="center"/>
        </w:trPr>
        <w:tc>
          <w:tcPr>
            <w:tcW w:w="8067" w:type="dxa"/>
            <w:tcBorders>
              <w:top w:val="nil"/>
              <w:left w:val="nil"/>
              <w:bottom w:val="nil"/>
              <w:right w:val="nil"/>
            </w:tcBorders>
            <w:shd w:val="clear" w:color="auto" w:fill="auto"/>
            <w:noWrap/>
            <w:vAlign w:val="center"/>
          </w:tcPr>
          <w:p w14:paraId="75CF32A9" w14:textId="2727F3CD"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Prognosis after liver transplantation in patients treated with anti PD-1 immunotherapy for advanced hepatocellular </w:t>
            </w:r>
            <w:proofErr w:type="spellStart"/>
            <w:proofErr w:type="gramStart"/>
            <w:r>
              <w:rPr>
                <w:rFonts w:ascii="Times New Roman" w:eastAsia="DengXian" w:hAnsi="Times New Roman" w:cs="Times New Roman"/>
                <w:color w:val="000000"/>
                <w:kern w:val="0"/>
                <w:sz w:val="22"/>
                <w:szCs w:val="22"/>
                <w:lang w:bidi="ar"/>
              </w:rPr>
              <w:t>carcinoma:case</w:t>
            </w:r>
            <w:proofErr w:type="spellEnd"/>
            <w:proofErr w:type="gramEnd"/>
            <w:r>
              <w:rPr>
                <w:rFonts w:ascii="Times New Roman" w:eastAsia="DengXian" w:hAnsi="Times New Roman" w:cs="Times New Roman"/>
                <w:color w:val="000000"/>
                <w:kern w:val="0"/>
                <w:sz w:val="22"/>
                <w:szCs w:val="22"/>
                <w:lang w:bidi="ar"/>
              </w:rPr>
              <w:t xml:space="preserve"> series</w:t>
            </w:r>
          </w:p>
        </w:tc>
        <w:tc>
          <w:tcPr>
            <w:tcW w:w="914" w:type="dxa"/>
            <w:tcBorders>
              <w:top w:val="nil"/>
              <w:left w:val="nil"/>
              <w:bottom w:val="nil"/>
              <w:right w:val="nil"/>
            </w:tcBorders>
            <w:shd w:val="clear" w:color="auto" w:fill="auto"/>
            <w:noWrap/>
            <w:vAlign w:val="center"/>
          </w:tcPr>
          <w:p w14:paraId="7805270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A2D033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2A2FBF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9642A4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4BFD56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2AC690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3AC924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9F2E8D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694C51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7A21A91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69D93B4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574" w:type="dxa"/>
            <w:tcBorders>
              <w:top w:val="nil"/>
              <w:left w:val="nil"/>
              <w:bottom w:val="nil"/>
              <w:right w:val="nil"/>
            </w:tcBorders>
            <w:shd w:val="clear" w:color="auto" w:fill="auto"/>
            <w:noWrap/>
            <w:vAlign w:val="center"/>
          </w:tcPr>
          <w:p w14:paraId="06BD115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3E14A3B5" w14:textId="77777777">
        <w:trPr>
          <w:trHeight w:val="310"/>
          <w:jc w:val="center"/>
        </w:trPr>
        <w:tc>
          <w:tcPr>
            <w:tcW w:w="8067" w:type="dxa"/>
            <w:tcBorders>
              <w:top w:val="nil"/>
              <w:left w:val="nil"/>
              <w:bottom w:val="nil"/>
              <w:right w:val="nil"/>
            </w:tcBorders>
            <w:shd w:val="clear" w:color="auto" w:fill="auto"/>
            <w:noWrap/>
            <w:vAlign w:val="center"/>
          </w:tcPr>
          <w:p w14:paraId="4D352BA4" w14:textId="42C0CD66"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Neoadjuvant programmed cell death 1 inhibitor before liver transplantation for HCC is not associated with increased graft loss</w:t>
            </w:r>
          </w:p>
        </w:tc>
        <w:tc>
          <w:tcPr>
            <w:tcW w:w="914" w:type="dxa"/>
            <w:tcBorders>
              <w:top w:val="nil"/>
              <w:left w:val="nil"/>
              <w:bottom w:val="nil"/>
              <w:right w:val="nil"/>
            </w:tcBorders>
            <w:shd w:val="clear" w:color="auto" w:fill="auto"/>
            <w:noWrap/>
            <w:vAlign w:val="center"/>
          </w:tcPr>
          <w:p w14:paraId="1C52752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673722C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B5CE79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943D18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4" w:type="dxa"/>
            <w:tcBorders>
              <w:top w:val="nil"/>
              <w:left w:val="nil"/>
              <w:bottom w:val="nil"/>
              <w:right w:val="nil"/>
            </w:tcBorders>
            <w:shd w:val="clear" w:color="auto" w:fill="auto"/>
            <w:noWrap/>
            <w:vAlign w:val="center"/>
          </w:tcPr>
          <w:p w14:paraId="0EEF733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EAC94E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DF0C44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7DB35A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C489CC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2C8A779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2A29DFE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67AEC10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07304A40" w14:textId="77777777">
        <w:trPr>
          <w:trHeight w:val="310"/>
          <w:jc w:val="center"/>
        </w:trPr>
        <w:tc>
          <w:tcPr>
            <w:tcW w:w="8067" w:type="dxa"/>
            <w:tcBorders>
              <w:top w:val="nil"/>
              <w:left w:val="nil"/>
              <w:bottom w:val="nil"/>
              <w:right w:val="nil"/>
            </w:tcBorders>
            <w:shd w:val="clear" w:color="auto" w:fill="auto"/>
            <w:noWrap/>
            <w:vAlign w:val="center"/>
          </w:tcPr>
          <w:p w14:paraId="181FDB6E" w14:textId="7994984B"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Pilot evaluation of PD-1 inhibition in metastatic cancer patients with a history of liver transplantation: the Mayo Clinic experience</w:t>
            </w:r>
          </w:p>
        </w:tc>
        <w:tc>
          <w:tcPr>
            <w:tcW w:w="914" w:type="dxa"/>
            <w:tcBorders>
              <w:top w:val="nil"/>
              <w:left w:val="nil"/>
              <w:bottom w:val="nil"/>
              <w:right w:val="nil"/>
            </w:tcBorders>
            <w:shd w:val="clear" w:color="auto" w:fill="auto"/>
            <w:noWrap/>
            <w:vAlign w:val="center"/>
          </w:tcPr>
          <w:p w14:paraId="52900A4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B2497C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6C1D1A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FA5B1C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13FB14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699C88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6E17E4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8F75EF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B8F9C9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67658B0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0694030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574" w:type="dxa"/>
            <w:tcBorders>
              <w:top w:val="nil"/>
              <w:left w:val="nil"/>
              <w:bottom w:val="nil"/>
              <w:right w:val="nil"/>
            </w:tcBorders>
            <w:shd w:val="clear" w:color="auto" w:fill="auto"/>
            <w:noWrap/>
            <w:vAlign w:val="center"/>
          </w:tcPr>
          <w:p w14:paraId="6D03EED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5B9857B9" w14:textId="77777777">
        <w:trPr>
          <w:trHeight w:val="310"/>
          <w:jc w:val="center"/>
        </w:trPr>
        <w:tc>
          <w:tcPr>
            <w:tcW w:w="8067" w:type="dxa"/>
            <w:tcBorders>
              <w:top w:val="nil"/>
              <w:left w:val="nil"/>
              <w:bottom w:val="nil"/>
              <w:right w:val="nil"/>
            </w:tcBorders>
            <w:shd w:val="clear" w:color="auto" w:fill="auto"/>
            <w:noWrap/>
            <w:vAlign w:val="center"/>
          </w:tcPr>
          <w:p w14:paraId="587B5408" w14:textId="54A37812"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Preliminary Evaluation of Atezolizumab Plus Bevacizumab as Salvage Treatment for Recurrent Hepatocellular Carcinoma After Liver Transplantation</w:t>
            </w:r>
          </w:p>
        </w:tc>
        <w:tc>
          <w:tcPr>
            <w:tcW w:w="914" w:type="dxa"/>
            <w:tcBorders>
              <w:top w:val="nil"/>
              <w:left w:val="nil"/>
              <w:bottom w:val="nil"/>
              <w:right w:val="nil"/>
            </w:tcBorders>
            <w:shd w:val="clear" w:color="auto" w:fill="auto"/>
            <w:noWrap/>
            <w:vAlign w:val="center"/>
          </w:tcPr>
          <w:p w14:paraId="2E8243A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3FC396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44FA6F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5367A22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6B8FDE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093F11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EF10DF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C236BE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538E26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20FF179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2ADD885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52E4689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7CCCC698" w14:textId="77777777">
        <w:trPr>
          <w:trHeight w:val="310"/>
          <w:jc w:val="center"/>
        </w:trPr>
        <w:tc>
          <w:tcPr>
            <w:tcW w:w="8067" w:type="dxa"/>
            <w:tcBorders>
              <w:top w:val="nil"/>
              <w:left w:val="nil"/>
              <w:bottom w:val="nil"/>
              <w:right w:val="nil"/>
            </w:tcBorders>
            <w:shd w:val="clear" w:color="auto" w:fill="auto"/>
            <w:noWrap/>
            <w:vAlign w:val="center"/>
          </w:tcPr>
          <w:p w14:paraId="6CBEB29F" w14:textId="1E4229ED"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Standardized immunosuppressive protocol to prevent rejection under immunotherapy for post liver transplantation HCC recurrence: A French center's experience</w:t>
            </w:r>
          </w:p>
        </w:tc>
        <w:tc>
          <w:tcPr>
            <w:tcW w:w="914" w:type="dxa"/>
            <w:tcBorders>
              <w:top w:val="nil"/>
              <w:left w:val="nil"/>
              <w:bottom w:val="nil"/>
              <w:right w:val="nil"/>
            </w:tcBorders>
            <w:shd w:val="clear" w:color="auto" w:fill="auto"/>
            <w:noWrap/>
            <w:vAlign w:val="center"/>
          </w:tcPr>
          <w:p w14:paraId="3939BEB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1D3F3A1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31690D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F594F1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B37199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06841C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BE6E53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66CC55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5D5BA8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090FC15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240019C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7AF005F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10FEC575" w14:textId="77777777">
        <w:trPr>
          <w:trHeight w:val="310"/>
          <w:jc w:val="center"/>
        </w:trPr>
        <w:tc>
          <w:tcPr>
            <w:tcW w:w="8067" w:type="dxa"/>
            <w:tcBorders>
              <w:top w:val="nil"/>
              <w:left w:val="nil"/>
              <w:bottom w:val="nil"/>
              <w:right w:val="nil"/>
            </w:tcBorders>
            <w:shd w:val="clear" w:color="auto" w:fill="auto"/>
            <w:noWrap/>
            <w:vAlign w:val="center"/>
          </w:tcPr>
          <w:p w14:paraId="3408CAFE" w14:textId="565855F1"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Successful advanced hepatocellular carcinoma downstaging with atezolizumab-Bevacizumab and radioembolization before liver transplantation</w:t>
            </w:r>
          </w:p>
        </w:tc>
        <w:tc>
          <w:tcPr>
            <w:tcW w:w="914" w:type="dxa"/>
            <w:tcBorders>
              <w:top w:val="nil"/>
              <w:left w:val="nil"/>
              <w:bottom w:val="nil"/>
              <w:right w:val="nil"/>
            </w:tcBorders>
            <w:shd w:val="clear" w:color="auto" w:fill="auto"/>
            <w:noWrap/>
            <w:vAlign w:val="center"/>
          </w:tcPr>
          <w:p w14:paraId="1168395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470AEDD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B7CD98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34D550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95595F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16BE65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E08FF7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483B9B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71EC34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3262CCB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48666B5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08B73B8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0FA824E1" w14:textId="77777777">
        <w:trPr>
          <w:trHeight w:val="310"/>
          <w:jc w:val="center"/>
        </w:trPr>
        <w:tc>
          <w:tcPr>
            <w:tcW w:w="8067" w:type="dxa"/>
            <w:tcBorders>
              <w:top w:val="nil"/>
              <w:left w:val="nil"/>
              <w:bottom w:val="nil"/>
              <w:right w:val="nil"/>
            </w:tcBorders>
            <w:shd w:val="clear" w:color="auto" w:fill="auto"/>
            <w:noWrap/>
            <w:vAlign w:val="center"/>
          </w:tcPr>
          <w:p w14:paraId="079F62B8" w14:textId="6B4F2556"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Utilization of Immunotherapy as a Neoadjuvant Therapy for Liver Transplant Recipients with Hepatocellular Carcinoma</w:t>
            </w:r>
          </w:p>
        </w:tc>
        <w:tc>
          <w:tcPr>
            <w:tcW w:w="914" w:type="dxa"/>
            <w:tcBorders>
              <w:top w:val="nil"/>
              <w:left w:val="nil"/>
              <w:bottom w:val="nil"/>
              <w:right w:val="nil"/>
            </w:tcBorders>
            <w:shd w:val="clear" w:color="auto" w:fill="auto"/>
            <w:noWrap/>
            <w:vAlign w:val="center"/>
          </w:tcPr>
          <w:p w14:paraId="4C16BED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69850A6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F28303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A0E231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0BD9D2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F85B22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881A28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9BD75B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76BB6B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2BFD489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0958422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3477110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1C4AD6F5" w14:textId="77777777">
        <w:trPr>
          <w:trHeight w:val="310"/>
          <w:jc w:val="center"/>
        </w:trPr>
        <w:tc>
          <w:tcPr>
            <w:tcW w:w="8067" w:type="dxa"/>
            <w:tcBorders>
              <w:top w:val="nil"/>
              <w:left w:val="nil"/>
              <w:bottom w:val="nil"/>
              <w:right w:val="nil"/>
            </w:tcBorders>
            <w:shd w:val="clear" w:color="auto" w:fill="auto"/>
            <w:noWrap/>
            <w:vAlign w:val="center"/>
          </w:tcPr>
          <w:p w14:paraId="4BBB8411" w14:textId="30182A11"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PD-1 inhibitor as bridge therapy to liver transplantation?</w:t>
            </w:r>
            <w:r w:rsidR="00A47392">
              <w:rPr>
                <w:rFonts w:ascii="Times New Roman" w:eastAsia="DengXian" w:hAnsi="Times New Roman" w:cs="Times New Roman"/>
                <w:color w:val="000000"/>
                <w:sz w:val="22"/>
                <w:szCs w:val="22"/>
              </w:rPr>
              <w:t xml:space="preserve"> </w:t>
            </w:r>
          </w:p>
        </w:tc>
        <w:tc>
          <w:tcPr>
            <w:tcW w:w="914" w:type="dxa"/>
            <w:tcBorders>
              <w:top w:val="nil"/>
              <w:left w:val="nil"/>
              <w:bottom w:val="nil"/>
              <w:right w:val="nil"/>
            </w:tcBorders>
            <w:shd w:val="clear" w:color="auto" w:fill="auto"/>
            <w:noWrap/>
            <w:vAlign w:val="center"/>
          </w:tcPr>
          <w:p w14:paraId="7BCE83C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BDCDAA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E1E4AB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1AF3E4F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8F36BB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46E009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217901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89FE17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FDA8AD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4408E63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5F88703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455BC30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0DE5656" w14:textId="77777777">
        <w:trPr>
          <w:trHeight w:val="310"/>
          <w:jc w:val="center"/>
        </w:trPr>
        <w:tc>
          <w:tcPr>
            <w:tcW w:w="8067" w:type="dxa"/>
            <w:tcBorders>
              <w:top w:val="nil"/>
              <w:left w:val="nil"/>
              <w:bottom w:val="nil"/>
              <w:right w:val="nil"/>
            </w:tcBorders>
            <w:shd w:val="clear" w:color="auto" w:fill="auto"/>
            <w:noWrap/>
            <w:vAlign w:val="center"/>
          </w:tcPr>
          <w:p w14:paraId="106846CD" w14:textId="2A129FC6"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Immune checkpoint inhibitors in liver transplant: a case series</w:t>
            </w:r>
          </w:p>
        </w:tc>
        <w:tc>
          <w:tcPr>
            <w:tcW w:w="914" w:type="dxa"/>
            <w:tcBorders>
              <w:top w:val="nil"/>
              <w:left w:val="nil"/>
              <w:bottom w:val="nil"/>
              <w:right w:val="nil"/>
            </w:tcBorders>
            <w:shd w:val="clear" w:color="auto" w:fill="auto"/>
            <w:noWrap/>
            <w:vAlign w:val="center"/>
          </w:tcPr>
          <w:p w14:paraId="135FE8A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82F14B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962D0D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62F5DA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C46A23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5C8175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784DDC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02A100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6718E8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6BCC851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71D7E7D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574" w:type="dxa"/>
            <w:tcBorders>
              <w:top w:val="nil"/>
              <w:left w:val="nil"/>
              <w:bottom w:val="nil"/>
              <w:right w:val="nil"/>
            </w:tcBorders>
            <w:shd w:val="clear" w:color="auto" w:fill="auto"/>
            <w:noWrap/>
            <w:vAlign w:val="center"/>
          </w:tcPr>
          <w:p w14:paraId="052DC0E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3A9337AA" w14:textId="77777777">
        <w:trPr>
          <w:trHeight w:val="310"/>
          <w:jc w:val="center"/>
        </w:trPr>
        <w:tc>
          <w:tcPr>
            <w:tcW w:w="8067" w:type="dxa"/>
            <w:tcBorders>
              <w:top w:val="nil"/>
              <w:left w:val="nil"/>
              <w:bottom w:val="nil"/>
              <w:right w:val="nil"/>
            </w:tcBorders>
            <w:shd w:val="clear" w:color="auto" w:fill="auto"/>
            <w:noWrap/>
            <w:vAlign w:val="center"/>
          </w:tcPr>
          <w:p w14:paraId="5E993186" w14:textId="2788415A"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Feasibility, safety, and outcome of second-line nivolumab/bevacizumab in liver transplant patients with recurrent hepatocellular carcinoma</w:t>
            </w:r>
          </w:p>
        </w:tc>
        <w:tc>
          <w:tcPr>
            <w:tcW w:w="914" w:type="dxa"/>
            <w:tcBorders>
              <w:top w:val="nil"/>
              <w:left w:val="nil"/>
              <w:bottom w:val="nil"/>
              <w:right w:val="nil"/>
            </w:tcBorders>
            <w:shd w:val="clear" w:color="auto" w:fill="auto"/>
            <w:noWrap/>
            <w:vAlign w:val="center"/>
          </w:tcPr>
          <w:p w14:paraId="09F855A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590384D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EC3212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D9A295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664B47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B77BE7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E79987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D744F1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3FA6CB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245D108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65C92A0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2DBDC2C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2C96F067" w14:textId="77777777">
        <w:trPr>
          <w:trHeight w:val="310"/>
          <w:jc w:val="center"/>
        </w:trPr>
        <w:tc>
          <w:tcPr>
            <w:tcW w:w="8067" w:type="dxa"/>
            <w:tcBorders>
              <w:top w:val="nil"/>
              <w:left w:val="nil"/>
              <w:bottom w:val="nil"/>
              <w:right w:val="nil"/>
            </w:tcBorders>
            <w:shd w:val="clear" w:color="auto" w:fill="auto"/>
            <w:noWrap/>
            <w:vAlign w:val="center"/>
          </w:tcPr>
          <w:p w14:paraId="19D88E30" w14:textId="313FEC0B"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Liver transplantation following hepatocellular carcinoma downstaging with atezolizumab/bevacizumab: preliminary results of the prospective </w:t>
            </w:r>
            <w:proofErr w:type="spellStart"/>
            <w:r>
              <w:rPr>
                <w:rFonts w:ascii="Times New Roman" w:eastAsia="DengXian" w:hAnsi="Times New Roman" w:cs="Times New Roman"/>
                <w:color w:val="000000"/>
                <w:kern w:val="0"/>
                <w:sz w:val="22"/>
                <w:szCs w:val="22"/>
                <w:lang w:bidi="ar"/>
              </w:rPr>
              <w:t>ImmunoXXL</w:t>
            </w:r>
            <w:proofErr w:type="spellEnd"/>
            <w:r>
              <w:rPr>
                <w:rFonts w:ascii="Times New Roman" w:eastAsia="DengXian" w:hAnsi="Times New Roman" w:cs="Times New Roman"/>
                <w:color w:val="000000"/>
                <w:kern w:val="0"/>
                <w:sz w:val="22"/>
                <w:szCs w:val="22"/>
                <w:lang w:bidi="ar"/>
              </w:rPr>
              <w:t xml:space="preserve"> study</w:t>
            </w:r>
          </w:p>
        </w:tc>
        <w:tc>
          <w:tcPr>
            <w:tcW w:w="914" w:type="dxa"/>
            <w:tcBorders>
              <w:top w:val="nil"/>
              <w:left w:val="nil"/>
              <w:bottom w:val="nil"/>
              <w:right w:val="nil"/>
            </w:tcBorders>
            <w:shd w:val="clear" w:color="auto" w:fill="auto"/>
            <w:noWrap/>
            <w:vAlign w:val="center"/>
          </w:tcPr>
          <w:p w14:paraId="23E490A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A4CAC0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E42544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52A8A97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794541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CE8918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F0400B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319E38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D89003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7181872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2C760F4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7116AC5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61CB1DBD" w14:textId="77777777">
        <w:trPr>
          <w:trHeight w:val="310"/>
          <w:jc w:val="center"/>
        </w:trPr>
        <w:tc>
          <w:tcPr>
            <w:tcW w:w="8067" w:type="dxa"/>
            <w:tcBorders>
              <w:top w:val="nil"/>
              <w:left w:val="nil"/>
              <w:bottom w:val="nil"/>
              <w:right w:val="nil"/>
            </w:tcBorders>
            <w:shd w:val="clear" w:color="auto" w:fill="auto"/>
            <w:noWrap/>
            <w:vAlign w:val="center"/>
          </w:tcPr>
          <w:p w14:paraId="429061A2" w14:textId="7C4F2D5F" w:rsidR="00C361F0" w:rsidRDefault="00000000">
            <w:pPr>
              <w:widowControl/>
              <w:jc w:val="left"/>
              <w:textAlignment w:val="center"/>
              <w:rPr>
                <w:rFonts w:ascii="Times New Roman" w:eastAsia="DengXian" w:hAnsi="Times New Roman" w:cs="Times New Roman"/>
                <w:color w:val="000000"/>
                <w:sz w:val="22"/>
                <w:szCs w:val="22"/>
              </w:rPr>
            </w:pPr>
            <w:bookmarkStart w:id="41" w:name="OLE_LINK104"/>
            <w:r>
              <w:rPr>
                <w:rFonts w:ascii="Times New Roman" w:eastAsia="DengXian" w:hAnsi="Times New Roman" w:cs="Times New Roman"/>
                <w:color w:val="000000"/>
                <w:kern w:val="0"/>
                <w:sz w:val="22"/>
                <w:szCs w:val="22"/>
                <w:lang w:bidi="ar"/>
              </w:rPr>
              <w:t>NEOADJUVANT IMMUNOTHERAPY IN PATIENTS UNDERGOING LIVER TRANSPLANTATION FOR PRIMARY LIVER CANCER AT A SINGLE CENTER</w:t>
            </w:r>
            <w:bookmarkEnd w:id="41"/>
          </w:p>
        </w:tc>
        <w:tc>
          <w:tcPr>
            <w:tcW w:w="914" w:type="dxa"/>
            <w:tcBorders>
              <w:top w:val="nil"/>
              <w:left w:val="nil"/>
              <w:bottom w:val="nil"/>
              <w:right w:val="nil"/>
            </w:tcBorders>
            <w:shd w:val="clear" w:color="auto" w:fill="auto"/>
            <w:noWrap/>
            <w:vAlign w:val="center"/>
          </w:tcPr>
          <w:p w14:paraId="58049D8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E01DA3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2EB1F3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A595B6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7CE565E"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60DB19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349CFBD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5FD114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CA05DF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4130462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6F5EC23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574" w:type="dxa"/>
            <w:tcBorders>
              <w:top w:val="nil"/>
              <w:left w:val="nil"/>
              <w:bottom w:val="nil"/>
              <w:right w:val="nil"/>
            </w:tcBorders>
            <w:shd w:val="clear" w:color="auto" w:fill="auto"/>
            <w:noWrap/>
            <w:vAlign w:val="center"/>
          </w:tcPr>
          <w:p w14:paraId="133FF4E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6E18733B" w14:textId="77777777">
        <w:trPr>
          <w:trHeight w:val="310"/>
          <w:jc w:val="center"/>
        </w:trPr>
        <w:tc>
          <w:tcPr>
            <w:tcW w:w="8067" w:type="dxa"/>
            <w:tcBorders>
              <w:top w:val="nil"/>
              <w:left w:val="nil"/>
              <w:bottom w:val="nil"/>
              <w:right w:val="nil"/>
            </w:tcBorders>
            <w:shd w:val="clear" w:color="auto" w:fill="auto"/>
            <w:noWrap/>
            <w:vAlign w:val="center"/>
          </w:tcPr>
          <w:p w14:paraId="66524472" w14:textId="048C8B61"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Redefining down staging to liver transplantation with neo-adjuvant immunotherapy with Atezolizumab and Bevacizumab in patients with advanced hepatocellular carcinoma and portal vein tumoral thrombosis</w:t>
            </w:r>
          </w:p>
        </w:tc>
        <w:tc>
          <w:tcPr>
            <w:tcW w:w="914" w:type="dxa"/>
            <w:tcBorders>
              <w:top w:val="nil"/>
              <w:left w:val="nil"/>
              <w:bottom w:val="nil"/>
              <w:right w:val="nil"/>
            </w:tcBorders>
            <w:shd w:val="clear" w:color="auto" w:fill="auto"/>
            <w:noWrap/>
            <w:vAlign w:val="center"/>
          </w:tcPr>
          <w:p w14:paraId="25BCD3F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2654CE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5D9FCC6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3FF92E4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90EE36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34C6FF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1F1B00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E3765C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056CA23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26C1F10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5740B49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574" w:type="dxa"/>
            <w:tcBorders>
              <w:top w:val="nil"/>
              <w:left w:val="nil"/>
              <w:bottom w:val="nil"/>
              <w:right w:val="nil"/>
            </w:tcBorders>
            <w:shd w:val="clear" w:color="auto" w:fill="auto"/>
            <w:noWrap/>
            <w:vAlign w:val="center"/>
          </w:tcPr>
          <w:p w14:paraId="5D98178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31B6DFAE" w14:textId="77777777">
        <w:trPr>
          <w:trHeight w:val="310"/>
          <w:jc w:val="center"/>
        </w:trPr>
        <w:tc>
          <w:tcPr>
            <w:tcW w:w="8067" w:type="dxa"/>
            <w:tcBorders>
              <w:top w:val="nil"/>
              <w:left w:val="nil"/>
              <w:bottom w:val="nil"/>
              <w:right w:val="nil"/>
            </w:tcBorders>
            <w:shd w:val="clear" w:color="auto" w:fill="auto"/>
            <w:noWrap/>
            <w:vAlign w:val="center"/>
          </w:tcPr>
          <w:p w14:paraId="01DDDB06" w14:textId="1ECBB114"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Sequential regorafenib or nivolumab therapy in recurrent hepatocellular carcinoma with sorafenib failure in liver transplant patients does not improve prognosis</w:t>
            </w:r>
          </w:p>
        </w:tc>
        <w:tc>
          <w:tcPr>
            <w:tcW w:w="914" w:type="dxa"/>
            <w:tcBorders>
              <w:top w:val="nil"/>
              <w:left w:val="nil"/>
              <w:bottom w:val="nil"/>
              <w:right w:val="nil"/>
            </w:tcBorders>
            <w:shd w:val="clear" w:color="auto" w:fill="auto"/>
            <w:noWrap/>
            <w:vAlign w:val="center"/>
          </w:tcPr>
          <w:p w14:paraId="3224F9B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42C6BE6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3248A4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No</w:t>
            </w:r>
          </w:p>
        </w:tc>
        <w:tc>
          <w:tcPr>
            <w:tcW w:w="914" w:type="dxa"/>
            <w:tcBorders>
              <w:top w:val="nil"/>
              <w:left w:val="nil"/>
              <w:bottom w:val="nil"/>
              <w:right w:val="nil"/>
            </w:tcBorders>
            <w:shd w:val="clear" w:color="auto" w:fill="auto"/>
            <w:noWrap/>
            <w:vAlign w:val="center"/>
          </w:tcPr>
          <w:p w14:paraId="017801E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4B92319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768234D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65C3FDA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146725C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nil"/>
              <w:right w:val="nil"/>
            </w:tcBorders>
            <w:shd w:val="clear" w:color="auto" w:fill="auto"/>
            <w:noWrap/>
            <w:vAlign w:val="center"/>
          </w:tcPr>
          <w:p w14:paraId="22C4A5D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nil"/>
              <w:right w:val="nil"/>
            </w:tcBorders>
            <w:shd w:val="clear" w:color="auto" w:fill="auto"/>
            <w:noWrap/>
            <w:vAlign w:val="center"/>
          </w:tcPr>
          <w:p w14:paraId="61F6717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nil"/>
              <w:right w:val="nil"/>
            </w:tcBorders>
            <w:shd w:val="clear" w:color="auto" w:fill="auto"/>
            <w:noWrap/>
            <w:vAlign w:val="center"/>
          </w:tcPr>
          <w:p w14:paraId="043EEF0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7</w:t>
            </w:r>
          </w:p>
        </w:tc>
        <w:tc>
          <w:tcPr>
            <w:tcW w:w="1574" w:type="dxa"/>
            <w:tcBorders>
              <w:top w:val="nil"/>
              <w:left w:val="nil"/>
              <w:bottom w:val="nil"/>
              <w:right w:val="nil"/>
            </w:tcBorders>
            <w:shd w:val="clear" w:color="auto" w:fill="auto"/>
            <w:noWrap/>
            <w:vAlign w:val="center"/>
          </w:tcPr>
          <w:p w14:paraId="28A4184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3BF01C81" w14:textId="77777777">
        <w:trPr>
          <w:trHeight w:val="310"/>
          <w:jc w:val="center"/>
        </w:trPr>
        <w:tc>
          <w:tcPr>
            <w:tcW w:w="8067" w:type="dxa"/>
            <w:tcBorders>
              <w:top w:val="nil"/>
              <w:left w:val="nil"/>
              <w:bottom w:val="single" w:sz="12" w:space="0" w:color="auto"/>
              <w:right w:val="nil"/>
            </w:tcBorders>
            <w:shd w:val="clear" w:color="auto" w:fill="auto"/>
            <w:noWrap/>
            <w:vAlign w:val="center"/>
          </w:tcPr>
          <w:p w14:paraId="141C8002" w14:textId="0754FF85"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Optimizing the safe washout period for liver transplantation following immune checkpoint inhibitors with atezolizumab, nivolumab, or pembrolizumab</w:t>
            </w:r>
          </w:p>
        </w:tc>
        <w:tc>
          <w:tcPr>
            <w:tcW w:w="914" w:type="dxa"/>
            <w:tcBorders>
              <w:top w:val="nil"/>
              <w:left w:val="nil"/>
              <w:bottom w:val="single" w:sz="12" w:space="0" w:color="auto"/>
              <w:right w:val="nil"/>
            </w:tcBorders>
            <w:shd w:val="clear" w:color="auto" w:fill="auto"/>
            <w:noWrap/>
            <w:vAlign w:val="center"/>
          </w:tcPr>
          <w:p w14:paraId="1A31FE0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single" w:sz="12" w:space="0" w:color="auto"/>
              <w:right w:val="nil"/>
            </w:tcBorders>
            <w:shd w:val="clear" w:color="auto" w:fill="auto"/>
            <w:noWrap/>
            <w:vAlign w:val="center"/>
          </w:tcPr>
          <w:p w14:paraId="45459CB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single" w:sz="12" w:space="0" w:color="auto"/>
              <w:right w:val="nil"/>
            </w:tcBorders>
            <w:shd w:val="clear" w:color="auto" w:fill="auto"/>
            <w:noWrap/>
            <w:vAlign w:val="center"/>
          </w:tcPr>
          <w:p w14:paraId="3E1FD959"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single" w:sz="12" w:space="0" w:color="auto"/>
              <w:right w:val="nil"/>
            </w:tcBorders>
            <w:shd w:val="clear" w:color="auto" w:fill="auto"/>
            <w:noWrap/>
            <w:vAlign w:val="center"/>
          </w:tcPr>
          <w:p w14:paraId="43FAE84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single" w:sz="12" w:space="0" w:color="auto"/>
              <w:right w:val="nil"/>
            </w:tcBorders>
            <w:shd w:val="clear" w:color="auto" w:fill="auto"/>
            <w:noWrap/>
            <w:vAlign w:val="center"/>
          </w:tcPr>
          <w:p w14:paraId="469F865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single" w:sz="12" w:space="0" w:color="auto"/>
              <w:right w:val="nil"/>
            </w:tcBorders>
            <w:shd w:val="clear" w:color="auto" w:fill="auto"/>
            <w:noWrap/>
            <w:vAlign w:val="center"/>
          </w:tcPr>
          <w:p w14:paraId="637DE07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single" w:sz="12" w:space="0" w:color="auto"/>
              <w:right w:val="nil"/>
            </w:tcBorders>
            <w:shd w:val="clear" w:color="auto" w:fill="auto"/>
            <w:noWrap/>
            <w:vAlign w:val="center"/>
          </w:tcPr>
          <w:p w14:paraId="754D4FF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single" w:sz="12" w:space="0" w:color="auto"/>
              <w:right w:val="nil"/>
            </w:tcBorders>
            <w:shd w:val="clear" w:color="auto" w:fill="auto"/>
            <w:noWrap/>
            <w:vAlign w:val="center"/>
          </w:tcPr>
          <w:p w14:paraId="5703D46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14" w:type="dxa"/>
            <w:tcBorders>
              <w:top w:val="nil"/>
              <w:left w:val="nil"/>
              <w:bottom w:val="single" w:sz="12" w:space="0" w:color="auto"/>
              <w:right w:val="nil"/>
            </w:tcBorders>
            <w:shd w:val="clear" w:color="auto" w:fill="auto"/>
            <w:noWrap/>
            <w:vAlign w:val="center"/>
          </w:tcPr>
          <w:p w14:paraId="6973831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18" w:type="dxa"/>
            <w:tcBorders>
              <w:top w:val="nil"/>
              <w:left w:val="nil"/>
              <w:bottom w:val="single" w:sz="12" w:space="0" w:color="auto"/>
              <w:right w:val="nil"/>
            </w:tcBorders>
            <w:shd w:val="clear" w:color="auto" w:fill="auto"/>
            <w:noWrap/>
            <w:vAlign w:val="center"/>
          </w:tcPr>
          <w:p w14:paraId="7395673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2" w:type="dxa"/>
            <w:tcBorders>
              <w:top w:val="nil"/>
              <w:left w:val="nil"/>
              <w:bottom w:val="single" w:sz="12" w:space="0" w:color="auto"/>
              <w:right w:val="nil"/>
            </w:tcBorders>
            <w:shd w:val="clear" w:color="auto" w:fill="auto"/>
            <w:noWrap/>
            <w:vAlign w:val="center"/>
          </w:tcPr>
          <w:p w14:paraId="22F29EB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574" w:type="dxa"/>
            <w:tcBorders>
              <w:top w:val="nil"/>
              <w:left w:val="nil"/>
              <w:bottom w:val="single" w:sz="12" w:space="0" w:color="auto"/>
              <w:right w:val="nil"/>
            </w:tcBorders>
            <w:shd w:val="clear" w:color="auto" w:fill="auto"/>
            <w:noWrap/>
            <w:vAlign w:val="center"/>
          </w:tcPr>
          <w:p w14:paraId="39703E2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10BB23D9" w14:textId="77777777">
        <w:trPr>
          <w:trHeight w:val="310"/>
          <w:jc w:val="center"/>
        </w:trPr>
        <w:tc>
          <w:tcPr>
            <w:tcW w:w="19717" w:type="dxa"/>
            <w:gridSpan w:val="13"/>
            <w:tcBorders>
              <w:top w:val="single" w:sz="12" w:space="0" w:color="auto"/>
              <w:left w:val="nil"/>
              <w:bottom w:val="nil"/>
              <w:right w:val="nil"/>
            </w:tcBorders>
            <w:shd w:val="clear" w:color="auto" w:fill="auto"/>
            <w:noWrap/>
            <w:vAlign w:val="center"/>
          </w:tcPr>
          <w:p w14:paraId="26626391"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Q1. Were there clear criteria for inclusion in the case series?  (Yes / No / Unclear / Not applicable)</w:t>
            </w:r>
          </w:p>
          <w:p w14:paraId="0DC30F52"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Q2. Was the condition measured in a standard, reliable way for all participants included in the case series? (Yes / No / Unclear / Not applicable)</w:t>
            </w:r>
          </w:p>
          <w:p w14:paraId="6939B856"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Q3. Were valid methods used for identification of the condition for all participants included in the case series? (Yes / No / Unclear / Not applicable)</w:t>
            </w:r>
          </w:p>
          <w:p w14:paraId="5CD96899"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Q4. Did the case series have consecutive inclusion of participants?  (Yes / No / Unclear / Not applicable)</w:t>
            </w:r>
          </w:p>
          <w:p w14:paraId="244E3DA5"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Q5. Did the case series have complete inclusion of participants? (Yes / No / Unclear / Not applicable)</w:t>
            </w:r>
          </w:p>
          <w:p w14:paraId="2134D485"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Q6. Was there clear reporting of the demographics of the participants in the study? (Yes / No / Unclear / Not applicable)</w:t>
            </w:r>
          </w:p>
          <w:p w14:paraId="56D45D94"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Q7. Was there clear reporting of clinical information of the participants? (Yes / No / Unclear / Not applicable)</w:t>
            </w:r>
          </w:p>
          <w:p w14:paraId="39E0DE99"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Q8. Were the outcomes or follow up results of cases clearly reported?  (Yes / No / Unclear / Not applicable)</w:t>
            </w:r>
          </w:p>
          <w:p w14:paraId="60108E97"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Q9. Was there clear reporting of the presenting site(s)/clinic(s) demographic information? (Yes / No / Unclear / Not applicable)</w:t>
            </w:r>
          </w:p>
          <w:p w14:paraId="6E38D8CF"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Q10. Was statistical analysis appropriate?  (Yes / No / Unclear / Not applicable)</w:t>
            </w:r>
          </w:p>
          <w:p w14:paraId="75DACA33"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proofErr w:type="gramStart"/>
            <w:r>
              <w:rPr>
                <w:rFonts w:ascii="Times New Roman" w:eastAsia="DengXian" w:hAnsi="Times New Roman" w:cs="Times New Roman" w:hint="eastAsia"/>
                <w:color w:val="000000"/>
                <w:kern w:val="0"/>
                <w:sz w:val="22"/>
                <w:szCs w:val="22"/>
                <w:vertAlign w:val="superscript"/>
                <w:lang w:bidi="ar"/>
              </w:rPr>
              <w:t xml:space="preserve">a  </w:t>
            </w:r>
            <w:r>
              <w:rPr>
                <w:rFonts w:ascii="Times New Roman" w:eastAsia="DengXian" w:hAnsi="Times New Roman" w:cs="Times New Roman" w:hint="eastAsia"/>
                <w:color w:val="000000"/>
                <w:kern w:val="0"/>
                <w:sz w:val="22"/>
                <w:szCs w:val="22"/>
                <w:lang w:bidi="ar"/>
              </w:rPr>
              <w:t>Represents</w:t>
            </w:r>
            <w:proofErr w:type="gramEnd"/>
            <w:r>
              <w:rPr>
                <w:rFonts w:ascii="Times New Roman" w:eastAsia="DengXian" w:hAnsi="Times New Roman" w:cs="Times New Roman" w:hint="eastAsia"/>
                <w:color w:val="000000"/>
                <w:kern w:val="0"/>
                <w:sz w:val="22"/>
                <w:szCs w:val="22"/>
                <w:lang w:bidi="ar"/>
              </w:rPr>
              <w:t xml:space="preserve"> the total number of "Yes" responses for each study.</w:t>
            </w:r>
          </w:p>
          <w:p w14:paraId="0B55AC59"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vertAlign w:val="superscript"/>
                <w:lang w:bidi="ar"/>
              </w:rPr>
              <w:t xml:space="preserve">b  </w:t>
            </w:r>
            <w:r>
              <w:rPr>
                <w:rFonts w:ascii="Times New Roman" w:eastAsia="DengXian" w:hAnsi="Times New Roman" w:cs="Times New Roman" w:hint="eastAsia"/>
                <w:color w:val="000000"/>
                <w:kern w:val="0"/>
                <w:sz w:val="22"/>
                <w:szCs w:val="22"/>
                <w:lang w:bidi="ar"/>
              </w:rPr>
              <w:t xml:space="preserve">Quality Assessment is determined based on the Total Score, with scores </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 xml:space="preserve">50% of the maximum rated as Low, scores &gt;50% and </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 xml:space="preserve">75% as Moderate, and scores </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75% as High.</w:t>
            </w:r>
          </w:p>
        </w:tc>
      </w:tr>
    </w:tbl>
    <w:p w14:paraId="0E4BE1C1" w14:textId="77777777" w:rsidR="00C361F0" w:rsidRDefault="00C361F0"/>
    <w:p w14:paraId="356C18DC" w14:textId="77777777" w:rsidR="00C361F0" w:rsidRDefault="00C361F0"/>
    <w:p w14:paraId="4CC78299" w14:textId="77777777" w:rsidR="00C361F0" w:rsidRDefault="00C361F0"/>
    <w:tbl>
      <w:tblPr>
        <w:tblW w:w="20636" w:type="dxa"/>
        <w:jc w:val="center"/>
        <w:tblLayout w:type="fixed"/>
        <w:tblLook w:val="04A0" w:firstRow="1" w:lastRow="0" w:firstColumn="1" w:lastColumn="0" w:noHBand="0" w:noVBand="1"/>
      </w:tblPr>
      <w:tblGrid>
        <w:gridCol w:w="7862"/>
        <w:gridCol w:w="947"/>
        <w:gridCol w:w="947"/>
        <w:gridCol w:w="947"/>
        <w:gridCol w:w="947"/>
        <w:gridCol w:w="947"/>
        <w:gridCol w:w="947"/>
        <w:gridCol w:w="947"/>
        <w:gridCol w:w="947"/>
        <w:gridCol w:w="947"/>
        <w:gridCol w:w="947"/>
        <w:gridCol w:w="955"/>
        <w:gridCol w:w="938"/>
        <w:gridCol w:w="1411"/>
      </w:tblGrid>
      <w:tr w:rsidR="00C361F0" w14:paraId="495E0382" w14:textId="77777777">
        <w:trPr>
          <w:trHeight w:val="310"/>
          <w:jc w:val="center"/>
        </w:trPr>
        <w:tc>
          <w:tcPr>
            <w:tcW w:w="20636" w:type="dxa"/>
            <w:gridSpan w:val="14"/>
            <w:tcBorders>
              <w:top w:val="nil"/>
              <w:left w:val="nil"/>
              <w:bottom w:val="single" w:sz="12" w:space="0" w:color="auto"/>
              <w:right w:val="nil"/>
            </w:tcBorders>
            <w:shd w:val="clear" w:color="auto" w:fill="auto"/>
            <w:noWrap/>
            <w:vAlign w:val="center"/>
          </w:tcPr>
          <w:p w14:paraId="29DB249E" w14:textId="3009644C" w:rsidR="00C361F0" w:rsidRDefault="00426FEE">
            <w:pPr>
              <w:widowControl/>
              <w:jc w:val="left"/>
              <w:textAlignment w:val="center"/>
              <w:rPr>
                <w:rFonts w:ascii="Times New Roman" w:eastAsia="DengXian" w:hAnsi="Times New Roman" w:cs="Times New Roman"/>
                <w:color w:val="000000"/>
                <w:kern w:val="0"/>
                <w:sz w:val="22"/>
                <w:szCs w:val="22"/>
                <w:lang w:bidi="ar"/>
              </w:rPr>
            </w:pPr>
            <w:r w:rsidRPr="00426FEE">
              <w:rPr>
                <w:rFonts w:ascii="Times New Roman" w:eastAsia="DengXian" w:hAnsi="Times New Roman" w:cs="Times New Roman"/>
                <w:b/>
                <w:bCs/>
                <w:color w:val="000000"/>
                <w:kern w:val="0"/>
                <w:sz w:val="22"/>
                <w:szCs w:val="22"/>
                <w:lang w:bidi="ar"/>
              </w:rPr>
              <w:t>Table S</w:t>
            </w:r>
            <w:r>
              <w:rPr>
                <w:rFonts w:ascii="Times New Roman" w:eastAsia="DengXian" w:hAnsi="Times New Roman" w:cs="Times New Roman" w:hint="eastAsia"/>
                <w:b/>
                <w:bCs/>
                <w:color w:val="000000"/>
                <w:kern w:val="0"/>
                <w:sz w:val="22"/>
                <w:szCs w:val="22"/>
                <w:lang w:bidi="ar"/>
              </w:rPr>
              <w:t>4. Quality Assessment Checklist for Cohort Studies</w:t>
            </w:r>
          </w:p>
        </w:tc>
      </w:tr>
      <w:tr w:rsidR="00C361F0" w14:paraId="54ADE695" w14:textId="77777777">
        <w:trPr>
          <w:trHeight w:val="310"/>
          <w:jc w:val="center"/>
        </w:trPr>
        <w:tc>
          <w:tcPr>
            <w:tcW w:w="7862" w:type="dxa"/>
            <w:tcBorders>
              <w:top w:val="single" w:sz="12" w:space="0" w:color="auto"/>
              <w:left w:val="nil"/>
              <w:bottom w:val="single" w:sz="12" w:space="0" w:color="auto"/>
              <w:right w:val="nil"/>
            </w:tcBorders>
            <w:shd w:val="clear" w:color="auto" w:fill="auto"/>
            <w:noWrap/>
            <w:vAlign w:val="center"/>
          </w:tcPr>
          <w:p w14:paraId="31F8A216"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Title</w:t>
            </w:r>
          </w:p>
        </w:tc>
        <w:tc>
          <w:tcPr>
            <w:tcW w:w="947" w:type="dxa"/>
            <w:tcBorders>
              <w:top w:val="single" w:sz="12" w:space="0" w:color="auto"/>
              <w:left w:val="nil"/>
              <w:bottom w:val="single" w:sz="12" w:space="0" w:color="auto"/>
              <w:right w:val="nil"/>
            </w:tcBorders>
            <w:shd w:val="clear" w:color="auto" w:fill="auto"/>
            <w:noWrap/>
            <w:vAlign w:val="center"/>
          </w:tcPr>
          <w:p w14:paraId="01B85F5A"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Q1</w:t>
            </w:r>
          </w:p>
        </w:tc>
        <w:tc>
          <w:tcPr>
            <w:tcW w:w="947" w:type="dxa"/>
            <w:tcBorders>
              <w:top w:val="single" w:sz="12" w:space="0" w:color="auto"/>
              <w:left w:val="nil"/>
              <w:bottom w:val="single" w:sz="12" w:space="0" w:color="auto"/>
              <w:right w:val="nil"/>
            </w:tcBorders>
            <w:shd w:val="clear" w:color="auto" w:fill="auto"/>
            <w:noWrap/>
            <w:vAlign w:val="center"/>
          </w:tcPr>
          <w:p w14:paraId="5E616C0C"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Q2</w:t>
            </w:r>
          </w:p>
        </w:tc>
        <w:tc>
          <w:tcPr>
            <w:tcW w:w="947" w:type="dxa"/>
            <w:tcBorders>
              <w:top w:val="single" w:sz="12" w:space="0" w:color="auto"/>
              <w:left w:val="nil"/>
              <w:bottom w:val="single" w:sz="12" w:space="0" w:color="auto"/>
              <w:right w:val="nil"/>
            </w:tcBorders>
            <w:shd w:val="clear" w:color="auto" w:fill="auto"/>
            <w:noWrap/>
            <w:vAlign w:val="center"/>
          </w:tcPr>
          <w:p w14:paraId="1D57FDC9"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Q3</w:t>
            </w:r>
          </w:p>
        </w:tc>
        <w:tc>
          <w:tcPr>
            <w:tcW w:w="947" w:type="dxa"/>
            <w:tcBorders>
              <w:top w:val="single" w:sz="12" w:space="0" w:color="auto"/>
              <w:left w:val="nil"/>
              <w:bottom w:val="single" w:sz="12" w:space="0" w:color="auto"/>
              <w:right w:val="nil"/>
            </w:tcBorders>
            <w:shd w:val="clear" w:color="auto" w:fill="auto"/>
            <w:noWrap/>
            <w:vAlign w:val="center"/>
          </w:tcPr>
          <w:p w14:paraId="36DE1DC7"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Q4</w:t>
            </w:r>
          </w:p>
        </w:tc>
        <w:tc>
          <w:tcPr>
            <w:tcW w:w="947" w:type="dxa"/>
            <w:tcBorders>
              <w:top w:val="single" w:sz="12" w:space="0" w:color="auto"/>
              <w:left w:val="nil"/>
              <w:bottom w:val="single" w:sz="12" w:space="0" w:color="auto"/>
              <w:right w:val="nil"/>
            </w:tcBorders>
            <w:shd w:val="clear" w:color="auto" w:fill="auto"/>
            <w:noWrap/>
            <w:vAlign w:val="center"/>
          </w:tcPr>
          <w:p w14:paraId="51E4E896"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Q5</w:t>
            </w:r>
          </w:p>
        </w:tc>
        <w:tc>
          <w:tcPr>
            <w:tcW w:w="947" w:type="dxa"/>
            <w:tcBorders>
              <w:top w:val="single" w:sz="12" w:space="0" w:color="auto"/>
              <w:left w:val="nil"/>
              <w:bottom w:val="single" w:sz="12" w:space="0" w:color="auto"/>
              <w:right w:val="nil"/>
            </w:tcBorders>
            <w:shd w:val="clear" w:color="auto" w:fill="auto"/>
            <w:noWrap/>
            <w:vAlign w:val="center"/>
          </w:tcPr>
          <w:p w14:paraId="59116B02"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Q6</w:t>
            </w:r>
          </w:p>
        </w:tc>
        <w:tc>
          <w:tcPr>
            <w:tcW w:w="947" w:type="dxa"/>
            <w:tcBorders>
              <w:top w:val="single" w:sz="12" w:space="0" w:color="auto"/>
              <w:left w:val="nil"/>
              <w:bottom w:val="single" w:sz="12" w:space="0" w:color="auto"/>
              <w:right w:val="nil"/>
            </w:tcBorders>
            <w:shd w:val="clear" w:color="auto" w:fill="auto"/>
            <w:noWrap/>
            <w:vAlign w:val="center"/>
          </w:tcPr>
          <w:p w14:paraId="32BDA218"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Q7</w:t>
            </w:r>
          </w:p>
        </w:tc>
        <w:tc>
          <w:tcPr>
            <w:tcW w:w="947" w:type="dxa"/>
            <w:tcBorders>
              <w:top w:val="single" w:sz="12" w:space="0" w:color="auto"/>
              <w:left w:val="nil"/>
              <w:bottom w:val="single" w:sz="12" w:space="0" w:color="auto"/>
              <w:right w:val="nil"/>
            </w:tcBorders>
            <w:shd w:val="clear" w:color="auto" w:fill="auto"/>
            <w:noWrap/>
            <w:vAlign w:val="center"/>
          </w:tcPr>
          <w:p w14:paraId="763C435D"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Q8</w:t>
            </w:r>
          </w:p>
        </w:tc>
        <w:tc>
          <w:tcPr>
            <w:tcW w:w="947" w:type="dxa"/>
            <w:tcBorders>
              <w:top w:val="single" w:sz="12" w:space="0" w:color="auto"/>
              <w:left w:val="nil"/>
              <w:bottom w:val="single" w:sz="12" w:space="0" w:color="auto"/>
              <w:right w:val="nil"/>
            </w:tcBorders>
            <w:shd w:val="clear" w:color="auto" w:fill="auto"/>
            <w:noWrap/>
            <w:vAlign w:val="center"/>
          </w:tcPr>
          <w:p w14:paraId="15BBE5A2"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Q9</w:t>
            </w:r>
          </w:p>
        </w:tc>
        <w:tc>
          <w:tcPr>
            <w:tcW w:w="947" w:type="dxa"/>
            <w:tcBorders>
              <w:top w:val="single" w:sz="12" w:space="0" w:color="auto"/>
              <w:left w:val="nil"/>
              <w:bottom w:val="single" w:sz="12" w:space="0" w:color="auto"/>
              <w:right w:val="nil"/>
            </w:tcBorders>
            <w:shd w:val="clear" w:color="auto" w:fill="auto"/>
            <w:noWrap/>
            <w:vAlign w:val="center"/>
          </w:tcPr>
          <w:p w14:paraId="59C7E3A2"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b/>
                <w:bCs/>
                <w:color w:val="000000"/>
                <w:kern w:val="0"/>
                <w:sz w:val="22"/>
                <w:szCs w:val="22"/>
                <w:lang w:bidi="ar"/>
              </w:rPr>
              <w:t>Q10</w:t>
            </w:r>
          </w:p>
        </w:tc>
        <w:tc>
          <w:tcPr>
            <w:tcW w:w="955" w:type="dxa"/>
            <w:tcBorders>
              <w:top w:val="single" w:sz="12" w:space="0" w:color="auto"/>
              <w:left w:val="nil"/>
              <w:bottom w:val="single" w:sz="12" w:space="0" w:color="auto"/>
              <w:right w:val="nil"/>
            </w:tcBorders>
            <w:shd w:val="clear" w:color="auto" w:fill="auto"/>
            <w:noWrap/>
            <w:vAlign w:val="center"/>
          </w:tcPr>
          <w:p w14:paraId="44DCF13A"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hint="eastAsia"/>
                <w:b/>
                <w:bCs/>
                <w:color w:val="000000"/>
                <w:kern w:val="0"/>
                <w:sz w:val="22"/>
                <w:szCs w:val="22"/>
                <w:lang w:bidi="ar"/>
              </w:rPr>
              <w:t>Q11</w:t>
            </w:r>
          </w:p>
        </w:tc>
        <w:tc>
          <w:tcPr>
            <w:tcW w:w="938" w:type="dxa"/>
            <w:tcBorders>
              <w:top w:val="single" w:sz="12" w:space="0" w:color="auto"/>
              <w:left w:val="nil"/>
              <w:bottom w:val="single" w:sz="12" w:space="0" w:color="auto"/>
              <w:right w:val="nil"/>
            </w:tcBorders>
            <w:shd w:val="clear" w:color="auto" w:fill="auto"/>
            <w:noWrap/>
            <w:vAlign w:val="center"/>
          </w:tcPr>
          <w:p w14:paraId="24FD82CE" w14:textId="77777777" w:rsidR="00C361F0"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b/>
                <w:bCs/>
                <w:color w:val="000000"/>
                <w:kern w:val="0"/>
                <w:sz w:val="22"/>
                <w:szCs w:val="22"/>
                <w:lang w:bidi="ar"/>
              </w:rPr>
              <w:t xml:space="preserve">Total </w:t>
            </w:r>
            <w:proofErr w:type="spellStart"/>
            <w:r>
              <w:rPr>
                <w:rFonts w:ascii="Times New Roman" w:eastAsia="DengXian" w:hAnsi="Times New Roman" w:cs="Times New Roman"/>
                <w:b/>
                <w:bCs/>
                <w:color w:val="000000"/>
                <w:kern w:val="0"/>
                <w:sz w:val="22"/>
                <w:szCs w:val="22"/>
                <w:lang w:bidi="ar"/>
              </w:rPr>
              <w:t>Score</w:t>
            </w:r>
            <w:r>
              <w:rPr>
                <w:rFonts w:ascii="Times New Roman" w:eastAsia="DengXian" w:hAnsi="Times New Roman" w:cs="Times New Roman" w:hint="eastAsia"/>
                <w:b/>
                <w:bCs/>
                <w:color w:val="000000"/>
                <w:kern w:val="0"/>
                <w:sz w:val="22"/>
                <w:szCs w:val="22"/>
                <w:vertAlign w:val="superscript"/>
                <w:lang w:bidi="ar"/>
              </w:rPr>
              <w:t>a</w:t>
            </w:r>
            <w:proofErr w:type="spellEnd"/>
          </w:p>
        </w:tc>
        <w:tc>
          <w:tcPr>
            <w:tcW w:w="1411" w:type="dxa"/>
            <w:tcBorders>
              <w:top w:val="single" w:sz="12" w:space="0" w:color="auto"/>
              <w:left w:val="nil"/>
              <w:bottom w:val="single" w:sz="12" w:space="0" w:color="auto"/>
              <w:right w:val="nil"/>
            </w:tcBorders>
            <w:shd w:val="clear" w:color="auto" w:fill="auto"/>
            <w:noWrap/>
            <w:vAlign w:val="center"/>
          </w:tcPr>
          <w:p w14:paraId="0D8DCC2B"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b/>
                <w:bCs/>
                <w:color w:val="000000"/>
                <w:kern w:val="0"/>
                <w:sz w:val="22"/>
                <w:szCs w:val="22"/>
                <w:lang w:bidi="ar"/>
              </w:rPr>
              <w:t xml:space="preserve">Quality </w:t>
            </w:r>
            <w:proofErr w:type="spellStart"/>
            <w:r>
              <w:rPr>
                <w:rFonts w:ascii="Times New Roman" w:eastAsia="DengXian" w:hAnsi="Times New Roman" w:cs="Times New Roman"/>
                <w:b/>
                <w:bCs/>
                <w:color w:val="000000"/>
                <w:kern w:val="0"/>
                <w:sz w:val="22"/>
                <w:szCs w:val="22"/>
                <w:lang w:bidi="ar"/>
              </w:rPr>
              <w:t>Assessment</w:t>
            </w:r>
            <w:r>
              <w:rPr>
                <w:rFonts w:ascii="Times New Roman" w:eastAsia="DengXian" w:hAnsi="Times New Roman" w:cs="Times New Roman" w:hint="eastAsia"/>
                <w:b/>
                <w:bCs/>
                <w:color w:val="000000"/>
                <w:kern w:val="0"/>
                <w:sz w:val="22"/>
                <w:szCs w:val="22"/>
                <w:vertAlign w:val="superscript"/>
                <w:lang w:bidi="ar"/>
              </w:rPr>
              <w:t>b</w:t>
            </w:r>
            <w:proofErr w:type="spellEnd"/>
          </w:p>
        </w:tc>
      </w:tr>
      <w:tr w:rsidR="00C361F0" w14:paraId="05B9B93D" w14:textId="77777777">
        <w:trPr>
          <w:trHeight w:val="310"/>
          <w:jc w:val="center"/>
        </w:trPr>
        <w:tc>
          <w:tcPr>
            <w:tcW w:w="7862" w:type="dxa"/>
            <w:tcBorders>
              <w:top w:val="single" w:sz="12" w:space="0" w:color="auto"/>
              <w:left w:val="nil"/>
              <w:bottom w:val="nil"/>
              <w:right w:val="nil"/>
            </w:tcBorders>
            <w:shd w:val="clear" w:color="auto" w:fill="auto"/>
            <w:noWrap/>
            <w:vAlign w:val="center"/>
          </w:tcPr>
          <w:p w14:paraId="7B97C65A" w14:textId="62DB4E15"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Intention-to-treat outcomes of patients with hepatocellular carcinoma receiving immunotherapy before liver transplant: The multicenter VITALITY study</w:t>
            </w:r>
          </w:p>
        </w:tc>
        <w:tc>
          <w:tcPr>
            <w:tcW w:w="947" w:type="dxa"/>
            <w:tcBorders>
              <w:top w:val="single" w:sz="12" w:space="0" w:color="auto"/>
              <w:left w:val="nil"/>
              <w:bottom w:val="nil"/>
              <w:right w:val="nil"/>
            </w:tcBorders>
            <w:shd w:val="clear" w:color="auto" w:fill="auto"/>
            <w:noWrap/>
            <w:vAlign w:val="center"/>
          </w:tcPr>
          <w:p w14:paraId="33408C7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single" w:sz="12" w:space="0" w:color="auto"/>
              <w:left w:val="nil"/>
              <w:bottom w:val="nil"/>
              <w:right w:val="nil"/>
            </w:tcBorders>
            <w:shd w:val="clear" w:color="auto" w:fill="auto"/>
            <w:noWrap/>
            <w:vAlign w:val="center"/>
          </w:tcPr>
          <w:p w14:paraId="508DD59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single" w:sz="12" w:space="0" w:color="auto"/>
              <w:left w:val="nil"/>
              <w:bottom w:val="nil"/>
              <w:right w:val="nil"/>
            </w:tcBorders>
            <w:shd w:val="clear" w:color="auto" w:fill="auto"/>
            <w:noWrap/>
            <w:vAlign w:val="center"/>
          </w:tcPr>
          <w:p w14:paraId="5D3B4F2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47" w:type="dxa"/>
            <w:tcBorders>
              <w:top w:val="single" w:sz="12" w:space="0" w:color="auto"/>
              <w:left w:val="nil"/>
              <w:bottom w:val="nil"/>
              <w:right w:val="nil"/>
            </w:tcBorders>
            <w:shd w:val="clear" w:color="auto" w:fill="auto"/>
            <w:noWrap/>
            <w:vAlign w:val="center"/>
          </w:tcPr>
          <w:p w14:paraId="05D36B6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single" w:sz="12" w:space="0" w:color="auto"/>
              <w:left w:val="nil"/>
              <w:bottom w:val="nil"/>
              <w:right w:val="nil"/>
            </w:tcBorders>
            <w:shd w:val="clear" w:color="auto" w:fill="auto"/>
            <w:noWrap/>
            <w:vAlign w:val="center"/>
          </w:tcPr>
          <w:p w14:paraId="411B032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single" w:sz="12" w:space="0" w:color="auto"/>
              <w:left w:val="nil"/>
              <w:bottom w:val="nil"/>
              <w:right w:val="nil"/>
            </w:tcBorders>
            <w:shd w:val="clear" w:color="auto" w:fill="auto"/>
            <w:noWrap/>
            <w:vAlign w:val="center"/>
          </w:tcPr>
          <w:p w14:paraId="32AA7BA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single" w:sz="12" w:space="0" w:color="auto"/>
              <w:left w:val="nil"/>
              <w:bottom w:val="nil"/>
              <w:right w:val="nil"/>
            </w:tcBorders>
            <w:shd w:val="clear" w:color="auto" w:fill="auto"/>
            <w:noWrap/>
            <w:vAlign w:val="center"/>
          </w:tcPr>
          <w:p w14:paraId="5F91E32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single" w:sz="12" w:space="0" w:color="auto"/>
              <w:left w:val="nil"/>
              <w:bottom w:val="nil"/>
              <w:right w:val="nil"/>
            </w:tcBorders>
            <w:shd w:val="clear" w:color="auto" w:fill="auto"/>
            <w:noWrap/>
            <w:vAlign w:val="center"/>
          </w:tcPr>
          <w:p w14:paraId="3D3E8B9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single" w:sz="12" w:space="0" w:color="auto"/>
              <w:left w:val="nil"/>
              <w:bottom w:val="nil"/>
              <w:right w:val="nil"/>
            </w:tcBorders>
            <w:shd w:val="clear" w:color="auto" w:fill="auto"/>
            <w:noWrap/>
            <w:vAlign w:val="center"/>
          </w:tcPr>
          <w:p w14:paraId="69C96BF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single" w:sz="12" w:space="0" w:color="auto"/>
              <w:left w:val="nil"/>
              <w:bottom w:val="nil"/>
              <w:right w:val="nil"/>
            </w:tcBorders>
            <w:shd w:val="clear" w:color="auto" w:fill="auto"/>
            <w:noWrap/>
            <w:vAlign w:val="center"/>
          </w:tcPr>
          <w:p w14:paraId="5B05C43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55" w:type="dxa"/>
            <w:tcBorders>
              <w:top w:val="single" w:sz="12" w:space="0" w:color="auto"/>
              <w:left w:val="nil"/>
              <w:bottom w:val="nil"/>
              <w:right w:val="nil"/>
            </w:tcBorders>
            <w:shd w:val="clear" w:color="auto" w:fill="auto"/>
            <w:noWrap/>
            <w:vAlign w:val="center"/>
          </w:tcPr>
          <w:p w14:paraId="29B1BF98"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Yes</w:t>
            </w:r>
          </w:p>
        </w:tc>
        <w:tc>
          <w:tcPr>
            <w:tcW w:w="938" w:type="dxa"/>
            <w:tcBorders>
              <w:top w:val="single" w:sz="12" w:space="0" w:color="auto"/>
              <w:left w:val="nil"/>
              <w:bottom w:val="nil"/>
              <w:right w:val="nil"/>
            </w:tcBorders>
            <w:shd w:val="clear" w:color="auto" w:fill="auto"/>
            <w:noWrap/>
            <w:vAlign w:val="center"/>
          </w:tcPr>
          <w:p w14:paraId="0544554C" w14:textId="77777777" w:rsidR="00C361F0" w:rsidRDefault="00000000">
            <w:pPr>
              <w:widowControl/>
              <w:jc w:val="center"/>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10</w:t>
            </w:r>
          </w:p>
        </w:tc>
        <w:tc>
          <w:tcPr>
            <w:tcW w:w="1411" w:type="dxa"/>
            <w:tcBorders>
              <w:top w:val="single" w:sz="12" w:space="0" w:color="auto"/>
              <w:left w:val="nil"/>
              <w:bottom w:val="nil"/>
              <w:right w:val="nil"/>
            </w:tcBorders>
            <w:shd w:val="clear" w:color="auto" w:fill="auto"/>
            <w:noWrap/>
            <w:vAlign w:val="center"/>
          </w:tcPr>
          <w:p w14:paraId="64DAC80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059268E6" w14:textId="77777777">
        <w:trPr>
          <w:trHeight w:val="310"/>
          <w:jc w:val="center"/>
        </w:trPr>
        <w:tc>
          <w:tcPr>
            <w:tcW w:w="7862" w:type="dxa"/>
            <w:tcBorders>
              <w:top w:val="nil"/>
              <w:left w:val="nil"/>
              <w:bottom w:val="nil"/>
              <w:right w:val="nil"/>
            </w:tcBorders>
            <w:shd w:val="clear" w:color="auto" w:fill="auto"/>
            <w:noWrap/>
            <w:vAlign w:val="center"/>
          </w:tcPr>
          <w:p w14:paraId="0B5D8D4B" w14:textId="124F6162"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Pembrolizumab in combination with </w:t>
            </w:r>
            <w:proofErr w:type="spellStart"/>
            <w:r>
              <w:rPr>
                <w:rFonts w:ascii="Times New Roman" w:eastAsia="DengXian" w:hAnsi="Times New Roman" w:cs="Times New Roman"/>
                <w:color w:val="000000"/>
                <w:kern w:val="0"/>
                <w:sz w:val="22"/>
                <w:szCs w:val="22"/>
                <w:lang w:bidi="ar"/>
              </w:rPr>
              <w:t>lenvatinib</w:t>
            </w:r>
            <w:proofErr w:type="spellEnd"/>
            <w:r>
              <w:rPr>
                <w:rFonts w:ascii="Times New Roman" w:eastAsia="DengXian" w:hAnsi="Times New Roman" w:cs="Times New Roman"/>
                <w:color w:val="000000"/>
                <w:kern w:val="0"/>
                <w:sz w:val="22"/>
                <w:szCs w:val="22"/>
                <w:lang w:bidi="ar"/>
              </w:rPr>
              <w:t xml:space="preserve"> in participants with </w:t>
            </w:r>
            <w:proofErr w:type="gramStart"/>
            <w:r>
              <w:rPr>
                <w:rFonts w:ascii="Times New Roman" w:eastAsia="DengXian" w:hAnsi="Times New Roman" w:cs="Times New Roman"/>
                <w:color w:val="000000"/>
                <w:kern w:val="0"/>
                <w:sz w:val="22"/>
                <w:szCs w:val="22"/>
                <w:lang w:bidi="ar"/>
              </w:rPr>
              <w:t>hepatocellular  carcinoma</w:t>
            </w:r>
            <w:proofErr w:type="gramEnd"/>
            <w:r>
              <w:rPr>
                <w:rFonts w:ascii="Times New Roman" w:eastAsia="DengXian" w:hAnsi="Times New Roman" w:cs="Times New Roman"/>
                <w:color w:val="000000"/>
                <w:kern w:val="0"/>
                <w:sz w:val="22"/>
                <w:szCs w:val="22"/>
                <w:lang w:bidi="ar"/>
              </w:rPr>
              <w:t xml:space="preserve"> (HCC) before liver transplant as neoadjuvant </w:t>
            </w:r>
            <w:proofErr w:type="spellStart"/>
            <w:r>
              <w:rPr>
                <w:rFonts w:ascii="Times New Roman" w:eastAsia="DengXian" w:hAnsi="Times New Roman" w:cs="Times New Roman"/>
                <w:color w:val="000000"/>
                <w:kern w:val="0"/>
                <w:sz w:val="22"/>
                <w:szCs w:val="22"/>
                <w:lang w:bidi="ar"/>
              </w:rPr>
              <w:t>therapY</w:t>
            </w:r>
            <w:proofErr w:type="spellEnd"/>
            <w:r>
              <w:rPr>
                <w:rFonts w:ascii="Times New Roman" w:eastAsia="DengXian" w:hAnsi="Times New Roman" w:cs="Times New Roman"/>
                <w:color w:val="000000"/>
                <w:kern w:val="0"/>
                <w:sz w:val="22"/>
                <w:szCs w:val="22"/>
                <w:lang w:bidi="ar"/>
              </w:rPr>
              <w:t xml:space="preserve">-PLENTY </w:t>
            </w:r>
            <w:proofErr w:type="gramStart"/>
            <w:r>
              <w:rPr>
                <w:rFonts w:ascii="Times New Roman" w:eastAsia="DengXian" w:hAnsi="Times New Roman" w:cs="Times New Roman"/>
                <w:color w:val="000000"/>
                <w:kern w:val="0"/>
                <w:sz w:val="22"/>
                <w:szCs w:val="22"/>
                <w:lang w:bidi="ar"/>
              </w:rPr>
              <w:t>pilot  study</w:t>
            </w:r>
            <w:proofErr w:type="gramEnd"/>
          </w:p>
        </w:tc>
        <w:tc>
          <w:tcPr>
            <w:tcW w:w="947" w:type="dxa"/>
            <w:tcBorders>
              <w:top w:val="nil"/>
              <w:left w:val="nil"/>
              <w:bottom w:val="nil"/>
              <w:right w:val="nil"/>
            </w:tcBorders>
            <w:shd w:val="clear" w:color="auto" w:fill="auto"/>
            <w:noWrap/>
            <w:vAlign w:val="center"/>
          </w:tcPr>
          <w:p w14:paraId="76FD04A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232B856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19CB0575"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69910CE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47" w:type="dxa"/>
            <w:tcBorders>
              <w:top w:val="nil"/>
              <w:left w:val="nil"/>
              <w:bottom w:val="nil"/>
              <w:right w:val="nil"/>
            </w:tcBorders>
            <w:shd w:val="clear" w:color="auto" w:fill="auto"/>
            <w:noWrap/>
            <w:vAlign w:val="center"/>
          </w:tcPr>
          <w:p w14:paraId="347B032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16367A8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3D690F2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4867326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05738C7A"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47" w:type="dxa"/>
            <w:tcBorders>
              <w:top w:val="nil"/>
              <w:left w:val="nil"/>
              <w:bottom w:val="nil"/>
              <w:right w:val="nil"/>
            </w:tcBorders>
            <w:shd w:val="clear" w:color="auto" w:fill="auto"/>
            <w:noWrap/>
            <w:vAlign w:val="center"/>
          </w:tcPr>
          <w:p w14:paraId="51F2C31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55" w:type="dxa"/>
            <w:tcBorders>
              <w:top w:val="nil"/>
              <w:left w:val="nil"/>
              <w:bottom w:val="nil"/>
              <w:right w:val="nil"/>
            </w:tcBorders>
            <w:shd w:val="clear" w:color="auto" w:fill="auto"/>
            <w:noWrap/>
            <w:vAlign w:val="center"/>
          </w:tcPr>
          <w:p w14:paraId="1FF8541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8" w:type="dxa"/>
            <w:tcBorders>
              <w:top w:val="nil"/>
              <w:left w:val="nil"/>
              <w:bottom w:val="nil"/>
              <w:right w:val="nil"/>
            </w:tcBorders>
            <w:shd w:val="clear" w:color="auto" w:fill="auto"/>
            <w:noWrap/>
            <w:vAlign w:val="center"/>
          </w:tcPr>
          <w:p w14:paraId="4C6844D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411" w:type="dxa"/>
            <w:tcBorders>
              <w:top w:val="nil"/>
              <w:left w:val="nil"/>
              <w:bottom w:val="nil"/>
              <w:right w:val="nil"/>
            </w:tcBorders>
            <w:shd w:val="clear" w:color="auto" w:fill="auto"/>
            <w:noWrap/>
            <w:vAlign w:val="center"/>
          </w:tcPr>
          <w:p w14:paraId="6344A62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1C2583F2" w14:textId="77777777">
        <w:trPr>
          <w:trHeight w:val="310"/>
          <w:jc w:val="center"/>
        </w:trPr>
        <w:tc>
          <w:tcPr>
            <w:tcW w:w="7862" w:type="dxa"/>
            <w:tcBorders>
              <w:top w:val="nil"/>
              <w:left w:val="nil"/>
              <w:bottom w:val="nil"/>
              <w:right w:val="nil"/>
            </w:tcBorders>
            <w:shd w:val="clear" w:color="auto" w:fill="auto"/>
            <w:noWrap/>
            <w:vAlign w:val="center"/>
          </w:tcPr>
          <w:p w14:paraId="13CC4F5A" w14:textId="0A57B9B5" w:rsidR="00C361F0" w:rsidRDefault="00000000">
            <w:pPr>
              <w:widowControl/>
              <w:jc w:val="left"/>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Risk of transplant rejection associated with ICIs prior to liver transplantation in HCC: A multicenter retrospective study</w:t>
            </w:r>
          </w:p>
        </w:tc>
        <w:tc>
          <w:tcPr>
            <w:tcW w:w="947" w:type="dxa"/>
            <w:tcBorders>
              <w:top w:val="nil"/>
              <w:left w:val="nil"/>
              <w:bottom w:val="nil"/>
              <w:right w:val="nil"/>
            </w:tcBorders>
            <w:shd w:val="clear" w:color="auto" w:fill="auto"/>
            <w:noWrap/>
            <w:vAlign w:val="center"/>
          </w:tcPr>
          <w:p w14:paraId="1A315A3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6E73963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7E39C56F"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47" w:type="dxa"/>
            <w:tcBorders>
              <w:top w:val="nil"/>
              <w:left w:val="nil"/>
              <w:bottom w:val="nil"/>
              <w:right w:val="nil"/>
            </w:tcBorders>
            <w:shd w:val="clear" w:color="auto" w:fill="auto"/>
            <w:noWrap/>
            <w:vAlign w:val="center"/>
          </w:tcPr>
          <w:p w14:paraId="6D7F394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3D46BCA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47" w:type="dxa"/>
            <w:tcBorders>
              <w:top w:val="nil"/>
              <w:left w:val="nil"/>
              <w:bottom w:val="nil"/>
              <w:right w:val="nil"/>
            </w:tcBorders>
            <w:shd w:val="clear" w:color="auto" w:fill="auto"/>
            <w:noWrap/>
            <w:vAlign w:val="center"/>
          </w:tcPr>
          <w:p w14:paraId="6E50D64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449D1BC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3B1CA9A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27A59B1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5B9683CD"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55" w:type="dxa"/>
            <w:tcBorders>
              <w:top w:val="nil"/>
              <w:left w:val="nil"/>
              <w:bottom w:val="nil"/>
              <w:right w:val="nil"/>
            </w:tcBorders>
            <w:shd w:val="clear" w:color="auto" w:fill="auto"/>
            <w:noWrap/>
            <w:vAlign w:val="center"/>
          </w:tcPr>
          <w:p w14:paraId="024AEB3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8" w:type="dxa"/>
            <w:tcBorders>
              <w:top w:val="nil"/>
              <w:left w:val="nil"/>
              <w:bottom w:val="nil"/>
              <w:right w:val="nil"/>
            </w:tcBorders>
            <w:shd w:val="clear" w:color="auto" w:fill="auto"/>
            <w:noWrap/>
            <w:vAlign w:val="center"/>
          </w:tcPr>
          <w:p w14:paraId="34A00BB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9</w:t>
            </w:r>
          </w:p>
        </w:tc>
        <w:tc>
          <w:tcPr>
            <w:tcW w:w="1411" w:type="dxa"/>
            <w:tcBorders>
              <w:top w:val="nil"/>
              <w:left w:val="nil"/>
              <w:bottom w:val="nil"/>
              <w:right w:val="nil"/>
            </w:tcBorders>
            <w:shd w:val="clear" w:color="auto" w:fill="auto"/>
            <w:noWrap/>
            <w:vAlign w:val="center"/>
          </w:tcPr>
          <w:p w14:paraId="1EB06C9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tr w:rsidR="00C361F0" w14:paraId="470FCF65" w14:textId="77777777">
        <w:trPr>
          <w:trHeight w:val="310"/>
          <w:jc w:val="center"/>
        </w:trPr>
        <w:tc>
          <w:tcPr>
            <w:tcW w:w="7862" w:type="dxa"/>
            <w:tcBorders>
              <w:top w:val="nil"/>
              <w:left w:val="nil"/>
              <w:bottom w:val="nil"/>
              <w:right w:val="nil"/>
            </w:tcBorders>
            <w:shd w:val="clear" w:color="auto" w:fill="auto"/>
            <w:noWrap/>
            <w:vAlign w:val="center"/>
          </w:tcPr>
          <w:p w14:paraId="2F925118" w14:textId="627C04B5" w:rsidR="00C361F0" w:rsidRDefault="00000000">
            <w:pPr>
              <w:widowControl/>
              <w:jc w:val="left"/>
              <w:textAlignment w:val="center"/>
              <w:rPr>
                <w:rFonts w:ascii="Times New Roman" w:eastAsia="DengXian" w:hAnsi="Times New Roman" w:cs="Times New Roman"/>
                <w:color w:val="000000"/>
                <w:sz w:val="22"/>
                <w:szCs w:val="22"/>
              </w:rPr>
            </w:pPr>
            <w:bookmarkStart w:id="42" w:name="OLE_LINK1"/>
            <w:r>
              <w:rPr>
                <w:rFonts w:ascii="Times New Roman" w:eastAsia="DengXian" w:hAnsi="Times New Roman" w:cs="Times New Roman"/>
                <w:color w:val="000000"/>
                <w:kern w:val="0"/>
                <w:sz w:val="22"/>
                <w:szCs w:val="22"/>
                <w:lang w:bidi="ar"/>
              </w:rPr>
              <w:t>Pretransplant immunotherapy increases acute rejection yet improves survival outcome of HCC patients with MVI post-liver transplantation</w:t>
            </w:r>
            <w:bookmarkEnd w:id="42"/>
          </w:p>
        </w:tc>
        <w:tc>
          <w:tcPr>
            <w:tcW w:w="947" w:type="dxa"/>
            <w:tcBorders>
              <w:top w:val="nil"/>
              <w:left w:val="nil"/>
              <w:bottom w:val="nil"/>
              <w:right w:val="nil"/>
            </w:tcBorders>
            <w:shd w:val="clear" w:color="auto" w:fill="auto"/>
            <w:noWrap/>
            <w:vAlign w:val="center"/>
          </w:tcPr>
          <w:p w14:paraId="438483D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2CA6A281"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14B3A4F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47" w:type="dxa"/>
            <w:tcBorders>
              <w:top w:val="nil"/>
              <w:left w:val="nil"/>
              <w:bottom w:val="nil"/>
              <w:right w:val="nil"/>
            </w:tcBorders>
            <w:shd w:val="clear" w:color="auto" w:fill="auto"/>
            <w:noWrap/>
            <w:vAlign w:val="center"/>
          </w:tcPr>
          <w:p w14:paraId="301E9B2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76230C0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5D913E5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3C30DBE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7F60842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nil"/>
              <w:right w:val="nil"/>
            </w:tcBorders>
            <w:shd w:val="clear" w:color="auto" w:fill="auto"/>
            <w:noWrap/>
            <w:vAlign w:val="center"/>
          </w:tcPr>
          <w:p w14:paraId="69C91CD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47" w:type="dxa"/>
            <w:tcBorders>
              <w:top w:val="nil"/>
              <w:left w:val="nil"/>
              <w:bottom w:val="nil"/>
              <w:right w:val="nil"/>
            </w:tcBorders>
            <w:shd w:val="clear" w:color="auto" w:fill="auto"/>
            <w:noWrap/>
            <w:vAlign w:val="center"/>
          </w:tcPr>
          <w:p w14:paraId="0DD72B40"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55" w:type="dxa"/>
            <w:tcBorders>
              <w:top w:val="nil"/>
              <w:left w:val="nil"/>
              <w:bottom w:val="nil"/>
              <w:right w:val="nil"/>
            </w:tcBorders>
            <w:shd w:val="clear" w:color="auto" w:fill="auto"/>
            <w:noWrap/>
            <w:vAlign w:val="center"/>
          </w:tcPr>
          <w:p w14:paraId="63AC25D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8" w:type="dxa"/>
            <w:tcBorders>
              <w:top w:val="nil"/>
              <w:left w:val="nil"/>
              <w:bottom w:val="nil"/>
              <w:right w:val="nil"/>
            </w:tcBorders>
            <w:shd w:val="clear" w:color="auto" w:fill="auto"/>
            <w:noWrap/>
            <w:vAlign w:val="center"/>
          </w:tcPr>
          <w:p w14:paraId="122A4EE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8</w:t>
            </w:r>
          </w:p>
        </w:tc>
        <w:tc>
          <w:tcPr>
            <w:tcW w:w="1411" w:type="dxa"/>
            <w:tcBorders>
              <w:top w:val="nil"/>
              <w:left w:val="nil"/>
              <w:bottom w:val="nil"/>
              <w:right w:val="nil"/>
            </w:tcBorders>
            <w:shd w:val="clear" w:color="auto" w:fill="auto"/>
            <w:noWrap/>
            <w:vAlign w:val="center"/>
          </w:tcPr>
          <w:p w14:paraId="6485EE26"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Moderate</w:t>
            </w:r>
          </w:p>
        </w:tc>
      </w:tr>
      <w:tr w:rsidR="00C361F0" w14:paraId="37BF458E" w14:textId="77777777">
        <w:trPr>
          <w:trHeight w:val="310"/>
          <w:jc w:val="center"/>
        </w:trPr>
        <w:tc>
          <w:tcPr>
            <w:tcW w:w="7862" w:type="dxa"/>
            <w:tcBorders>
              <w:top w:val="nil"/>
              <w:left w:val="nil"/>
              <w:bottom w:val="single" w:sz="12" w:space="0" w:color="auto"/>
              <w:right w:val="nil"/>
            </w:tcBorders>
            <w:shd w:val="clear" w:color="auto" w:fill="auto"/>
            <w:noWrap/>
            <w:vAlign w:val="center"/>
          </w:tcPr>
          <w:p w14:paraId="1A51CB40" w14:textId="4ACD772F" w:rsidR="00C361F0" w:rsidRDefault="00000000">
            <w:pPr>
              <w:widowControl/>
              <w:jc w:val="left"/>
              <w:textAlignment w:val="center"/>
              <w:rPr>
                <w:rFonts w:ascii="Times New Roman" w:eastAsia="DengXian" w:hAnsi="Times New Roman" w:cs="Times New Roman"/>
                <w:color w:val="000000"/>
                <w:sz w:val="22"/>
                <w:szCs w:val="22"/>
              </w:rPr>
            </w:pPr>
            <w:bookmarkStart w:id="43" w:name="_Hlk195727709"/>
            <w:r>
              <w:rPr>
                <w:rFonts w:ascii="Times New Roman" w:eastAsia="DengXian" w:hAnsi="Times New Roman" w:cs="Times New Roman"/>
                <w:color w:val="000000"/>
                <w:kern w:val="0"/>
                <w:sz w:val="22"/>
                <w:szCs w:val="22"/>
                <w:lang w:bidi="ar"/>
              </w:rPr>
              <w:t xml:space="preserve">Pretransplant use of immune checkpoint inhibitors for hepatocellular carcinoma: </w:t>
            </w:r>
            <w:proofErr w:type="gramStart"/>
            <w:r>
              <w:rPr>
                <w:rFonts w:ascii="Times New Roman" w:eastAsia="DengXian" w:hAnsi="Times New Roman" w:cs="Times New Roman"/>
                <w:color w:val="000000"/>
                <w:kern w:val="0"/>
                <w:sz w:val="22"/>
                <w:szCs w:val="22"/>
                <w:lang w:bidi="ar"/>
              </w:rPr>
              <w:t>A  multicenter</w:t>
            </w:r>
            <w:proofErr w:type="gramEnd"/>
            <w:r>
              <w:rPr>
                <w:rFonts w:ascii="Times New Roman" w:eastAsia="DengXian" w:hAnsi="Times New Roman" w:cs="Times New Roman"/>
                <w:color w:val="000000"/>
                <w:kern w:val="0"/>
                <w:sz w:val="22"/>
                <w:szCs w:val="22"/>
                <w:lang w:bidi="ar"/>
              </w:rPr>
              <w:t>, retrospective cohort study</w:t>
            </w:r>
          </w:p>
        </w:tc>
        <w:tc>
          <w:tcPr>
            <w:tcW w:w="947" w:type="dxa"/>
            <w:tcBorders>
              <w:top w:val="nil"/>
              <w:left w:val="nil"/>
              <w:bottom w:val="single" w:sz="12" w:space="0" w:color="auto"/>
              <w:right w:val="nil"/>
            </w:tcBorders>
            <w:shd w:val="clear" w:color="auto" w:fill="auto"/>
            <w:noWrap/>
            <w:vAlign w:val="center"/>
          </w:tcPr>
          <w:p w14:paraId="31BA412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single" w:sz="12" w:space="0" w:color="auto"/>
              <w:right w:val="nil"/>
            </w:tcBorders>
            <w:shd w:val="clear" w:color="auto" w:fill="auto"/>
            <w:noWrap/>
            <w:vAlign w:val="center"/>
          </w:tcPr>
          <w:p w14:paraId="55B0E1F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single" w:sz="12" w:space="0" w:color="auto"/>
              <w:right w:val="nil"/>
            </w:tcBorders>
            <w:shd w:val="clear" w:color="auto" w:fill="auto"/>
            <w:noWrap/>
            <w:vAlign w:val="center"/>
          </w:tcPr>
          <w:p w14:paraId="5D445154"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Unclear</w:t>
            </w:r>
          </w:p>
        </w:tc>
        <w:tc>
          <w:tcPr>
            <w:tcW w:w="947" w:type="dxa"/>
            <w:tcBorders>
              <w:top w:val="nil"/>
              <w:left w:val="nil"/>
              <w:bottom w:val="single" w:sz="12" w:space="0" w:color="auto"/>
              <w:right w:val="nil"/>
            </w:tcBorders>
            <w:shd w:val="clear" w:color="auto" w:fill="auto"/>
            <w:noWrap/>
            <w:vAlign w:val="center"/>
          </w:tcPr>
          <w:p w14:paraId="59B61758"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single" w:sz="12" w:space="0" w:color="auto"/>
              <w:right w:val="nil"/>
            </w:tcBorders>
            <w:shd w:val="clear" w:color="auto" w:fill="auto"/>
            <w:noWrap/>
            <w:vAlign w:val="center"/>
          </w:tcPr>
          <w:p w14:paraId="628F34A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single" w:sz="12" w:space="0" w:color="auto"/>
              <w:right w:val="nil"/>
            </w:tcBorders>
            <w:shd w:val="clear" w:color="auto" w:fill="auto"/>
            <w:noWrap/>
            <w:vAlign w:val="center"/>
          </w:tcPr>
          <w:p w14:paraId="2B40F102"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single" w:sz="12" w:space="0" w:color="auto"/>
              <w:right w:val="nil"/>
            </w:tcBorders>
            <w:shd w:val="clear" w:color="auto" w:fill="auto"/>
            <w:noWrap/>
            <w:vAlign w:val="center"/>
          </w:tcPr>
          <w:p w14:paraId="728142AC"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single" w:sz="12" w:space="0" w:color="auto"/>
              <w:right w:val="nil"/>
            </w:tcBorders>
            <w:shd w:val="clear" w:color="auto" w:fill="auto"/>
            <w:noWrap/>
            <w:vAlign w:val="center"/>
          </w:tcPr>
          <w:p w14:paraId="1106601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single" w:sz="12" w:space="0" w:color="auto"/>
              <w:right w:val="nil"/>
            </w:tcBorders>
            <w:shd w:val="clear" w:color="auto" w:fill="auto"/>
            <w:noWrap/>
            <w:vAlign w:val="center"/>
          </w:tcPr>
          <w:p w14:paraId="779D8857"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47" w:type="dxa"/>
            <w:tcBorders>
              <w:top w:val="nil"/>
              <w:left w:val="nil"/>
              <w:bottom w:val="single" w:sz="12" w:space="0" w:color="auto"/>
              <w:right w:val="nil"/>
            </w:tcBorders>
            <w:shd w:val="clear" w:color="auto" w:fill="auto"/>
            <w:noWrap/>
            <w:vAlign w:val="center"/>
          </w:tcPr>
          <w:p w14:paraId="16A0BF5B"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55" w:type="dxa"/>
            <w:tcBorders>
              <w:top w:val="nil"/>
              <w:left w:val="nil"/>
              <w:bottom w:val="single" w:sz="12" w:space="0" w:color="auto"/>
              <w:right w:val="nil"/>
            </w:tcBorders>
            <w:shd w:val="clear" w:color="auto" w:fill="auto"/>
            <w:noWrap/>
            <w:vAlign w:val="center"/>
          </w:tcPr>
          <w:p w14:paraId="0E5115C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Yes</w:t>
            </w:r>
          </w:p>
        </w:tc>
        <w:tc>
          <w:tcPr>
            <w:tcW w:w="938" w:type="dxa"/>
            <w:tcBorders>
              <w:top w:val="nil"/>
              <w:left w:val="nil"/>
              <w:bottom w:val="single" w:sz="12" w:space="0" w:color="auto"/>
              <w:right w:val="nil"/>
            </w:tcBorders>
            <w:shd w:val="clear" w:color="auto" w:fill="auto"/>
            <w:noWrap/>
            <w:vAlign w:val="center"/>
          </w:tcPr>
          <w:p w14:paraId="061C733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10</w:t>
            </w:r>
          </w:p>
        </w:tc>
        <w:tc>
          <w:tcPr>
            <w:tcW w:w="1411" w:type="dxa"/>
            <w:tcBorders>
              <w:top w:val="nil"/>
              <w:left w:val="nil"/>
              <w:bottom w:val="single" w:sz="12" w:space="0" w:color="auto"/>
              <w:right w:val="nil"/>
            </w:tcBorders>
            <w:shd w:val="clear" w:color="auto" w:fill="auto"/>
            <w:noWrap/>
            <w:vAlign w:val="center"/>
          </w:tcPr>
          <w:p w14:paraId="050AF593" w14:textId="77777777" w:rsidR="00C361F0" w:rsidRDefault="00000000">
            <w:pPr>
              <w:widowControl/>
              <w:jc w:val="center"/>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High</w:t>
            </w:r>
          </w:p>
        </w:tc>
      </w:tr>
      <w:bookmarkEnd w:id="43"/>
      <w:tr w:rsidR="00C361F0" w14:paraId="40DD958F" w14:textId="77777777">
        <w:trPr>
          <w:trHeight w:val="310"/>
          <w:jc w:val="center"/>
        </w:trPr>
        <w:tc>
          <w:tcPr>
            <w:tcW w:w="20636" w:type="dxa"/>
            <w:gridSpan w:val="14"/>
            <w:tcBorders>
              <w:top w:val="single" w:sz="12" w:space="0" w:color="auto"/>
              <w:left w:val="nil"/>
              <w:bottom w:val="nil"/>
              <w:right w:val="nil"/>
            </w:tcBorders>
            <w:shd w:val="clear" w:color="auto" w:fill="auto"/>
            <w:noWrap/>
            <w:vAlign w:val="center"/>
          </w:tcPr>
          <w:p w14:paraId="249CDDD3"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Q1. Were the two groups similar and recruited from the same population?  (Yes / No / Unclear / Not applicable)</w:t>
            </w:r>
          </w:p>
          <w:p w14:paraId="143C04E7"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Q2. Were the exposures measured similarly to assign people to both exposed and unexposed groups?  (Yes / No / Unclear / Not applicable)</w:t>
            </w:r>
          </w:p>
          <w:p w14:paraId="31DB54C6"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Q3. Was the exposure measured in a valid and reliable way?  (Yes / No / Unclear / Not applicable)</w:t>
            </w:r>
          </w:p>
          <w:p w14:paraId="4BCE6B54"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 xml:space="preserve">Q4. </w:t>
            </w:r>
            <w:proofErr w:type="spellStart"/>
            <w:r>
              <w:rPr>
                <w:rFonts w:ascii="Times New Roman" w:eastAsia="DengXian" w:hAnsi="Times New Roman" w:cs="Times New Roman" w:hint="eastAsia"/>
                <w:color w:val="000000"/>
                <w:kern w:val="0"/>
                <w:sz w:val="22"/>
                <w:szCs w:val="22"/>
                <w:lang w:bidi="ar"/>
              </w:rPr>
              <w:t>Were</w:t>
            </w:r>
            <w:proofErr w:type="spellEnd"/>
            <w:r>
              <w:rPr>
                <w:rFonts w:ascii="Times New Roman" w:eastAsia="DengXian" w:hAnsi="Times New Roman" w:cs="Times New Roman" w:hint="eastAsia"/>
                <w:color w:val="000000"/>
                <w:kern w:val="0"/>
                <w:sz w:val="22"/>
                <w:szCs w:val="22"/>
                <w:lang w:bidi="ar"/>
              </w:rPr>
              <w:t xml:space="preserve"> confounding factors identified?  (Yes / No / Unclear / Not applicable)</w:t>
            </w:r>
          </w:p>
          <w:p w14:paraId="10FAF539"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Q5. Were strategies to deal with confounding factors stated?  (Yes / No / Unclear / Not applicable)</w:t>
            </w:r>
          </w:p>
          <w:p w14:paraId="308FD100"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Q6. Were the groups/participants free of the outcome at the start of the study (or at the moment of exposure)?  (Yes / No / Unclear / Not applicable)</w:t>
            </w:r>
          </w:p>
          <w:p w14:paraId="31F73AA2"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Q7. Were the outcomes measured in a valid and reliable way?  (Yes / No / Unclear / Not applicable)</w:t>
            </w:r>
          </w:p>
          <w:p w14:paraId="43D27A56"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Q8. Was the follow up time reported and sufficient to be long enough for outcomes to occur?  (Yes / No / Unclear / Not applicable)</w:t>
            </w:r>
          </w:p>
          <w:p w14:paraId="10504689"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Q9. Was follow up complete, and if not, were the reasons to loss to follow up described and explored?  (Yes / No / Unclear / Not applicable)</w:t>
            </w:r>
          </w:p>
          <w:p w14:paraId="72952B37"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Q10. Were strategies to address incomplete follow up utilized?  (Yes / No / Unclear / Not applicable)</w:t>
            </w:r>
          </w:p>
          <w:p w14:paraId="12F65EF7"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lang w:bidi="ar"/>
              </w:rPr>
              <w:t>Q11. Was appropriate statistical analysis used?  (Yes / No / Unclear / Not applicable)</w:t>
            </w:r>
          </w:p>
          <w:p w14:paraId="35B64E82"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proofErr w:type="gramStart"/>
            <w:r>
              <w:rPr>
                <w:rFonts w:ascii="Times New Roman" w:eastAsia="DengXian" w:hAnsi="Times New Roman" w:cs="Times New Roman" w:hint="eastAsia"/>
                <w:color w:val="000000"/>
                <w:kern w:val="0"/>
                <w:sz w:val="22"/>
                <w:szCs w:val="22"/>
                <w:vertAlign w:val="superscript"/>
                <w:lang w:bidi="ar"/>
              </w:rPr>
              <w:t xml:space="preserve">a  </w:t>
            </w:r>
            <w:r>
              <w:rPr>
                <w:rFonts w:ascii="Times New Roman" w:eastAsia="DengXian" w:hAnsi="Times New Roman" w:cs="Times New Roman" w:hint="eastAsia"/>
                <w:color w:val="000000"/>
                <w:kern w:val="0"/>
                <w:sz w:val="22"/>
                <w:szCs w:val="22"/>
                <w:lang w:bidi="ar"/>
              </w:rPr>
              <w:t>Represents</w:t>
            </w:r>
            <w:proofErr w:type="gramEnd"/>
            <w:r>
              <w:rPr>
                <w:rFonts w:ascii="Times New Roman" w:eastAsia="DengXian" w:hAnsi="Times New Roman" w:cs="Times New Roman" w:hint="eastAsia"/>
                <w:color w:val="000000"/>
                <w:kern w:val="0"/>
                <w:sz w:val="22"/>
                <w:szCs w:val="22"/>
                <w:lang w:bidi="ar"/>
              </w:rPr>
              <w:t xml:space="preserve"> the total number of "Yes" responses for each study.</w:t>
            </w:r>
          </w:p>
          <w:p w14:paraId="723352F8" w14:textId="77777777" w:rsidR="00C361F0" w:rsidRDefault="00000000">
            <w:pPr>
              <w:widowControl/>
              <w:jc w:val="left"/>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hint="eastAsia"/>
                <w:color w:val="000000"/>
                <w:kern w:val="0"/>
                <w:sz w:val="22"/>
                <w:szCs w:val="22"/>
                <w:vertAlign w:val="superscript"/>
                <w:lang w:bidi="ar"/>
              </w:rPr>
              <w:t xml:space="preserve">b  </w:t>
            </w:r>
            <w:r>
              <w:rPr>
                <w:rFonts w:ascii="Times New Roman" w:eastAsia="DengXian" w:hAnsi="Times New Roman" w:cs="Times New Roman" w:hint="eastAsia"/>
                <w:color w:val="000000"/>
                <w:kern w:val="0"/>
                <w:sz w:val="22"/>
                <w:szCs w:val="22"/>
                <w:lang w:bidi="ar"/>
              </w:rPr>
              <w:t xml:space="preserve">Quality Assessment is determined based on the Total Score, with scores </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 xml:space="preserve">50% of the maximum rated as Low, scores &gt;50% and </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 xml:space="preserve">75% as Moderate, and scores </w:t>
            </w:r>
            <w:r>
              <w:rPr>
                <w:rFonts w:ascii="Times New Roman" w:eastAsia="DengXian" w:hAnsi="Times New Roman" w:cs="Times New Roman" w:hint="eastAsia"/>
                <w:color w:val="000000"/>
                <w:kern w:val="0"/>
                <w:sz w:val="22"/>
                <w:szCs w:val="22"/>
                <w:lang w:bidi="ar"/>
              </w:rPr>
              <w:t>≥</w:t>
            </w:r>
            <w:r>
              <w:rPr>
                <w:rFonts w:ascii="Times New Roman" w:eastAsia="DengXian" w:hAnsi="Times New Roman" w:cs="Times New Roman" w:hint="eastAsia"/>
                <w:color w:val="000000"/>
                <w:kern w:val="0"/>
                <w:sz w:val="22"/>
                <w:szCs w:val="22"/>
                <w:lang w:bidi="ar"/>
              </w:rPr>
              <w:t>75% as High.</w:t>
            </w:r>
          </w:p>
        </w:tc>
      </w:tr>
    </w:tbl>
    <w:p w14:paraId="38356AD3" w14:textId="3B8B6932" w:rsidR="00C361F0" w:rsidRDefault="00C361F0"/>
    <w:sectPr w:rsidR="00C361F0">
      <w:pgSz w:w="22677" w:h="16838" w:orient="landscape"/>
      <w:pgMar w:top="1440" w:right="1803" w:bottom="1440" w:left="1803"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A 11th numbering&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vfswddtx0rrje9rxmpr50gwzwzs9svswzd&quot;&gt;文献评价&lt;record-ids&gt;&lt;item&gt;1&lt;/item&gt;&lt;item&gt;2&lt;/item&gt;&lt;item&gt;3&lt;/item&gt;&lt;item&gt;4&lt;/item&gt;&lt;item&gt;5&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record-ids&gt;&lt;/item&gt;&lt;/Libraries&gt;"/>
  </w:docVars>
  <w:rsids>
    <w:rsidRoot w:val="00C361F0"/>
    <w:rsid w:val="000A1F28"/>
    <w:rsid w:val="002352DB"/>
    <w:rsid w:val="00284BFD"/>
    <w:rsid w:val="00363279"/>
    <w:rsid w:val="00426FEE"/>
    <w:rsid w:val="005735FC"/>
    <w:rsid w:val="00606A72"/>
    <w:rsid w:val="0062489C"/>
    <w:rsid w:val="00A47392"/>
    <w:rsid w:val="00AA0642"/>
    <w:rsid w:val="00AC760A"/>
    <w:rsid w:val="00BB5719"/>
    <w:rsid w:val="00C361F0"/>
    <w:rsid w:val="00CA230E"/>
    <w:rsid w:val="00CD25BC"/>
    <w:rsid w:val="00F60039"/>
    <w:rsid w:val="106D393B"/>
    <w:rsid w:val="154B059B"/>
    <w:rsid w:val="188C4B97"/>
    <w:rsid w:val="1DBD5480"/>
    <w:rsid w:val="2F212B1B"/>
    <w:rsid w:val="38561F4B"/>
    <w:rsid w:val="681F4B53"/>
    <w:rsid w:val="72253366"/>
    <w:rsid w:val="7AAD407F"/>
    <w:rsid w:val="7B515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267AB"/>
  <w15:docId w15:val="{454DDF23-C0CF-4442-9D71-1C9088E72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606A72"/>
    <w:pPr>
      <w:jc w:val="center"/>
    </w:pPr>
    <w:rPr>
      <w:rFonts w:ascii="Times New Roman" w:hAnsi="Times New Roman" w:cs="Times New Roman"/>
      <w:sz w:val="20"/>
    </w:rPr>
  </w:style>
  <w:style w:type="character" w:customStyle="1" w:styleId="EndNoteBibliographyTitle0">
    <w:name w:val="EndNote Bibliography Title 字符"/>
    <w:basedOn w:val="a0"/>
    <w:link w:val="EndNoteBibliographyTitle"/>
    <w:rsid w:val="00606A72"/>
    <w:rPr>
      <w:rFonts w:eastAsiaTheme="minorEastAsia"/>
      <w:kern w:val="2"/>
      <w:szCs w:val="24"/>
    </w:rPr>
  </w:style>
  <w:style w:type="paragraph" w:customStyle="1" w:styleId="EndNoteBibliography">
    <w:name w:val="EndNote Bibliography"/>
    <w:basedOn w:val="a"/>
    <w:link w:val="EndNoteBibliography0"/>
    <w:rsid w:val="00606A72"/>
    <w:rPr>
      <w:rFonts w:ascii="Times New Roman" w:hAnsi="Times New Roman" w:cs="Times New Roman"/>
      <w:sz w:val="20"/>
    </w:rPr>
  </w:style>
  <w:style w:type="character" w:customStyle="1" w:styleId="EndNoteBibliography0">
    <w:name w:val="EndNote Bibliography 字符"/>
    <w:basedOn w:val="a0"/>
    <w:link w:val="EndNoteBibliography"/>
    <w:rsid w:val="00606A72"/>
    <w:rPr>
      <w:rFonts w:eastAsiaTheme="minorEastAsia"/>
      <w:kern w:val="2"/>
      <w:szCs w:val="24"/>
    </w:rPr>
  </w:style>
  <w:style w:type="character" w:styleId="a3">
    <w:name w:val="Hyperlink"/>
    <w:basedOn w:val="a0"/>
    <w:rsid w:val="00F60039"/>
    <w:rPr>
      <w:color w:val="0026E5" w:themeColor="hyperlink"/>
      <w:u w:val="single"/>
    </w:rPr>
  </w:style>
  <w:style w:type="character" w:styleId="a4">
    <w:name w:val="Unresolved Mention"/>
    <w:basedOn w:val="a0"/>
    <w:uiPriority w:val="99"/>
    <w:semiHidden/>
    <w:unhideWhenUsed/>
    <w:rsid w:val="00F60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5</Pages>
  <Words>2568</Words>
  <Characters>14641</Characters>
  <Application>Microsoft Office Word</Application>
  <DocSecurity>0</DocSecurity>
  <Lines>122</Lines>
  <Paragraphs>34</Paragraphs>
  <ScaleCrop>false</ScaleCrop>
  <Company/>
  <LinksUpToDate>false</LinksUpToDate>
  <CharactersWithSpaces>17175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韦鹏程</cp:lastModifiedBy>
  <cp:revision>11</cp:revision>
  <dcterms:created xsi:type="dcterms:W3CDTF">2025-04-09T07:26:00Z</dcterms:created>
  <dcterms:modified xsi:type="dcterms:W3CDTF">2025-08-01T05:04:00Z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eyJoZGlkIjoiOWVmY2EyMzVjYjM4NzgyNzBlNDNkNTNlMmY1YTNhODUiLCJ1c2VySWQiOiI0MDk5MzIwOTgifQ==</vt:lpwstr>
  </property>
  <property fmtid="{D5CDD505-2E9C-101B-9397-08002B2CF9AE}" pid="4" name="ICV">
    <vt:lpwstr>E01DCFC965284414BACAF4806AE6269F_12</vt:lpwstr>
  </property>
</Properties>
</file>