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8473" w:type="dxa"/>
        <w:jc w:val="center"/>
        <w:tblLayout w:type="fixed"/>
        <w:tblLook w:val="04A0" w:firstRow="1" w:lastRow="0" w:firstColumn="1" w:lastColumn="0" w:noHBand="0" w:noVBand="1"/>
      </w:tblPr>
      <w:tblGrid>
        <w:gridCol w:w="6251"/>
        <w:gridCol w:w="2222"/>
      </w:tblGrid>
      <w:tr w:rsidR="00EC74BE" w14:paraId="1A32357B" w14:textId="77777777">
        <w:trPr>
          <w:trHeight w:val="405"/>
          <w:jc w:val="center"/>
        </w:trPr>
        <w:tc>
          <w:tcPr>
            <w:tcW w:w="847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66DC4F" w14:textId="7F66454B" w:rsidR="00EC74BE" w:rsidRDefault="002D1269" w:rsidP="00FE6180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kern w:val="0"/>
                <w:sz w:val="24"/>
                <w:lang w:bidi="ar"/>
              </w:rPr>
            </w:pPr>
            <w:r w:rsidRPr="002D1269">
              <w:rPr>
                <w:rFonts w:ascii="Times New Roman" w:eastAsia="微软雅黑" w:hAnsi="Times New Roman" w:cs="Times New Roman"/>
                <w:b/>
                <w:bCs/>
                <w:kern w:val="0"/>
                <w:sz w:val="24"/>
                <w:lang w:bidi="ar"/>
              </w:rPr>
              <w:t>Table S5</w:t>
            </w:r>
            <w:r w:rsidR="00000000">
              <w:rPr>
                <w:rFonts w:ascii="Times New Roman" w:eastAsia="微软雅黑" w:hAnsi="Times New Roman" w:cs="Times New Roman" w:hint="eastAsia"/>
                <w:b/>
                <w:bCs/>
                <w:kern w:val="0"/>
                <w:sz w:val="24"/>
                <w:lang w:bidi="ar"/>
              </w:rPr>
              <w:t>: Baseline Characteristics of 13 Cases Receiving Peri-LT ICIs in Our Center</w:t>
            </w:r>
          </w:p>
        </w:tc>
      </w:tr>
      <w:tr w:rsidR="00EC74BE" w14:paraId="4B51FB9C" w14:textId="77777777">
        <w:trPr>
          <w:trHeight w:val="594"/>
          <w:jc w:val="center"/>
        </w:trPr>
        <w:tc>
          <w:tcPr>
            <w:tcW w:w="62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20CE6E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Characteristics</w:t>
            </w:r>
          </w:p>
        </w:tc>
        <w:tc>
          <w:tcPr>
            <w:tcW w:w="2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5E537F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n = 13</w:t>
            </w:r>
          </w:p>
        </w:tc>
      </w:tr>
      <w:tr w:rsidR="00EC74BE" w14:paraId="67AA9E06" w14:textId="77777777">
        <w:trPr>
          <w:trHeight w:val="192"/>
          <w:jc w:val="center"/>
        </w:trPr>
        <w:tc>
          <w:tcPr>
            <w:tcW w:w="625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F1844FD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Age,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years,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2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5A3E99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52 (50, 55)</w:t>
            </w:r>
          </w:p>
        </w:tc>
      </w:tr>
      <w:tr w:rsidR="00EC74BE" w14:paraId="117DF64C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9E4A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Gender,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91CD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4B047033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3F88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Male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172C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(100.0%)</w:t>
            </w:r>
          </w:p>
        </w:tc>
      </w:tr>
      <w:tr w:rsidR="00EC74BE" w14:paraId="069A8C71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15054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Diagnosis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6C813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303A125C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CB41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HCC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666E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(100.0%)</w:t>
            </w:r>
          </w:p>
        </w:tc>
      </w:tr>
      <w:tr w:rsidR="00EC74BE" w14:paraId="16D7E344" w14:textId="77777777">
        <w:trPr>
          <w:trHeight w:val="90"/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3FB2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Etiology,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D0CA8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2468D27B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3309E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HBV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860B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11 (84.6%)</w:t>
            </w:r>
          </w:p>
        </w:tc>
      </w:tr>
      <w:tr w:rsidR="00EC74BE" w14:paraId="6B01B5F7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7799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HCV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DB74B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08DDE3C4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FF5A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Others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3FC0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3D5CA5E6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66678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Child-Pugh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2E7C3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41E1CD5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47265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A/B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3F89C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 (30.8%)</w:t>
            </w:r>
          </w:p>
        </w:tc>
      </w:tr>
      <w:tr w:rsidR="00EC74BE" w14:paraId="62F0B214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C96D5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AA4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 (69.2%)</w:t>
            </w:r>
          </w:p>
        </w:tc>
      </w:tr>
      <w:tr w:rsidR="00EC74BE" w14:paraId="4A569CC3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245B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Tumor number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08667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3E8584E6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66F37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Single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14723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 (38.5%)</w:t>
            </w:r>
          </w:p>
        </w:tc>
      </w:tr>
      <w:tr w:rsidR="00EC74BE" w14:paraId="72F24D02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89E4F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Multiple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0104F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8 (61.5%)</w:t>
            </w:r>
          </w:p>
        </w:tc>
      </w:tr>
      <w:tr w:rsidR="00EC74BE" w14:paraId="5640ECBC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5A74C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Milan criteria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A6ED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1974CA86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EFE8B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No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4C22D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 (53.8%)</w:t>
            </w:r>
          </w:p>
        </w:tc>
      </w:tr>
      <w:tr w:rsidR="00EC74BE" w14:paraId="52666466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8C73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Yes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E32B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 (46.2%)</w:t>
            </w:r>
          </w:p>
        </w:tc>
      </w:tr>
      <w:tr w:rsidR="00EC74BE" w14:paraId="7CE1DE7B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2E2E8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ICIs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ED047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46712D91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E2C2E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lastRenderedPageBreak/>
              <w:t>Atezolizumab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4F8D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6DF8BB60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999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Camrelizumab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ED9D9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 (15.4%)</w:t>
            </w:r>
          </w:p>
        </w:tc>
      </w:tr>
      <w:tr w:rsidR="00EC74BE" w14:paraId="3936810E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A575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Sintilimab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7D01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 (38.5%)</w:t>
            </w:r>
          </w:p>
        </w:tc>
      </w:tr>
      <w:tr w:rsidR="00EC74BE" w14:paraId="22D7B40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38FB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Others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2D589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 (30.8%)</w:t>
            </w:r>
          </w:p>
        </w:tc>
      </w:tr>
      <w:tr w:rsidR="00EC74BE" w14:paraId="07066175" w14:textId="77777777">
        <w:trPr>
          <w:trHeight w:val="201"/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F15F3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NA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C622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3DDDB93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D2502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ICIs target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27DB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294C1DD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0089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anti-PD-1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1C05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11 (84.6%)</w:t>
            </w:r>
          </w:p>
        </w:tc>
      </w:tr>
      <w:tr w:rsidR="00EC74BE" w14:paraId="67619580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F7FE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anti-PD-L1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6BCA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52D81D16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F302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anti-PD-1 &amp; anti-PD-L1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6912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61A4C744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E4A2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ICIs cycles, n,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CA55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2.50 (2.00, 4.00)</w:t>
            </w:r>
          </w:p>
        </w:tc>
      </w:tr>
      <w:tr w:rsidR="00EC74BE" w14:paraId="65998002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42745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ICIs treatment phase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F489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3D374927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677F6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Pre-LT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B0251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(100.0%)</w:t>
            </w:r>
          </w:p>
        </w:tc>
      </w:tr>
      <w:tr w:rsidR="00EC74BE" w14:paraId="2E47064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7487B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Line of ICIs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E88AC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6A00FB91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C504B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Non first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-line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83F31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 (46.2%)</w:t>
            </w:r>
          </w:p>
        </w:tc>
      </w:tr>
      <w:tr w:rsidR="00EC74BE" w14:paraId="44DFFC1E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986B7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First-line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BC6CE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 (53.8%)</w:t>
            </w:r>
          </w:p>
        </w:tc>
      </w:tr>
      <w:tr w:rsidR="00EC74BE" w14:paraId="6A2E2AA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4C2C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Washout period, days,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2108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67 (35, 154)</w:t>
            </w:r>
          </w:p>
        </w:tc>
      </w:tr>
      <w:tr w:rsidR="00EC74BE" w14:paraId="076B8A6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55CD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Treatment measures excluding ICIs,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836F6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625824B0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0D3F4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Surgery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5091E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8 (61.5%)</w:t>
            </w:r>
          </w:p>
        </w:tc>
      </w:tr>
      <w:tr w:rsidR="00EC74BE" w14:paraId="36FB144C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3716F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Radiotherapy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424BA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</w:tr>
      <w:tr w:rsidR="00EC74BE" w14:paraId="470A35E8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374B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0FBF3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</w:tr>
      <w:tr w:rsidR="00EC74BE" w14:paraId="570EAE64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1ECF8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LRT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9AC4F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 (69.2%)</w:t>
            </w:r>
          </w:p>
        </w:tc>
      </w:tr>
      <w:tr w:rsidR="00EC74BE" w14:paraId="6A0C6908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9BE2" w14:textId="77777777" w:rsidR="00EC74BE" w:rsidRDefault="00000000" w:rsidP="00DD5D82">
            <w:pPr>
              <w:widowControl/>
              <w:spacing w:line="480" w:lineRule="auto"/>
              <w:ind w:firstLineChars="200" w:firstLine="48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TACE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30F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 (69.2%)</w:t>
            </w:r>
          </w:p>
        </w:tc>
      </w:tr>
      <w:tr w:rsidR="00EC74BE" w14:paraId="34375570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34A1E" w14:textId="77777777" w:rsidR="00EC74BE" w:rsidRDefault="00000000" w:rsidP="00DD5D82">
            <w:pPr>
              <w:widowControl/>
              <w:spacing w:line="480" w:lineRule="auto"/>
              <w:ind w:firstLineChars="200" w:firstLine="48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 xml:space="preserve">Local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albation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2EE63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 (30.8%)</w:t>
            </w:r>
          </w:p>
        </w:tc>
      </w:tr>
      <w:tr w:rsidR="00EC74BE" w14:paraId="13BA6022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967F2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TKIs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BC81E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10 (76.9%)</w:t>
            </w:r>
          </w:p>
        </w:tc>
      </w:tr>
      <w:tr w:rsidR="00EC74BE" w14:paraId="1E52A0C3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DF102" w14:textId="77777777" w:rsidR="00EC74BE" w:rsidRDefault="00000000" w:rsidP="00DD5D82">
            <w:pPr>
              <w:widowControl/>
              <w:spacing w:line="480" w:lineRule="auto"/>
              <w:ind w:firstLineChars="200" w:firstLine="48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Sorafenib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369D3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</w:tr>
      <w:tr w:rsidR="00EC74BE" w14:paraId="27C350DD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7079B" w14:textId="77777777" w:rsidR="00EC74BE" w:rsidRDefault="00000000" w:rsidP="00DD5D82">
            <w:pPr>
              <w:widowControl/>
              <w:spacing w:line="480" w:lineRule="auto"/>
              <w:ind w:firstLineChars="200" w:firstLine="48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Lenvatinib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5958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 (53.8%)</w:t>
            </w:r>
          </w:p>
        </w:tc>
      </w:tr>
      <w:tr w:rsidR="00EC74BE" w14:paraId="2D854F23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E1C88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Bevacizumab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97323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 (38.5%)</w:t>
            </w:r>
          </w:p>
        </w:tc>
      </w:tr>
      <w:tr w:rsidR="00EC74BE" w14:paraId="615F83F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5D0F7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mmunosuppressive induction agents,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BD7EC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5C57B7FD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2C08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Basiliximab</w:t>
            </w:r>
            <w:proofErr w:type="spellEnd"/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624CE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</w:tr>
      <w:tr w:rsidR="00EC74BE" w14:paraId="2ED7F37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00073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mmunosuppressive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agents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7A60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730A5A7E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FF8C2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MMF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7129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8 (61.5%)</w:t>
            </w:r>
          </w:p>
        </w:tc>
      </w:tr>
      <w:tr w:rsidR="00EC74BE" w14:paraId="4A967944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C2A23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mTOR inhibitors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2A1E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(23.1%)</w:t>
            </w:r>
          </w:p>
        </w:tc>
      </w:tr>
      <w:tr w:rsidR="00EC74BE" w14:paraId="5F032F4D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DAFB3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CNIs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CB8A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(100.0%)</w:t>
            </w:r>
          </w:p>
        </w:tc>
      </w:tr>
      <w:tr w:rsidR="00EC74BE" w14:paraId="021FA49E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57FF6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Corticosteroids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3D838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12 (92.3%)</w:t>
            </w:r>
          </w:p>
        </w:tc>
      </w:tr>
      <w:tr w:rsidR="00EC74BE" w14:paraId="77C1D35D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F57C6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Graft rejection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10BAB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41852F3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809B7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No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9B73F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(100.0%)</w:t>
            </w:r>
          </w:p>
        </w:tc>
      </w:tr>
      <w:tr w:rsidR="00EC74BE" w14:paraId="0D59DCCB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79400" w14:textId="77777777" w:rsidR="00EC74BE" w:rsidRDefault="00000000" w:rsidP="00DD5D82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Follow up data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79740" w14:textId="77777777" w:rsidR="00EC74BE" w:rsidRDefault="00EC74BE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EC74BE" w14:paraId="1A2D316E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BCC0B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Recurrence after LT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65C8F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 (38.5%)</w:t>
            </w:r>
          </w:p>
        </w:tc>
      </w:tr>
      <w:tr w:rsidR="00EC74BE" w14:paraId="32BEC1CA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4C6C6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Recurrence-free survival time, days,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4B704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270 (150, 390)</w:t>
            </w:r>
          </w:p>
        </w:tc>
      </w:tr>
      <w:tr w:rsidR="00EC74BE" w14:paraId="27E73611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01EA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Death after LT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14:paraId="2D1BD377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(7.7%)</w:t>
            </w:r>
          </w:p>
        </w:tc>
      </w:tr>
      <w:tr w:rsidR="00EC74BE" w14:paraId="305F5D05" w14:textId="77777777">
        <w:trPr>
          <w:jc w:val="center"/>
        </w:trPr>
        <w:tc>
          <w:tcPr>
            <w:tcW w:w="62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B4C6AA" w14:textId="77777777" w:rsidR="00EC74BE" w:rsidRDefault="00000000" w:rsidP="00DD5D82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Overall survival time, days,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48412B" w14:textId="77777777" w:rsidR="00EC74BE" w:rsidRDefault="00000000" w:rsidP="00DD5D82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270 (150, 390)</w:t>
            </w:r>
          </w:p>
        </w:tc>
      </w:tr>
      <w:tr w:rsidR="00EC74BE" w14:paraId="6AE2B896" w14:textId="77777777">
        <w:trPr>
          <w:jc w:val="center"/>
        </w:trPr>
        <w:tc>
          <w:tcPr>
            <w:tcW w:w="847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B75FC4D" w14:textId="77777777" w:rsidR="00EC74BE" w:rsidRDefault="00000000" w:rsidP="00DD5D82">
            <w:pPr>
              <w:widowControl/>
              <w:spacing w:line="480" w:lineRule="auto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HCC, hepatocellular carcinoma; HBV, hepatitis B virus; HCV, hepatitis C </w:t>
            </w:r>
            <w:proofErr w:type="gram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virus;  ICIs</w:t>
            </w:r>
            <w:proofErr w:type="gram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, immune checkpoint inhibitors; NA: not available; PD-1, programmed cell death-1; PD-L1, programmed cell death-Ligand 1; LT, liver transplantation; LRT, locoregional therapy; TACE, transcatheter arterial chemoembolization; TKIs, tyrosine kinase inhibitors; MMF, mycophenolate mofetil;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mTOR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mammalian target of rapamycin; CNIs, c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alcineurin inhibitors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.</w:t>
            </w:r>
          </w:p>
        </w:tc>
      </w:tr>
    </w:tbl>
    <w:p w14:paraId="660BF29C" w14:textId="77777777" w:rsidR="00EC74BE" w:rsidRDefault="00EC74BE" w:rsidP="00DD5D82">
      <w:pPr>
        <w:spacing w:line="480" w:lineRule="auto"/>
      </w:pPr>
    </w:p>
    <w:sectPr w:rsidR="00EC74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4BE"/>
    <w:rsid w:val="002D1269"/>
    <w:rsid w:val="004E355C"/>
    <w:rsid w:val="00BB5719"/>
    <w:rsid w:val="00DD5D82"/>
    <w:rsid w:val="00E12C74"/>
    <w:rsid w:val="00EC74BE"/>
    <w:rsid w:val="00FE6180"/>
    <w:rsid w:val="015E288A"/>
    <w:rsid w:val="0B240F0D"/>
    <w:rsid w:val="0C827ECE"/>
    <w:rsid w:val="0D9D3894"/>
    <w:rsid w:val="10C80BA6"/>
    <w:rsid w:val="111E68FD"/>
    <w:rsid w:val="1557338B"/>
    <w:rsid w:val="18047037"/>
    <w:rsid w:val="1B4A3AAA"/>
    <w:rsid w:val="1D9B5D52"/>
    <w:rsid w:val="27747500"/>
    <w:rsid w:val="2B516345"/>
    <w:rsid w:val="2EFD0007"/>
    <w:rsid w:val="372A2827"/>
    <w:rsid w:val="37866434"/>
    <w:rsid w:val="3A5A5828"/>
    <w:rsid w:val="3FDD065C"/>
    <w:rsid w:val="41E012AE"/>
    <w:rsid w:val="4F997D15"/>
    <w:rsid w:val="4FBB65D3"/>
    <w:rsid w:val="57243FF4"/>
    <w:rsid w:val="5C665FCF"/>
    <w:rsid w:val="638E4EF6"/>
    <w:rsid w:val="68AB72FE"/>
    <w:rsid w:val="69250ECD"/>
    <w:rsid w:val="6A4C5283"/>
    <w:rsid w:val="6B6B523C"/>
    <w:rsid w:val="6D664807"/>
    <w:rsid w:val="6D873E0A"/>
    <w:rsid w:val="770025E3"/>
    <w:rsid w:val="7FE0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BCECB1AA-3D7D-274C-A9D7-B544E64B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韦鹏程</cp:lastModifiedBy>
  <cp:revision>5</cp:revision>
  <dcterms:created xsi:type="dcterms:W3CDTF">2025-02-09T11:37:00Z</dcterms:created>
  <dcterms:modified xsi:type="dcterms:W3CDTF">2025-08-01T00:06:00Z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eyJoZGlkIjoiOWVmY2EyMzVjYjM4NzgyNzBlNDNkNTNlMmY1YTNhODUiLCJ1c2VySWQiOiI0MDk5MzIwOTgifQ==</vt:lpwstr>
  </property>
  <property fmtid="{D5CDD505-2E9C-101B-9397-08002B2CF9AE}" pid="4" name="ICV">
    <vt:lpwstr>355516D9AF3A4357B754634522F3AE15_12</vt:lpwstr>
  </property>
</Properties>
</file>