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F3774">
      <w:pPr>
        <w:spacing w:line="480" w:lineRule="auto"/>
        <w:jc w:val="center"/>
        <w:rPr>
          <w:rFonts w:hint="eastAsia" w:ascii="Times New Roman" w:hAnsi="Times New Roman" w:cs="Times New Roman"/>
          <w:b/>
          <w:bCs/>
          <w:color w:val="auto"/>
          <w:sz w:val="24"/>
          <w:szCs w:val="24"/>
          <w:highlight w:val="none"/>
          <w:shd w:val="clear" w:color="auto" w:fill="auto"/>
          <w:lang w:val="en-US" w:eastAsia="zh-CN"/>
          <w14:ligatures w14:val="none"/>
        </w:rPr>
      </w:pPr>
      <w:r>
        <w:rPr>
          <w:rFonts w:hint="eastAsia" w:ascii="Times New Roman" w:hAnsi="Times New Roman" w:eastAsia="宋体" w:cs="Times New Roman"/>
          <w:b/>
          <w:bCs/>
          <w:i w:val="0"/>
          <w:iCs w:val="0"/>
          <w:caps w:val="0"/>
          <w:color w:val="auto"/>
          <w:spacing w:val="0"/>
          <w:sz w:val="28"/>
          <w:szCs w:val="28"/>
          <w:highlight w:val="none"/>
          <w:shd w:val="clear" w:fill="FFFFFF"/>
          <w:lang w:val="en-US" w:eastAsia="zh-CN"/>
        </w:rPr>
        <w:t xml:space="preserve">Additional file 1 </w:t>
      </w:r>
      <w:r>
        <w:rPr>
          <w:rFonts w:hint="eastAsia" w:ascii="Times New Roman" w:hAnsi="Times New Roman" w:cs="Times New Roman"/>
          <w:b/>
          <w:bCs/>
          <w:color w:val="auto"/>
          <w:sz w:val="24"/>
          <w:szCs w:val="24"/>
          <w:highlight w:val="none"/>
          <w:shd w:val="clear" w:color="auto" w:fill="auto"/>
          <w:lang w:val="en-US" w:eastAsia="zh-CN"/>
          <w14:ligatures w14:val="none"/>
        </w:rPr>
        <w:drawing>
          <wp:inline distT="0" distB="0" distL="114300" distR="114300">
            <wp:extent cx="5269230" cy="4466590"/>
            <wp:effectExtent l="0" t="0" r="7620" b="635"/>
            <wp:docPr id="9" name="图片 9" descr="批次效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批次效应"/>
                    <pic:cNvPicPr>
                      <a:picLocks noChangeAspect="1"/>
                    </pic:cNvPicPr>
                  </pic:nvPicPr>
                  <pic:blipFill>
                    <a:blip r:embed="rId5"/>
                    <a:stretch>
                      <a:fillRect/>
                    </a:stretch>
                  </pic:blipFill>
                  <pic:spPr>
                    <a:xfrm>
                      <a:off x="0" y="0"/>
                      <a:ext cx="5269230" cy="4466590"/>
                    </a:xfrm>
                    <a:prstGeom prst="rect">
                      <a:avLst/>
                    </a:prstGeom>
                  </pic:spPr>
                </pic:pic>
              </a:graphicData>
            </a:graphic>
          </wp:inline>
        </w:drawing>
      </w:r>
    </w:p>
    <w:p w14:paraId="4E12E8F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b/>
          <w:bCs/>
          <w:color w:val="auto"/>
          <w:sz w:val="24"/>
          <w:szCs w:val="24"/>
          <w:highlight w:val="none"/>
          <w:shd w:val="clear" w:color="auto" w:fill="auto"/>
          <w:lang w:val="en-US" w:eastAsia="zh-CN"/>
          <w14:ligatures w14:val="none"/>
        </w:rPr>
      </w:pPr>
      <w:r>
        <w:rPr>
          <w:rFonts w:hint="eastAsia" w:ascii="Times New Roman" w:hAnsi="Times New Roman" w:cs="Times New Roman"/>
          <w:b/>
          <w:bCs/>
          <w:color w:val="auto"/>
          <w:sz w:val="24"/>
          <w:szCs w:val="24"/>
          <w:highlight w:val="none"/>
          <w:shd w:val="clear" w:color="auto" w:fill="auto"/>
          <w:lang w:val="en-US" w:eastAsia="zh-CN"/>
          <w14:ligatures w14:val="none"/>
        </w:rPr>
        <w:t xml:space="preserve">Figure S1. Principal component analysis (PCA) before and after ComBat harmonization. </w:t>
      </w:r>
      <w:r>
        <w:rPr>
          <w:rFonts w:hint="eastAsia" w:ascii="Times New Roman" w:hAnsi="Times New Roman" w:cs="Times New Roman"/>
          <w:b w:val="0"/>
          <w:bCs w:val="0"/>
          <w:color w:val="auto"/>
          <w:sz w:val="24"/>
          <w:szCs w:val="24"/>
          <w:highlight w:val="none"/>
          <w:shd w:val="clear" w:color="auto" w:fill="auto"/>
          <w:lang w:val="en-US" w:eastAsia="zh-CN"/>
          <w14:ligatures w14:val="none"/>
        </w:rPr>
        <w:t>(A–B) PCA plots of radiomics features before (A) and after (B) ComBat correction, grouped by imaging acquisition center. (C–D) PCA plots before (C) and after (D) harmonization, grouped by dataset type (training, internal validation, external validation). Clustering related to acquisition center or dataset is visibly reduced following harmonization, supporting the effectiveness of the ComBat adjustment.</w:t>
      </w:r>
    </w:p>
    <w:p w14:paraId="37537F19">
      <w:pPr>
        <w:spacing w:line="480" w:lineRule="auto"/>
        <w:jc w:val="center"/>
        <w:rPr>
          <w:rFonts w:hint="default" w:ascii="Times New Roman" w:hAnsi="Times New Roman" w:cs="Times New Roman"/>
          <w:b/>
          <w:bCs/>
          <w:color w:val="auto"/>
          <w:sz w:val="24"/>
          <w:szCs w:val="24"/>
          <w:highlight w:val="none"/>
          <w:shd w:val="clear" w:color="auto" w:fill="auto"/>
          <w:lang w:val="en-US" w:eastAsia="zh-CN"/>
          <w14:ligatures w14:val="none"/>
        </w:rPr>
      </w:pPr>
    </w:p>
    <w:p w14:paraId="12270EEA">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eastAsia" w:ascii="Times New Roman" w:hAnsi="Times New Roman" w:eastAsia="宋体" w:cs="Times New Roman"/>
          <w:b/>
          <w:bCs/>
          <w:i w:val="0"/>
          <w:iCs w:val="0"/>
          <w:caps w:val="0"/>
          <w:color w:val="auto"/>
          <w:spacing w:val="0"/>
          <w:sz w:val="28"/>
          <w:szCs w:val="28"/>
          <w:highlight w:val="none"/>
          <w:shd w:val="clear" w:fill="FFFFFF"/>
          <w:lang w:val="en-US" w:eastAsia="zh-CN"/>
        </w:rPr>
        <w:drawing>
          <wp:inline distT="0" distB="0" distL="114300" distR="114300">
            <wp:extent cx="5269230" cy="5224145"/>
            <wp:effectExtent l="0" t="0" r="7620" b="5080"/>
            <wp:docPr id="1" name="图片 1" descr="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 1"/>
                    <pic:cNvPicPr>
                      <a:picLocks noChangeAspect="1"/>
                    </pic:cNvPicPr>
                  </pic:nvPicPr>
                  <pic:blipFill>
                    <a:blip r:embed="rId6"/>
                    <a:stretch>
                      <a:fillRect/>
                    </a:stretch>
                  </pic:blipFill>
                  <pic:spPr>
                    <a:xfrm>
                      <a:off x="0" y="0"/>
                      <a:ext cx="5269230" cy="5224145"/>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2. Radiomic Feature Selection Using LASSO in the Training Cohort.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(A)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Normalized mutual information scores between 400 candidate features and the response variable obtained via mRMR. Higher values indicate stronger relevance to the prediction target; purple denotes positive correlation, and blue indicates negative correlation.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(B)</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Ten-fold cross-validation was performed to determine the optimal penalty parameter (lambda, λ) in the LASSO regression model. To avoid overfitting, the 1-standard error rule was applied, and the optimal λ for radiomic features was set at 0.0481.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Distribution of LASSO coefficients among 249 radiomic features, with the selected λ yielding eight features with non-zero coefficients for inclusion in the final model.</w:t>
      </w:r>
    </w:p>
    <w:p w14:paraId="5CD5E9F9">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095EB816">
      <w:pPr>
        <w:spacing w:line="480" w:lineRule="auto"/>
        <w:jc w:val="center"/>
        <w:rPr>
          <w:rFonts w:hint="eastAsia" w:ascii="Times New Roman" w:hAnsi="Times New Roman" w:cs="Times New Roman"/>
          <w:color w:val="auto"/>
          <w:sz w:val="24"/>
          <w:szCs w:val="24"/>
          <w:highlight w:val="none"/>
          <w:shd w:val="clear" w:color="auto" w:fill="auto"/>
          <w:lang w:val="en-US" w:eastAsia="zh-CN"/>
          <w14:ligatures w14:val="none"/>
        </w:rPr>
      </w:pPr>
      <w:r>
        <w:rPr>
          <w:rFonts w:hint="eastAsia" w:ascii="Times New Roman" w:hAnsi="Times New Roman" w:cs="Times New Roman"/>
          <w:color w:val="auto"/>
          <w:sz w:val="24"/>
          <w:szCs w:val="24"/>
          <w:highlight w:val="none"/>
          <w:shd w:val="clear" w:color="auto" w:fill="auto"/>
          <w:lang w:val="en-US" w:eastAsia="zh-CN"/>
          <w14:ligatures w14:val="none"/>
        </w:rPr>
        <w:drawing>
          <wp:inline distT="0" distB="0" distL="114300" distR="114300">
            <wp:extent cx="2959735" cy="2736850"/>
            <wp:effectExtent l="0" t="0" r="2540" b="6350"/>
            <wp:docPr id="11" name="图片 11" descr="学习曲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学习曲线"/>
                    <pic:cNvPicPr>
                      <a:picLocks noChangeAspect="1"/>
                    </pic:cNvPicPr>
                  </pic:nvPicPr>
                  <pic:blipFill>
                    <a:blip r:embed="rId7"/>
                    <a:stretch>
                      <a:fillRect/>
                    </a:stretch>
                  </pic:blipFill>
                  <pic:spPr>
                    <a:xfrm>
                      <a:off x="0" y="0"/>
                      <a:ext cx="2959735" cy="2736850"/>
                    </a:xfrm>
                    <a:prstGeom prst="rect">
                      <a:avLst/>
                    </a:prstGeom>
                  </pic:spPr>
                </pic:pic>
              </a:graphicData>
            </a:graphic>
          </wp:inline>
        </w:drawing>
      </w:r>
    </w:p>
    <w:p w14:paraId="78AD8B01">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color w:val="auto"/>
          <w:sz w:val="24"/>
          <w:szCs w:val="24"/>
          <w:highlight w:val="none"/>
          <w:shd w:val="clear" w:color="auto" w:fill="auto"/>
          <w:lang w:val="en-US" w:eastAsia="zh-CN"/>
          <w14:ligatures w14:val="none"/>
        </w:rPr>
      </w:pPr>
      <w:r>
        <w:rPr>
          <w:rFonts w:hint="eastAsia" w:ascii="Times New Roman" w:hAnsi="Times New Roman" w:cs="Times New Roman"/>
          <w:b/>
          <w:bCs/>
          <w:color w:val="auto"/>
          <w:sz w:val="24"/>
          <w:szCs w:val="24"/>
          <w:highlight w:val="none"/>
          <w:shd w:val="clear" w:color="auto" w:fill="auto"/>
          <w:lang w:val="en-US" w:eastAsia="zh-CN"/>
          <w14:ligatures w14:val="none"/>
        </w:rPr>
        <w:t xml:space="preserve">Figure S3. Learning curve analysis of the ensemble model. </w:t>
      </w:r>
      <w:r>
        <w:rPr>
          <w:rFonts w:hint="eastAsia" w:ascii="Times New Roman" w:hAnsi="Times New Roman" w:cs="Times New Roman"/>
          <w:color w:val="auto"/>
          <w:sz w:val="24"/>
          <w:szCs w:val="24"/>
          <w:highlight w:val="none"/>
          <w:shd w:val="clear" w:color="auto" w:fill="auto"/>
          <w:lang w:val="en-US" w:eastAsia="zh-CN"/>
          <w14:ligatures w14:val="none"/>
        </w:rPr>
        <w:t>Learning curve depicting the area under the receiver operating characteristic curve (AUC) for both training (green line) and validation (blue line) sets as a function of increasing training set size (from 10% to 90% of the total training data). Each point represents the mean AUC across 10-fold cross-validation, and error bars indicate one standard deviation. The training AUC gradually declines as more data is included, while the validation AUC remains stable and converges around 0.81–0.82, indicating good model generalization and minimal overfitting.</w:t>
      </w:r>
    </w:p>
    <w:p w14:paraId="50C21107">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color w:val="auto"/>
          <w:sz w:val="24"/>
          <w:szCs w:val="24"/>
          <w:highlight w:val="none"/>
          <w:shd w:val="clear" w:color="auto" w:fill="auto"/>
          <w:lang w:val="en-US" w:eastAsia="zh-CN"/>
          <w14:ligatures w14:val="none"/>
        </w:rPr>
      </w:pPr>
    </w:p>
    <w:p w14:paraId="46D648A9">
      <w:pPr>
        <w:spacing w:line="480" w:lineRule="auto"/>
        <w:jc w:val="center"/>
        <w:rPr>
          <w:rFonts w:hint="eastAsia" w:ascii="Times New Roman" w:hAnsi="Times New Roman" w:cs="Times New Roman"/>
          <w:color w:val="auto"/>
          <w:sz w:val="24"/>
          <w:szCs w:val="24"/>
          <w:highlight w:val="none"/>
          <w:shd w:val="clear" w:color="auto" w:fill="auto"/>
          <w:lang w:val="en-US" w:eastAsia="zh-CN"/>
          <w14:ligatures w14:val="none"/>
        </w:rPr>
      </w:pPr>
      <w:r>
        <w:rPr>
          <w:rFonts w:hint="eastAsia" w:ascii="Times New Roman" w:hAnsi="Times New Roman" w:cs="Times New Roman"/>
          <w:color w:val="auto"/>
          <w:sz w:val="24"/>
          <w:szCs w:val="24"/>
          <w:highlight w:val="none"/>
          <w:shd w:val="clear" w:color="auto" w:fill="auto"/>
          <w:lang w:val="en-US" w:eastAsia="zh-CN"/>
          <w14:ligatures w14:val="none"/>
        </w:rPr>
        <w:drawing>
          <wp:inline distT="0" distB="0" distL="114300" distR="114300">
            <wp:extent cx="3117850" cy="3013075"/>
            <wp:effectExtent l="0" t="0" r="6350" b="6350"/>
            <wp:docPr id="14" name="图片 14" descr="特征数A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特征数AUC"/>
                    <pic:cNvPicPr>
                      <a:picLocks noChangeAspect="1"/>
                    </pic:cNvPicPr>
                  </pic:nvPicPr>
                  <pic:blipFill>
                    <a:blip r:embed="rId8"/>
                    <a:stretch>
                      <a:fillRect/>
                    </a:stretch>
                  </pic:blipFill>
                  <pic:spPr>
                    <a:xfrm>
                      <a:off x="0" y="0"/>
                      <a:ext cx="3117850" cy="3013075"/>
                    </a:xfrm>
                    <a:prstGeom prst="rect">
                      <a:avLst/>
                    </a:prstGeom>
                  </pic:spPr>
                </pic:pic>
              </a:graphicData>
            </a:graphic>
          </wp:inline>
        </w:drawing>
      </w:r>
    </w:p>
    <w:p w14:paraId="0AE9B13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cs="Times New Roman"/>
          <w:color w:val="auto"/>
          <w:sz w:val="24"/>
          <w:szCs w:val="24"/>
          <w:highlight w:val="none"/>
          <w:shd w:val="clear" w:color="auto" w:fill="auto"/>
          <w:lang w:val="en-US" w:eastAsia="zh-CN"/>
          <w14:ligatures w14:val="none"/>
        </w:rPr>
      </w:pPr>
      <w:r>
        <w:rPr>
          <w:rFonts w:hint="eastAsia" w:ascii="Times New Roman" w:hAnsi="Times New Roman" w:cs="Times New Roman"/>
          <w:b/>
          <w:bCs/>
          <w:color w:val="auto"/>
          <w:sz w:val="24"/>
          <w:szCs w:val="24"/>
          <w:highlight w:val="none"/>
          <w:shd w:val="clear" w:color="auto" w:fill="auto"/>
          <w:lang w:val="en-US" w:eastAsia="zh-CN"/>
          <w14:ligatures w14:val="none"/>
        </w:rPr>
        <w:t>Figure S4. Model performance (AUC) across different radiomic feature subset sizes.</w:t>
      </w:r>
      <w:r>
        <w:rPr>
          <w:rFonts w:hint="eastAsia" w:ascii="Times New Roman" w:hAnsi="Times New Roman" w:cs="Times New Roman"/>
          <w:b w:val="0"/>
          <w:bCs w:val="0"/>
          <w:color w:val="auto"/>
          <w:sz w:val="24"/>
          <w:szCs w:val="24"/>
          <w:highlight w:val="none"/>
          <w:shd w:val="clear" w:color="auto" w:fill="auto"/>
          <w:lang w:val="en-US" w:eastAsia="zh-CN"/>
          <w14:ligatures w14:val="none"/>
        </w:rPr>
        <w:t xml:space="preserve"> Radiomic features were ranked according to mean absolute SHAP values derived from the training set. Models were incrementally built by including the top k features (k = 2 to 8), and performance was evaluated using 10-fold cross-validation. The AUC steadily increased with the number of features and reached its highest value when all 8 selected features were included.</w:t>
      </w:r>
    </w:p>
    <w:p w14:paraId="193332E0">
      <w:pPr>
        <w:spacing w:line="480" w:lineRule="auto"/>
        <w:jc w:val="both"/>
        <w:rPr>
          <w:rFonts w:hint="default" w:ascii="Times New Roman" w:hAnsi="Times New Roman" w:cs="Times New Roman"/>
          <w:color w:val="auto"/>
          <w:sz w:val="24"/>
          <w:szCs w:val="24"/>
          <w:highlight w:val="none"/>
          <w:shd w:val="clear" w:color="auto" w:fill="auto"/>
          <w:lang w:val="en-US" w:eastAsia="zh-CN"/>
          <w14:ligatures w14:val="none"/>
        </w:rPr>
      </w:pPr>
      <w:bookmarkStart w:id="0" w:name="_GoBack"/>
      <w:bookmarkEnd w:id="0"/>
    </w:p>
    <w:p w14:paraId="13C629C0">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63515" cy="3823970"/>
            <wp:effectExtent l="0" t="0" r="3810" b="5080"/>
            <wp:docPr id="2" name="图片 2" descr="Supplementary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2"/>
                    <pic:cNvPicPr>
                      <a:picLocks noChangeAspect="1"/>
                    </pic:cNvPicPr>
                  </pic:nvPicPr>
                  <pic:blipFill>
                    <a:blip r:embed="rId9"/>
                    <a:stretch>
                      <a:fillRect/>
                    </a:stretch>
                  </pic:blipFill>
                  <pic:spPr>
                    <a:xfrm>
                      <a:off x="0" y="0"/>
                      <a:ext cx="5263515" cy="3823970"/>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5</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Predictive Performance of Radiomic Feature-Based Models in the Training Cohort</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(A)</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Receiver operating characteristic (ROC) curves comparing the discrimination performance of each model.</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(B)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Precision recall (PR) curves illustrating differences in precision and sensitivity across models.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(C)</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Decision curve analysis (DCA) assessing the net clinical benefit of individual models.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(D)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Radar plot summarizing key performance metrics including AUC, sensitivity, specificity, and accuracy across all models.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(E)</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Confusion matrices showing the classification outcomes of different machine learning and integrated models within the training cohort.</w:t>
      </w:r>
    </w:p>
    <w:p w14:paraId="276B7288">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583BE30D">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69865" cy="7411085"/>
            <wp:effectExtent l="0" t="0" r="6985" b="8890"/>
            <wp:docPr id="3" name="图片 3" descr="Supplementary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ure 3"/>
                    <pic:cNvPicPr>
                      <a:picLocks noChangeAspect="1"/>
                    </pic:cNvPicPr>
                  </pic:nvPicPr>
                  <pic:blipFill>
                    <a:blip r:embed="rId10"/>
                    <a:stretch>
                      <a:fillRect/>
                    </a:stretch>
                  </pic:blipFill>
                  <pic:spPr>
                    <a:xfrm>
                      <a:off x="0" y="0"/>
                      <a:ext cx="5269865" cy="7411085"/>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6</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Predictive Performance of Radiomic Feature-Based Models in Internal Validation Cohorts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(A)</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ROC curves of different models in Internal Validation Cohort 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(B)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PR curves of different models in Cohort 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Decision curve analysis evaluating the clinical net benefit of each model in Cohort 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(D)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Radar plot summarizing prediction performance metrics including AUC, sensitivity, specificity, and accuracy in Cohort 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(E)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Confusion matrices showing classification results of the models in Internal Validation Cohort 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(F)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ROC curves of different models in Internal Validation Cohort II.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(G)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PR curves of different models in Cohort II.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(H)</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Decision curve analysis in Cohort II comparing clinical utility across models.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(I)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Radar plot illustrating model performance in Cohort II.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(J)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Confusion matrices of the models in Internal Validation Cohort II.</w:t>
      </w:r>
    </w:p>
    <w:p w14:paraId="05F4E497">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64CE70C3">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55895" cy="7498080"/>
            <wp:effectExtent l="0" t="0" r="1905" b="7620"/>
            <wp:docPr id="4" name="图片 4" descr="Supplementary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 4"/>
                    <pic:cNvPicPr>
                      <a:picLocks noChangeAspect="1"/>
                    </pic:cNvPicPr>
                  </pic:nvPicPr>
                  <pic:blipFill>
                    <a:blip r:embed="rId11"/>
                    <a:stretch>
                      <a:fillRect/>
                    </a:stretch>
                  </pic:blipFill>
                  <pic:spPr>
                    <a:xfrm>
                      <a:off x="0" y="0"/>
                      <a:ext cx="5255895" cy="7498080"/>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7</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Predictive Performance of Radiomic Feature-Based Models in External Validation Cohorts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(A)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ROC curves of the models in External Validation Cohort 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(B)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PR curves of the models in Cohort 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Decision curve analysis evaluating the clinical benefit of each model in Cohort 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(D)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Radar plot summarizing prediction metrics including AUC, sensitivity, specificity, and accuracy in Cohort 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(E)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Confusion matrices showing classification results of the models in External Validation Cohort 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(F)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ROC curves of the models in External Validation Cohort II.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(G)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PR curves of the models in Cohort II.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(H)</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Decision curve analysis comparing model utility in Cohort II.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(I)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Radar plot illustrating model performance in Cohort II.</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(J)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Confusion matrices of the models in External Validation Cohort II.</w:t>
      </w:r>
    </w:p>
    <w:p w14:paraId="35BE8E8C">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164A8AC9">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67325" cy="5270500"/>
            <wp:effectExtent l="0" t="0" r="0" b="6350"/>
            <wp:docPr id="5" name="图片 5" descr="Supplementary 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mentary Figure 5"/>
                    <pic:cNvPicPr>
                      <a:picLocks noChangeAspect="1"/>
                    </pic:cNvPicPr>
                  </pic:nvPicPr>
                  <pic:blipFill>
                    <a:blip r:embed="rId12"/>
                    <a:stretch>
                      <a:fillRect/>
                    </a:stretch>
                  </pic:blipFill>
                  <pic:spPr>
                    <a:xfrm>
                      <a:off x="0" y="0"/>
                      <a:ext cx="5267325" cy="5270500"/>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8</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Performance of the RSA Model in Stratified Subgroup Analyses Based on Peripheral Tumor Markers and HER2 Expression Status in Biopsy Specimens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(A)</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ROC curves of different models across stratified subgroups.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(B)</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PR curves of the models in the same subgroup analyses.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(C)</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Decision curve analysis showing the net clinical benefit of each model in stratified subgroups.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(D)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Calibration curves evaluating the agreement between predicted and observed recurrence across models within each subgroup.</w:t>
      </w:r>
    </w:p>
    <w:p w14:paraId="00843A5A">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0A1E236D">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67960" cy="3568065"/>
            <wp:effectExtent l="0" t="0" r="8890" b="3810"/>
            <wp:docPr id="6" name="图片 6" descr="Supplementary 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 Figure 6"/>
                    <pic:cNvPicPr>
                      <a:picLocks noChangeAspect="1"/>
                    </pic:cNvPicPr>
                  </pic:nvPicPr>
                  <pic:blipFill>
                    <a:blip r:embed="rId13"/>
                    <a:stretch>
                      <a:fillRect/>
                    </a:stretch>
                  </pic:blipFill>
                  <pic:spPr>
                    <a:xfrm>
                      <a:off x="0" y="0"/>
                      <a:ext cx="5267960" cy="3568065"/>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9</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Confusion Matrices of Predictive Models Across Stratified Subgroups Based on Peripheral Tumor Markers and HER2 Expression in Biopsy Specimens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(A)</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HER2-positive subgroup.</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(B)</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HER2-negative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Peripheral tumor marker–positive subgroup.</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(D)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Peripheral tumor marker–negative subgroup.</w:t>
      </w:r>
    </w:p>
    <w:p w14:paraId="0507BA4A">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491FCF8B">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61610" cy="3888105"/>
            <wp:effectExtent l="0" t="0" r="5715" b="7620"/>
            <wp:docPr id="7" name="图片 7" descr="Supplementary 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ure 7"/>
                    <pic:cNvPicPr>
                      <a:picLocks noChangeAspect="1"/>
                    </pic:cNvPicPr>
                  </pic:nvPicPr>
                  <pic:blipFill>
                    <a:blip r:embed="rId14"/>
                    <a:stretch>
                      <a:fillRect/>
                    </a:stretch>
                  </pic:blipFill>
                  <pic:spPr>
                    <a:xfrm>
                      <a:off x="0" y="0"/>
                      <a:ext cx="5261610" cy="3888105"/>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10</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Kaplan Meier Survival Analyses Between RSA-Defined Risk Groups Across Stratified Subgroups Based on Peripheral Tumor Markers and HER2 Expression</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(A)</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HER2-positive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(B)</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HER2-negative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Peripheral tumor marker–positive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(D)</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Peripheral tumor marker–negative subgroup.</w:t>
      </w:r>
    </w:p>
    <w:p w14:paraId="5132B0CA">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0F53BA2F">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59705" cy="6219825"/>
            <wp:effectExtent l="0" t="0" r="7620" b="0"/>
            <wp:docPr id="8" name="图片 8" descr="Supplementary 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ary Figure 8"/>
                    <pic:cNvPicPr>
                      <a:picLocks noChangeAspect="1"/>
                    </pic:cNvPicPr>
                  </pic:nvPicPr>
                  <pic:blipFill>
                    <a:blip r:embed="rId15"/>
                    <a:stretch>
                      <a:fillRect/>
                    </a:stretch>
                  </pic:blipFill>
                  <pic:spPr>
                    <a:xfrm>
                      <a:off x="0" y="0"/>
                      <a:ext cx="5259705" cy="6219825"/>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11</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Comparative Performance of the RSA Model in Predicting Early Recurrence Across Different Neoadjuvant Chemotherapy Regimens in the Prospective Validation Cohort (NCT01516944)</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(A)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ROC curves of predictive models in the XELOX subgroup.</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(B)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PR curves of predictive models in the XELOX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Decision curve analysis comparing model utility in the XELOX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(D)</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Confusion matrices of different models predicting early recurrence in the XELOX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(E)</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Radar plot comparing prediction metrics including AUC, sensitivity, specificity, and accuracy among models in the XELOX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(F)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Calibration curves of predictive models in the XELOX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(G)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ROC curves of predictive models in the SOX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(H)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PR curves of predictive models in the SOX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(I)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Decision curve analysis comparing clinical benefit across models in the SOX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(J)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Confusion matrices of models predicting early recurrence in the SOX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(K)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Radar plot summarizing model performance in the SOX subgroup.</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(L)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Calibration curves of predictive models in the SOX subgroup.</w:t>
      </w:r>
    </w:p>
    <w:p w14:paraId="0D405E60">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235F143D">
      <w:pPr>
        <w:spacing w:line="480" w:lineRule="auto"/>
        <w:jc w:val="both"/>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sectPr>
          <w:footerReference r:id="rId3" w:type="default"/>
          <w:pgSz w:w="11906" w:h="16838"/>
          <w:pgMar w:top="1440" w:right="1800" w:bottom="1440" w:left="1800" w:header="851" w:footer="992" w:gutter="0"/>
          <w:pgBorders w:offsetFrom="page">
            <w:top w:val="none" w:sz="0" w:space="0"/>
            <w:left w:val="none" w:sz="0" w:space="0"/>
            <w:bottom w:val="none" w:sz="0" w:space="0"/>
            <w:right w:val="none" w:sz="0" w:space="0"/>
          </w:pgBorders>
          <w:lnNumType w:countBy="1"/>
          <w:pgNumType w:fmt="decimal"/>
          <w:cols w:space="425" w:num="1"/>
          <w:docGrid w:type="lines" w:linePitch="312" w:charSpace="0"/>
        </w:sectPr>
      </w:pPr>
    </w:p>
    <w:p w14:paraId="05EBCFBF">
      <w:pPr>
        <w:spacing w:line="480" w:lineRule="auto"/>
        <w:jc w:val="both"/>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drawing>
          <wp:inline distT="0" distB="0" distL="114300" distR="114300">
            <wp:extent cx="8844915" cy="3185795"/>
            <wp:effectExtent l="0" t="0" r="3810" b="5080"/>
            <wp:docPr id="15" name="图片 15" descr="Supplementary 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upplementary Figure 9"/>
                    <pic:cNvPicPr>
                      <a:picLocks noChangeAspect="1"/>
                    </pic:cNvPicPr>
                  </pic:nvPicPr>
                  <pic:blipFill>
                    <a:blip r:embed="rId16"/>
                    <a:stretch>
                      <a:fillRect/>
                    </a:stretch>
                  </pic:blipFill>
                  <pic:spPr>
                    <a:xfrm>
                      <a:off x="0" y="0"/>
                      <a:ext cx="8844915" cy="3185795"/>
                    </a:xfrm>
                    <a:prstGeom prst="rect">
                      <a:avLst/>
                    </a:prstGeom>
                  </pic:spPr>
                </pic:pic>
              </a:graphicData>
            </a:graphic>
          </wp:inline>
        </w:drawing>
      </w:r>
    </w:p>
    <w:p w14:paraId="31376772">
      <w:pPr>
        <w:spacing w:line="480" w:lineRule="auto"/>
        <w:rPr>
          <w:rFonts w:hint="default" w:ascii="Times New Roman" w:hAnsi="Times New Roman" w:cs="Times New Roman" w:eastAsiaTheme="minorEastAsia"/>
          <w:color w:val="auto"/>
          <w:kern w:val="2"/>
          <w:sz w:val="24"/>
          <w:szCs w:val="32"/>
          <w:highlight w:val="none"/>
          <w:lang w:val="en-US" w:eastAsia="zh-CN" w:bidi="ar-SA"/>
        </w:rPr>
      </w:pP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12</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Feature Importance of Radiomic Predictors Across Multiple Datasets Based on SHAP Analysis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Bar plots of global feature importance derived from SHAP (Shapley Additive Explanations) values across different datasets. The SHAP value matrix was passed to a bar plot function to generate global feature importance rankings, where each feature’s importance is represented by the mean absolute SHAP value across all samples. Features with higher average SHAP values had a greater impact on the model's prediction of postoperative recurrence.</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(A)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Training cohort</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(B)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Internal Validation Cohort 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Internal Validation Cohort II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(D)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External Validation Cohort 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(E)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External Validation Cohort II</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(F)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Surgery-only subgroup in the prospective validation cohort</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(G)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Neoadjuvant chemotherapy subgroup in the prospective validation cohort</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(H)</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TCIA validation cohort</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cs="Times New Roman" w:eastAsiaTheme="minorEastAsia"/>
          <w:color w:val="auto"/>
          <w:kern w:val="2"/>
          <w:sz w:val="24"/>
          <w:szCs w:val="32"/>
          <w:highlight w:val="none"/>
          <w:lang w:val="en-US" w:eastAsia="zh-CN" w:bidi="ar-SA"/>
        </w:rPr>
        <w:t>Radiomic features include:</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73: original-glszm-GrayLevelNonUniformity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166: log-sigma-1-0-mm-3D-glszm-GrayLevelNonUniformity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230: log-sigma-2-0-mm-3D-gldm-DependenceNonUniformity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242: log-sigma-2-0-mm-3D-gldm-SmallDependenceLowGrayLevelEmphasis</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259: log-sigma-2-0-mm-3D-glszm-Gray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Level</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Non</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344: log-sigma-3-0-mm-3D-glrlm-Run</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Entropy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439: wavelet-LLH-glrlm-Run</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Length</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NonUniformity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Normalized</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1109: wavelet-LLL-glszm-ZoneEntropy</w:t>
      </w:r>
      <w:r>
        <w:rPr>
          <w:rFonts w:hint="eastAsia" w:ascii="Times New Roman" w:hAnsi="Times New Roman" w:cs="Times New Roman"/>
          <w:color w:val="auto"/>
          <w:kern w:val="2"/>
          <w:sz w:val="24"/>
          <w:szCs w:val="32"/>
          <w:highlight w:val="none"/>
          <w:lang w:val="en-US" w:eastAsia="zh-CN" w:bidi="ar-SA"/>
        </w:rPr>
        <w:t xml:space="preserve">. </w:t>
      </w:r>
    </w:p>
    <w:p w14:paraId="6A5B8565">
      <w:pPr>
        <w:spacing w:line="480" w:lineRule="auto"/>
        <w:jc w:val="both"/>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pgNumType w:fmt="decimal"/>
          <w:cols w:space="425" w:num="1"/>
          <w:docGrid w:type="lines" w:linePitch="312" w:charSpace="0"/>
        </w:sectPr>
      </w:pPr>
    </w:p>
    <w:p w14:paraId="59E40EFD">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eastAsia" w:ascii="Times New Roman" w:hAnsi="Times New Roman" w:cs="Times New Roman"/>
          <w:b w:val="0"/>
          <w:bCs w:val="0"/>
          <w:color w:val="auto"/>
          <w:sz w:val="24"/>
          <w:szCs w:val="24"/>
          <w:highlight w:val="none"/>
          <w:shd w:val="clear" w:color="auto" w:fill="auto"/>
          <w:lang w:val="en-US" w:eastAsia="zh-CN"/>
          <w14:ligatures w14:val="none"/>
        </w:rPr>
        <w:drawing>
          <wp:inline distT="0" distB="0" distL="114300" distR="114300">
            <wp:extent cx="5273040" cy="2476500"/>
            <wp:effectExtent l="0" t="0" r="3810" b="0"/>
            <wp:docPr id="17" name="图片 17" descr="特征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特征分析"/>
                    <pic:cNvPicPr>
                      <a:picLocks noChangeAspect="1"/>
                    </pic:cNvPicPr>
                  </pic:nvPicPr>
                  <pic:blipFill>
                    <a:blip r:embed="rId17"/>
                    <a:stretch>
                      <a:fillRect/>
                    </a:stretch>
                  </pic:blipFill>
                  <pic:spPr>
                    <a:xfrm>
                      <a:off x="0" y="0"/>
                      <a:ext cx="5273040" cy="2476500"/>
                    </a:xfrm>
                    <a:prstGeom prst="rect">
                      <a:avLst/>
                    </a:prstGeom>
                  </pic:spPr>
                </pic:pic>
              </a:graphicData>
            </a:graphic>
          </wp:inline>
        </w:drawing>
      </w:r>
    </w:p>
    <w:p w14:paraId="6B3B2288">
      <w:pPr>
        <w:spacing w:line="480" w:lineRule="auto"/>
        <w:rPr>
          <w:rFonts w:hint="eastAsia" w:ascii="Times New Roman" w:hAnsi="Times New Roman" w:cs="Times New Roman"/>
          <w:b w:val="0"/>
          <w:bCs w:val="0"/>
          <w:color w:val="auto"/>
          <w:sz w:val="24"/>
          <w:szCs w:val="24"/>
          <w:highlight w:val="none"/>
          <w:shd w:val="clear" w:color="auto" w:fill="auto"/>
          <w:lang w:val="en-US" w:eastAsia="zh-CN"/>
          <w14:ligatures w14:val="none"/>
        </w:rPr>
      </w:pPr>
      <w:r>
        <w:rPr>
          <w:rFonts w:hint="eastAsia" w:ascii="Times New Roman" w:hAnsi="Times New Roman" w:cs="Times New Roman"/>
          <w:b/>
          <w:bCs/>
          <w:color w:val="auto"/>
          <w:sz w:val="24"/>
          <w:szCs w:val="24"/>
          <w:highlight w:val="none"/>
          <w:shd w:val="clear" w:color="auto" w:fill="auto"/>
          <w:lang w:val="en-US" w:eastAsia="zh-CN"/>
          <w14:ligatures w14:val="none"/>
        </w:rPr>
        <w:t xml:space="preserve">Figure S13. SHAP dependence plots of the eight radiomic features selected by mRMR and LASSO. </w:t>
      </w:r>
      <w:r>
        <w:rPr>
          <w:rFonts w:hint="eastAsia" w:ascii="Times New Roman" w:hAnsi="Times New Roman" w:cs="Times New Roman"/>
          <w:b w:val="0"/>
          <w:bCs w:val="0"/>
          <w:color w:val="auto"/>
          <w:sz w:val="24"/>
          <w:szCs w:val="24"/>
          <w:highlight w:val="none"/>
          <w:shd w:val="clear" w:color="auto" w:fill="auto"/>
          <w:lang w:val="en-US" w:eastAsia="zh-CN"/>
          <w14:ligatures w14:val="none"/>
        </w:rPr>
        <w:t>Each panel illustrates the relationship between the feature value (x-axis) and its SHAP value (y-axis), indicating the magnitude and direction of its contribution to recurrence risk prediction. The vertical dashed line denotes the approximate threshold where the SHAP value crosses zero, suggesting a shift in the feature</w:t>
      </w:r>
      <w:r>
        <w:rPr>
          <w:rFonts w:hint="default" w:ascii="Times New Roman" w:hAnsi="Times New Roman" w:cs="Times New Roman"/>
          <w:b w:val="0"/>
          <w:bCs w:val="0"/>
          <w:color w:val="auto"/>
          <w:sz w:val="24"/>
          <w:szCs w:val="24"/>
          <w:highlight w:val="none"/>
          <w:shd w:val="clear" w:color="auto" w:fill="auto"/>
          <w:lang w:val="en-US" w:eastAsia="zh-CN"/>
          <w14:ligatures w14:val="none"/>
        </w:rPr>
        <w:t>’</w:t>
      </w:r>
      <w:r>
        <w:rPr>
          <w:rFonts w:hint="eastAsia" w:ascii="Times New Roman" w:hAnsi="Times New Roman" w:cs="Times New Roman"/>
          <w:b w:val="0"/>
          <w:bCs w:val="0"/>
          <w:color w:val="auto"/>
          <w:sz w:val="24"/>
          <w:szCs w:val="24"/>
          <w:highlight w:val="none"/>
          <w:shd w:val="clear" w:color="auto" w:fill="auto"/>
          <w:lang w:val="en-US" w:eastAsia="zh-CN"/>
          <w14:ligatures w14:val="none"/>
        </w:rPr>
        <w:t>s influence on the model output. These thresholds may serve as candidate reference points for future risk stratification. All eight features were also among the most important contributors based on mean absolute SHAP value.</w:t>
      </w:r>
    </w:p>
    <w:p w14:paraId="0A5582CF">
      <w:pPr>
        <w:spacing w:line="480" w:lineRule="auto"/>
        <w:rPr>
          <w:rFonts w:hint="default" w:ascii="Times New Roman" w:hAnsi="Times New Roman" w:cs="Times New Roman" w:eastAsiaTheme="minorEastAsia"/>
          <w:color w:val="auto"/>
          <w:kern w:val="2"/>
          <w:sz w:val="24"/>
          <w:szCs w:val="32"/>
          <w:highlight w:val="none"/>
          <w:lang w:val="en-US" w:eastAsia="zh-CN" w:bidi="ar-SA"/>
        </w:rPr>
      </w:pPr>
      <w:r>
        <w:rPr>
          <w:rFonts w:hint="default" w:ascii="Times New Roman" w:hAnsi="Times New Roman" w:cs="Times New Roman" w:eastAsiaTheme="minorEastAsia"/>
          <w:color w:val="auto"/>
          <w:kern w:val="2"/>
          <w:sz w:val="24"/>
          <w:szCs w:val="32"/>
          <w:highlight w:val="none"/>
          <w:lang w:val="en-US" w:eastAsia="zh-CN" w:bidi="ar-SA"/>
        </w:rPr>
        <w:t>Radiomic features include:</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73: original-glszm-GrayLevelNonUniformity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166: log-sigma-1-0-mm-3D-glszm-GrayLevelNonUniformity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230: log-sigma-2-0-mm-3D-gldm-DependenceNonUniformity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242: log-sigma-2-0-mm-3D-gldm-SmallDependenceLowGrayLevelEmphasis</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259: log-sigma-2-0-mm-3D-glszm-Gray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Level</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Non</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344: log-sigma-3-0-mm-3D-glrlm-Run</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Entropy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439: wavelet-LLH-glrlm-Run</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Length</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NonUniformity</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Normalized</w:t>
      </w:r>
      <w:r>
        <w:rPr>
          <w:rFonts w:hint="eastAsia" w:ascii="Times New Roman" w:hAnsi="Times New Roman" w:cs="Times New Roman"/>
          <w:color w:val="auto"/>
          <w:kern w:val="2"/>
          <w:sz w:val="24"/>
          <w:szCs w:val="32"/>
          <w:highlight w:val="none"/>
          <w:lang w:val="en-US" w:eastAsia="zh-CN" w:bidi="ar-SA"/>
        </w:rPr>
        <w:t xml:space="preserve">; </w:t>
      </w:r>
      <w:r>
        <w:rPr>
          <w:rFonts w:hint="default" w:ascii="Times New Roman" w:hAnsi="Times New Roman" w:cs="Times New Roman" w:eastAsiaTheme="minorEastAsia"/>
          <w:color w:val="auto"/>
          <w:kern w:val="2"/>
          <w:sz w:val="24"/>
          <w:szCs w:val="32"/>
          <w:highlight w:val="none"/>
          <w:lang w:val="en-US" w:eastAsia="zh-CN" w:bidi="ar-SA"/>
        </w:rPr>
        <w:t>Feature 1109: wavelet-LLL-glszm-ZoneEntropy</w:t>
      </w:r>
      <w:r>
        <w:rPr>
          <w:rFonts w:hint="eastAsia" w:ascii="Times New Roman" w:hAnsi="Times New Roman" w:cs="Times New Roman"/>
          <w:color w:val="auto"/>
          <w:kern w:val="2"/>
          <w:sz w:val="24"/>
          <w:szCs w:val="32"/>
          <w:highlight w:val="none"/>
          <w:lang w:val="en-US" w:eastAsia="zh-CN" w:bidi="ar-SA"/>
        </w:rPr>
        <w:t xml:space="preserve">. </w:t>
      </w:r>
    </w:p>
    <w:p w14:paraId="3CB5C8E4">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imes New Roman" w:hAnsi="Times New Roman" w:cs="Times New Roman"/>
          <w:b w:val="0"/>
          <w:bCs w:val="0"/>
          <w:color w:val="auto"/>
          <w:sz w:val="24"/>
          <w:szCs w:val="24"/>
          <w:highlight w:val="none"/>
          <w:shd w:val="clear" w:color="auto" w:fill="auto"/>
          <w:lang w:val="en-US" w:eastAsia="zh-CN"/>
          <w14:ligatures w14:val="none"/>
        </w:rPr>
      </w:pPr>
    </w:p>
    <w:p w14:paraId="592FC7E1">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69865" cy="3914140"/>
            <wp:effectExtent l="0" t="0" r="6985" b="635"/>
            <wp:docPr id="10" name="图片 10" descr="Supplementary 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pplementary Figure 10"/>
                    <pic:cNvPicPr>
                      <a:picLocks noChangeAspect="1"/>
                    </pic:cNvPicPr>
                  </pic:nvPicPr>
                  <pic:blipFill>
                    <a:blip r:embed="rId18"/>
                    <a:stretch>
                      <a:fillRect/>
                    </a:stretch>
                  </pic:blipFill>
                  <pic:spPr>
                    <a:xfrm>
                      <a:off x="0" y="0"/>
                      <a:ext cx="5269865" cy="3914140"/>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1</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4</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SHAP Feature Contribution Visualization: Model Interpretations for Two Representative Patients.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(A)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For Patient 1, the model output was f(x) = 0.171, indicating a relatively high predicted risk. Yellow arrows pointing to the right represent features that positively contribute to the prediction. Key positive contributors included Feature 344 = 1.09 (contribution: +0.0816), Feature 1109 = 1.04 (+0.0274), and Feature 242 = 0.214 (+</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0.0637</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all of which significantly increased the predicted value. In contrast, features such as Feature 259 = 0.558 (−0.0106) exerted minor negative effects. The model output reflects the sum of marginal contributions of all features relative to the expected baseline prediction E\[f(x)] = 0.</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(B)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For Patient 2, the model output was f(x) = −0.361, suggesting a low predicted risk. Pink arrows pointing to the left indicate features with negative contributions. The main negative contributors included Feature 344 = 0.862 (−0.0974), Feature 230 = 0.283 (−0.067), and Feature 242 = 1.26 (−0.0606), which collectively lowered the model output. Although Feature 439 = 1.09 showed a slight positive effect (+0.0253), its overall impact on the prediction was minimal.</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SHAP values (Shapley Additive Explanations) quantify the marginal contribution of each feature to the model’s prediction. Arrow direction and color represent the direction (positive or negative) and magnitude of each feature’s impact.</w:t>
      </w:r>
    </w:p>
    <w:p w14:paraId="5EE2267B">
      <w:pPr>
        <w:spacing w:line="480" w:lineRule="auto"/>
        <w:jc w:val="both"/>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pPr>
    </w:p>
    <w:p w14:paraId="0D78398F">
      <w:pPr>
        <w:spacing w:line="480" w:lineRule="auto"/>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br w:type="page"/>
      </w:r>
    </w:p>
    <w:p w14:paraId="68EFDEE5">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sectPr>
          <w:pgSz w:w="11906" w:h="16838"/>
          <w:pgMar w:top="1440" w:right="1800" w:bottom="1440" w:left="1800" w:header="851" w:footer="992" w:gutter="0"/>
          <w:pgBorders w:offsetFrom="page">
            <w:top w:val="none" w:sz="0" w:space="0"/>
            <w:left w:val="none" w:sz="0" w:space="0"/>
            <w:bottom w:val="none" w:sz="0" w:space="0"/>
            <w:right w:val="none" w:sz="0" w:space="0"/>
          </w:pgBorders>
          <w:lnNumType w:countBy="1"/>
          <w:pgNumType w:fmt="decimal"/>
          <w:cols w:space="425" w:num="1"/>
          <w:docGrid w:type="lines" w:linePitch="312" w:charSpace="0"/>
        </w:sectPr>
      </w:pPr>
    </w:p>
    <w:p w14:paraId="3BB12F17">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8839835" cy="3881120"/>
            <wp:effectExtent l="0" t="0" r="8890" b="5080"/>
            <wp:docPr id="16" name="图片 16" descr="Supplementary 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upplementary Figure 11"/>
                    <pic:cNvPicPr>
                      <a:picLocks noChangeAspect="1"/>
                    </pic:cNvPicPr>
                  </pic:nvPicPr>
                  <pic:blipFill>
                    <a:blip r:embed="rId19"/>
                    <a:stretch>
                      <a:fillRect/>
                    </a:stretch>
                  </pic:blipFill>
                  <pic:spPr>
                    <a:xfrm>
                      <a:off x="0" y="0"/>
                      <a:ext cx="8839835" cy="3881120"/>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1</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5</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Comparative Performance of the RSA Model in Predicting Early Recurrence in the TCIA Gastric Cancer Validation Cohort</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(A)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Inclusion and exclusion flowchart for gastric cancer patients in the TCIA validation cohort.</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(B)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ROC curves of different predictive models.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PR curves of the models.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(D)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Radar plot comparing model performance metrics including AUC, sensitivity, specificity, and accuracy.</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(E)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Double-layer concentric circle plot showing comparative clinical utility of the models.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(F)</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Decision curve analysis comparing the net benefit of each model.</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(G)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Calibration curves assessing the agreement between predicted and observed recurrence probabilities.</w:t>
      </w:r>
    </w:p>
    <w:p w14:paraId="51E67CA7">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5962D3FB">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lnNumType w:countBy="1"/>
          <w:pgNumType w:fmt="decimal"/>
          <w:cols w:space="425" w:num="1"/>
          <w:docGrid w:type="lines" w:linePitch="312" w:charSpace="0"/>
        </w:sectPr>
      </w:pPr>
    </w:p>
    <w:p w14:paraId="013AA7D5">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66690" cy="4464050"/>
            <wp:effectExtent l="0" t="0" r="635" b="3175"/>
            <wp:docPr id="12" name="图片 12" descr="Supplementary 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upplementary Figure 12"/>
                    <pic:cNvPicPr>
                      <a:picLocks noChangeAspect="1"/>
                    </pic:cNvPicPr>
                  </pic:nvPicPr>
                  <pic:blipFill>
                    <a:blip r:embed="rId20"/>
                    <a:stretch>
                      <a:fillRect/>
                    </a:stretch>
                  </pic:blipFill>
                  <pic:spPr>
                    <a:xfrm>
                      <a:off x="0" y="0"/>
                      <a:ext cx="5266690" cy="4464050"/>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1</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6</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Immune Microenvironment and Immune-Related Factor Differences Between RSA-Defined Risk Groups in the TCGA Gastric Cancer Cohort</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(A)</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Violin plots comparing immune scores and stromal scores between the two risk groups.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(B)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Violin plots illustrating differences in ssGSEA scores for immune-related gene sets between the high-risk and low-risk groups.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Heatmaps depicting immune cell infiltration patterns across the two risk groups.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(D)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Boxplots showing differences in immune cell infiltration levels between high-risk and low-risk groups.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(E)</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Heatmaps displaying expression levels of immune checkpoint–related genes in the two groups.</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(F)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Boxplots comparing the expression levels of immune checkpoint genes between groups. Statistical significance is indicated as follows: ns = not significant, *P &lt; 0.05, **P &lt; 0.01.</w:t>
      </w:r>
    </w:p>
    <w:p w14:paraId="3A7450CA">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p>
    <w:p w14:paraId="59B9B6E1">
      <w:pPr>
        <w:spacing w:line="480" w:lineRule="auto"/>
        <w:jc w:val="both"/>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drawing>
          <wp:inline distT="0" distB="0" distL="114300" distR="114300">
            <wp:extent cx="5253990" cy="5418455"/>
            <wp:effectExtent l="0" t="0" r="3810" b="1270"/>
            <wp:docPr id="13" name="图片 13" descr="Supplementary 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upplementary Figure 13"/>
                    <pic:cNvPicPr>
                      <a:picLocks noChangeAspect="1"/>
                    </pic:cNvPicPr>
                  </pic:nvPicPr>
                  <pic:blipFill>
                    <a:blip r:embed="rId21"/>
                    <a:stretch>
                      <a:fillRect/>
                    </a:stretch>
                  </pic:blipFill>
                  <pic:spPr>
                    <a:xfrm>
                      <a:off x="0" y="0"/>
                      <a:ext cx="5253990" cy="5418455"/>
                    </a:xfrm>
                    <a:prstGeom prst="rect">
                      <a:avLst/>
                    </a:prstGeom>
                  </pic:spPr>
                </pic:pic>
              </a:graphicData>
            </a:graphic>
          </wp:inline>
        </w:drawing>
      </w:r>
      <w:r>
        <w:rPr>
          <w:rFonts w:hint="eastAsia" w:ascii="Times New Roman" w:hAnsi="Times New Roman" w:cs="Times New Roman"/>
          <w:b/>
          <w:bCs/>
          <w:color w:val="auto"/>
          <w:sz w:val="24"/>
          <w:szCs w:val="24"/>
          <w:highlight w:val="none"/>
          <w:shd w:val="clear" w:color="auto" w:fill="auto"/>
          <w:lang w:val="en-US" w:eastAsia="zh-CN"/>
          <w14:ligatures w14:val="none"/>
        </w:rPr>
        <w:t>Figure S</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1</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7</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Immune Microenvironment and Immune-Related Factor Differences Between RSA-Defined Risk Groups in the Transcriptome Sequencing Cohort</w:t>
      </w:r>
      <w:r>
        <w:rPr>
          <w:rFonts w:hint="eastAsia" w:ascii="Times New Roman" w:hAnsi="Times New Roman" w:eastAsia="宋体" w:cs="Times New Roman"/>
          <w:b/>
          <w:bCs/>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(A)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Violin plots comparing immune scores, stromal scores, and tumor purity between the two risk groups.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(B)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Violin plots illustrating differences in ssGSEA scores for immune-related gene sets.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(C)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Violin plots showing the proportions of 22 immune cell subtypes inferred by the CIBERSORT algorithm in high-risk and low-risk groups.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(D)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MCPcounter-based analysis of immune cell infiltration profiles across risk groups.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(E)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Statistical comparisons of immune cell abundance estimated by MCPcounter between high-risk and low-risk groups.</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(F)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Expression levels of immune checkpoint genes in the sequencing cohort.</w:t>
      </w:r>
      <w:r>
        <w:rPr>
          <w:rFonts w:hint="eastAsia" w:ascii="Times New Roman" w:hAnsi="Times New Roman" w:eastAsia="宋体"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宋体" w:cs="Times New Roman"/>
          <w:b/>
          <w:bCs/>
          <w:i w:val="0"/>
          <w:iCs w:val="0"/>
          <w:caps w:val="0"/>
          <w:color w:val="auto"/>
          <w:spacing w:val="0"/>
          <w:sz w:val="24"/>
          <w:szCs w:val="24"/>
          <w:highlight w:val="none"/>
          <w:shd w:val="clear" w:fill="FFFFFF"/>
          <w:lang w:val="en-US" w:eastAsia="zh-CN"/>
        </w:rPr>
        <w:t xml:space="preserve">(G) </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Boxplots comparing immune checkpoint gene expression between risk groups. Statistical significance is indicated as follows: ns = not significant, *P &lt; 0.05, **P &lt; 0.01, ***P &lt; 0.001.</w:t>
      </w:r>
    </w:p>
    <w:p w14:paraId="59651E6C"/>
    <w:sectPr>
      <w:pgSz w:w="11906" w:h="16838"/>
      <w:pgMar w:top="1440" w:right="1800" w:bottom="1440" w:left="1800" w:header="851" w:footer="992" w:gutter="0"/>
      <w:lnNumType w:countBy="1"/>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7CDE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4CB5E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74CB5E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51550"/>
    <w:rsid w:val="0305345B"/>
    <w:rsid w:val="1609105D"/>
    <w:rsid w:val="16E15B36"/>
    <w:rsid w:val="1DB554F3"/>
    <w:rsid w:val="266F2816"/>
    <w:rsid w:val="2BF10171"/>
    <w:rsid w:val="2F161766"/>
    <w:rsid w:val="3CC3186F"/>
    <w:rsid w:val="48825526"/>
    <w:rsid w:val="5221680B"/>
    <w:rsid w:val="53A96AB8"/>
    <w:rsid w:val="54AE4895"/>
    <w:rsid w:val="54C8750C"/>
    <w:rsid w:val="62141EE8"/>
    <w:rsid w:val="64723087"/>
    <w:rsid w:val="6E385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7.tiff"/><Relationship Id="rId20" Type="http://schemas.openxmlformats.org/officeDocument/2006/relationships/image" Target="media/image16.tiff"/><Relationship Id="rId2" Type="http://schemas.openxmlformats.org/officeDocument/2006/relationships/settings" Target="settings.xml"/><Relationship Id="rId19" Type="http://schemas.openxmlformats.org/officeDocument/2006/relationships/image" Target="media/image15.tiff"/><Relationship Id="rId18" Type="http://schemas.openxmlformats.org/officeDocument/2006/relationships/image" Target="media/image14.tiff"/><Relationship Id="rId17" Type="http://schemas.openxmlformats.org/officeDocument/2006/relationships/image" Target="media/image13.tiff"/><Relationship Id="rId16" Type="http://schemas.openxmlformats.org/officeDocument/2006/relationships/image" Target="media/image12.tiff"/><Relationship Id="rId15" Type="http://schemas.openxmlformats.org/officeDocument/2006/relationships/image" Target="media/image11.tiff"/><Relationship Id="rId14" Type="http://schemas.openxmlformats.org/officeDocument/2006/relationships/image" Target="media/image10.tiff"/><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1866</Words>
  <Characters>11673</Characters>
  <Lines>0</Lines>
  <Paragraphs>0</Paragraphs>
  <TotalTime>0</TotalTime>
  <ScaleCrop>false</ScaleCrop>
  <LinksUpToDate>false</LinksUpToDate>
  <CharactersWithSpaces>13515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2025-08-25T04:43:00Z</dcterms:created>
  <dc:creator>10123</dc:creator>
  <cp:lastModifiedBy>ABCD</cp:lastModifiedBy>
  <dcterms:modified xsi:type="dcterms:W3CDTF">2025-08-25T13:20:34Z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eyJoZGlkIjoiYjZkZGE4NDZlNzU1NzMyYmE2ZTg3MTBmMThiZjFlMTkiLCJ1c2VySWQiOiIyODY4NDk5OTYifQ==</vt:lpwstr>
  </property>
  <property fmtid="{D5CDD505-2E9C-101B-9397-08002B2CF9AE}" pid="4" name="ICV">
    <vt:lpwstr>C798AD7E9BAF4CCFACB6EE6BD5DD4C36_13</vt:lpwstr>
  </property>
</Properties>
</file>