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92DD69">
      <w:pPr>
        <w:spacing w:line="480" w:lineRule="auto"/>
        <w:jc w:val="center"/>
        <w:rPr>
          <w:rStyle w:val="5"/>
          <w:rFonts w:hint="default" w:ascii="Times New Roman" w:hAnsi="Times New Roman" w:eastAsia="宋体" w:cs="Times New Roman"/>
          <w:color w:val="auto"/>
          <w:sz w:val="28"/>
          <w:szCs w:val="28"/>
          <w:highlight w:val="none"/>
        </w:rPr>
      </w:pPr>
      <w:r>
        <w:rPr>
          <w:rFonts w:hint="eastAsia" w:ascii="Times New Roman" w:hAnsi="Times New Roman" w:cs="Times New Roman"/>
          <w:b/>
          <w:bCs/>
          <w:color w:val="auto"/>
          <w:sz w:val="28"/>
          <w:szCs w:val="28"/>
          <w:lang w:val="en-US" w:eastAsia="zh-CN" w:bidi="ar"/>
        </w:rPr>
        <w:t>Additional file 3: Supplementary Methods</w:t>
      </w:r>
    </w:p>
    <w:p w14:paraId="385F2743">
      <w:pPr>
        <w:spacing w:line="480" w:lineRule="auto"/>
        <w:rPr>
          <w:rStyle w:val="5"/>
          <w:rFonts w:hint="default" w:ascii="Times New Roman" w:hAnsi="Times New Roman" w:eastAsia="宋体" w:cs="Times New Roman"/>
          <w:b w:val="0"/>
          <w:bCs/>
          <w:color w:val="auto"/>
          <w:sz w:val="24"/>
          <w:szCs w:val="24"/>
          <w:highlight w:val="none"/>
        </w:rPr>
      </w:pPr>
      <w:r>
        <w:rPr>
          <w:rStyle w:val="5"/>
          <w:rFonts w:hint="default" w:ascii="Times New Roman" w:hAnsi="Times New Roman" w:eastAsia="宋体" w:cs="Times New Roman"/>
          <w:color w:val="auto"/>
          <w:sz w:val="24"/>
          <w:szCs w:val="24"/>
          <w:highlight w:val="none"/>
        </w:rPr>
        <w:t>Inclusion and Exclusion Criteria:</w:t>
      </w:r>
    </w:p>
    <w:p w14:paraId="52040949">
      <w:pPr>
        <w:spacing w:line="480" w:lineRule="auto"/>
        <w:rPr>
          <w:rFonts w:hint="default" w:ascii="Times New Roman" w:hAnsi="Times New Roman" w:eastAsia="宋体" w:cs="Times New Roman"/>
          <w:color w:val="auto"/>
          <w:sz w:val="24"/>
          <w:szCs w:val="24"/>
          <w:highlight w:val="none"/>
        </w:rPr>
      </w:pPr>
      <w:r>
        <w:rPr>
          <w:rStyle w:val="5"/>
          <w:rFonts w:hint="default" w:ascii="Times New Roman" w:hAnsi="Times New Roman" w:eastAsia="宋体" w:cs="Times New Roman"/>
          <w:b w:val="0"/>
          <w:bCs/>
          <w:color w:val="auto"/>
          <w:sz w:val="24"/>
          <w:szCs w:val="24"/>
          <w:highlight w:val="none"/>
        </w:rPr>
        <w:t>Patients were eligible for inclusion if they met all of the following conditions: (1) age 18 years or older; (2) had undergone contrast-enhanced CT scanning within 14 days before surgical intervention; (3) received a postoperative pathological diagnosis confirming gastric cancer; and (4) had undergone curative-intent surgical resection.</w:t>
      </w:r>
      <w:r>
        <w:rPr>
          <w:rStyle w:val="5"/>
          <w:rFonts w:hint="eastAsia" w:ascii="Times New Roman" w:hAnsi="Times New Roman" w:cs="Times New Roman"/>
          <w:b w:val="0"/>
          <w:bCs/>
          <w:color w:val="auto"/>
          <w:sz w:val="24"/>
          <w:szCs w:val="24"/>
          <w:highlight w:val="none"/>
          <w:lang w:val="en-US" w:eastAsia="zh-CN"/>
        </w:rPr>
        <w:t xml:space="preserve"> </w:t>
      </w:r>
      <w:r>
        <w:rPr>
          <w:rStyle w:val="5"/>
          <w:rFonts w:hint="default" w:ascii="Times New Roman" w:hAnsi="Times New Roman" w:eastAsia="宋体" w:cs="Times New Roman"/>
          <w:b w:val="0"/>
          <w:bCs/>
          <w:color w:val="auto"/>
          <w:sz w:val="24"/>
          <w:szCs w:val="24"/>
          <w:highlight w:val="none"/>
        </w:rPr>
        <w:t>Participants were excluded based on the following criteria: (1) prior administration of neoadjuvant therapy, including chemotherapy, targeted agents, or immunotherapy before surgery; (2) death attributable to surgical complications occurring within 90 days post-surgery; (3) absence of follow-up data; (4) presence of substantial CT image artifacts or unavailability of imaging data; and (5) incomplete clinical records.</w:t>
      </w:r>
    </w:p>
    <w:p w14:paraId="57212E7D">
      <w:pPr>
        <w:spacing w:line="480" w:lineRule="auto"/>
        <w:rPr>
          <w:rFonts w:hint="default" w:ascii="Times New Roman" w:hAnsi="Times New Roman" w:eastAsia="宋体" w:cs="Times New Roman"/>
          <w:color w:val="auto"/>
          <w:sz w:val="24"/>
          <w:szCs w:val="24"/>
          <w:highlight w:val="none"/>
        </w:rPr>
      </w:pPr>
      <w:r>
        <w:rPr>
          <w:rStyle w:val="5"/>
          <w:rFonts w:hint="default" w:ascii="Times New Roman" w:hAnsi="Times New Roman" w:eastAsia="宋体" w:cs="Times New Roman"/>
          <w:color w:val="auto"/>
          <w:sz w:val="24"/>
          <w:szCs w:val="24"/>
          <w:highlight w:val="none"/>
        </w:rPr>
        <w:t>Clinical Data Collection</w:t>
      </w:r>
      <w:r>
        <w:rPr>
          <w:rFonts w:ascii="宋体" w:hAnsi="宋体" w:eastAsia="宋体" w:cs="宋体"/>
          <w:color w:val="auto"/>
          <w:sz w:val="24"/>
          <w:szCs w:val="24"/>
          <w:highlight w:val="none"/>
        </w:rPr>
        <w:br w:type="textWrapping"/>
      </w:r>
      <w:r>
        <w:rPr>
          <w:rFonts w:hint="default" w:ascii="Times New Roman" w:hAnsi="Times New Roman" w:eastAsia="宋体" w:cs="Times New Roman"/>
          <w:color w:val="auto"/>
          <w:sz w:val="24"/>
          <w:szCs w:val="24"/>
          <w:highlight w:val="none"/>
        </w:rPr>
        <w:t>Comprehensive demographic and clinical variables recorded within 14 days before surgery were retrieved from the hospital’s electronic medical record system. These variables included: age, gender, ECOG performance status, peripheral neutrophil and lymphocyte counts, platelet levels, serum albumin, and tumor biomarkers such as carcinoembryonic antigen (CEA), carbohydrate antigen 19-9 (CA19-9), and carbohydrate antigen 72-4 (CA72-4). Information on postoperative therapeutic interventions was also documented.</w:t>
      </w:r>
    </w:p>
    <w:p w14:paraId="1C0693A9">
      <w:pPr>
        <w:spacing w:line="480" w:lineRule="auto"/>
        <w:ind w:firstLine="480" w:firstLineChars="200"/>
        <w:rPr>
          <w:rFonts w:hint="eastAsia"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rPr>
        <w:t>Pathologic parameters were collected from formal pathology reports, encompassing tumor grade, nodal involvement, perineural and lymphovascular invasion, resection margin status, tumor dimensions and anatomical location, as well as immunohistochemical expression of HER2 and PD-L1. Tumor staging was reviewed and standardized based on the 8th edition criteria set by the American Joint Committee on Cancer (AJCC). Additionally, the following inflammatory and nutritional indices were computed:</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eastAsia="宋体" w:cs="Times New Roman"/>
          <w:color w:val="auto"/>
          <w:sz w:val="24"/>
          <w:szCs w:val="24"/>
          <w:highlight w:val="none"/>
        </w:rPr>
        <w:t>Neutrophil-to-lymphocyte ratio (NLR = neutrophils / lymphocytes)</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eastAsia="宋体" w:cs="Times New Roman"/>
          <w:color w:val="auto"/>
          <w:sz w:val="24"/>
          <w:szCs w:val="24"/>
          <w:highlight w:val="none"/>
        </w:rPr>
        <w:t>Platelet-to-lymphocyte ratio (PLR = platelets / lymphocytes)</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eastAsia="宋体" w:cs="Times New Roman"/>
          <w:color w:val="auto"/>
          <w:sz w:val="24"/>
          <w:szCs w:val="24"/>
          <w:highlight w:val="none"/>
        </w:rPr>
        <w:t>Prognostic nutritional index (PNI = albumin \[g/L] + 5 × lymphocyte count)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eastAsia="宋体" w:cs="Times New Roman"/>
          <w:color w:val="auto"/>
          <w:sz w:val="24"/>
          <w:szCs w:val="24"/>
          <w:highlight w:val="none"/>
        </w:rPr>
        <w:t>Systemic immune-inflammation index (SII = platelets × neutrophils / lymphocytes)</w:t>
      </w:r>
      <w:r>
        <w:rPr>
          <w:rFonts w:hint="eastAsia" w:ascii="Times New Roman" w:hAnsi="Times New Roman" w:cs="Times New Roman"/>
          <w:color w:val="auto"/>
          <w:sz w:val="24"/>
          <w:szCs w:val="24"/>
          <w:highlight w:val="none"/>
          <w:lang w:val="en-US" w:eastAsia="zh-CN"/>
        </w:rPr>
        <w:t>.</w:t>
      </w:r>
    </w:p>
    <w:p w14:paraId="76F3F710">
      <w:pPr>
        <w:spacing w:line="480" w:lineRule="auto"/>
        <w:rPr>
          <w:rFonts w:hint="eastAsia" w:ascii="Times New Roman" w:hAnsi="Times New Roman" w:eastAsia="宋体" w:cs="Times New Roman"/>
          <w:b/>
          <w:bCs/>
          <w:color w:val="auto"/>
          <w:sz w:val="24"/>
          <w:szCs w:val="24"/>
          <w:highlight w:val="none"/>
          <w:lang w:val="en-US" w:eastAsia="zh-CN"/>
        </w:rPr>
      </w:pPr>
      <w:r>
        <w:rPr>
          <w:rFonts w:hint="eastAsia" w:ascii="Times New Roman" w:hAnsi="Times New Roman" w:eastAsia="宋体" w:cs="Times New Roman"/>
          <w:b/>
          <w:bCs/>
          <w:color w:val="auto"/>
          <w:sz w:val="24"/>
          <w:szCs w:val="24"/>
          <w:highlight w:val="none"/>
          <w:lang w:val="en-US" w:eastAsia="zh-CN"/>
        </w:rPr>
        <w:t>CT Acquisition Protocols by Participating Centers</w:t>
      </w:r>
    </w:p>
    <w:p w14:paraId="3511F322">
      <w:pPr>
        <w:keepNext w:val="0"/>
        <w:keepLines w:val="0"/>
        <w:pageBreakBefore w:val="0"/>
        <w:widowControl w:val="0"/>
        <w:numPr>
          <w:ilvl w:val="0"/>
          <w:numId w:val="0"/>
        </w:numPr>
        <w:kinsoku/>
        <w:wordWrap/>
        <w:overflowPunct/>
        <w:topLinePunct w:val="0"/>
        <w:autoSpaceDE/>
        <w:autoSpaceDN/>
        <w:bidi w:val="0"/>
        <w:adjustRightInd/>
        <w:snapToGrid/>
        <w:spacing w:line="480" w:lineRule="auto"/>
        <w:textAlignment w:val="auto"/>
        <w:rPr>
          <w:rFonts w:hint="default" w:ascii="Times New Roman" w:hAnsi="Times New Roman" w:cs="Times New Roman"/>
          <w:color w:val="auto"/>
          <w:sz w:val="24"/>
          <w:szCs w:val="24"/>
          <w:shd w:val="clear" w:color="auto" w:fill="auto"/>
          <w:lang w:val="en-US" w:eastAsia="zh-CN"/>
          <w14:ligatures w14:val="none"/>
        </w:rPr>
      </w:pPr>
      <w:r>
        <w:rPr>
          <w:rFonts w:hint="default" w:ascii="Times New Roman" w:hAnsi="Times New Roman" w:cs="Times New Roman"/>
          <w:color w:val="auto"/>
          <w:sz w:val="24"/>
          <w:szCs w:val="24"/>
          <w:shd w:val="clear" w:color="auto" w:fill="auto"/>
          <w:lang w:val="en-US" w:eastAsia="zh-CN"/>
          <w14:ligatures w14:val="none"/>
        </w:rPr>
        <w:t>Hebei Province centers (FHHMU, SJZPH, BDCH, HSPH):</w:t>
      </w:r>
      <w:r>
        <w:rPr>
          <w:rFonts w:hint="eastAsia" w:ascii="Times New Roman" w:hAnsi="Times New Roman" w:cs="Times New Roman"/>
          <w:color w:val="auto"/>
          <w:sz w:val="24"/>
          <w:szCs w:val="24"/>
          <w:shd w:val="clear" w:color="auto" w:fill="auto"/>
          <w:lang w:val="en-US" w:eastAsia="zh-CN"/>
          <w14:ligatures w14:val="none"/>
        </w:rPr>
        <w:t xml:space="preserve"> </w:t>
      </w:r>
      <w:r>
        <w:rPr>
          <w:rFonts w:hint="default" w:ascii="Times New Roman" w:hAnsi="Times New Roman" w:cs="Times New Roman"/>
          <w:color w:val="auto"/>
          <w:sz w:val="24"/>
          <w:szCs w:val="24"/>
          <w:shd w:val="clear" w:color="auto" w:fill="auto"/>
          <w:lang w:val="en-US" w:eastAsia="zh-CN"/>
          <w14:ligatures w14:val="none"/>
        </w:rPr>
        <w:t>CT examinations were performed using six multidetector scanners (three 256-detector and three 128-detector systems). All patients received 800–1000 mL of water orally 30 minutes before scanning. Scanning parameters included a tube voltage of 120 kV, and tube current controlled via automatic mAs modulation. The scanning range covered the area from the diaphragm dome to the pubic symphysis. Contrast-enhanced scans used 300 mg/mL nonionic contrast medium at 3.0 mL/s, with a total dose of 2 mL/kg. Venous phase images were acquired 70 seconds after injection, and arterial phase at 25 seconds. Image reconstruction was performed with 1.0 mm slice thickness.</w:t>
      </w:r>
    </w:p>
    <w:p w14:paraId="51802BE7">
      <w:pPr>
        <w:keepNext w:val="0"/>
        <w:keepLines w:val="0"/>
        <w:pageBreakBefore w:val="0"/>
        <w:widowControl w:val="0"/>
        <w:numPr>
          <w:ilvl w:val="0"/>
          <w:numId w:val="0"/>
        </w:numPr>
        <w:kinsoku/>
        <w:wordWrap/>
        <w:overflowPunct/>
        <w:topLinePunct w:val="0"/>
        <w:autoSpaceDE/>
        <w:autoSpaceDN/>
        <w:bidi w:val="0"/>
        <w:adjustRightInd/>
        <w:snapToGrid/>
        <w:spacing w:line="480" w:lineRule="auto"/>
        <w:ind w:firstLine="480" w:firstLineChars="200"/>
        <w:textAlignment w:val="auto"/>
        <w:rPr>
          <w:rFonts w:hint="default" w:ascii="Times New Roman" w:hAnsi="Times New Roman" w:cs="Times New Roman"/>
          <w:color w:val="auto"/>
          <w:sz w:val="24"/>
          <w:szCs w:val="24"/>
          <w:shd w:val="clear" w:color="auto" w:fill="auto"/>
          <w:lang w:val="en-US" w:eastAsia="zh-CN"/>
          <w14:ligatures w14:val="none"/>
        </w:rPr>
      </w:pPr>
      <w:r>
        <w:rPr>
          <w:rFonts w:hint="default" w:ascii="Times New Roman" w:hAnsi="Times New Roman" w:cs="Times New Roman"/>
          <w:color w:val="auto"/>
          <w:sz w:val="24"/>
          <w:szCs w:val="24"/>
          <w:shd w:val="clear" w:color="auto" w:fill="auto"/>
          <w:lang w:val="en-US" w:eastAsia="zh-CN"/>
          <w14:ligatures w14:val="none"/>
        </w:rPr>
        <w:t>Nanjing Jinling Hospital:</w:t>
      </w:r>
      <w:r>
        <w:rPr>
          <w:rFonts w:hint="eastAsia" w:ascii="Times New Roman" w:hAnsi="Times New Roman" w:cs="Times New Roman"/>
          <w:color w:val="auto"/>
          <w:sz w:val="24"/>
          <w:szCs w:val="24"/>
          <w:shd w:val="clear" w:color="auto" w:fill="auto"/>
          <w:lang w:val="en-US" w:eastAsia="zh-CN"/>
          <w14:ligatures w14:val="none"/>
        </w:rPr>
        <w:t xml:space="preserve"> </w:t>
      </w:r>
      <w:r>
        <w:rPr>
          <w:rFonts w:hint="default" w:ascii="Times New Roman" w:hAnsi="Times New Roman" w:cs="Times New Roman"/>
          <w:color w:val="auto"/>
          <w:sz w:val="24"/>
          <w:szCs w:val="24"/>
          <w:shd w:val="clear" w:color="auto" w:fill="auto"/>
          <w:lang w:val="en-US" w:eastAsia="zh-CN"/>
          <w14:ligatures w14:val="none"/>
        </w:rPr>
        <w:t>Scans were performed on dual-source spiral CT scanners. Parameters included 120 kVp tube voltage, 230 mA tube current, 0.5-second rotation time, and a pitch of 1.2. Contrast medium was injected at 1.5 mL/kg with a rate of 3–4 mL/s. Venous phase images were obtained at 60 seconds, with delayed scans at 180 seconds when clinically indicated. Images were reconstructed at 1.0–1.5 mm thickness, with a 35–50 cm field of view and matrix size of 512×512.</w:t>
      </w:r>
    </w:p>
    <w:p w14:paraId="3CC64AC4">
      <w:pPr>
        <w:keepNext w:val="0"/>
        <w:keepLines w:val="0"/>
        <w:pageBreakBefore w:val="0"/>
        <w:widowControl w:val="0"/>
        <w:numPr>
          <w:ilvl w:val="0"/>
          <w:numId w:val="0"/>
        </w:numPr>
        <w:kinsoku/>
        <w:wordWrap/>
        <w:overflowPunct/>
        <w:topLinePunct w:val="0"/>
        <w:autoSpaceDE/>
        <w:autoSpaceDN/>
        <w:bidi w:val="0"/>
        <w:adjustRightInd/>
        <w:snapToGrid/>
        <w:spacing w:line="480" w:lineRule="auto"/>
        <w:ind w:firstLine="480" w:firstLineChars="200"/>
        <w:textAlignment w:val="auto"/>
        <w:rPr>
          <w:rFonts w:hint="default" w:ascii="Times New Roman" w:hAnsi="Times New Roman" w:cs="Times New Roman"/>
          <w:color w:val="auto"/>
          <w:sz w:val="24"/>
          <w:szCs w:val="24"/>
          <w:shd w:val="clear" w:color="auto" w:fill="auto"/>
          <w:lang w:val="en-US" w:eastAsia="zh-CN"/>
          <w14:ligatures w14:val="none"/>
        </w:rPr>
      </w:pPr>
      <w:r>
        <w:rPr>
          <w:rFonts w:hint="default" w:ascii="Times New Roman" w:hAnsi="Times New Roman" w:cs="Times New Roman"/>
          <w:color w:val="auto"/>
          <w:sz w:val="24"/>
          <w:szCs w:val="24"/>
          <w:shd w:val="clear" w:color="auto" w:fill="auto"/>
          <w:lang w:val="en-US" w:eastAsia="zh-CN"/>
          <w14:ligatures w14:val="none"/>
        </w:rPr>
        <w:t>Wuhan University Renmin Hospital:</w:t>
      </w:r>
      <w:r>
        <w:rPr>
          <w:rFonts w:hint="eastAsia" w:ascii="Times New Roman" w:hAnsi="Times New Roman" w:cs="Times New Roman"/>
          <w:color w:val="auto"/>
          <w:sz w:val="24"/>
          <w:szCs w:val="24"/>
          <w:shd w:val="clear" w:color="auto" w:fill="auto"/>
          <w:lang w:val="en-US" w:eastAsia="zh-CN"/>
          <w14:ligatures w14:val="none"/>
        </w:rPr>
        <w:t xml:space="preserve"> </w:t>
      </w:r>
      <w:r>
        <w:rPr>
          <w:rFonts w:hint="default" w:ascii="Times New Roman" w:hAnsi="Times New Roman" w:cs="Times New Roman"/>
          <w:color w:val="auto"/>
          <w:sz w:val="24"/>
          <w:szCs w:val="24"/>
          <w:shd w:val="clear" w:color="auto" w:fill="auto"/>
          <w:lang w:val="en-US" w:eastAsia="zh-CN"/>
          <w14:ligatures w14:val="none"/>
        </w:rPr>
        <w:t>A 256-slice CT scanner was used. Parameters included 120 kV tube voltage, 200 mA tube current, and 0.5-second rotation time. Contrast medium (1.5 mL/kg, 300 mg/mL iodine) was administered at 3–4 mL/s. Venous phase images were acquired at 70 seconds. Reconstruction was performed with 0.625 mm slice thickness and a 512×512 matrix.</w:t>
      </w:r>
    </w:p>
    <w:p w14:paraId="53E7085C">
      <w:pPr>
        <w:spacing w:line="480" w:lineRule="auto"/>
        <w:rPr>
          <w:rFonts w:hint="eastAsia" w:ascii="Times New Roman" w:hAnsi="Times New Roman" w:eastAsia="宋体" w:cs="Times New Roman"/>
          <w:b/>
          <w:bCs/>
          <w:color w:val="auto"/>
          <w:sz w:val="24"/>
          <w:szCs w:val="24"/>
          <w:highlight w:val="none"/>
          <w:lang w:val="en-US" w:eastAsia="zh-CN"/>
        </w:rPr>
      </w:pPr>
      <w:r>
        <w:rPr>
          <w:rFonts w:hint="eastAsia" w:ascii="Times New Roman" w:hAnsi="Times New Roman" w:eastAsia="宋体" w:cs="Times New Roman"/>
          <w:b/>
          <w:bCs/>
          <w:color w:val="auto"/>
          <w:sz w:val="24"/>
          <w:szCs w:val="24"/>
          <w:highlight w:val="none"/>
          <w:lang w:val="en-US" w:eastAsia="zh-CN"/>
        </w:rPr>
        <w:t>Evaluation of Model Complexity and Overfitting Risk</w:t>
      </w:r>
    </w:p>
    <w:p w14:paraId="14F5B3BF">
      <w:pPr>
        <w:spacing w:line="480" w:lineRule="auto"/>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To evaluate the risk of overfitting associated with high-dimensional radiomic features, we conducted two complementary analyses: learning curve analysis and feature subset performance assessment.</w:t>
      </w:r>
      <w:r>
        <w:rPr>
          <w:rFonts w:hint="eastAsia" w:ascii="Times New Roman" w:hAnsi="Times New Roman" w:cs="Times New Roman"/>
          <w:color w:val="auto"/>
          <w:sz w:val="24"/>
          <w:szCs w:val="24"/>
          <w:highlight w:val="none"/>
          <w:lang w:val="en-US" w:eastAsia="zh-CN"/>
        </w:rPr>
        <w:t xml:space="preserve"> (1) </w:t>
      </w:r>
      <w:r>
        <w:rPr>
          <w:rFonts w:hint="eastAsia" w:ascii="Times New Roman" w:hAnsi="Times New Roman" w:eastAsia="宋体" w:cs="Times New Roman"/>
          <w:color w:val="auto"/>
          <w:sz w:val="24"/>
          <w:szCs w:val="24"/>
          <w:highlight w:val="none"/>
          <w:lang w:val="en-US" w:eastAsia="zh-CN"/>
        </w:rPr>
        <w:t>Learning curve analysis:</w:t>
      </w:r>
      <w:r>
        <w:rPr>
          <w:rFonts w:hint="eastAsia" w:ascii="Times New Roman" w:hAnsi="Times New Roman" w:cs="Times New Roman"/>
          <w:color w:val="auto"/>
          <w:sz w:val="24"/>
          <w:szCs w:val="24"/>
          <w:highlight w:val="none"/>
          <w:lang w:val="en-US" w:eastAsia="zh-CN"/>
        </w:rPr>
        <w:t xml:space="preserve"> </w:t>
      </w:r>
      <w:r>
        <w:rPr>
          <w:rFonts w:hint="eastAsia" w:ascii="Times New Roman" w:hAnsi="Times New Roman" w:eastAsia="宋体" w:cs="Times New Roman"/>
          <w:color w:val="auto"/>
          <w:sz w:val="24"/>
          <w:szCs w:val="24"/>
          <w:highlight w:val="none"/>
          <w:lang w:val="en-US" w:eastAsia="zh-CN"/>
        </w:rPr>
        <w:t>To assess model generalizability under different training sizes, we randomly sampled increasing proportions (10%, 20%, ..., 90%) of the full training cohort and retrained the ensemble model at each level. At every step, model performance was evaluated using 10-fold cross-validation. AUC values were calculated for both the training and validation folds, and results were averaged across folds to generate the learning curve. Standard deviations were plotted as error bars. The learning curve was used to examine convergence behavior and to detect potential overfitting, reflected by large discrepancies between training and validation performance.</w:t>
      </w:r>
      <w:r>
        <w:rPr>
          <w:rFonts w:hint="eastAsia" w:ascii="Times New Roman" w:hAnsi="Times New Roman" w:cs="Times New Roman"/>
          <w:color w:val="auto"/>
          <w:sz w:val="24"/>
          <w:szCs w:val="24"/>
          <w:highlight w:val="none"/>
          <w:lang w:val="en-US" w:eastAsia="zh-CN"/>
        </w:rPr>
        <w:t xml:space="preserve"> (2) </w:t>
      </w:r>
      <w:r>
        <w:rPr>
          <w:rFonts w:hint="eastAsia" w:ascii="Times New Roman" w:hAnsi="Times New Roman" w:eastAsia="宋体" w:cs="Times New Roman"/>
          <w:color w:val="auto"/>
          <w:sz w:val="24"/>
          <w:szCs w:val="24"/>
          <w:highlight w:val="none"/>
          <w:lang w:val="en-US" w:eastAsia="zh-CN"/>
        </w:rPr>
        <w:t>Feature subset performance analysis:</w:t>
      </w:r>
      <w:r>
        <w:rPr>
          <w:rFonts w:hint="eastAsia" w:ascii="Times New Roman" w:hAnsi="Times New Roman" w:cs="Times New Roman"/>
          <w:color w:val="auto"/>
          <w:sz w:val="24"/>
          <w:szCs w:val="24"/>
          <w:highlight w:val="none"/>
          <w:lang w:val="en-US" w:eastAsia="zh-CN"/>
        </w:rPr>
        <w:t xml:space="preserve"> </w:t>
      </w:r>
      <w:r>
        <w:rPr>
          <w:rFonts w:hint="eastAsia" w:ascii="Times New Roman" w:hAnsi="Times New Roman" w:eastAsia="宋体" w:cs="Times New Roman"/>
          <w:color w:val="auto"/>
          <w:sz w:val="24"/>
          <w:szCs w:val="24"/>
          <w:highlight w:val="none"/>
          <w:lang w:val="en-US" w:eastAsia="zh-CN"/>
        </w:rPr>
        <w:t>To investigate the relationship between feature dimensionality and model performance, we ranked the selected radiomic features based on their importance (mean absolute SHAP value in the training set). Models were then iteratively constructed using the top k features (k = 1 to 20), and each model was evaluated using 10-fold cross-validation to compute the average AUC at each feature subset size. This allowed us to identify the optimal feature count where performance plateaued and beyond which adding additional features led to marginal gains or even performance decline. This analysis directly supports the appropriateness of the final feature set selected through mRMR and LASSO.</w:t>
      </w:r>
    </w:p>
    <w:p w14:paraId="7ACD2014">
      <w:pPr>
        <w:spacing w:line="480" w:lineRule="auto"/>
        <w:rPr>
          <w:rStyle w:val="5"/>
          <w:rFonts w:hint="eastAsia" w:ascii="Times New Roman" w:hAnsi="Times New Roman" w:eastAsia="宋体" w:cs="Times New Roman"/>
          <w:color w:val="auto"/>
          <w:sz w:val="24"/>
          <w:szCs w:val="24"/>
          <w:highlight w:val="none"/>
          <w:lang w:val="en-US" w:eastAsia="zh-CN"/>
        </w:rPr>
      </w:pPr>
      <w:r>
        <w:rPr>
          <w:rStyle w:val="5"/>
          <w:rFonts w:hint="eastAsia" w:ascii="Times New Roman" w:hAnsi="Times New Roman" w:eastAsia="宋体" w:cs="Times New Roman"/>
          <w:color w:val="auto"/>
          <w:sz w:val="24"/>
          <w:szCs w:val="24"/>
          <w:highlight w:val="none"/>
          <w:lang w:val="en-US" w:eastAsia="zh-CN"/>
        </w:rPr>
        <w:t>Evaluation of ComBat Harmonization using PCA</w:t>
      </w:r>
    </w:p>
    <w:p w14:paraId="1D175C0E">
      <w:pPr>
        <w:spacing w:line="480" w:lineRule="auto"/>
        <w:rPr>
          <w:rStyle w:val="5"/>
          <w:rFonts w:hint="eastAsia" w:ascii="Times New Roman" w:hAnsi="Times New Roman" w:eastAsia="宋体" w:cs="Times New Roman"/>
          <w:b w:val="0"/>
          <w:bCs/>
          <w:color w:val="auto"/>
          <w:sz w:val="24"/>
          <w:szCs w:val="24"/>
          <w:highlight w:val="none"/>
          <w:lang w:val="en-US" w:eastAsia="zh-CN"/>
        </w:rPr>
      </w:pPr>
      <w:r>
        <w:rPr>
          <w:rStyle w:val="5"/>
          <w:rFonts w:hint="eastAsia" w:ascii="Times New Roman" w:hAnsi="Times New Roman" w:eastAsia="宋体" w:cs="Times New Roman"/>
          <w:b w:val="0"/>
          <w:bCs/>
          <w:color w:val="auto"/>
          <w:sz w:val="24"/>
          <w:szCs w:val="24"/>
          <w:highlight w:val="none"/>
          <w:lang w:val="en-US" w:eastAsia="zh-CN"/>
        </w:rPr>
        <w:t>PCA was performed using standardized radiomic feature matrices before and after ComBat correction. Principal components were calculated using the prcomp function in R. Data points were colored by acquisition center or dataset (training, validation, external). PCA plots were used to visualize the degree of batch-related clustering before and after harmonization.</w:t>
      </w:r>
    </w:p>
    <w:p w14:paraId="0E7821B1">
      <w:pPr>
        <w:spacing w:line="480" w:lineRule="auto"/>
        <w:rPr>
          <w:rStyle w:val="5"/>
          <w:rFonts w:hint="eastAsia" w:ascii="Times New Roman" w:hAnsi="Times New Roman" w:eastAsia="宋体" w:cs="Times New Roman"/>
          <w:b/>
          <w:bCs w:val="0"/>
          <w:color w:val="auto"/>
          <w:sz w:val="24"/>
          <w:szCs w:val="24"/>
          <w:highlight w:val="none"/>
          <w:lang w:val="en-US" w:eastAsia="zh-CN"/>
        </w:rPr>
      </w:pPr>
      <w:r>
        <w:rPr>
          <w:rStyle w:val="5"/>
          <w:rFonts w:hint="eastAsia" w:ascii="Times New Roman" w:hAnsi="Times New Roman" w:eastAsia="宋体" w:cs="Times New Roman"/>
          <w:b/>
          <w:bCs w:val="0"/>
          <w:color w:val="auto"/>
          <w:sz w:val="24"/>
          <w:szCs w:val="24"/>
          <w:highlight w:val="none"/>
          <w:lang w:val="en-US" w:eastAsia="zh-CN"/>
        </w:rPr>
        <w:t>Model Fusion Strategy</w:t>
      </w:r>
    </w:p>
    <w:p w14:paraId="34FA3D6D">
      <w:pPr>
        <w:spacing w:line="480" w:lineRule="auto"/>
        <w:rPr>
          <w:rStyle w:val="5"/>
          <w:rFonts w:hint="eastAsia" w:ascii="Times New Roman" w:hAnsi="Times New Roman" w:eastAsia="宋体" w:cs="Times New Roman"/>
          <w:b w:val="0"/>
          <w:bCs/>
          <w:color w:val="auto"/>
          <w:sz w:val="24"/>
          <w:szCs w:val="24"/>
          <w:highlight w:val="none"/>
          <w:lang w:val="en-US" w:eastAsia="zh-CN"/>
        </w:rPr>
      </w:pPr>
      <w:r>
        <w:rPr>
          <w:rStyle w:val="5"/>
          <w:rFonts w:hint="eastAsia" w:ascii="Times New Roman" w:hAnsi="Times New Roman" w:eastAsia="宋体" w:cs="Times New Roman"/>
          <w:b w:val="0"/>
          <w:bCs/>
          <w:color w:val="auto"/>
          <w:sz w:val="24"/>
          <w:szCs w:val="24"/>
          <w:highlight w:val="none"/>
          <w:lang w:val="en-US" w:eastAsia="zh-CN"/>
        </w:rPr>
        <w:t>To integrate both radiomic features and clinical information, we adopted a two-step fusion strategy. First, a radiomics-based prediction model was developed using the eight selected features, and a clinical model was constructed using independent prognostic variables identified through multivariate logistic regression. Each model independently generated a probability score representing the recurrence risk for each patient.</w:t>
      </w:r>
    </w:p>
    <w:p w14:paraId="46EA981D">
      <w:pPr>
        <w:spacing w:line="480" w:lineRule="auto"/>
        <w:ind w:firstLine="480" w:firstLineChars="200"/>
        <w:rPr>
          <w:rStyle w:val="5"/>
          <w:rFonts w:hint="eastAsia" w:ascii="Times New Roman" w:hAnsi="Times New Roman" w:eastAsia="宋体" w:cs="Times New Roman"/>
          <w:b w:val="0"/>
          <w:bCs/>
          <w:color w:val="auto"/>
          <w:sz w:val="24"/>
          <w:szCs w:val="24"/>
          <w:highlight w:val="none"/>
          <w:lang w:val="en-US" w:eastAsia="zh-CN"/>
        </w:rPr>
      </w:pPr>
      <w:r>
        <w:rPr>
          <w:rStyle w:val="5"/>
          <w:rFonts w:hint="eastAsia" w:ascii="Times New Roman" w:hAnsi="Times New Roman" w:eastAsia="宋体" w:cs="Times New Roman"/>
          <w:b w:val="0"/>
          <w:bCs/>
          <w:color w:val="auto"/>
          <w:sz w:val="24"/>
          <w:szCs w:val="24"/>
          <w:highlight w:val="none"/>
          <w:lang w:val="en-US" w:eastAsia="zh-CN"/>
        </w:rPr>
        <w:t>These two probability scores were then used as inputs in a logistic regression model to build the final RSA (Radiomic–Clinical Signature for Adjuvant decision-making) model. This late fusion strategy allowed the combination of imaging-based and clinicopathologic information at the decision level, while preserving the contribution of each data source.</w:t>
      </w:r>
    </w:p>
    <w:p w14:paraId="6DADAAFF">
      <w:pPr>
        <w:spacing w:line="480" w:lineRule="auto"/>
        <w:rPr>
          <w:rStyle w:val="5"/>
          <w:rFonts w:hint="eastAsia" w:ascii="Times New Roman" w:hAnsi="Times New Roman" w:eastAsia="宋体" w:cs="Times New Roman"/>
          <w:color w:val="auto"/>
          <w:sz w:val="24"/>
          <w:szCs w:val="24"/>
          <w:highlight w:val="none"/>
          <w:lang w:val="en-US" w:eastAsia="zh-CN"/>
        </w:rPr>
      </w:pPr>
      <w:r>
        <w:rPr>
          <w:rStyle w:val="5"/>
          <w:rFonts w:hint="eastAsia" w:ascii="Times New Roman" w:hAnsi="Times New Roman" w:eastAsia="宋体" w:cs="Times New Roman"/>
          <w:color w:val="auto"/>
          <w:sz w:val="24"/>
          <w:szCs w:val="24"/>
          <w:highlight w:val="none"/>
          <w:lang w:val="en-US" w:eastAsia="zh-CN"/>
        </w:rPr>
        <w:t>RNA Sequencing</w:t>
      </w:r>
    </w:p>
    <w:p w14:paraId="3490BF4F">
      <w:pPr>
        <w:spacing w:line="480" w:lineRule="auto"/>
        <w:rPr>
          <w:rStyle w:val="5"/>
          <w:rFonts w:hint="eastAsia" w:ascii="Times New Roman" w:hAnsi="Times New Roman" w:eastAsia="宋体" w:cs="Times New Roman"/>
          <w:b w:val="0"/>
          <w:bCs/>
          <w:color w:val="auto"/>
          <w:sz w:val="24"/>
          <w:szCs w:val="24"/>
          <w:highlight w:val="none"/>
          <w:lang w:val="en-US" w:eastAsia="zh-CN"/>
        </w:rPr>
      </w:pPr>
      <w:r>
        <w:rPr>
          <w:rStyle w:val="5"/>
          <w:rFonts w:hint="eastAsia" w:ascii="Times New Roman" w:hAnsi="Times New Roman" w:eastAsia="宋体" w:cs="Times New Roman"/>
          <w:b w:val="0"/>
          <w:bCs/>
          <w:color w:val="auto"/>
          <w:sz w:val="24"/>
          <w:szCs w:val="24"/>
          <w:highlight w:val="none"/>
          <w:lang w:val="en-US" w:eastAsia="zh-CN"/>
        </w:rPr>
        <w:t>RNA sequencing was conducted on 114 tumor tissue specimens from patients with gastric cancer. cDNA synthesis and library preparation followed a strand-specific protocol (Genedenovo, Guangzhou, China). The constructed libraries underwent quality assessment using agarose gel electrophoresis, NanoPhotometer, Qubit 2.0 Fluorometer, and the Agilent 2100 Bioanalyzer. Only libraries passing quality control were sequenced on the Illumina Novaseq X Plus platform. Raw sequencing reads were evaluated using the Fastp tool to assess data quality</w:t>
      </w:r>
      <w:r>
        <w:rPr>
          <w:rStyle w:val="5"/>
          <w:rFonts w:hint="eastAsia" w:ascii="Times New Roman" w:hAnsi="Times New Roman" w:cs="Times New Roman"/>
          <w:b w:val="0"/>
          <w:bCs/>
          <w:color w:val="auto"/>
          <w:sz w:val="24"/>
          <w:szCs w:val="24"/>
          <w:highlight w:val="none"/>
          <w:lang w:val="en-US" w:eastAsia="zh-CN"/>
        </w:rPr>
        <w:t>[26]</w:t>
      </w:r>
      <w:r>
        <w:rPr>
          <w:rStyle w:val="5"/>
          <w:rFonts w:hint="eastAsia" w:ascii="Times New Roman" w:hAnsi="Times New Roman" w:eastAsia="宋体" w:cs="Times New Roman"/>
          <w:b w:val="0"/>
          <w:bCs/>
          <w:color w:val="auto"/>
          <w:sz w:val="24"/>
          <w:szCs w:val="24"/>
          <w:highlight w:val="none"/>
          <w:lang w:val="en-US" w:eastAsia="zh-CN"/>
        </w:rPr>
        <w:t>. Alignment of reads to the reference genome was performed using HISAT2</w:t>
      </w:r>
      <w:r>
        <w:rPr>
          <w:rStyle w:val="5"/>
          <w:rFonts w:hint="eastAsia" w:ascii="Times New Roman" w:hAnsi="Times New Roman" w:cs="Times New Roman"/>
          <w:b w:val="0"/>
          <w:bCs/>
          <w:color w:val="auto"/>
          <w:sz w:val="24"/>
          <w:szCs w:val="24"/>
          <w:highlight w:val="none"/>
          <w:lang w:val="en-US" w:eastAsia="zh-CN"/>
        </w:rPr>
        <w:t>[27]</w:t>
      </w:r>
      <w:r>
        <w:rPr>
          <w:rStyle w:val="5"/>
          <w:rFonts w:hint="eastAsia" w:ascii="Times New Roman" w:hAnsi="Times New Roman" w:eastAsia="宋体" w:cs="Times New Roman"/>
          <w:b w:val="0"/>
          <w:bCs/>
          <w:color w:val="auto"/>
          <w:sz w:val="24"/>
          <w:szCs w:val="24"/>
          <w:highlight w:val="none"/>
          <w:lang w:val="en-US" w:eastAsia="zh-CN"/>
        </w:rPr>
        <w:t>. Based on aligned data, StringTie was applied to reconstruct transcripts, and gene-level expression quantification was carried out using RSEM</w:t>
      </w:r>
      <w:r>
        <w:rPr>
          <w:rStyle w:val="5"/>
          <w:rFonts w:hint="eastAsia" w:ascii="Times New Roman" w:hAnsi="Times New Roman" w:cs="Times New Roman"/>
          <w:b w:val="0"/>
          <w:bCs/>
          <w:color w:val="auto"/>
          <w:sz w:val="24"/>
          <w:szCs w:val="24"/>
          <w:highlight w:val="none"/>
          <w:lang w:val="en-US" w:eastAsia="zh-CN"/>
        </w:rPr>
        <w:t>[28-29]</w:t>
      </w:r>
      <w:r>
        <w:rPr>
          <w:rStyle w:val="5"/>
          <w:rFonts w:hint="eastAsia" w:ascii="Times New Roman" w:hAnsi="Times New Roman" w:eastAsia="宋体" w:cs="Times New Roman"/>
          <w:b w:val="0"/>
          <w:bCs/>
          <w:color w:val="auto"/>
          <w:sz w:val="24"/>
          <w:szCs w:val="24"/>
          <w:highlight w:val="none"/>
          <w:lang w:val="en-US" w:eastAsia="zh-CN"/>
        </w:rPr>
        <w:t>.</w:t>
      </w:r>
    </w:p>
    <w:p w14:paraId="5702FF5A">
      <w:pPr>
        <w:spacing w:line="480" w:lineRule="auto"/>
        <w:rPr>
          <w:rStyle w:val="5"/>
          <w:rFonts w:hint="eastAsia" w:ascii="Times New Roman" w:hAnsi="Times New Roman" w:eastAsia="宋体" w:cs="Times New Roman"/>
          <w:color w:val="auto"/>
          <w:sz w:val="24"/>
          <w:szCs w:val="24"/>
          <w:highlight w:val="none"/>
          <w:lang w:val="en-US" w:eastAsia="zh-CN"/>
        </w:rPr>
      </w:pPr>
      <w:r>
        <w:rPr>
          <w:rStyle w:val="5"/>
          <w:rFonts w:hint="eastAsia" w:ascii="Times New Roman" w:hAnsi="Times New Roman" w:eastAsia="宋体" w:cs="Times New Roman"/>
          <w:color w:val="auto"/>
          <w:sz w:val="24"/>
          <w:szCs w:val="24"/>
          <w:highlight w:val="none"/>
          <w:lang w:val="en-US" w:eastAsia="zh-CN"/>
        </w:rPr>
        <w:t>Differential Expression Analysis</w:t>
      </w:r>
    </w:p>
    <w:p w14:paraId="3DF3989C">
      <w:pPr>
        <w:spacing w:line="480" w:lineRule="auto"/>
        <w:rPr>
          <w:rStyle w:val="5"/>
          <w:rFonts w:hint="eastAsia" w:ascii="Times New Roman" w:hAnsi="Times New Roman" w:eastAsia="宋体" w:cs="Times New Roman"/>
          <w:b w:val="0"/>
          <w:bCs/>
          <w:color w:val="auto"/>
          <w:sz w:val="24"/>
          <w:szCs w:val="24"/>
          <w:highlight w:val="none"/>
          <w:lang w:val="en-US" w:eastAsia="zh-CN"/>
        </w:rPr>
      </w:pPr>
      <w:r>
        <w:rPr>
          <w:rStyle w:val="5"/>
          <w:rFonts w:hint="eastAsia" w:ascii="Times New Roman" w:hAnsi="Times New Roman" w:eastAsia="宋体" w:cs="Times New Roman"/>
          <w:b w:val="0"/>
          <w:bCs/>
          <w:color w:val="auto"/>
          <w:sz w:val="24"/>
          <w:szCs w:val="24"/>
          <w:highlight w:val="none"/>
          <w:lang w:val="en-US" w:eastAsia="zh-CN"/>
        </w:rPr>
        <w:t>To identify genes differentially expressed between RSA-defined high- and low-risk groups, the edgeR package was employed. The analysis used an overdispersed Poisson model with empirical Bayes shrinkage to account for biological variability. Gene expression was normalized as counts per million (CPM), and only genes with CPM &gt; 2 in at least two samples were included in the final analysis. Differential expression was determined using generalized linear models and likelihood ratio tests. Genes were deemed significantly differentially expressed if the P-value was less than 0.05 and the absolute log</w:t>
      </w:r>
      <w:r>
        <w:rPr>
          <w:rStyle w:val="5"/>
          <w:rFonts w:hint="default" w:ascii="Times New Roman" w:hAnsi="Times New Roman" w:eastAsia="宋体" w:cs="Times New Roman"/>
          <w:b w:val="0"/>
          <w:bCs/>
          <w:color w:val="auto"/>
          <w:sz w:val="24"/>
          <w:szCs w:val="24"/>
          <w:highlight w:val="none"/>
          <w:lang w:val="en-US" w:eastAsia="zh-CN"/>
        </w:rPr>
        <w:t>₂</w:t>
      </w:r>
      <w:r>
        <w:rPr>
          <w:rStyle w:val="5"/>
          <w:rFonts w:hint="eastAsia" w:ascii="Times New Roman" w:hAnsi="Times New Roman" w:cs="Times New Roman"/>
          <w:b w:val="0"/>
          <w:bCs/>
          <w:color w:val="auto"/>
          <w:sz w:val="24"/>
          <w:szCs w:val="24"/>
          <w:highlight w:val="none"/>
          <w:lang w:val="en-US" w:eastAsia="zh-CN"/>
        </w:rPr>
        <w:t xml:space="preserve"> </w:t>
      </w:r>
      <w:r>
        <w:rPr>
          <w:rStyle w:val="5"/>
          <w:rFonts w:hint="eastAsia" w:ascii="Times New Roman" w:hAnsi="Times New Roman" w:eastAsia="宋体" w:cs="Times New Roman"/>
          <w:b w:val="0"/>
          <w:bCs/>
          <w:color w:val="auto"/>
          <w:sz w:val="24"/>
          <w:szCs w:val="24"/>
          <w:highlight w:val="none"/>
          <w:lang w:val="en-US" w:eastAsia="zh-CN"/>
        </w:rPr>
        <w:t>fold change exceeded 1.0.</w:t>
      </w:r>
    </w:p>
    <w:p w14:paraId="05C9976E">
      <w:pPr>
        <w:spacing w:line="480" w:lineRule="auto"/>
        <w:rPr>
          <w:rStyle w:val="5"/>
          <w:rFonts w:hint="default" w:ascii="Times New Roman" w:hAnsi="Times New Roman" w:eastAsia="宋体" w:cs="Times New Roman"/>
          <w:color w:val="auto"/>
          <w:sz w:val="24"/>
          <w:szCs w:val="24"/>
          <w:highlight w:val="none"/>
        </w:rPr>
      </w:pPr>
      <w:r>
        <w:rPr>
          <w:rStyle w:val="5"/>
          <w:rFonts w:hint="default" w:ascii="Times New Roman" w:hAnsi="Times New Roman" w:eastAsia="宋体" w:cs="Times New Roman"/>
          <w:color w:val="auto"/>
          <w:sz w:val="24"/>
          <w:szCs w:val="24"/>
          <w:highlight w:val="none"/>
        </w:rPr>
        <w:t>Functional enrichment analyses</w:t>
      </w:r>
    </w:p>
    <w:p w14:paraId="3A7F87DF">
      <w:pPr>
        <w:spacing w:line="480" w:lineRule="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Gene Set Enrichment Analysis (GSEA) was performed to investigate biological differences between gene signatures</w:t>
      </w:r>
      <w:r>
        <w:rPr>
          <w:rFonts w:hint="eastAsia" w:ascii="Times New Roman" w:hAnsi="Times New Roman" w:eastAsia="宋体"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30</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rPr>
        <w:t>. Fifty hallmark gene sets from the Molecular Signatures Database (MSigDB) were utilized</w:t>
      </w:r>
      <w:r>
        <w:rPr>
          <w:rFonts w:hint="eastAsia" w:ascii="Times New Roman" w:hAnsi="Times New Roman" w:eastAsia="宋体"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31</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rPr>
        <w:t>. Standard GSEA was conducted on normalized expression data, with 1,000 permutations. To account for multiple testing, P-values were adjusted using the Benjamini–Hochberg method to control the false discovery rate (FDR). Gene sets with FDR-adjusted P-values &lt; 0.05 were considered significantly enriched.</w:t>
      </w:r>
    </w:p>
    <w:p w14:paraId="233AB295">
      <w:pPr>
        <w:spacing w:line="480" w:lineRule="auto"/>
        <w:rPr>
          <w:rStyle w:val="5"/>
          <w:rFonts w:hint="default" w:ascii="Times New Roman" w:hAnsi="Times New Roman" w:eastAsia="宋体" w:cs="Times New Roman"/>
          <w:color w:val="auto"/>
          <w:sz w:val="24"/>
          <w:szCs w:val="24"/>
          <w:highlight w:val="none"/>
        </w:rPr>
      </w:pPr>
      <w:r>
        <w:rPr>
          <w:rStyle w:val="5"/>
          <w:rFonts w:hint="default" w:ascii="Times New Roman" w:hAnsi="Times New Roman" w:eastAsia="宋体" w:cs="Times New Roman"/>
          <w:color w:val="auto"/>
          <w:sz w:val="24"/>
          <w:szCs w:val="24"/>
          <w:highlight w:val="none"/>
        </w:rPr>
        <w:t>Evaluation of immune activity</w:t>
      </w:r>
    </w:p>
    <w:p w14:paraId="123383E8">
      <w:pPr>
        <w:spacing w:line="480" w:lineRule="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Tumor immune activity was assessed using the ESTIMATE algorithm, which calculates an immune score for each sample based on gene expression profiles to reflect the level of immune cell infiltration</w:t>
      </w:r>
      <w:r>
        <w:rPr>
          <w:rFonts w:hint="eastAsia" w:ascii="Times New Roman" w:hAnsi="Times New Roman" w:eastAsia="宋体"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32</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rPr>
        <w:t>. Differences in immune scores between high- and low-risk groups were compared using the R package limma. P-values were adjusted using the Benjamini–Hochberg method, and features with FDR-adjusted P-values &lt; 0.05 were considered statistically significant.</w:t>
      </w:r>
    </w:p>
    <w:p w14:paraId="3FBBAC8A">
      <w:pPr>
        <w:spacing w:line="480" w:lineRule="auto"/>
        <w:rPr>
          <w:rFonts w:hint="default" w:ascii="Times New Roman" w:hAnsi="Times New Roman" w:eastAsia="宋体" w:cs="Times New Roman"/>
          <w:color w:val="auto"/>
          <w:sz w:val="24"/>
          <w:szCs w:val="24"/>
          <w:highlight w:val="none"/>
        </w:rPr>
      </w:pPr>
      <w:r>
        <w:rPr>
          <w:rStyle w:val="5"/>
          <w:rFonts w:hint="default" w:ascii="Times New Roman" w:hAnsi="Times New Roman" w:eastAsia="宋体" w:cs="Times New Roman"/>
          <w:color w:val="auto"/>
          <w:sz w:val="24"/>
          <w:szCs w:val="24"/>
          <w:highlight w:val="none"/>
        </w:rPr>
        <w:t>Immune infiltration</w:t>
      </w:r>
    </w:p>
    <w:p w14:paraId="2910D6BA">
      <w:pPr>
        <w:spacing w:line="480" w:lineRule="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CIBERSORTx was used to quantify the relative proportions of 22 infiltrating immune cell types in gastric cancer samples using the LM22 signature matrix [</w:t>
      </w:r>
      <w:r>
        <w:rPr>
          <w:rFonts w:hint="eastAsia" w:ascii="Times New Roman" w:hAnsi="Times New Roman" w:cs="Times New Roman"/>
          <w:color w:val="auto"/>
          <w:sz w:val="24"/>
          <w:szCs w:val="24"/>
          <w:highlight w:val="none"/>
          <w:lang w:val="en-US" w:eastAsia="zh-CN"/>
        </w:rPr>
        <w:t>33</w:t>
      </w:r>
      <w:r>
        <w:rPr>
          <w:rFonts w:hint="default" w:ascii="Times New Roman" w:hAnsi="Times New Roman" w:eastAsia="宋体" w:cs="Times New Roman"/>
          <w:color w:val="auto"/>
          <w:sz w:val="24"/>
          <w:szCs w:val="24"/>
          <w:highlight w:val="none"/>
        </w:rPr>
        <w:t>]. Analysis was performed in "absolute" mode with 1,000 permutations. Gene expression data were normalized following CIBERSORTx guidelines, and batch correction was disabled. The absolute score enabled robust between-sample comparisons of immune cell content. P-values obtained from group comparisons were corrected using the Benjamini–Hochberg method, and immune cell types with FDR-adjusted P-values &lt; 0.05 were considered statistically significant.</w:t>
      </w:r>
    </w:p>
    <w:p w14:paraId="76421F56">
      <w:pPr>
        <w:spacing w:line="480" w:lineRule="auto"/>
        <w:ind w:firstLine="480" w:firstLineChars="200"/>
        <w:rPr>
          <w:rFonts w:hint="eastAsia" w:ascii="Times New Roman" w:hAnsi="Times New Roman"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rPr>
        <w:t>To further assess immune and stromal cell infiltration, we utilized MCPcounter [</w:t>
      </w:r>
      <w:r>
        <w:rPr>
          <w:rFonts w:hint="eastAsia" w:ascii="Times New Roman" w:hAnsi="Times New Roman" w:cs="Times New Roman"/>
          <w:color w:val="auto"/>
          <w:sz w:val="24"/>
          <w:szCs w:val="24"/>
          <w:highlight w:val="none"/>
          <w:lang w:val="en-US" w:eastAsia="zh-CN"/>
        </w:rPr>
        <w:t>9</w:t>
      </w:r>
      <w:r>
        <w:rPr>
          <w:rFonts w:hint="default" w:ascii="Times New Roman" w:hAnsi="Times New Roman" w:eastAsia="宋体" w:cs="Times New Roman"/>
          <w:color w:val="auto"/>
          <w:sz w:val="24"/>
          <w:szCs w:val="24"/>
          <w:highlight w:val="none"/>
        </w:rPr>
        <w:t>], which estimates the abundance of eight immune cell populations, including CD4 positive T cells, CD8 positive T cells, natural killer cells, B lymphocytes, monocytes, myeloid dendritic cells, neutrophils, and cytotoxic lymphocytes, as well as two stromal cell types comprising fibroblasts and endothelial cells</w:t>
      </w:r>
      <w:r>
        <w:rPr>
          <w:rFonts w:hint="eastAsia" w:ascii="Times New Roman" w:hAnsi="Times New Roman" w:cs="Times New Roman"/>
          <w:color w:val="auto"/>
          <w:sz w:val="24"/>
          <w:szCs w:val="24"/>
          <w:highlight w:val="none"/>
          <w:lang w:val="en-US" w:eastAsia="zh-CN"/>
        </w:rPr>
        <w:t>.</w:t>
      </w:r>
    </w:p>
    <w:p w14:paraId="4DB0C054">
      <w:pPr>
        <w:spacing w:line="480" w:lineRule="auto"/>
        <w:rPr>
          <w:rFonts w:hint="eastAsia" w:ascii="Times New Roman" w:hAnsi="Times New Roman" w:cs="Times New Roman"/>
          <w:b/>
          <w:bCs/>
          <w:color w:val="auto"/>
          <w:sz w:val="24"/>
          <w:szCs w:val="24"/>
          <w:highlight w:val="none"/>
          <w:lang w:val="en-US" w:eastAsia="zh-CN"/>
        </w:rPr>
      </w:pPr>
      <w:r>
        <w:rPr>
          <w:rFonts w:hint="eastAsia" w:ascii="Times New Roman" w:hAnsi="Times New Roman" w:cs="Times New Roman"/>
          <w:b/>
          <w:bCs/>
          <w:color w:val="auto"/>
          <w:sz w:val="24"/>
          <w:szCs w:val="24"/>
          <w:highlight w:val="none"/>
          <w:lang w:val="en-US" w:eastAsia="zh-CN"/>
        </w:rPr>
        <w:t>Ecosystem Characterization using EcoTyper</w:t>
      </w:r>
    </w:p>
    <w:p w14:paraId="04E382FC">
      <w:pPr>
        <w:spacing w:line="480" w:lineRule="auto"/>
        <w:rPr>
          <w:rFonts w:hint="default" w:ascii="Times New Roman" w:hAnsi="Times New Roman"/>
          <w:color w:val="auto"/>
          <w:sz w:val="24"/>
          <w:szCs w:val="21"/>
          <w:highlight w:val="none"/>
          <w:lang w:val="en-US" w:eastAsia="zh-CN"/>
        </w:rPr>
      </w:pPr>
      <w:r>
        <w:rPr>
          <w:rFonts w:hint="default" w:ascii="Times New Roman" w:hAnsi="Times New Roman" w:eastAsia="宋体" w:cs="Times New Roman"/>
          <w:color w:val="auto"/>
          <w:sz w:val="24"/>
          <w:szCs w:val="24"/>
          <w:highlight w:val="none"/>
        </w:rPr>
        <w:t>EcoTyper v1.0 [</w:t>
      </w:r>
      <w:r>
        <w:rPr>
          <w:rFonts w:hint="eastAsia" w:ascii="Times New Roman" w:hAnsi="Times New Roman" w:cs="Times New Roman"/>
          <w:color w:val="auto"/>
          <w:sz w:val="24"/>
          <w:szCs w:val="24"/>
          <w:highlight w:val="none"/>
          <w:lang w:val="en-US" w:eastAsia="zh-CN"/>
        </w:rPr>
        <w:t>34</w:t>
      </w:r>
      <w:r>
        <w:rPr>
          <w:rFonts w:hint="default" w:ascii="Times New Roman" w:hAnsi="Times New Roman" w:eastAsia="宋体" w:cs="Times New Roman"/>
          <w:color w:val="auto"/>
          <w:sz w:val="24"/>
          <w:szCs w:val="24"/>
          <w:highlight w:val="none"/>
        </w:rPr>
        <w:t>,</w:t>
      </w:r>
      <w:r>
        <w:rPr>
          <w:rFonts w:hint="eastAsia" w:ascii="Times New Roman" w:hAnsi="Times New Roman" w:cs="Times New Roman"/>
          <w:color w:val="auto"/>
          <w:sz w:val="24"/>
          <w:szCs w:val="24"/>
          <w:highlight w:val="none"/>
          <w:lang w:val="en-US" w:eastAsia="zh-CN"/>
        </w:rPr>
        <w:t>35</w:t>
      </w:r>
      <w:bookmarkStart w:id="0" w:name="_GoBack"/>
      <w:bookmarkEnd w:id="0"/>
      <w:r>
        <w:rPr>
          <w:rFonts w:hint="default" w:ascii="Times New Roman" w:hAnsi="Times New Roman" w:eastAsia="宋体" w:cs="Times New Roman"/>
          <w:color w:val="auto"/>
          <w:sz w:val="24"/>
          <w:szCs w:val="24"/>
          <w:highlight w:val="none"/>
        </w:rPr>
        <w:t>] was used to infer immune-related cell states and multicellular ecosystems (CEs) from bulk RNA-seq data. The pipeline was executed using default parameters with pre-trained models available at https://ecotyper.stanford.edu/. Prior to analysis, expression matrices were log₂-transformed and quantile normalized to match the input requirements of the tool. EcoTyper identifies recurrent cell states and their co-occurrence patterns across carcinomas, which were then mapped in our gastric cancer cohort to elucidate immune ecosystem heterogeneity.</w:t>
      </w:r>
    </w:p>
    <w:p w14:paraId="728BF524">
      <w:pPr>
        <w:spacing w:line="480" w:lineRule="auto"/>
        <w:rPr>
          <w:rStyle w:val="5"/>
          <w:rFonts w:hint="eastAsia" w:ascii="Times New Roman" w:hAnsi="Times New Roman" w:eastAsia="宋体" w:cs="Times New Roman"/>
          <w:color w:val="auto"/>
          <w:sz w:val="24"/>
          <w:szCs w:val="24"/>
          <w:highlight w:val="none"/>
          <w:lang w:val="en-US" w:eastAsia="zh-CN"/>
        </w:rPr>
      </w:pPr>
      <w:r>
        <w:rPr>
          <w:rStyle w:val="5"/>
          <w:rFonts w:hint="eastAsia" w:ascii="Times New Roman" w:hAnsi="Times New Roman" w:eastAsia="宋体" w:cs="Times New Roman"/>
          <w:color w:val="auto"/>
          <w:sz w:val="24"/>
          <w:szCs w:val="24"/>
          <w:highlight w:val="none"/>
          <w:lang w:val="en-US" w:eastAsia="zh-CN"/>
        </w:rPr>
        <w:t>Statistical analysis</w:t>
      </w:r>
    </w:p>
    <w:p w14:paraId="7C8B9D97">
      <w:pPr>
        <w:spacing w:line="480" w:lineRule="auto"/>
        <w:rPr>
          <w:rFonts w:hint="eastAsia" w:ascii="Times New Roman" w:hAnsi="Times New Roman"/>
          <w:color w:val="auto"/>
          <w:sz w:val="24"/>
          <w:szCs w:val="21"/>
          <w:highlight w:val="none"/>
        </w:rPr>
      </w:pPr>
      <w:r>
        <w:rPr>
          <w:rFonts w:hint="eastAsia" w:ascii="Times New Roman" w:hAnsi="Times New Roman"/>
          <w:color w:val="auto"/>
          <w:sz w:val="24"/>
          <w:szCs w:val="21"/>
          <w:highlight w:val="none"/>
        </w:rPr>
        <w:t>Categorical data were summarized using counts and percentages, with group comparisons performed via the chi-square test or Fisher</w:t>
      </w:r>
      <w:r>
        <w:rPr>
          <w:rFonts w:hint="default" w:ascii="Times New Roman" w:hAnsi="Times New Roman"/>
          <w:color w:val="auto"/>
          <w:sz w:val="24"/>
          <w:szCs w:val="21"/>
          <w:highlight w:val="none"/>
          <w:lang w:val="en-US" w:eastAsia="zh-CN"/>
        </w:rPr>
        <w:t>’</w:t>
      </w:r>
      <w:r>
        <w:rPr>
          <w:rFonts w:hint="eastAsia" w:ascii="Times New Roman" w:hAnsi="Times New Roman"/>
          <w:color w:val="auto"/>
          <w:sz w:val="24"/>
          <w:szCs w:val="21"/>
          <w:highlight w:val="none"/>
        </w:rPr>
        <w:t>s exact test when appropriate. Continuous variables were reported as medians with interquartile ranges (IQRs), and differences between groups were assessed using the Mann–Whitney U test. Feature selection was implemented using the least absolute shrinkage and selection operator (LASSO) method through the glmnet package. To explore associations with early postoperative recurrence, univariate logistic regression was initially applied, followed by multivariate logistic regression to identify independent predictive variables.</w:t>
      </w:r>
    </w:p>
    <w:p w14:paraId="7D9C1E5B">
      <w:pPr>
        <w:spacing w:line="480" w:lineRule="auto"/>
        <w:ind w:firstLine="480" w:firstLineChars="200"/>
        <w:rPr>
          <w:rFonts w:hint="eastAsia" w:ascii="Times New Roman" w:hAnsi="Times New Roman"/>
          <w:color w:val="auto"/>
          <w:sz w:val="24"/>
          <w:szCs w:val="21"/>
          <w:highlight w:val="none"/>
        </w:rPr>
      </w:pPr>
      <w:r>
        <w:rPr>
          <w:rFonts w:hint="eastAsia" w:ascii="Times New Roman" w:hAnsi="Times New Roman"/>
          <w:color w:val="auto"/>
          <w:sz w:val="24"/>
          <w:szCs w:val="21"/>
          <w:highlight w:val="none"/>
        </w:rPr>
        <w:t>Kaplan</w:t>
      </w:r>
      <w:r>
        <w:rPr>
          <w:rFonts w:hint="eastAsia" w:ascii="Times New Roman" w:hAnsi="Times New Roman"/>
          <w:color w:val="auto"/>
          <w:sz w:val="24"/>
          <w:szCs w:val="21"/>
          <w:highlight w:val="none"/>
          <w:lang w:val="en-US" w:eastAsia="zh-CN"/>
        </w:rPr>
        <w:t>-</w:t>
      </w:r>
      <w:r>
        <w:rPr>
          <w:rFonts w:hint="eastAsia" w:ascii="Times New Roman" w:hAnsi="Times New Roman"/>
          <w:color w:val="auto"/>
          <w:sz w:val="24"/>
          <w:szCs w:val="21"/>
          <w:highlight w:val="none"/>
        </w:rPr>
        <w:t>Meier survival analysis was conducted to estimate survival distributions, with comparisons made using the log-rank test. Hazard ratios (HRs) were calculated from the regression outputs. Calibration curves were drawn to examine the consistency between predicted probabilities and actual survival outcomes. The rms package was used for regression modeling, nomogram development, and calibration assessment.</w:t>
      </w:r>
      <w:r>
        <w:rPr>
          <w:rFonts w:hint="eastAsia" w:ascii="Times New Roman" w:hAnsi="Times New Roman"/>
          <w:color w:val="auto"/>
          <w:sz w:val="24"/>
          <w:szCs w:val="21"/>
          <w:highlight w:val="none"/>
          <w:lang w:val="en-US" w:eastAsia="zh-CN"/>
        </w:rPr>
        <w:t xml:space="preserve"> </w:t>
      </w:r>
      <w:r>
        <w:rPr>
          <w:rFonts w:hint="eastAsia" w:ascii="Times New Roman" w:hAnsi="Times New Roman"/>
          <w:color w:val="auto"/>
          <w:sz w:val="24"/>
          <w:szCs w:val="21"/>
          <w:highlight w:val="none"/>
        </w:rPr>
        <w:t>To evaluate discrimination ability, the area under the receiver operating characteristic (ROC) curve (AUC) was calculated at predefined time intervals. Differences in AUC values across models were compared using the pROC package. All statistical analyses were two-sided, and P values less than 0.05 were deemed statistically significant.</w:t>
      </w:r>
    </w:p>
    <w:p w14:paraId="375345C7">
      <w:pPr>
        <w:spacing w:line="480" w:lineRule="auto"/>
        <w:rPr>
          <w:rFonts w:hint="eastAsia" w:ascii="Times New Roman" w:hAnsi="Times New Roman"/>
          <w:color w:val="auto"/>
          <w:sz w:val="24"/>
          <w:szCs w:val="21"/>
          <w:highlight w:val="none"/>
        </w:rPr>
      </w:pPr>
    </w:p>
    <w:p w14:paraId="42A7EB07">
      <w:pPr>
        <w:spacing w:line="480" w:lineRule="auto"/>
        <w:rPr>
          <w:rFonts w:hint="eastAsia" w:ascii="Times New Roman" w:hAnsi="Times New Roman"/>
          <w:b/>
          <w:bCs/>
          <w:color w:val="auto"/>
          <w:sz w:val="24"/>
          <w:szCs w:val="21"/>
          <w:highlight w:val="none"/>
          <w:lang w:val="en-US" w:eastAsia="zh-CN"/>
        </w:rPr>
      </w:pPr>
      <w:r>
        <w:rPr>
          <w:rFonts w:hint="eastAsia" w:ascii="Times New Roman" w:hAnsi="Times New Roman"/>
          <w:b/>
          <w:bCs/>
          <w:color w:val="auto"/>
          <w:sz w:val="24"/>
          <w:szCs w:val="21"/>
          <w:highlight w:val="none"/>
          <w:lang w:val="en-US" w:eastAsia="zh-CN"/>
        </w:rPr>
        <w:t>Reference</w:t>
      </w:r>
    </w:p>
    <w:p w14:paraId="76CB9B02">
      <w:pPr>
        <w:numPr>
          <w:ilvl w:val="0"/>
          <w:numId w:val="0"/>
        </w:numPr>
        <w:spacing w:line="480" w:lineRule="auto"/>
        <w:rPr>
          <w:rFonts w:hint="eastAsia" w:ascii="Times New Roman" w:hAnsi="Times New Roman" w:eastAsia="宋体" w:cs="Times New Roman"/>
          <w:b w:val="0"/>
          <w:bCs w:val="0"/>
          <w:color w:val="auto"/>
          <w:kern w:val="2"/>
          <w:sz w:val="24"/>
          <w:szCs w:val="21"/>
          <w:highlight w:val="none"/>
          <w:lang w:val="en-US" w:eastAsia="zh-CN" w:bidi="ar-SA"/>
        </w:rPr>
      </w:pPr>
      <w:r>
        <w:rPr>
          <w:rFonts w:hint="eastAsia" w:ascii="Times New Roman" w:hAnsi="Times New Roman" w:eastAsia="宋体" w:cs="Times New Roman"/>
          <w:b w:val="0"/>
          <w:bCs w:val="0"/>
          <w:color w:val="auto"/>
          <w:kern w:val="2"/>
          <w:sz w:val="24"/>
          <w:szCs w:val="21"/>
          <w:highlight w:val="none"/>
          <w:lang w:val="en-US" w:eastAsia="zh-CN" w:bidi="ar-SA"/>
        </w:rPr>
        <w:t>[</w:t>
      </w:r>
      <w:r>
        <w:rPr>
          <w:rFonts w:hint="eastAsia" w:ascii="Times New Roman" w:hAnsi="Times New Roman" w:cs="Times New Roman"/>
          <w:b w:val="0"/>
          <w:bCs w:val="0"/>
          <w:color w:val="auto"/>
          <w:kern w:val="2"/>
          <w:sz w:val="24"/>
          <w:szCs w:val="21"/>
          <w:highlight w:val="none"/>
          <w:lang w:val="en-US" w:eastAsia="zh-CN" w:bidi="ar-SA"/>
        </w:rPr>
        <w:t>26</w:t>
      </w:r>
      <w:r>
        <w:rPr>
          <w:rFonts w:hint="eastAsia" w:ascii="Times New Roman" w:hAnsi="Times New Roman" w:eastAsia="宋体" w:cs="Times New Roman"/>
          <w:b w:val="0"/>
          <w:bCs w:val="0"/>
          <w:color w:val="auto"/>
          <w:kern w:val="2"/>
          <w:sz w:val="24"/>
          <w:szCs w:val="21"/>
          <w:highlight w:val="none"/>
          <w:lang w:val="en-US" w:eastAsia="zh-CN" w:bidi="ar-SA"/>
        </w:rPr>
        <w:t>]Langmead B, Salzberg SL. Fast gapped-read alignment with Bowtie 2. Nat Methods. 2012 Mar 4;9(4):357-9. doi: 10.1038/nmeth.1923.</w:t>
      </w:r>
    </w:p>
    <w:p w14:paraId="30712C54">
      <w:pPr>
        <w:numPr>
          <w:ilvl w:val="0"/>
          <w:numId w:val="0"/>
        </w:numPr>
        <w:spacing w:line="480" w:lineRule="auto"/>
        <w:rPr>
          <w:rFonts w:hint="eastAsia" w:ascii="Times New Roman" w:hAnsi="Times New Roman" w:eastAsia="宋体" w:cs="Times New Roman"/>
          <w:b w:val="0"/>
          <w:bCs w:val="0"/>
          <w:color w:val="auto"/>
          <w:kern w:val="2"/>
          <w:sz w:val="24"/>
          <w:szCs w:val="21"/>
          <w:highlight w:val="none"/>
          <w:lang w:val="en-US" w:eastAsia="zh-CN" w:bidi="ar-SA"/>
        </w:rPr>
      </w:pPr>
      <w:r>
        <w:rPr>
          <w:rFonts w:hint="eastAsia" w:ascii="Times New Roman" w:hAnsi="Times New Roman" w:eastAsia="宋体" w:cs="Times New Roman"/>
          <w:b w:val="0"/>
          <w:bCs w:val="0"/>
          <w:color w:val="auto"/>
          <w:kern w:val="2"/>
          <w:sz w:val="24"/>
          <w:szCs w:val="21"/>
          <w:highlight w:val="none"/>
          <w:lang w:val="en-US" w:eastAsia="zh-CN" w:bidi="ar-SA"/>
        </w:rPr>
        <w:t>[</w:t>
      </w:r>
      <w:r>
        <w:rPr>
          <w:rFonts w:hint="eastAsia" w:ascii="Times New Roman" w:hAnsi="Times New Roman" w:cs="Times New Roman"/>
          <w:b w:val="0"/>
          <w:bCs w:val="0"/>
          <w:color w:val="auto"/>
          <w:kern w:val="2"/>
          <w:sz w:val="24"/>
          <w:szCs w:val="21"/>
          <w:highlight w:val="none"/>
          <w:lang w:val="en-US" w:eastAsia="zh-CN" w:bidi="ar-SA"/>
        </w:rPr>
        <w:t>27</w:t>
      </w:r>
      <w:r>
        <w:rPr>
          <w:rFonts w:hint="eastAsia" w:ascii="Times New Roman" w:hAnsi="Times New Roman" w:eastAsia="宋体" w:cs="Times New Roman"/>
          <w:b w:val="0"/>
          <w:bCs w:val="0"/>
          <w:color w:val="auto"/>
          <w:kern w:val="2"/>
          <w:sz w:val="24"/>
          <w:szCs w:val="21"/>
          <w:highlight w:val="none"/>
          <w:lang w:val="en-US" w:eastAsia="zh-CN" w:bidi="ar-SA"/>
        </w:rPr>
        <w:t>]Kim D, Langmead B, Salzberg SL. HISAT: a fast spliced aligner with low memory requirements. Nat Methods. 2015 Apr;12(4):357-60. doi: 10.1038/nmeth.3317. </w:t>
      </w:r>
    </w:p>
    <w:p w14:paraId="1D5DD6D1">
      <w:pPr>
        <w:numPr>
          <w:ilvl w:val="0"/>
          <w:numId w:val="0"/>
        </w:numPr>
        <w:spacing w:line="480" w:lineRule="auto"/>
        <w:rPr>
          <w:rFonts w:hint="eastAsia" w:ascii="Times New Roman" w:hAnsi="Times New Roman" w:eastAsia="宋体" w:cs="Times New Roman"/>
          <w:b w:val="0"/>
          <w:bCs w:val="0"/>
          <w:color w:val="auto"/>
          <w:kern w:val="2"/>
          <w:sz w:val="24"/>
          <w:szCs w:val="21"/>
          <w:highlight w:val="none"/>
          <w:lang w:val="en-US" w:eastAsia="zh-CN" w:bidi="ar-SA"/>
        </w:rPr>
      </w:pPr>
      <w:r>
        <w:rPr>
          <w:rFonts w:hint="eastAsia" w:ascii="Times New Roman" w:hAnsi="Times New Roman" w:eastAsia="宋体" w:cs="Times New Roman"/>
          <w:b w:val="0"/>
          <w:bCs w:val="0"/>
          <w:color w:val="auto"/>
          <w:kern w:val="2"/>
          <w:sz w:val="24"/>
          <w:szCs w:val="21"/>
          <w:highlight w:val="none"/>
          <w:lang w:val="en-US" w:eastAsia="zh-CN" w:bidi="ar-SA"/>
        </w:rPr>
        <w:t>[</w:t>
      </w:r>
      <w:r>
        <w:rPr>
          <w:rFonts w:hint="eastAsia" w:ascii="Times New Roman" w:hAnsi="Times New Roman" w:cs="Times New Roman"/>
          <w:b w:val="0"/>
          <w:bCs w:val="0"/>
          <w:color w:val="auto"/>
          <w:kern w:val="2"/>
          <w:sz w:val="24"/>
          <w:szCs w:val="21"/>
          <w:highlight w:val="none"/>
          <w:lang w:val="en-US" w:eastAsia="zh-CN" w:bidi="ar-SA"/>
        </w:rPr>
        <w:t>28</w:t>
      </w:r>
      <w:r>
        <w:rPr>
          <w:rFonts w:hint="eastAsia" w:ascii="Times New Roman" w:hAnsi="Times New Roman" w:eastAsia="宋体" w:cs="Times New Roman"/>
          <w:b w:val="0"/>
          <w:bCs w:val="0"/>
          <w:color w:val="auto"/>
          <w:kern w:val="2"/>
          <w:sz w:val="24"/>
          <w:szCs w:val="21"/>
          <w:highlight w:val="none"/>
          <w:lang w:val="en-US" w:eastAsia="zh-CN" w:bidi="ar-SA"/>
        </w:rPr>
        <w:t>]Pertea M, Pertea GM, Antonescu CM, Chang TC, Mendell JT, Salzberg SL. StringTie enables improved reconstruction of a transcriptome from RNA-seq reads. Nat Biotechnol. 2015 Mar;33(3):290-5. doi: 10.1038/nbt.3122.</w:t>
      </w:r>
    </w:p>
    <w:p w14:paraId="0FCEEF2E">
      <w:pPr>
        <w:numPr>
          <w:ilvl w:val="0"/>
          <w:numId w:val="0"/>
        </w:numPr>
        <w:spacing w:line="480" w:lineRule="auto"/>
        <w:rPr>
          <w:rFonts w:hint="eastAsia" w:ascii="Times New Roman" w:hAnsi="Times New Roman" w:eastAsia="宋体" w:cs="Times New Roman"/>
          <w:b w:val="0"/>
          <w:bCs w:val="0"/>
          <w:color w:val="auto"/>
          <w:kern w:val="2"/>
          <w:sz w:val="24"/>
          <w:szCs w:val="21"/>
          <w:highlight w:val="none"/>
          <w:lang w:val="en-US" w:eastAsia="zh-CN" w:bidi="ar-SA"/>
        </w:rPr>
      </w:pPr>
      <w:r>
        <w:rPr>
          <w:rFonts w:hint="eastAsia" w:ascii="Times New Roman" w:hAnsi="Times New Roman" w:eastAsia="宋体" w:cs="Times New Roman"/>
          <w:b w:val="0"/>
          <w:bCs w:val="0"/>
          <w:color w:val="auto"/>
          <w:kern w:val="2"/>
          <w:sz w:val="24"/>
          <w:szCs w:val="21"/>
          <w:highlight w:val="none"/>
          <w:lang w:val="en-US" w:eastAsia="zh-CN" w:bidi="ar-SA"/>
        </w:rPr>
        <w:t>[</w:t>
      </w:r>
      <w:r>
        <w:rPr>
          <w:rFonts w:hint="eastAsia" w:ascii="Times New Roman" w:hAnsi="Times New Roman" w:cs="Times New Roman"/>
          <w:b w:val="0"/>
          <w:bCs w:val="0"/>
          <w:color w:val="auto"/>
          <w:kern w:val="2"/>
          <w:sz w:val="24"/>
          <w:szCs w:val="21"/>
          <w:highlight w:val="none"/>
          <w:lang w:val="en-US" w:eastAsia="zh-CN" w:bidi="ar-SA"/>
        </w:rPr>
        <w:t>29</w:t>
      </w:r>
      <w:r>
        <w:rPr>
          <w:rFonts w:hint="eastAsia" w:ascii="Times New Roman" w:hAnsi="Times New Roman" w:eastAsia="宋体" w:cs="Times New Roman"/>
          <w:b w:val="0"/>
          <w:bCs w:val="0"/>
          <w:color w:val="auto"/>
          <w:kern w:val="2"/>
          <w:sz w:val="24"/>
          <w:szCs w:val="21"/>
          <w:highlight w:val="none"/>
          <w:lang w:val="en-US" w:eastAsia="zh-CN" w:bidi="ar-SA"/>
        </w:rPr>
        <w:t>]Li B, Dewey CN. RSEM: accurate transcript quantification from RNA-Seq data with or without a reference genome. BMC Bioinformatics. 2011 Aug 4;12:323. doi: 10.1186/1471-2105-12-323.</w:t>
      </w:r>
    </w:p>
    <w:p w14:paraId="0047FB8E">
      <w:pPr>
        <w:numPr>
          <w:ilvl w:val="0"/>
          <w:numId w:val="0"/>
        </w:numPr>
        <w:spacing w:line="480" w:lineRule="auto"/>
        <w:rPr>
          <w:rFonts w:hint="eastAsia" w:ascii="Times New Roman" w:hAnsi="Times New Roman" w:eastAsia="宋体" w:cs="Times New Roman"/>
          <w:b w:val="0"/>
          <w:bCs w:val="0"/>
          <w:color w:val="auto"/>
          <w:kern w:val="2"/>
          <w:sz w:val="24"/>
          <w:szCs w:val="21"/>
          <w:highlight w:val="none"/>
          <w:lang w:val="en-US" w:eastAsia="zh-CN" w:bidi="ar-SA"/>
        </w:rPr>
      </w:pPr>
      <w:r>
        <w:rPr>
          <w:rFonts w:hint="eastAsia" w:ascii="Times New Roman" w:hAnsi="Times New Roman" w:eastAsia="宋体" w:cs="Times New Roman"/>
          <w:b w:val="0"/>
          <w:bCs w:val="0"/>
          <w:color w:val="auto"/>
          <w:kern w:val="2"/>
          <w:sz w:val="24"/>
          <w:szCs w:val="21"/>
          <w:highlight w:val="none"/>
          <w:lang w:val="en-US" w:eastAsia="zh-CN" w:bidi="ar-SA"/>
        </w:rPr>
        <w:t>[</w:t>
      </w:r>
      <w:r>
        <w:rPr>
          <w:rFonts w:hint="eastAsia" w:ascii="Times New Roman" w:hAnsi="Times New Roman" w:cs="Times New Roman"/>
          <w:b w:val="0"/>
          <w:bCs w:val="0"/>
          <w:color w:val="auto"/>
          <w:kern w:val="2"/>
          <w:sz w:val="24"/>
          <w:szCs w:val="21"/>
          <w:highlight w:val="none"/>
          <w:lang w:val="en-US" w:eastAsia="zh-CN" w:bidi="ar-SA"/>
        </w:rPr>
        <w:t>30</w:t>
      </w:r>
      <w:r>
        <w:rPr>
          <w:rFonts w:hint="eastAsia" w:ascii="Times New Roman" w:hAnsi="Times New Roman" w:eastAsia="宋体" w:cs="Times New Roman"/>
          <w:b w:val="0"/>
          <w:bCs w:val="0"/>
          <w:color w:val="auto"/>
          <w:kern w:val="2"/>
          <w:sz w:val="24"/>
          <w:szCs w:val="21"/>
          <w:highlight w:val="none"/>
          <w:lang w:val="en-US" w:eastAsia="zh-CN" w:bidi="ar-SA"/>
        </w:rPr>
        <w:t>]Bera K, Braman N, Gupta A, Velcheti V, Madabhushi A. Predicting cancer outcomes with radiomics and artificial intelligence in radiology. Nat Rev Clin Oncol. 2022 Feb;19(2):132-146. doi: 10.1038/s41571-021-00560-7.</w:t>
      </w:r>
    </w:p>
    <w:p w14:paraId="606E444A">
      <w:pPr>
        <w:numPr>
          <w:ilvl w:val="0"/>
          <w:numId w:val="0"/>
        </w:numPr>
        <w:spacing w:line="480" w:lineRule="auto"/>
        <w:rPr>
          <w:rFonts w:hint="eastAsia" w:ascii="Times New Roman" w:hAnsi="Times New Roman" w:eastAsia="宋体" w:cs="Times New Roman"/>
          <w:b w:val="0"/>
          <w:bCs w:val="0"/>
          <w:color w:val="auto"/>
          <w:kern w:val="2"/>
          <w:sz w:val="24"/>
          <w:szCs w:val="21"/>
          <w:highlight w:val="none"/>
          <w:lang w:val="en-US" w:eastAsia="zh-CN" w:bidi="ar-SA"/>
        </w:rPr>
      </w:pPr>
      <w:r>
        <w:rPr>
          <w:rFonts w:hint="eastAsia" w:ascii="Times New Roman" w:hAnsi="Times New Roman" w:eastAsia="宋体" w:cs="Times New Roman"/>
          <w:b w:val="0"/>
          <w:bCs w:val="0"/>
          <w:color w:val="auto"/>
          <w:kern w:val="2"/>
          <w:sz w:val="24"/>
          <w:szCs w:val="21"/>
          <w:highlight w:val="none"/>
          <w:lang w:val="en-US" w:eastAsia="zh-CN" w:bidi="ar-SA"/>
        </w:rPr>
        <w:t>[</w:t>
      </w:r>
      <w:r>
        <w:rPr>
          <w:rFonts w:hint="eastAsia" w:ascii="Times New Roman" w:hAnsi="Times New Roman" w:cs="Times New Roman"/>
          <w:b w:val="0"/>
          <w:bCs w:val="0"/>
          <w:color w:val="auto"/>
          <w:kern w:val="2"/>
          <w:sz w:val="24"/>
          <w:szCs w:val="21"/>
          <w:highlight w:val="none"/>
          <w:lang w:val="en-US" w:eastAsia="zh-CN" w:bidi="ar-SA"/>
        </w:rPr>
        <w:t>31</w:t>
      </w:r>
      <w:r>
        <w:rPr>
          <w:rFonts w:hint="eastAsia" w:ascii="Times New Roman" w:hAnsi="Times New Roman" w:eastAsia="宋体" w:cs="Times New Roman"/>
          <w:b w:val="0"/>
          <w:bCs w:val="0"/>
          <w:color w:val="auto"/>
          <w:kern w:val="2"/>
          <w:sz w:val="24"/>
          <w:szCs w:val="21"/>
          <w:highlight w:val="none"/>
          <w:lang w:val="en-US" w:eastAsia="zh-CN" w:bidi="ar-SA"/>
        </w:rPr>
        <w:t>]Wang Z, Fang M, Zhang J, Tang L, Zhong L, Li H, Cao R, Zhao X, Liu S, Zhang R, Xie X, Mai H, Qiu S, Tian J, Dong D. Radiomics and Deep Learning in Nasopharyngeal Carcinoma: A Review. IEEE Rev Biomed Eng. 2024;17:118-135. doi: 10.1109/RBME.2023.3269776.</w:t>
      </w:r>
    </w:p>
    <w:p w14:paraId="3FC10DBC">
      <w:pPr>
        <w:numPr>
          <w:ilvl w:val="0"/>
          <w:numId w:val="0"/>
        </w:numPr>
        <w:spacing w:line="480" w:lineRule="auto"/>
        <w:rPr>
          <w:rFonts w:hint="eastAsia" w:ascii="Times New Roman" w:hAnsi="Times New Roman" w:eastAsia="宋体" w:cs="Times New Roman"/>
          <w:b w:val="0"/>
          <w:bCs w:val="0"/>
          <w:color w:val="auto"/>
          <w:kern w:val="2"/>
          <w:sz w:val="24"/>
          <w:szCs w:val="21"/>
          <w:highlight w:val="none"/>
          <w:lang w:val="en-US" w:eastAsia="zh-CN" w:bidi="ar-SA"/>
        </w:rPr>
      </w:pPr>
      <w:r>
        <w:rPr>
          <w:rFonts w:hint="eastAsia" w:ascii="Times New Roman" w:hAnsi="Times New Roman" w:eastAsia="宋体" w:cs="Times New Roman"/>
          <w:b w:val="0"/>
          <w:bCs w:val="0"/>
          <w:color w:val="auto"/>
          <w:kern w:val="2"/>
          <w:sz w:val="24"/>
          <w:szCs w:val="21"/>
          <w:highlight w:val="none"/>
          <w:lang w:val="en-US" w:eastAsia="zh-CN" w:bidi="ar-SA"/>
        </w:rPr>
        <w:t>[</w:t>
      </w:r>
      <w:r>
        <w:rPr>
          <w:rFonts w:hint="eastAsia" w:ascii="Times New Roman" w:hAnsi="Times New Roman" w:cs="Times New Roman"/>
          <w:b w:val="0"/>
          <w:bCs w:val="0"/>
          <w:color w:val="auto"/>
          <w:kern w:val="2"/>
          <w:sz w:val="24"/>
          <w:szCs w:val="21"/>
          <w:highlight w:val="none"/>
          <w:lang w:val="en-US" w:eastAsia="zh-CN" w:bidi="ar-SA"/>
        </w:rPr>
        <w:t>32</w:t>
      </w:r>
      <w:r>
        <w:rPr>
          <w:rFonts w:hint="eastAsia" w:ascii="Times New Roman" w:hAnsi="Times New Roman" w:eastAsia="宋体" w:cs="Times New Roman"/>
          <w:b w:val="0"/>
          <w:bCs w:val="0"/>
          <w:color w:val="auto"/>
          <w:kern w:val="2"/>
          <w:sz w:val="24"/>
          <w:szCs w:val="21"/>
          <w:highlight w:val="none"/>
          <w:lang w:val="en-US" w:eastAsia="zh-CN" w:bidi="ar-SA"/>
        </w:rPr>
        <w:t>]Yoshihara K, Shahmoradgoli M, Martínez E, Vegesna R, Kim H, Torres-Garcia W, Treviño V, Shen H, Laird PW, Levine DA, Carter SL, Getz G, Stemke-Hale K, Mills GB, Verhaak RG. Inferring tumour purity and stromal and immune cell admixture from expression data. Nat Commun. 2013;4:2612. doi: 10.1038/ncomms3612.</w:t>
      </w:r>
    </w:p>
    <w:p w14:paraId="7DFB8C90">
      <w:pPr>
        <w:numPr>
          <w:ilvl w:val="0"/>
          <w:numId w:val="0"/>
        </w:numPr>
        <w:spacing w:line="480" w:lineRule="auto"/>
        <w:rPr>
          <w:rFonts w:hint="eastAsia" w:ascii="Times New Roman" w:hAnsi="Times New Roman" w:eastAsia="宋体" w:cs="Times New Roman"/>
          <w:b w:val="0"/>
          <w:bCs w:val="0"/>
          <w:color w:val="auto"/>
          <w:kern w:val="2"/>
          <w:sz w:val="24"/>
          <w:szCs w:val="21"/>
          <w:highlight w:val="none"/>
          <w:lang w:val="en-US" w:eastAsia="zh-CN" w:bidi="ar-SA"/>
        </w:rPr>
      </w:pPr>
      <w:r>
        <w:rPr>
          <w:rFonts w:hint="eastAsia" w:ascii="Times New Roman" w:hAnsi="Times New Roman" w:eastAsia="宋体" w:cs="Times New Roman"/>
          <w:b w:val="0"/>
          <w:bCs w:val="0"/>
          <w:color w:val="auto"/>
          <w:kern w:val="2"/>
          <w:sz w:val="24"/>
          <w:szCs w:val="21"/>
          <w:highlight w:val="none"/>
          <w:lang w:val="en-US" w:eastAsia="zh-CN" w:bidi="ar-SA"/>
        </w:rPr>
        <w:t>[</w:t>
      </w:r>
      <w:r>
        <w:rPr>
          <w:rFonts w:hint="eastAsia" w:ascii="Times New Roman" w:hAnsi="Times New Roman" w:cs="Times New Roman"/>
          <w:b w:val="0"/>
          <w:bCs w:val="0"/>
          <w:color w:val="auto"/>
          <w:kern w:val="2"/>
          <w:sz w:val="24"/>
          <w:szCs w:val="21"/>
          <w:highlight w:val="none"/>
          <w:lang w:val="en-US" w:eastAsia="zh-CN" w:bidi="ar-SA"/>
        </w:rPr>
        <w:t>33</w:t>
      </w:r>
      <w:r>
        <w:rPr>
          <w:rFonts w:hint="eastAsia" w:ascii="Times New Roman" w:hAnsi="Times New Roman" w:eastAsia="宋体" w:cs="Times New Roman"/>
          <w:b w:val="0"/>
          <w:bCs w:val="0"/>
          <w:color w:val="auto"/>
          <w:kern w:val="2"/>
          <w:sz w:val="24"/>
          <w:szCs w:val="21"/>
          <w:highlight w:val="none"/>
          <w:lang w:val="en-US" w:eastAsia="zh-CN" w:bidi="ar-SA"/>
        </w:rPr>
        <w:t>]Newman AM, Liu CL, Green MR, Gentles AJ, Feng W, Xu Y, Hoang CD, Diehn M, Alizadeh AA. Robust enumeration of cell subsets from tissue expression profiles. Nat Methods. 2015 May;12(5):453-7. doi: 10.1038/nmeth.3337.</w:t>
      </w:r>
    </w:p>
    <w:p w14:paraId="36E3F047">
      <w:pPr>
        <w:numPr>
          <w:ilvl w:val="0"/>
          <w:numId w:val="0"/>
        </w:numPr>
        <w:spacing w:line="480" w:lineRule="auto"/>
        <w:rPr>
          <w:rFonts w:hint="eastAsia" w:ascii="Times New Roman" w:hAnsi="Times New Roman" w:eastAsia="宋体" w:cs="Times New Roman"/>
          <w:b w:val="0"/>
          <w:bCs w:val="0"/>
          <w:color w:val="auto"/>
          <w:kern w:val="2"/>
          <w:sz w:val="24"/>
          <w:szCs w:val="21"/>
          <w:highlight w:val="none"/>
          <w:lang w:val="en-US" w:eastAsia="zh-CN" w:bidi="ar-SA"/>
        </w:rPr>
      </w:pPr>
      <w:r>
        <w:rPr>
          <w:rFonts w:hint="eastAsia" w:ascii="Times New Roman" w:hAnsi="Times New Roman" w:eastAsia="宋体" w:cs="Times New Roman"/>
          <w:b w:val="0"/>
          <w:bCs w:val="0"/>
          <w:color w:val="auto"/>
          <w:kern w:val="2"/>
          <w:sz w:val="24"/>
          <w:szCs w:val="21"/>
          <w:highlight w:val="none"/>
          <w:lang w:val="en-US" w:eastAsia="zh-CN" w:bidi="ar-SA"/>
        </w:rPr>
        <w:t>[</w:t>
      </w:r>
      <w:r>
        <w:rPr>
          <w:rFonts w:hint="eastAsia" w:ascii="Times New Roman" w:hAnsi="Times New Roman" w:cs="Times New Roman"/>
          <w:b w:val="0"/>
          <w:bCs w:val="0"/>
          <w:color w:val="auto"/>
          <w:kern w:val="2"/>
          <w:sz w:val="24"/>
          <w:szCs w:val="21"/>
          <w:highlight w:val="none"/>
          <w:lang w:val="en-US" w:eastAsia="zh-CN" w:bidi="ar-SA"/>
        </w:rPr>
        <w:t>34</w:t>
      </w:r>
      <w:r>
        <w:rPr>
          <w:rFonts w:hint="eastAsia" w:ascii="Times New Roman" w:hAnsi="Times New Roman" w:eastAsia="宋体" w:cs="Times New Roman"/>
          <w:b w:val="0"/>
          <w:bCs w:val="0"/>
          <w:color w:val="auto"/>
          <w:kern w:val="2"/>
          <w:sz w:val="24"/>
          <w:szCs w:val="21"/>
          <w:highlight w:val="none"/>
          <w:lang w:val="en-US" w:eastAsia="zh-CN" w:bidi="ar-SA"/>
        </w:rPr>
        <w:t>]Becht E, Giraldo NA, Lacroix L, Buttard B, Elarouci N, Petitprez F, Selves J, Laurent-Puig P, Sautès-Fridman C, Fridman WH, de Reyniès A. Estimating the population abundance of tissue-infiltrating immune and stromal cell populations using gene expression. Genome Biol. 2016 Oct 20;17(1):218. doi: 10.1186/s13059-016-1070-5. </w:t>
      </w:r>
    </w:p>
    <w:p w14:paraId="798458A0">
      <w:pPr>
        <w:numPr>
          <w:ilvl w:val="0"/>
          <w:numId w:val="0"/>
        </w:numPr>
        <w:spacing w:line="480" w:lineRule="auto"/>
        <w:rPr>
          <w:rFonts w:hint="eastAsia" w:ascii="Times New Roman" w:hAnsi="Times New Roman" w:eastAsia="宋体" w:cs="Times New Roman"/>
          <w:b w:val="0"/>
          <w:bCs w:val="0"/>
          <w:color w:val="auto"/>
          <w:kern w:val="2"/>
          <w:sz w:val="24"/>
          <w:szCs w:val="21"/>
          <w:highlight w:val="none"/>
          <w:lang w:val="en-US" w:eastAsia="zh-CN" w:bidi="ar-SA"/>
        </w:rPr>
      </w:pPr>
      <w:r>
        <w:rPr>
          <w:rFonts w:hint="eastAsia" w:ascii="Times New Roman" w:hAnsi="Times New Roman" w:eastAsia="宋体" w:cs="Times New Roman"/>
          <w:b w:val="0"/>
          <w:bCs w:val="0"/>
          <w:color w:val="auto"/>
          <w:kern w:val="2"/>
          <w:sz w:val="24"/>
          <w:szCs w:val="21"/>
          <w:highlight w:val="none"/>
          <w:lang w:val="en-US" w:eastAsia="zh-CN" w:bidi="ar-SA"/>
        </w:rPr>
        <w:t>[</w:t>
      </w:r>
      <w:r>
        <w:rPr>
          <w:rFonts w:hint="eastAsia" w:ascii="Times New Roman" w:hAnsi="Times New Roman" w:cs="Times New Roman"/>
          <w:b w:val="0"/>
          <w:bCs w:val="0"/>
          <w:color w:val="auto"/>
          <w:kern w:val="2"/>
          <w:sz w:val="24"/>
          <w:szCs w:val="21"/>
          <w:highlight w:val="none"/>
          <w:lang w:val="en-US" w:eastAsia="zh-CN" w:bidi="ar-SA"/>
        </w:rPr>
        <w:t>35</w:t>
      </w:r>
      <w:r>
        <w:rPr>
          <w:rFonts w:hint="eastAsia" w:ascii="Times New Roman" w:hAnsi="Times New Roman" w:eastAsia="宋体" w:cs="Times New Roman"/>
          <w:b w:val="0"/>
          <w:bCs w:val="0"/>
          <w:color w:val="auto"/>
          <w:kern w:val="2"/>
          <w:sz w:val="24"/>
          <w:szCs w:val="21"/>
          <w:highlight w:val="none"/>
          <w:lang w:val="en-US" w:eastAsia="zh-CN" w:bidi="ar-SA"/>
        </w:rPr>
        <w:t>]Zhong L, Dong D, Fang X, Zhang F, Zhang N, Zhang L, Fang M, Jiang W, Liang S, Li C, Liu Y, Zhao X, Cao R, Shan H, Hu Z, Ma J, Tang L, Tian J. A deep learning-based radiomic nomogram for prognosis and treatment decision in advanced nasopharyngeal carcinoma: A multicentre study. EBioMedicine. 2021 Aug;70:103522. doi: 10.1016/j.ebiom.2021.103522.</w:t>
      </w:r>
    </w:p>
    <w:p w14:paraId="7EC7FBC4">
      <w:pPr>
        <w:numPr>
          <w:ilvl w:val="0"/>
          <w:numId w:val="0"/>
        </w:numPr>
        <w:spacing w:line="480" w:lineRule="auto"/>
        <w:rPr>
          <w:rFonts w:hint="default" w:ascii="Times New Roman" w:hAnsi="Times New Roman" w:eastAsia="宋体" w:cs="Times New Roman"/>
          <w:b w:val="0"/>
          <w:bCs w:val="0"/>
          <w:color w:val="auto"/>
          <w:kern w:val="2"/>
          <w:sz w:val="24"/>
          <w:szCs w:val="21"/>
          <w:highlight w:val="none"/>
          <w:lang w:val="en-US" w:eastAsia="zh-CN" w:bidi="ar-SA"/>
        </w:rPr>
      </w:pPr>
    </w:p>
    <w:p w14:paraId="5180EFC0"/>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163B3D">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704AC6D">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704AC6D">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73F7FE3"/>
    <w:rsid w:val="40AA0BC3"/>
    <w:rsid w:val="451167D8"/>
    <w:rsid w:val="64BE613B"/>
    <w:rsid w:val="66F41291"/>
    <w:rsid w:val="77BF5F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0</Words>
  <Characters>0</Characters>
  <Lines>0</Lines>
  <Paragraphs>0</Paragraphs>
  <TotalTime>0</TotalTime>
  <ScaleCrop>false</ScaleCrop>
  <LinksUpToDate>false</LinksUpToDate>
  <CharactersWithSpaces>0</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2025-08-25T04:52:12Z</dcterms:created>
  <dc:creator>10123</dc:creator>
  <cp:lastModifiedBy>ABCD</cp:lastModifiedBy>
  <dcterms:modified xsi:type="dcterms:W3CDTF">2025-08-25T07:34:39Z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KSOTemplateDocerSaveRecord">
    <vt:lpwstr>eyJoZGlkIjoiYjZkZGE4NDZlNzU1NzMyYmE2ZTg3MTBmMThiZjFlMTkiLCJ1c2VySWQiOiIyODY4NDk5OTYifQ==</vt:lpwstr>
  </property>
  <property fmtid="{D5CDD505-2E9C-101B-9397-08002B2CF9AE}" pid="4" name="ICV">
    <vt:lpwstr>7168CEE112714FFCB4CA1FA7F79ECCCF_12</vt:lpwstr>
  </property>
</Properties>
</file>