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6B1" w:rsidP="4111F7CA" w:rsidRDefault="00EC2B77" w14:paraId="23854FC2" w14:textId="30EE0193">
      <w:pPr>
        <w:pStyle w:val="Heading1"/>
        <w:rPr>
          <w:rFonts w:ascii="Calibri" w:hAnsi="Calibri" w:eastAsia="Calibri" w:cs="Calibri" w:asciiTheme="minorAscii" w:hAnsiTheme="minorAscii" w:eastAsiaTheme="minorAscii" w:cstheme="minorAscii"/>
          <w:sz w:val="22"/>
          <w:szCs w:val="22"/>
        </w:rPr>
      </w:pPr>
      <w:r w:rsidR="00EC2B77">
        <w:rPr/>
        <w:t>A</w:t>
      </w:r>
      <w:r w:rsidR="4E420D5B">
        <w:rPr/>
        <w:t>dditional</w:t>
      </w:r>
      <w:r w:rsidR="4E420D5B">
        <w:rPr/>
        <w:t xml:space="preserve"> file</w:t>
      </w:r>
      <w:r w:rsidR="00EC2B77">
        <w:rPr/>
        <w:t xml:space="preserve"> 5: </w:t>
      </w:r>
      <w:r w:rsidR="00A87237">
        <w:rPr/>
        <w:t>Associations with outcome by variable</w:t>
      </w:r>
    </w:p>
    <w:tbl>
      <w:tblPr>
        <w:tblStyle w:val="TableGrid"/>
        <w:tblW w:w="9634" w:type="dxa"/>
        <w:tblLook w:val="04A0" w:firstRow="1" w:lastRow="0" w:firstColumn="1" w:lastColumn="0" w:noHBand="0" w:noVBand="1"/>
      </w:tblPr>
      <w:tblGrid>
        <w:gridCol w:w="1611"/>
        <w:gridCol w:w="1508"/>
        <w:gridCol w:w="6515"/>
      </w:tblGrid>
      <w:tr w:rsidRPr="00EC2B77" w:rsidR="00EC2B77" w:rsidTr="4111F7CA" w14:paraId="6AD083D0" w14:textId="77777777">
        <w:trPr>
          <w:trHeight w:val="300"/>
        </w:trPr>
        <w:tc>
          <w:tcPr>
            <w:tcW w:w="1611" w:type="dxa"/>
            <w:noWrap/>
            <w:tcMar/>
            <w:hideMark/>
          </w:tcPr>
          <w:p w:rsidRPr="00EC2B77" w:rsidR="00EC2B77" w:rsidP="4111F7CA" w:rsidRDefault="00EC2B77" w14:paraId="4C519ABF" w14:textId="183EA55B">
            <w:pPr>
              <w:rPr>
                <w:rFonts w:ascii="Calibri" w:hAnsi="Calibri" w:eastAsia="Calibri" w:cs="Calibri" w:asciiTheme="minorAscii" w:hAnsiTheme="minorAscii" w:eastAsiaTheme="minorAscii" w:cstheme="minorAscii"/>
                <w:b w:val="1"/>
                <w:bCs w:val="1"/>
                <w:sz w:val="22"/>
                <w:szCs w:val="22"/>
              </w:rPr>
            </w:pPr>
            <w:r w:rsidRPr="4111F7CA" w:rsidR="00EC2B77">
              <w:rPr>
                <w:rFonts w:ascii="Calibri" w:hAnsi="Calibri" w:eastAsia="Calibri" w:cs="Calibri" w:asciiTheme="minorAscii" w:hAnsiTheme="minorAscii" w:eastAsiaTheme="minorAscii" w:cstheme="minorAscii"/>
                <w:b w:val="1"/>
                <w:bCs w:val="1"/>
                <w:sz w:val="22"/>
                <w:szCs w:val="22"/>
              </w:rPr>
              <w:t>High-level</w:t>
            </w:r>
            <w:r w:rsidRPr="4111F7CA" w:rsidR="373D1A75">
              <w:rPr>
                <w:rFonts w:ascii="Calibri" w:hAnsi="Calibri" w:eastAsia="Calibri" w:cs="Calibri" w:asciiTheme="minorAscii" w:hAnsiTheme="minorAscii" w:eastAsiaTheme="minorAscii" w:cstheme="minorAscii"/>
                <w:b w:val="1"/>
                <w:bCs w:val="1"/>
                <w:sz w:val="22"/>
                <w:szCs w:val="22"/>
              </w:rPr>
              <w:t xml:space="preserve"> </w:t>
            </w:r>
            <w:r w:rsidRPr="4111F7CA" w:rsidR="00A87237">
              <w:rPr>
                <w:rFonts w:ascii="Calibri" w:hAnsi="Calibri" w:eastAsia="Calibri" w:cs="Calibri" w:asciiTheme="minorAscii" w:hAnsiTheme="minorAscii" w:eastAsiaTheme="minorAscii" w:cstheme="minorAscii"/>
                <w:b w:val="1"/>
                <w:bCs w:val="1"/>
                <w:sz w:val="22"/>
                <w:szCs w:val="22"/>
              </w:rPr>
              <w:t>factor</w:t>
            </w:r>
          </w:p>
        </w:tc>
        <w:tc>
          <w:tcPr>
            <w:tcW w:w="1508" w:type="dxa"/>
            <w:noWrap/>
            <w:tcMar/>
            <w:hideMark/>
          </w:tcPr>
          <w:p w:rsidRPr="00EC2B77" w:rsidR="00EC2B77" w:rsidP="4111F7CA" w:rsidRDefault="00A87237" w14:paraId="71AA5FFC" w14:textId="1E84064E">
            <w:pPr>
              <w:rPr>
                <w:rFonts w:ascii="Calibri" w:hAnsi="Calibri" w:eastAsia="Calibri" w:cs="Calibri" w:asciiTheme="minorAscii" w:hAnsiTheme="minorAscii" w:eastAsiaTheme="minorAscii" w:cstheme="minorAscii"/>
                <w:b w:val="1"/>
                <w:bCs w:val="1"/>
                <w:sz w:val="22"/>
                <w:szCs w:val="22"/>
              </w:rPr>
            </w:pPr>
            <w:r w:rsidRPr="4111F7CA" w:rsidR="00A87237">
              <w:rPr>
                <w:rFonts w:ascii="Calibri" w:hAnsi="Calibri" w:eastAsia="Calibri" w:cs="Calibri" w:asciiTheme="minorAscii" w:hAnsiTheme="minorAscii" w:eastAsiaTheme="minorAscii" w:cstheme="minorAscii"/>
                <w:b w:val="1"/>
                <w:bCs w:val="1"/>
                <w:sz w:val="22"/>
                <w:szCs w:val="22"/>
              </w:rPr>
              <w:t>Factor</w:t>
            </w:r>
          </w:p>
        </w:tc>
        <w:tc>
          <w:tcPr>
            <w:tcW w:w="6515" w:type="dxa"/>
            <w:noWrap/>
            <w:tcMar/>
            <w:hideMark/>
          </w:tcPr>
          <w:p w:rsidRPr="00EC2B77" w:rsidR="00EC2B77" w:rsidP="4111F7CA" w:rsidRDefault="00EC2B77" w14:paraId="30313524" w14:textId="77777777">
            <w:pPr>
              <w:rPr>
                <w:rFonts w:ascii="Calibri" w:hAnsi="Calibri" w:eastAsia="Calibri" w:cs="Calibri" w:asciiTheme="minorAscii" w:hAnsiTheme="minorAscii" w:eastAsiaTheme="minorAscii" w:cstheme="minorAscii"/>
                <w:b w:val="1"/>
                <w:bCs w:val="1"/>
                <w:sz w:val="22"/>
                <w:szCs w:val="22"/>
              </w:rPr>
            </w:pPr>
            <w:r w:rsidRPr="4111F7CA" w:rsidR="00EC2B77">
              <w:rPr>
                <w:rFonts w:ascii="Calibri" w:hAnsi="Calibri" w:eastAsia="Calibri" w:cs="Calibri" w:asciiTheme="minorAscii" w:hAnsiTheme="minorAscii" w:eastAsiaTheme="minorAscii" w:cstheme="minorAscii"/>
                <w:b w:val="1"/>
                <w:bCs w:val="1"/>
                <w:sz w:val="22"/>
                <w:szCs w:val="22"/>
              </w:rPr>
              <w:t>Results</w:t>
            </w:r>
          </w:p>
        </w:tc>
      </w:tr>
      <w:tr w:rsidRPr="00EC2B77" w:rsidR="00EC2B77" w:rsidTr="4111F7CA" w14:paraId="681CDD85" w14:textId="77777777">
        <w:trPr>
          <w:trHeight w:val="300"/>
        </w:trPr>
        <w:tc>
          <w:tcPr>
            <w:tcW w:w="1611" w:type="dxa"/>
            <w:vMerge w:val="restart"/>
            <w:noWrap/>
            <w:tcMar/>
            <w:hideMark/>
          </w:tcPr>
          <w:p w:rsidRPr="00EC2B77" w:rsidR="00EC2B77" w:rsidP="4111F7CA" w:rsidRDefault="00EC2B77" w14:paraId="5C5DA551"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Demographics</w:t>
            </w:r>
          </w:p>
        </w:tc>
        <w:tc>
          <w:tcPr>
            <w:tcW w:w="1508" w:type="dxa"/>
            <w:noWrap/>
            <w:tcMar/>
            <w:hideMark/>
          </w:tcPr>
          <w:p w:rsidRPr="00EC2B77" w:rsidR="00EC2B77" w:rsidP="4111F7CA" w:rsidRDefault="00EC2B77" w14:paraId="0F9BFDDA"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Ethnicity</w:t>
            </w:r>
          </w:p>
        </w:tc>
        <w:tc>
          <w:tcPr>
            <w:tcW w:w="6515" w:type="dxa"/>
            <w:noWrap/>
            <w:tcMar/>
            <w:hideMark/>
          </w:tcPr>
          <w:p w:rsidRPr="00EC2B77" w:rsidR="00EC2B77" w:rsidP="4111F7CA" w:rsidRDefault="00EC2B77" w14:paraId="6E665D79"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The Youth Partners in Care QI intervention (Ngo, 2009; Rapp, 2017) suggested that when comparing sub-groups by ethnicity, more participants from minority ethnic groups accessed mental health treatment through the QI programme compared to usual care, particularly through improved access to counselling or improved speciality mental health care for Black and Latino participants, and that Black participants experienced significantly larger improvements in mental health compared to Black participants in the usual care condition. This difference was not present for Latino or White participants. In contrast, Sterling et al. (2018) reported that SBIRT participants who were Black or of other unknown ethnicity had higher odds of endorsing depression symptoms over time compared to White participants.</w:t>
            </w:r>
          </w:p>
        </w:tc>
      </w:tr>
      <w:tr w:rsidRPr="00EC2B77" w:rsidR="00EC2B77" w:rsidTr="4111F7CA" w14:paraId="6120FD37" w14:textId="77777777">
        <w:trPr>
          <w:trHeight w:val="300"/>
        </w:trPr>
        <w:tc>
          <w:tcPr>
            <w:tcW w:w="1611" w:type="dxa"/>
            <w:vMerge/>
            <w:noWrap/>
            <w:tcMar/>
            <w:hideMark/>
          </w:tcPr>
          <w:p w:rsidRPr="00EC2B77" w:rsidR="00EC2B77" w:rsidP="00A65B09" w:rsidRDefault="00EC2B77" w14:paraId="366B2D2E" w14:textId="77777777"/>
        </w:tc>
        <w:tc>
          <w:tcPr>
            <w:tcW w:w="1508" w:type="dxa"/>
            <w:noWrap/>
            <w:tcMar/>
            <w:hideMark/>
          </w:tcPr>
          <w:p w:rsidRPr="00EC2B77" w:rsidR="00EC2B77" w:rsidP="4111F7CA" w:rsidRDefault="00EC2B77" w14:paraId="48B10CD6"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Age and Gender</w:t>
            </w:r>
          </w:p>
        </w:tc>
        <w:tc>
          <w:tcPr>
            <w:tcW w:w="6515" w:type="dxa"/>
            <w:noWrap/>
            <w:tcMar/>
            <w:hideMark/>
          </w:tcPr>
          <w:p w:rsidRPr="00EC2B77" w:rsidR="00EC2B77" w:rsidP="4111F7CA" w:rsidRDefault="00EC2B77" w14:paraId="4B464063" w14:textId="22A46DB6">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Most studies reported that age and gender had limited impact on mental health and social outcomes (</w:t>
            </w:r>
            <w:r w:rsidRPr="4111F7CA" w:rsidR="493BD89A">
              <w:rPr>
                <w:rFonts w:ascii="Calibri" w:hAnsi="Calibri" w:eastAsia="Calibri" w:cs="Calibri" w:asciiTheme="minorAscii" w:hAnsiTheme="minorAscii" w:eastAsiaTheme="minorAscii" w:cstheme="minorAscii"/>
                <w:sz w:val="22"/>
                <w:szCs w:val="22"/>
              </w:rPr>
              <w:t>O’Keeffe</w:t>
            </w:r>
            <w:r w:rsidRPr="4111F7CA" w:rsidR="30D8F2FE">
              <w:rPr>
                <w:rFonts w:ascii="Calibri" w:hAnsi="Calibri" w:eastAsia="Calibri" w:cs="Calibri" w:asciiTheme="minorAscii" w:hAnsiTheme="minorAscii" w:eastAsiaTheme="minorAscii" w:cstheme="minorAscii"/>
                <w:sz w:val="22"/>
                <w:szCs w:val="22"/>
              </w:rPr>
              <w:t>,</w:t>
            </w:r>
            <w:r w:rsidRPr="4111F7CA" w:rsidR="493BD89A">
              <w:rPr>
                <w:rFonts w:ascii="Calibri" w:hAnsi="Calibri" w:eastAsia="Calibri" w:cs="Calibri" w:asciiTheme="minorAscii" w:hAnsiTheme="minorAscii" w:eastAsiaTheme="minorAscii" w:cstheme="minorAscii"/>
                <w:sz w:val="22"/>
                <w:szCs w:val="22"/>
              </w:rPr>
              <w:t xml:space="preserve"> 2015;</w:t>
            </w:r>
            <w:r w:rsidRPr="4111F7CA" w:rsidR="77932695">
              <w:rPr>
                <w:rFonts w:ascii="Calibri" w:hAnsi="Calibri" w:eastAsia="Calibri" w:cs="Calibri" w:asciiTheme="minorAscii" w:hAnsiTheme="minorAscii" w:eastAsiaTheme="minorAscii" w:cstheme="minorAscii"/>
                <w:sz w:val="22"/>
                <w:szCs w:val="22"/>
              </w:rPr>
              <w:t xml:space="preserve"> </w:t>
            </w:r>
            <w:r w:rsidRPr="4111F7CA" w:rsidR="03F59C88">
              <w:rPr>
                <w:rFonts w:ascii="Calibri" w:hAnsi="Calibri" w:eastAsia="Calibri" w:cs="Calibri" w:asciiTheme="minorAscii" w:hAnsiTheme="minorAscii" w:eastAsiaTheme="minorAscii" w:cstheme="minorAscii"/>
                <w:sz w:val="22"/>
                <w:szCs w:val="22"/>
              </w:rPr>
              <w:t>O’Reill</w:t>
            </w:r>
            <w:r w:rsidRPr="4111F7CA" w:rsidR="03F59C88">
              <w:rPr>
                <w:rFonts w:ascii="Calibri" w:hAnsi="Calibri" w:eastAsia="Calibri" w:cs="Calibri" w:asciiTheme="minorAscii" w:hAnsiTheme="minorAscii" w:eastAsiaTheme="minorAscii" w:cstheme="minorAscii"/>
                <w:sz w:val="22"/>
                <w:szCs w:val="22"/>
              </w:rPr>
              <w:t>y</w:t>
            </w:r>
            <w:r w:rsidRPr="4111F7CA" w:rsidR="6AC61D2C">
              <w:rPr>
                <w:rFonts w:ascii="Calibri" w:hAnsi="Calibri" w:eastAsia="Calibri" w:cs="Calibri" w:asciiTheme="minorAscii" w:hAnsiTheme="minorAscii" w:eastAsiaTheme="minorAscii" w:cstheme="minorAscii"/>
                <w:sz w:val="22"/>
                <w:szCs w:val="22"/>
              </w:rPr>
              <w:t>,</w:t>
            </w:r>
            <w:r w:rsidRPr="4111F7CA" w:rsidR="03F59C88">
              <w:rPr>
                <w:rFonts w:ascii="Calibri" w:hAnsi="Calibri" w:eastAsia="Calibri" w:cs="Calibri" w:asciiTheme="minorAscii" w:hAnsiTheme="minorAscii" w:eastAsiaTheme="minorAscii" w:cstheme="minorAscii"/>
                <w:sz w:val="22"/>
                <w:szCs w:val="22"/>
              </w:rPr>
              <w:t xml:space="preserve"> 2022; </w:t>
            </w:r>
            <w:r w:rsidRPr="4111F7CA" w:rsidR="00EC2B77">
              <w:rPr>
                <w:rFonts w:ascii="Calibri" w:hAnsi="Calibri" w:eastAsia="Calibri" w:cs="Calibri" w:asciiTheme="minorAscii" w:hAnsiTheme="minorAscii" w:eastAsiaTheme="minorAscii" w:cstheme="minorAscii"/>
                <w:sz w:val="22"/>
                <w:szCs w:val="22"/>
              </w:rPr>
              <w:t>Smith</w:t>
            </w:r>
            <w:r w:rsidRPr="4111F7CA" w:rsidR="40CE0A5E">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2012; </w:t>
            </w:r>
            <w:r w:rsidRPr="4111F7CA" w:rsidR="00EC2B77">
              <w:rPr>
                <w:rFonts w:ascii="Calibri" w:hAnsi="Calibri" w:eastAsia="Calibri" w:cs="Calibri" w:asciiTheme="minorAscii" w:hAnsiTheme="minorAscii" w:eastAsiaTheme="minorAscii" w:cstheme="minorAscii"/>
                <w:sz w:val="22"/>
                <w:szCs w:val="22"/>
              </w:rPr>
              <w:t>Schley</w:t>
            </w:r>
            <w:r w:rsidRPr="4111F7CA" w:rsidR="7415199F">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2019; Souza</w:t>
            </w:r>
            <w:r w:rsidRPr="4111F7CA" w:rsidR="0D436581">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2011), although Sterling et al. </w:t>
            </w:r>
            <w:r w:rsidRPr="4111F7CA" w:rsidR="6FA009E9">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2018</w:t>
            </w:r>
            <w:r w:rsidRPr="4111F7CA" w:rsidR="30F1C499">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reported that younger or female adolescents were more likely to report depression symptoms after the screening, brief intervention and referral intervention for comorbid substance use compared to older or male participants, and </w:t>
            </w:r>
            <w:r w:rsidRPr="4111F7CA" w:rsidR="3A228E9D">
              <w:rPr>
                <w:rFonts w:ascii="Calibri" w:hAnsi="Calibri" w:eastAsia="Calibri" w:cs="Calibri" w:asciiTheme="minorAscii" w:hAnsiTheme="minorAscii" w:eastAsiaTheme="minorAscii" w:cstheme="minorAscii"/>
                <w:sz w:val="22"/>
                <w:szCs w:val="22"/>
              </w:rPr>
              <w:t>t</w:t>
            </w:r>
            <w:r w:rsidRPr="4111F7CA" w:rsidR="00EC2B77">
              <w:rPr>
                <w:rFonts w:ascii="Calibri" w:hAnsi="Calibri" w:eastAsia="Calibri" w:cs="Calibri" w:asciiTheme="minorAscii" w:hAnsiTheme="minorAscii" w:eastAsiaTheme="minorAscii" w:cstheme="minorAscii"/>
                <w:sz w:val="22"/>
                <w:szCs w:val="22"/>
              </w:rPr>
              <w:t xml:space="preserve">he Youth </w:t>
            </w:r>
            <w:r w:rsidRPr="4111F7CA" w:rsidR="1B2CA2EF">
              <w:rPr>
                <w:rFonts w:ascii="Calibri" w:hAnsi="Calibri" w:eastAsia="Calibri" w:cs="Calibri" w:asciiTheme="minorAscii" w:hAnsiTheme="minorAscii" w:eastAsiaTheme="minorAscii" w:cstheme="minorAscii"/>
                <w:sz w:val="22"/>
                <w:szCs w:val="22"/>
              </w:rPr>
              <w:t>P</w:t>
            </w:r>
            <w:r w:rsidRPr="4111F7CA" w:rsidR="00EC2B77">
              <w:rPr>
                <w:rFonts w:ascii="Calibri" w:hAnsi="Calibri" w:eastAsia="Calibri" w:cs="Calibri" w:asciiTheme="minorAscii" w:hAnsiTheme="minorAscii" w:eastAsiaTheme="minorAscii" w:cstheme="minorAscii"/>
                <w:sz w:val="22"/>
                <w:szCs w:val="22"/>
              </w:rPr>
              <w:t xml:space="preserve">artners in </w:t>
            </w:r>
            <w:r w:rsidRPr="4111F7CA" w:rsidR="2A0857CA">
              <w:rPr>
                <w:rFonts w:ascii="Calibri" w:hAnsi="Calibri" w:eastAsia="Calibri" w:cs="Calibri" w:asciiTheme="minorAscii" w:hAnsiTheme="minorAscii" w:eastAsiaTheme="minorAscii" w:cstheme="minorAscii"/>
                <w:sz w:val="22"/>
                <w:szCs w:val="22"/>
              </w:rPr>
              <w:t>C</w:t>
            </w:r>
            <w:r w:rsidRPr="4111F7CA" w:rsidR="00EC2B77">
              <w:rPr>
                <w:rFonts w:ascii="Calibri" w:hAnsi="Calibri" w:eastAsia="Calibri" w:cs="Calibri" w:asciiTheme="minorAscii" w:hAnsiTheme="minorAscii" w:eastAsiaTheme="minorAscii" w:cstheme="minorAscii"/>
                <w:sz w:val="22"/>
                <w:szCs w:val="22"/>
              </w:rPr>
              <w:t xml:space="preserve">are QI intervention appeared to mitigate the negative effect of age on treatment access (Rapp, 2017). </w:t>
            </w:r>
          </w:p>
        </w:tc>
      </w:tr>
      <w:tr w:rsidRPr="00EC2B77" w:rsidR="00EC2B77" w:rsidTr="4111F7CA" w14:paraId="7FEA8F00" w14:textId="77777777">
        <w:trPr>
          <w:trHeight w:val="300"/>
        </w:trPr>
        <w:tc>
          <w:tcPr>
            <w:tcW w:w="1611" w:type="dxa"/>
            <w:vMerge/>
            <w:noWrap/>
            <w:tcMar/>
            <w:hideMark/>
          </w:tcPr>
          <w:p w:rsidRPr="00EC2B77" w:rsidR="00EC2B77" w:rsidP="00A65B09" w:rsidRDefault="00EC2B77" w14:paraId="499F0C5C" w14:textId="77777777"/>
        </w:tc>
        <w:tc>
          <w:tcPr>
            <w:tcW w:w="1508" w:type="dxa"/>
            <w:noWrap/>
            <w:tcMar/>
            <w:hideMark/>
          </w:tcPr>
          <w:p w:rsidRPr="00EC2B77" w:rsidR="00EC2B77" w:rsidP="4111F7CA" w:rsidRDefault="00EC2B77" w14:paraId="75A9F60B"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English as first language</w:t>
            </w:r>
          </w:p>
        </w:tc>
        <w:tc>
          <w:tcPr>
            <w:tcW w:w="6515" w:type="dxa"/>
            <w:noWrap/>
            <w:tcMar/>
            <w:hideMark/>
          </w:tcPr>
          <w:p w:rsidRPr="00EC2B77" w:rsidR="00EC2B77" w:rsidP="4111F7CA" w:rsidRDefault="00EC2B77" w14:paraId="1450EEEC" w14:textId="4EF7DD5E">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Access rates were only higher for those whose primary language was English in the Youth Partners in Care QI intervention (Rapp</w:t>
            </w:r>
            <w:r w:rsidRPr="4111F7CA" w:rsidR="38230D12">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2017).  </w:t>
            </w:r>
          </w:p>
        </w:tc>
      </w:tr>
      <w:tr w:rsidRPr="00EC2B77" w:rsidR="00EC2B77" w:rsidTr="4111F7CA" w14:paraId="0AD7BDF2" w14:textId="77777777">
        <w:trPr>
          <w:trHeight w:val="300"/>
        </w:trPr>
        <w:tc>
          <w:tcPr>
            <w:tcW w:w="1611" w:type="dxa"/>
            <w:vMerge/>
            <w:noWrap/>
            <w:tcMar/>
            <w:hideMark/>
          </w:tcPr>
          <w:p w:rsidRPr="00EC2B77" w:rsidR="00EC2B77" w:rsidP="00A65B09" w:rsidRDefault="00EC2B77" w14:paraId="647CE6D6" w14:textId="77777777"/>
        </w:tc>
        <w:tc>
          <w:tcPr>
            <w:tcW w:w="1508" w:type="dxa"/>
            <w:noWrap/>
            <w:tcMar/>
            <w:hideMark/>
          </w:tcPr>
          <w:p w:rsidRPr="00EC2B77" w:rsidR="00EC2B77" w:rsidP="4111F7CA" w:rsidRDefault="00EC2B77" w14:paraId="26B0990E"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Living situation and location</w:t>
            </w:r>
          </w:p>
        </w:tc>
        <w:tc>
          <w:tcPr>
            <w:tcW w:w="6515" w:type="dxa"/>
            <w:noWrap/>
            <w:tcMar/>
            <w:hideMark/>
          </w:tcPr>
          <w:p w:rsidRPr="00EC2B77" w:rsidR="00EC2B77" w:rsidP="4111F7CA" w:rsidRDefault="00EC2B77" w14:paraId="5FEC647B" w14:textId="1BFE9F6D">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One study reported that living situation was not a predictor of improvement in mental health outcomes (Corley</w:t>
            </w:r>
            <w:r w:rsidRPr="4111F7CA" w:rsidR="5FC625F9">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 Furthermore, rural compared to urban intervention sites also did not </w:t>
            </w:r>
            <w:r w:rsidRPr="4111F7CA" w:rsidR="00EC2B77">
              <w:rPr>
                <w:rFonts w:ascii="Calibri" w:hAnsi="Calibri" w:eastAsia="Calibri" w:cs="Calibri" w:asciiTheme="minorAscii" w:hAnsiTheme="minorAscii" w:eastAsiaTheme="minorAscii" w:cstheme="minorAscii"/>
                <w:sz w:val="22"/>
                <w:szCs w:val="22"/>
              </w:rPr>
              <w:t>demonstrate</w:t>
            </w:r>
            <w:r w:rsidRPr="4111F7CA" w:rsidR="00EC2B77">
              <w:rPr>
                <w:rFonts w:ascii="Calibri" w:hAnsi="Calibri" w:eastAsia="Calibri" w:cs="Calibri" w:asciiTheme="minorAscii" w:hAnsiTheme="minorAscii" w:eastAsiaTheme="minorAscii" w:cstheme="minorAscii"/>
                <w:sz w:val="22"/>
                <w:szCs w:val="22"/>
              </w:rPr>
              <w:t xml:space="preserve"> significant differences in effects, although participants in urban sites rated participant in the RISE rugby league as more enjoyable than those in the rural sites (Waters</w:t>
            </w:r>
            <w:r w:rsidRPr="4111F7CA" w:rsidR="0CAF04F2">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2024).</w:t>
            </w:r>
          </w:p>
        </w:tc>
      </w:tr>
      <w:tr w:rsidRPr="00EC2B77" w:rsidR="00EC2B77" w:rsidTr="4111F7CA" w14:paraId="2A4C38AC" w14:textId="77777777">
        <w:trPr>
          <w:trHeight w:val="300"/>
        </w:trPr>
        <w:tc>
          <w:tcPr>
            <w:tcW w:w="1611" w:type="dxa"/>
            <w:noWrap/>
            <w:tcMar/>
            <w:hideMark/>
          </w:tcPr>
          <w:p w:rsidRPr="00EC2B77" w:rsidR="00EC2B77" w:rsidP="4111F7CA" w:rsidRDefault="00EC2B77" w14:paraId="119E98AD"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Severity</w:t>
            </w:r>
          </w:p>
        </w:tc>
        <w:tc>
          <w:tcPr>
            <w:tcW w:w="1508" w:type="dxa"/>
            <w:noWrap/>
            <w:tcMar/>
            <w:hideMark/>
          </w:tcPr>
          <w:p w:rsidRPr="00EC2B77" w:rsidR="00EC2B77" w:rsidP="4111F7CA" w:rsidRDefault="00EC2B77" w14:paraId="0C53DB53"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 xml:space="preserve">Baseline mental </w:t>
            </w:r>
            <w:r w:rsidRPr="4111F7CA" w:rsidR="00EC2B77">
              <w:rPr>
                <w:rFonts w:ascii="Calibri" w:hAnsi="Calibri" w:eastAsia="Calibri" w:cs="Calibri" w:asciiTheme="minorAscii" w:hAnsiTheme="minorAscii" w:eastAsiaTheme="minorAscii" w:cstheme="minorAscii"/>
                <w:sz w:val="22"/>
                <w:szCs w:val="22"/>
              </w:rPr>
              <w:t>health symptoms</w:t>
            </w:r>
          </w:p>
        </w:tc>
        <w:tc>
          <w:tcPr>
            <w:tcW w:w="6515" w:type="dxa"/>
            <w:noWrap/>
            <w:tcMar/>
            <w:hideMark/>
          </w:tcPr>
          <w:p w:rsidRPr="00EC2B77" w:rsidR="00EC2B77" w:rsidP="4111F7CA" w:rsidRDefault="00EC2B77" w14:paraId="0811B4A8" w14:textId="1DA8A6B4">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Neither baseline mental health symptoms nor diagnosis were reported to predict mental health symptoms post intervention (Smith</w:t>
            </w:r>
            <w:r w:rsidRPr="4111F7CA" w:rsidR="25B3AA24">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2012; Parry</w:t>
            </w:r>
            <w:r w:rsidRPr="4111F7CA" w:rsidR="4DABBA14">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 although one study reported that </w:t>
            </w:r>
            <w:r w:rsidRPr="4111F7CA" w:rsidR="00EC2B77">
              <w:rPr>
                <w:rFonts w:ascii="Calibri" w:hAnsi="Calibri" w:eastAsia="Calibri" w:cs="Calibri" w:asciiTheme="minorAscii" w:hAnsiTheme="minorAscii" w:eastAsiaTheme="minorAscii" w:cstheme="minorAscii"/>
                <w:sz w:val="22"/>
                <w:szCs w:val="22"/>
              </w:rPr>
              <w:t>complexity of presenting problems interacted with age such that this was only a significant predictor in participants aged 17+ (Corley</w:t>
            </w:r>
            <w:r w:rsidRPr="4111F7CA" w:rsidR="5689D111">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 However, attendance at diagnosis-specific interventions did predict more positive mental health outcomes (Bond, 2020). Medication prescription and the presence of a neurodevelopmental disorder were reported as significant predictors of drop out in one study (Bond and Power</w:t>
            </w:r>
            <w:r w:rsidRPr="4111F7CA" w:rsidR="1E18F801">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2020). </w:t>
            </w:r>
          </w:p>
        </w:tc>
      </w:tr>
      <w:tr w:rsidRPr="00EC2B77" w:rsidR="00EC2B77" w:rsidTr="4111F7CA" w14:paraId="42239EAE" w14:textId="77777777">
        <w:trPr>
          <w:trHeight w:val="300"/>
        </w:trPr>
        <w:tc>
          <w:tcPr>
            <w:tcW w:w="1611" w:type="dxa"/>
            <w:vMerge w:val="restart"/>
            <w:noWrap/>
            <w:tcMar/>
            <w:hideMark/>
          </w:tcPr>
          <w:p w:rsidRPr="00EC2B77" w:rsidR="00EC2B77" w:rsidP="4111F7CA" w:rsidRDefault="00EC2B77" w14:paraId="4926D555"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Service-related</w:t>
            </w:r>
          </w:p>
        </w:tc>
        <w:tc>
          <w:tcPr>
            <w:tcW w:w="1508" w:type="dxa"/>
            <w:noWrap/>
            <w:tcMar/>
            <w:hideMark/>
          </w:tcPr>
          <w:p w:rsidRPr="00EC2B77" w:rsidR="00EC2B77" w:rsidP="4111F7CA" w:rsidRDefault="00EC2B77" w14:paraId="71D2F637"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 xml:space="preserve">Number of interventions </w:t>
            </w:r>
            <w:r w:rsidRPr="4111F7CA" w:rsidR="00EC2B77">
              <w:rPr>
                <w:rFonts w:ascii="Calibri" w:hAnsi="Calibri" w:eastAsia="Calibri" w:cs="Calibri" w:asciiTheme="minorAscii" w:hAnsiTheme="minorAscii" w:eastAsiaTheme="minorAscii" w:cstheme="minorAscii"/>
                <w:sz w:val="22"/>
                <w:szCs w:val="22"/>
              </w:rPr>
              <w:t>provided</w:t>
            </w:r>
            <w:r w:rsidRPr="4111F7CA" w:rsidR="00EC2B77">
              <w:rPr>
                <w:rFonts w:ascii="Calibri" w:hAnsi="Calibri" w:eastAsia="Calibri" w:cs="Calibri" w:asciiTheme="minorAscii" w:hAnsiTheme="minorAscii" w:eastAsiaTheme="minorAscii" w:cstheme="minorAscii"/>
                <w:sz w:val="22"/>
                <w:szCs w:val="22"/>
              </w:rPr>
              <w:t xml:space="preserve"> or sessions completed</w:t>
            </w:r>
          </w:p>
        </w:tc>
        <w:tc>
          <w:tcPr>
            <w:tcW w:w="6515" w:type="dxa"/>
            <w:noWrap/>
            <w:tcMar/>
            <w:hideMark/>
          </w:tcPr>
          <w:p w:rsidRPr="00EC2B77" w:rsidR="00EC2B77" w:rsidP="4111F7CA" w:rsidRDefault="00EC2B77" w14:paraId="453CA21A" w14:textId="3FDF1D2E">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Although time spent in the service was a significant predictor of drop out in one study (Bond and Power</w:t>
            </w:r>
            <w:r w:rsidRPr="4111F7CA" w:rsidR="73912A2B">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2020), the number of completed sessions or interventions given did not predict mental health or functioning outcomes of interventions (</w:t>
            </w:r>
            <w:r w:rsidRPr="4111F7CA" w:rsidR="00EC2B77">
              <w:rPr>
                <w:rFonts w:ascii="Calibri" w:hAnsi="Calibri" w:eastAsia="Calibri" w:cs="Calibri" w:asciiTheme="minorAscii" w:hAnsiTheme="minorAscii" w:eastAsiaTheme="minorAscii" w:cstheme="minorAscii"/>
                <w:sz w:val="22"/>
                <w:szCs w:val="22"/>
              </w:rPr>
              <w:t>Schley</w:t>
            </w:r>
            <w:r w:rsidRPr="4111F7CA" w:rsidR="6B0D44EE">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2019; Corley</w:t>
            </w:r>
            <w:r w:rsidRPr="4111F7CA" w:rsidR="7EBFA229">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 Parry</w:t>
            </w:r>
            <w:r w:rsidRPr="4111F7CA" w:rsidR="64D6A9F1">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w:t>
            </w:r>
            <w:r w:rsidRPr="4111F7CA" w:rsidR="7EBF33EB">
              <w:rPr>
                <w:rFonts w:ascii="Calibri" w:hAnsi="Calibri" w:eastAsia="Calibri" w:cs="Calibri" w:asciiTheme="minorAscii" w:hAnsiTheme="minorAscii" w:eastAsiaTheme="minorAscii" w:cstheme="minorAscii"/>
                <w:sz w:val="22"/>
                <w:szCs w:val="22"/>
              </w:rPr>
              <w:t>.</w:t>
            </w:r>
          </w:p>
        </w:tc>
      </w:tr>
      <w:tr w:rsidRPr="00EC2B77" w:rsidR="00EC2B77" w:rsidTr="4111F7CA" w14:paraId="74F044BB" w14:textId="77777777">
        <w:trPr>
          <w:trHeight w:val="300"/>
        </w:trPr>
        <w:tc>
          <w:tcPr>
            <w:tcW w:w="1611" w:type="dxa"/>
            <w:vMerge/>
            <w:noWrap/>
            <w:tcMar/>
            <w:hideMark/>
          </w:tcPr>
          <w:p w:rsidRPr="00EC2B77" w:rsidR="00EC2B77" w:rsidP="00A65B09" w:rsidRDefault="00EC2B77" w14:paraId="6B8B4DE1" w14:textId="77777777"/>
        </w:tc>
        <w:tc>
          <w:tcPr>
            <w:tcW w:w="1508" w:type="dxa"/>
            <w:noWrap/>
            <w:tcMar/>
            <w:hideMark/>
          </w:tcPr>
          <w:p w:rsidRPr="00EC2B77" w:rsidR="00EC2B77" w:rsidP="4111F7CA" w:rsidRDefault="00EC2B77" w14:paraId="5A379451"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Referral route</w:t>
            </w:r>
          </w:p>
        </w:tc>
        <w:tc>
          <w:tcPr>
            <w:tcW w:w="6515" w:type="dxa"/>
            <w:noWrap/>
            <w:tcMar/>
            <w:hideMark/>
          </w:tcPr>
          <w:p w:rsidRPr="00EC2B77" w:rsidR="00EC2B77" w:rsidP="4111F7CA" w:rsidRDefault="00EC2B77" w14:paraId="2141D0B4" w14:textId="628B0EF2">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Referral route was not reported to influence mental health outcomes (Corley</w:t>
            </w:r>
            <w:r w:rsidRPr="4111F7CA" w:rsidR="3A2934B7">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 </w:t>
            </w:r>
            <w:r w:rsidRPr="4111F7CA" w:rsidR="00EC2B77">
              <w:rPr>
                <w:rFonts w:ascii="Calibri" w:hAnsi="Calibri" w:eastAsia="Calibri" w:cs="Calibri" w:asciiTheme="minorAscii" w:hAnsiTheme="minorAscii" w:eastAsiaTheme="minorAscii" w:cstheme="minorAscii"/>
                <w:sz w:val="22"/>
                <w:szCs w:val="22"/>
              </w:rPr>
              <w:t>Parry</w:t>
            </w:r>
            <w:r w:rsidRPr="4111F7CA" w:rsidR="3DF0AE92">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2023)</w:t>
            </w:r>
            <w:r w:rsidRPr="4111F7CA" w:rsidR="00EC2B77">
              <w:rPr>
                <w:rFonts w:ascii="Calibri" w:hAnsi="Calibri" w:eastAsia="Calibri" w:cs="Calibri" w:asciiTheme="minorAscii" w:hAnsiTheme="minorAscii" w:eastAsiaTheme="minorAscii" w:cstheme="minorAscii"/>
                <w:sz w:val="22"/>
                <w:szCs w:val="22"/>
              </w:rPr>
              <w:t>, although referral from CAMHS (Bond and Power</w:t>
            </w:r>
            <w:r w:rsidRPr="4111F7CA" w:rsidR="7022903C">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2020) was reported as a significant predictor of dropout</w:t>
            </w:r>
            <w:r w:rsidRPr="4111F7CA" w:rsidR="2BB93FAC">
              <w:rPr>
                <w:rFonts w:ascii="Calibri" w:hAnsi="Calibri" w:eastAsia="Calibri" w:cs="Calibri" w:asciiTheme="minorAscii" w:hAnsiTheme="minorAscii" w:eastAsiaTheme="minorAscii" w:cstheme="minorAscii"/>
                <w:sz w:val="22"/>
                <w:szCs w:val="22"/>
              </w:rPr>
              <w:t>.</w:t>
            </w:r>
            <w:r w:rsidRPr="4111F7CA" w:rsidR="4364EC36">
              <w:rPr>
                <w:rFonts w:ascii="Calibri" w:hAnsi="Calibri" w:eastAsia="Calibri" w:cs="Calibri" w:asciiTheme="minorAscii" w:hAnsiTheme="minorAscii" w:eastAsiaTheme="minorAscii" w:cstheme="minorAscii"/>
                <w:sz w:val="22"/>
                <w:szCs w:val="22"/>
              </w:rPr>
              <w:t xml:space="preserve"> </w:t>
            </w:r>
            <w:r w:rsidRPr="4111F7CA" w:rsidR="5654C9FB">
              <w:rPr>
                <w:rFonts w:ascii="Calibri" w:hAnsi="Calibri" w:eastAsia="Calibri" w:cs="Calibri" w:asciiTheme="minorAscii" w:hAnsiTheme="minorAscii" w:eastAsiaTheme="minorAscii" w:cstheme="minorAscii"/>
                <w:sz w:val="22"/>
                <w:szCs w:val="22"/>
              </w:rPr>
              <w:t>A</w:t>
            </w:r>
            <w:r w:rsidRPr="4111F7CA" w:rsidR="5AADA0BB">
              <w:rPr>
                <w:rFonts w:ascii="Calibri" w:hAnsi="Calibri" w:eastAsia="Calibri" w:cs="Calibri" w:asciiTheme="minorAscii" w:hAnsiTheme="minorAscii" w:eastAsiaTheme="minorAscii" w:cstheme="minorAscii"/>
                <w:sz w:val="22"/>
                <w:szCs w:val="22"/>
              </w:rPr>
              <w:t>nother study found that being referred by schools was</w:t>
            </w:r>
            <w:r w:rsidRPr="4111F7CA" w:rsidR="5AADA0BB">
              <w:rPr>
                <w:rFonts w:ascii="Calibri" w:hAnsi="Calibri" w:eastAsia="Calibri" w:cs="Calibri" w:asciiTheme="minorAscii" w:hAnsiTheme="minorAscii" w:eastAsiaTheme="minorAscii" w:cstheme="minorAscii"/>
                <w:sz w:val="22"/>
                <w:szCs w:val="22"/>
              </w:rPr>
              <w:t xml:space="preserve"> associated with a </w:t>
            </w:r>
            <w:r w:rsidRPr="4111F7CA" w:rsidR="0BDB5F13">
              <w:rPr>
                <w:rFonts w:ascii="Calibri" w:hAnsi="Calibri" w:eastAsia="Calibri" w:cs="Calibri" w:asciiTheme="minorAscii" w:hAnsiTheme="minorAscii" w:eastAsiaTheme="minorAscii" w:cstheme="minorAscii"/>
                <w:sz w:val="22"/>
                <w:szCs w:val="22"/>
              </w:rPr>
              <w:t xml:space="preserve">significantly </w:t>
            </w:r>
            <w:r w:rsidRPr="4111F7CA" w:rsidR="5AADA0BB">
              <w:rPr>
                <w:rFonts w:ascii="Calibri" w:hAnsi="Calibri" w:eastAsia="Calibri" w:cs="Calibri" w:asciiTheme="minorAscii" w:hAnsiTheme="minorAscii" w:eastAsiaTheme="minorAscii" w:cstheme="minorAscii"/>
                <w:sz w:val="22"/>
                <w:szCs w:val="22"/>
              </w:rPr>
              <w:t>higher likelihood of</w:t>
            </w:r>
            <w:r w:rsidRPr="4111F7CA" w:rsidR="5AADA0BB">
              <w:rPr>
                <w:rFonts w:ascii="Calibri" w:hAnsi="Calibri" w:eastAsia="Calibri" w:cs="Calibri" w:asciiTheme="minorAscii" w:hAnsiTheme="minorAscii" w:eastAsiaTheme="minorAscii" w:cstheme="minorAscii"/>
                <w:sz w:val="22"/>
                <w:szCs w:val="22"/>
              </w:rPr>
              <w:t xml:space="preserve"> reliable deterioration in goal-based outcome scores (O’Reilly</w:t>
            </w:r>
            <w:r w:rsidRPr="4111F7CA" w:rsidR="7EB3B324">
              <w:rPr>
                <w:rFonts w:ascii="Calibri" w:hAnsi="Calibri" w:eastAsia="Calibri" w:cs="Calibri" w:asciiTheme="minorAscii" w:hAnsiTheme="minorAscii" w:eastAsiaTheme="minorAscii" w:cstheme="minorAscii"/>
                <w:sz w:val="22"/>
                <w:szCs w:val="22"/>
              </w:rPr>
              <w:t>,</w:t>
            </w:r>
            <w:r w:rsidRPr="4111F7CA" w:rsidR="5AADA0BB">
              <w:rPr>
                <w:rFonts w:ascii="Calibri" w:hAnsi="Calibri" w:eastAsia="Calibri" w:cs="Calibri" w:asciiTheme="minorAscii" w:hAnsiTheme="minorAscii" w:eastAsiaTheme="minorAscii" w:cstheme="minorAscii"/>
                <w:sz w:val="22"/>
                <w:szCs w:val="22"/>
              </w:rPr>
              <w:t xml:space="preserve"> 2022).</w:t>
            </w:r>
          </w:p>
        </w:tc>
      </w:tr>
      <w:tr w:rsidRPr="00EC2B77" w:rsidR="00EC2B77" w:rsidTr="4111F7CA" w14:paraId="41F211BA" w14:textId="77777777">
        <w:trPr>
          <w:trHeight w:val="300"/>
        </w:trPr>
        <w:tc>
          <w:tcPr>
            <w:tcW w:w="1611" w:type="dxa"/>
            <w:vMerge/>
            <w:noWrap/>
            <w:tcMar/>
            <w:hideMark/>
          </w:tcPr>
          <w:p w:rsidRPr="00EC2B77" w:rsidR="00EC2B77" w:rsidP="00A65B09" w:rsidRDefault="00EC2B77" w14:paraId="4089B4BE" w14:textId="77777777"/>
        </w:tc>
        <w:tc>
          <w:tcPr>
            <w:tcW w:w="1508" w:type="dxa"/>
            <w:noWrap/>
            <w:tcMar/>
            <w:hideMark/>
          </w:tcPr>
          <w:p w:rsidRPr="00EC2B77" w:rsidR="00EC2B77" w:rsidP="4111F7CA" w:rsidRDefault="00EC2B77" w14:paraId="7DE7ABC5" w14:textId="77777777">
            <w:pPr>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Level and format of intervention access</w:t>
            </w:r>
          </w:p>
        </w:tc>
        <w:tc>
          <w:tcPr>
            <w:tcW w:w="6515" w:type="dxa"/>
            <w:noWrap/>
            <w:tcMar/>
            <w:hideMark/>
          </w:tcPr>
          <w:p w:rsidRPr="00EC2B77" w:rsidR="00EC2B77" w:rsidP="4111F7CA" w:rsidRDefault="00EC2B77" w14:paraId="3BB5A119" w14:textId="5806B2CF">
            <w:pPr>
              <w:pStyle w:val="Normal"/>
              <w:rPr>
                <w:rFonts w:ascii="Calibri" w:hAnsi="Calibri" w:eastAsia="Calibri" w:cs="Calibri" w:asciiTheme="minorAscii" w:hAnsiTheme="minorAscii" w:eastAsiaTheme="minorAscii" w:cstheme="minorAscii"/>
                <w:sz w:val="22"/>
                <w:szCs w:val="22"/>
              </w:rPr>
            </w:pPr>
            <w:r w:rsidRPr="4111F7CA" w:rsidR="00EC2B77">
              <w:rPr>
                <w:rFonts w:ascii="Calibri" w:hAnsi="Calibri" w:eastAsia="Calibri" w:cs="Calibri" w:asciiTheme="minorAscii" w:hAnsiTheme="minorAscii" w:eastAsiaTheme="minorAscii" w:cstheme="minorAscii"/>
                <w:sz w:val="22"/>
                <w:szCs w:val="22"/>
              </w:rPr>
              <w:t>Full (including peer-to-peer web-based social networking chat for those assessed as safe to do so) versus partial access to a web-based intervention did</w:t>
            </w:r>
            <w:r w:rsidRPr="4111F7CA" w:rsidR="670CC747">
              <w:rPr>
                <w:rFonts w:ascii="Calibri" w:hAnsi="Calibri" w:eastAsia="Calibri" w:cs="Calibri" w:asciiTheme="minorAscii" w:hAnsiTheme="minorAscii" w:eastAsiaTheme="minorAscii" w:cstheme="minorAscii"/>
                <w:sz w:val="22"/>
                <w:szCs w:val="22"/>
              </w:rPr>
              <w:t xml:space="preserve"> not</w:t>
            </w:r>
            <w:r w:rsidRPr="4111F7CA" w:rsidR="00EC2B77">
              <w:rPr>
                <w:rFonts w:ascii="Calibri" w:hAnsi="Calibri" w:eastAsia="Calibri" w:cs="Calibri" w:asciiTheme="minorAscii" w:hAnsiTheme="minorAscii" w:eastAsiaTheme="minorAscii" w:cstheme="minorAscii"/>
                <w:sz w:val="22"/>
                <w:szCs w:val="22"/>
              </w:rPr>
              <w:t xml:space="preserve"> pre</w:t>
            </w:r>
            <w:r w:rsidRPr="4111F7CA" w:rsidR="00EC2B77">
              <w:rPr>
                <w:rFonts w:ascii="Calibri" w:hAnsi="Calibri" w:eastAsia="Calibri" w:cs="Calibri" w:asciiTheme="minorAscii" w:hAnsiTheme="minorAscii" w:eastAsiaTheme="minorAscii" w:cstheme="minorAscii"/>
                <w:sz w:val="22"/>
                <w:szCs w:val="22"/>
              </w:rPr>
              <w:t>dict mental health symptoms</w:t>
            </w:r>
            <w:r w:rsidRPr="4111F7CA" w:rsidR="264D4C78">
              <w:rPr>
                <w:rFonts w:ascii="Calibri" w:hAnsi="Calibri" w:eastAsia="Calibri" w:cs="Calibri" w:asciiTheme="minorAscii" w:hAnsiTheme="minorAscii" w:eastAsiaTheme="minorAscii" w:cstheme="minorAscii"/>
                <w:sz w:val="22"/>
                <w:szCs w:val="22"/>
              </w:rPr>
              <w:t>. However,</w:t>
            </w:r>
            <w:r w:rsidRPr="4111F7CA" w:rsidR="00EC2B77">
              <w:rPr>
                <w:rFonts w:ascii="Calibri" w:hAnsi="Calibri" w:eastAsia="Calibri" w:cs="Calibri" w:asciiTheme="minorAscii" w:hAnsiTheme="minorAscii" w:eastAsiaTheme="minorAscii" w:cstheme="minorAscii"/>
                <w:sz w:val="22"/>
                <w:szCs w:val="22"/>
              </w:rPr>
              <w:t xml:space="preserve"> those with full access </w:t>
            </w:r>
            <w:r w:rsidRPr="4111F7CA" w:rsidR="38292677">
              <w:rPr>
                <w:rFonts w:ascii="Calibri" w:hAnsi="Calibri" w:eastAsia="Calibri" w:cs="Calibri" w:asciiTheme="minorAscii" w:hAnsiTheme="minorAscii" w:eastAsiaTheme="minorAscii" w:cstheme="minorAscii"/>
                <w:sz w:val="22"/>
                <w:szCs w:val="22"/>
              </w:rPr>
              <w:t xml:space="preserve">had </w:t>
            </w:r>
            <w:r w:rsidRPr="4111F7CA" w:rsidR="00EC2B77">
              <w:rPr>
                <w:rFonts w:ascii="Calibri" w:hAnsi="Calibri" w:eastAsia="Calibri" w:cs="Calibri" w:asciiTheme="minorAscii" w:hAnsiTheme="minorAscii" w:eastAsiaTheme="minorAscii" w:cstheme="minorAscii"/>
                <w:sz w:val="22"/>
                <w:szCs w:val="22"/>
              </w:rPr>
              <w:t>improved loneliness</w:t>
            </w:r>
            <w:r w:rsidRPr="4111F7CA" w:rsidR="09A1DCF4">
              <w:rPr>
                <w:rFonts w:ascii="Calibri" w:hAnsi="Calibri" w:eastAsia="Calibri" w:cs="Calibri" w:asciiTheme="minorAscii" w:hAnsiTheme="minorAscii" w:eastAsiaTheme="minorAscii" w:cstheme="minorAscii"/>
                <w:sz w:val="22"/>
                <w:szCs w:val="22"/>
              </w:rPr>
              <w:t>, social support,</w:t>
            </w:r>
            <w:r w:rsidRPr="4111F7CA" w:rsidR="00EC2B77">
              <w:rPr>
                <w:rFonts w:ascii="Calibri" w:hAnsi="Calibri" w:eastAsia="Calibri" w:cs="Calibri" w:asciiTheme="minorAscii" w:hAnsiTheme="minorAscii" w:eastAsiaTheme="minorAscii" w:cstheme="minorAscii"/>
                <w:sz w:val="22"/>
                <w:szCs w:val="22"/>
              </w:rPr>
              <w:t xml:space="preserve"> and autonomy</w:t>
            </w:r>
            <w:r w:rsidRPr="4111F7CA" w:rsidR="64DF87CB">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while those with only partial </w:t>
            </w:r>
            <w:r w:rsidRPr="4111F7CA" w:rsidR="61A07FB2">
              <w:rPr>
                <w:rFonts w:ascii="Calibri" w:hAnsi="Calibri" w:eastAsia="Calibri" w:cs="Calibri" w:asciiTheme="minorAscii" w:hAnsiTheme="minorAscii" w:eastAsiaTheme="minorAscii" w:cstheme="minorAscii"/>
                <w:sz w:val="22"/>
                <w:szCs w:val="22"/>
              </w:rPr>
              <w:t xml:space="preserve">access had </w:t>
            </w:r>
            <w:r w:rsidRPr="4111F7CA" w:rsidR="00EC2B77">
              <w:rPr>
                <w:rFonts w:ascii="Calibri" w:hAnsi="Calibri" w:eastAsia="Calibri" w:cs="Calibri" w:asciiTheme="minorAscii" w:hAnsiTheme="minorAscii" w:eastAsiaTheme="minorAscii" w:cstheme="minorAscii"/>
                <w:sz w:val="22"/>
                <w:szCs w:val="22"/>
              </w:rPr>
              <w:t>improved self-competency alongside social support</w:t>
            </w:r>
            <w:r w:rsidRPr="4111F7CA" w:rsidR="760B765B">
              <w:rPr>
                <w:rFonts w:ascii="Calibri" w:hAnsi="Calibri" w:eastAsia="Calibri" w:cs="Calibri" w:asciiTheme="minorAscii" w:hAnsiTheme="minorAscii" w:eastAsiaTheme="minorAscii" w:cstheme="minorAscii"/>
                <w:sz w:val="22"/>
                <w:szCs w:val="22"/>
              </w:rPr>
              <w:t xml:space="preserve"> (</w:t>
            </w:r>
            <w:r w:rsidRPr="4111F7CA" w:rsidR="760B765B">
              <w:rPr>
                <w:sz w:val="22"/>
                <w:szCs w:val="22"/>
              </w:rPr>
              <w:t>Alvarez-Jimenez et al., 2020)</w:t>
            </w:r>
            <w:r w:rsidRPr="4111F7CA" w:rsidR="00EC2B77">
              <w:rPr>
                <w:rFonts w:ascii="Calibri" w:hAnsi="Calibri" w:eastAsia="Calibri" w:cs="Calibri" w:asciiTheme="minorAscii" w:hAnsiTheme="minorAscii" w:eastAsiaTheme="minorAscii" w:cstheme="minorAscii"/>
                <w:sz w:val="22"/>
                <w:szCs w:val="22"/>
              </w:rPr>
              <w:t>. Participants who received ‘remote’ or ‘in-person and remote real-time' sessions (versus in-person delivery only) rated RISE Rugby</w:t>
            </w:r>
            <w:r w:rsidRPr="4111F7CA" w:rsidR="00EC2B77">
              <w:rPr>
                <w:rFonts w:ascii="Calibri" w:hAnsi="Calibri" w:eastAsia="Calibri" w:cs="Calibri" w:asciiTheme="minorAscii" w:hAnsiTheme="minorAscii" w:eastAsiaTheme="minorAscii" w:cstheme="minorAscii"/>
                <w:sz w:val="22"/>
                <w:szCs w:val="22"/>
              </w:rPr>
              <w:t xml:space="preserve"> League sessions as significantly more enjoyable (Waters</w:t>
            </w:r>
            <w:r w:rsidRPr="4111F7CA" w:rsidR="18989914">
              <w:rPr>
                <w:rFonts w:ascii="Calibri" w:hAnsi="Calibri" w:eastAsia="Calibri" w:cs="Calibri" w:asciiTheme="minorAscii" w:hAnsiTheme="minorAscii" w:eastAsiaTheme="minorAscii" w:cstheme="minorAscii"/>
                <w:sz w:val="22"/>
                <w:szCs w:val="22"/>
              </w:rPr>
              <w:t>,</w:t>
            </w:r>
            <w:r w:rsidRPr="4111F7CA" w:rsidR="00EC2B77">
              <w:rPr>
                <w:rFonts w:ascii="Calibri" w:hAnsi="Calibri" w:eastAsia="Calibri" w:cs="Calibri" w:asciiTheme="minorAscii" w:hAnsiTheme="minorAscii" w:eastAsiaTheme="minorAscii" w:cstheme="minorAscii"/>
                <w:sz w:val="22"/>
                <w:szCs w:val="22"/>
              </w:rPr>
              <w:t xml:space="preserve"> 2024).</w:t>
            </w:r>
          </w:p>
        </w:tc>
      </w:tr>
    </w:tbl>
    <w:p w:rsidRPr="00EC2B77" w:rsidR="00EC2B77" w:rsidP="576F5E0B" w:rsidRDefault="00EC2B77" w14:paraId="5FF08C56" w14:textId="13ADF96A">
      <w:pPr>
        <w:pStyle w:val="Normal"/>
        <w:rPr>
          <w:rFonts w:ascii="Calibri" w:hAnsi="Calibri" w:eastAsia="Calibri" w:cs="Calibri" w:asciiTheme="minorAscii" w:hAnsiTheme="minorAscii" w:eastAsiaTheme="minorAscii" w:cstheme="minorAscii"/>
          <w:sz w:val="22"/>
          <w:szCs w:val="22"/>
        </w:rPr>
      </w:pPr>
    </w:p>
    <w:sectPr w:rsidRPr="00EC2B77" w:rsidR="00EC2B7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77"/>
    <w:rsid w:val="002400BD"/>
    <w:rsid w:val="003A1694"/>
    <w:rsid w:val="003B5CBF"/>
    <w:rsid w:val="003E02F0"/>
    <w:rsid w:val="004E5B21"/>
    <w:rsid w:val="0066628D"/>
    <w:rsid w:val="006E7A1A"/>
    <w:rsid w:val="00702272"/>
    <w:rsid w:val="009B0CF7"/>
    <w:rsid w:val="00A87237"/>
    <w:rsid w:val="00B956B1"/>
    <w:rsid w:val="00C11322"/>
    <w:rsid w:val="00DF36F1"/>
    <w:rsid w:val="00EC2B77"/>
    <w:rsid w:val="0249EBBA"/>
    <w:rsid w:val="028FD7D3"/>
    <w:rsid w:val="02B0E8AF"/>
    <w:rsid w:val="03C290B2"/>
    <w:rsid w:val="03F59C88"/>
    <w:rsid w:val="05A0EDB6"/>
    <w:rsid w:val="07B6D9D9"/>
    <w:rsid w:val="08B1EA02"/>
    <w:rsid w:val="08B838DC"/>
    <w:rsid w:val="08F80AC0"/>
    <w:rsid w:val="09329984"/>
    <w:rsid w:val="09A1DCF4"/>
    <w:rsid w:val="0A474428"/>
    <w:rsid w:val="0A946C8B"/>
    <w:rsid w:val="0B303A42"/>
    <w:rsid w:val="0BA31E51"/>
    <w:rsid w:val="0BDB5F13"/>
    <w:rsid w:val="0CAF04F2"/>
    <w:rsid w:val="0D436581"/>
    <w:rsid w:val="0E447FB8"/>
    <w:rsid w:val="0FB0F923"/>
    <w:rsid w:val="13982C8D"/>
    <w:rsid w:val="13C9C9A2"/>
    <w:rsid w:val="13EA717D"/>
    <w:rsid w:val="1472F6D1"/>
    <w:rsid w:val="1645A7B5"/>
    <w:rsid w:val="16BD1C6B"/>
    <w:rsid w:val="1733C2A5"/>
    <w:rsid w:val="17A63430"/>
    <w:rsid w:val="1871CCEE"/>
    <w:rsid w:val="18932255"/>
    <w:rsid w:val="18989914"/>
    <w:rsid w:val="18A71A3F"/>
    <w:rsid w:val="18EB88EE"/>
    <w:rsid w:val="1B2CA2EF"/>
    <w:rsid w:val="1B94500F"/>
    <w:rsid w:val="1BAA0237"/>
    <w:rsid w:val="1BB44EFE"/>
    <w:rsid w:val="1BEFCB87"/>
    <w:rsid w:val="1D2B1399"/>
    <w:rsid w:val="1DD118D8"/>
    <w:rsid w:val="1E18F801"/>
    <w:rsid w:val="1EF5B267"/>
    <w:rsid w:val="1F4E7AFD"/>
    <w:rsid w:val="2194877B"/>
    <w:rsid w:val="21F00FFB"/>
    <w:rsid w:val="229D38D7"/>
    <w:rsid w:val="2302E457"/>
    <w:rsid w:val="238FE1DA"/>
    <w:rsid w:val="252A2A48"/>
    <w:rsid w:val="257CFDE3"/>
    <w:rsid w:val="25B3AA24"/>
    <w:rsid w:val="264D4C78"/>
    <w:rsid w:val="278ED7E6"/>
    <w:rsid w:val="285E60E3"/>
    <w:rsid w:val="28E8E3CE"/>
    <w:rsid w:val="28EAAA8A"/>
    <w:rsid w:val="296BD4BD"/>
    <w:rsid w:val="299132BE"/>
    <w:rsid w:val="29C7F20D"/>
    <w:rsid w:val="2A0857CA"/>
    <w:rsid w:val="2BB93FAC"/>
    <w:rsid w:val="2BBEBAEB"/>
    <w:rsid w:val="2BFB5FD3"/>
    <w:rsid w:val="2C00773C"/>
    <w:rsid w:val="2CD7F386"/>
    <w:rsid w:val="2F2F832E"/>
    <w:rsid w:val="30D8F2FE"/>
    <w:rsid w:val="30E8CA1A"/>
    <w:rsid w:val="30F1C499"/>
    <w:rsid w:val="313689DC"/>
    <w:rsid w:val="31A94580"/>
    <w:rsid w:val="323FDE73"/>
    <w:rsid w:val="3334B952"/>
    <w:rsid w:val="33B9F8CF"/>
    <w:rsid w:val="34DBC84F"/>
    <w:rsid w:val="36F628EA"/>
    <w:rsid w:val="373D1A75"/>
    <w:rsid w:val="379273F5"/>
    <w:rsid w:val="38230D12"/>
    <w:rsid w:val="38292677"/>
    <w:rsid w:val="393EEB80"/>
    <w:rsid w:val="39535DAA"/>
    <w:rsid w:val="3A228E9D"/>
    <w:rsid w:val="3A2934B7"/>
    <w:rsid w:val="3C002260"/>
    <w:rsid w:val="3D22EA70"/>
    <w:rsid w:val="3D64FD52"/>
    <w:rsid w:val="3DF0AE92"/>
    <w:rsid w:val="3E16B055"/>
    <w:rsid w:val="3F4E7A7C"/>
    <w:rsid w:val="3FAAF289"/>
    <w:rsid w:val="3FDD168F"/>
    <w:rsid w:val="408C5CCE"/>
    <w:rsid w:val="40CE0A5E"/>
    <w:rsid w:val="4111F7CA"/>
    <w:rsid w:val="416B69A5"/>
    <w:rsid w:val="43376929"/>
    <w:rsid w:val="4364EC36"/>
    <w:rsid w:val="452D77E5"/>
    <w:rsid w:val="454DCA6D"/>
    <w:rsid w:val="4560AAB7"/>
    <w:rsid w:val="472C8BC5"/>
    <w:rsid w:val="493BD89A"/>
    <w:rsid w:val="4AAC4CCC"/>
    <w:rsid w:val="4CBF1A0C"/>
    <w:rsid w:val="4D5B7142"/>
    <w:rsid w:val="4DABBA14"/>
    <w:rsid w:val="4E420D5B"/>
    <w:rsid w:val="4ED31EE5"/>
    <w:rsid w:val="4EE7D30D"/>
    <w:rsid w:val="4EEDDE4B"/>
    <w:rsid w:val="50EE33C0"/>
    <w:rsid w:val="5337463B"/>
    <w:rsid w:val="5654C9FB"/>
    <w:rsid w:val="5689D111"/>
    <w:rsid w:val="56B3A5A5"/>
    <w:rsid w:val="576F5E0B"/>
    <w:rsid w:val="57B545AA"/>
    <w:rsid w:val="580B8479"/>
    <w:rsid w:val="59BC6F3C"/>
    <w:rsid w:val="5A0BB812"/>
    <w:rsid w:val="5AADA0BB"/>
    <w:rsid w:val="5B5AC0E3"/>
    <w:rsid w:val="5C63CDDC"/>
    <w:rsid w:val="5CD68751"/>
    <w:rsid w:val="5D0F7A4F"/>
    <w:rsid w:val="5E8E4942"/>
    <w:rsid w:val="5FC625F9"/>
    <w:rsid w:val="60E8C5C1"/>
    <w:rsid w:val="61A07FB2"/>
    <w:rsid w:val="6248E271"/>
    <w:rsid w:val="6249B311"/>
    <w:rsid w:val="62D751AE"/>
    <w:rsid w:val="62F16D69"/>
    <w:rsid w:val="641D9E31"/>
    <w:rsid w:val="64884926"/>
    <w:rsid w:val="64C1C2DD"/>
    <w:rsid w:val="64D6A9F1"/>
    <w:rsid w:val="64DF87CB"/>
    <w:rsid w:val="66A8BC84"/>
    <w:rsid w:val="66C9B499"/>
    <w:rsid w:val="670CC747"/>
    <w:rsid w:val="679ED1C7"/>
    <w:rsid w:val="67AEB9A3"/>
    <w:rsid w:val="67C4D7E7"/>
    <w:rsid w:val="67DFC696"/>
    <w:rsid w:val="67F995F3"/>
    <w:rsid w:val="69A09410"/>
    <w:rsid w:val="6AC61D2C"/>
    <w:rsid w:val="6B0C02DA"/>
    <w:rsid w:val="6B0D44EE"/>
    <w:rsid w:val="6B81C2C1"/>
    <w:rsid w:val="6BE71864"/>
    <w:rsid w:val="6EF26F26"/>
    <w:rsid w:val="6F4E47EB"/>
    <w:rsid w:val="6F6462C4"/>
    <w:rsid w:val="6FA009E9"/>
    <w:rsid w:val="7022903C"/>
    <w:rsid w:val="71989968"/>
    <w:rsid w:val="71F4941E"/>
    <w:rsid w:val="73724D1E"/>
    <w:rsid w:val="73912A2B"/>
    <w:rsid w:val="7415199F"/>
    <w:rsid w:val="753A0D2F"/>
    <w:rsid w:val="760B765B"/>
    <w:rsid w:val="77932695"/>
    <w:rsid w:val="77BE0A61"/>
    <w:rsid w:val="787FD313"/>
    <w:rsid w:val="798E171C"/>
    <w:rsid w:val="799C114F"/>
    <w:rsid w:val="79EB5A74"/>
    <w:rsid w:val="7BFF0D19"/>
    <w:rsid w:val="7CF7C7A4"/>
    <w:rsid w:val="7D7B672E"/>
    <w:rsid w:val="7E6EC32D"/>
    <w:rsid w:val="7E9D7D8C"/>
    <w:rsid w:val="7EB3B324"/>
    <w:rsid w:val="7EBF33EB"/>
    <w:rsid w:val="7EBFA229"/>
    <w:rsid w:val="7F1BC85C"/>
    <w:rsid w:val="7F51D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D839"/>
  <w15:chartTrackingRefBased/>
  <w15:docId w15:val="{16E2DFC8-D826-4A01-AC93-11C75701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C2B77"/>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C2B7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C2B77"/>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EC2B77"/>
    <w:rPr>
      <w:rFonts w:asciiTheme="majorHAnsi" w:hAnsiTheme="majorHAnsi" w:eastAsiaTheme="majorEastAsia"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fe6c60a-9a3a-4717-b414-9997faefc0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BC0153254924E951E19F650A72B97" ma:contentTypeVersion="18" ma:contentTypeDescription="Create a new document." ma:contentTypeScope="" ma:versionID="7b67367e4759b5c1507edec0665d6250">
  <xsd:schema xmlns:xsd="http://www.w3.org/2001/XMLSchema" xmlns:xs="http://www.w3.org/2001/XMLSchema" xmlns:p="http://schemas.microsoft.com/office/2006/metadata/properties" xmlns:ns3="4fe6c60a-9a3a-4717-b414-9997faefc099" xmlns:ns4="4ff57f53-98cf-492a-b0a4-70ea49900c73" targetNamespace="http://schemas.microsoft.com/office/2006/metadata/properties" ma:root="true" ma:fieldsID="4cda3cf229058ecedc0f611aa55d3769" ns3:_="" ns4:_="">
    <xsd:import namespace="4fe6c60a-9a3a-4717-b414-9997faefc099"/>
    <xsd:import namespace="4ff57f53-98cf-492a-b0a4-70ea49900c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6c60a-9a3a-4717-b414-9997faefc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7f53-98cf-492a-b0a4-70ea49900c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9C0F5-EAD7-4139-B703-4D949C259081}">
  <ds:schemaRefs>
    <ds:schemaRef ds:uri="4fe6c60a-9a3a-4717-b414-9997faefc099"/>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4ff57f53-98cf-492a-b0a4-70ea49900c73"/>
    <ds:schemaRef ds:uri="http://purl.org/dc/elements/1.1/"/>
    <ds:schemaRef ds:uri="http://purl.org/dc/terms/"/>
    <ds:schemaRef ds:uri="http://www.w3.org/XML/1998/namespace"/>
  </ds:schemaRefs>
</ds:datastoreItem>
</file>

<file path=customXml/itemProps2.xml><?xml version="1.0" encoding="utf-8"?>
<ds:datastoreItem xmlns:ds="http://schemas.openxmlformats.org/officeDocument/2006/customXml" ds:itemID="{169B30E7-B820-4F86-9388-C68B544D5B83}">
  <ds:schemaRefs>
    <ds:schemaRef ds:uri="http://schemas.microsoft.com/sharepoint/v3/contenttype/forms"/>
  </ds:schemaRefs>
</ds:datastoreItem>
</file>

<file path=customXml/itemProps3.xml><?xml version="1.0" encoding="utf-8"?>
<ds:datastoreItem xmlns:ds="http://schemas.openxmlformats.org/officeDocument/2006/customXml" ds:itemID="{78769FC7-9B54-476A-8FEF-932AA2603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6c60a-9a3a-4717-b414-9997faefc099"/>
    <ds:schemaRef ds:uri="4ff57f53-98cf-492a-b0a4-70ea49900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Phoebe</dc:creator>
  <keywords/>
  <dc:description/>
  <lastModifiedBy>Appleton, Becky</lastModifiedBy>
  <revision>7</revision>
  <dcterms:created xsi:type="dcterms:W3CDTF">2024-08-21T14:05:00.0000000Z</dcterms:created>
  <dcterms:modified xsi:type="dcterms:W3CDTF">2025-09-17T15:44:17.3090590Z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0x0101005C6BC0153254924E951E19F650A72B97</vt:lpwstr>
  </property>
</Properties>
</file>