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C423877" wp14:paraId="7BC67816" wp14:textId="02A9F30E">
      <w:pPr>
        <w:pStyle w:val="Heading1"/>
        <w:keepNext w:val="1"/>
        <w:keepLines w:val="1"/>
        <w:spacing w:before="240" w:after="0" w:line="278" w:lineRule="auto"/>
        <w:rPr>
          <w:rFonts w:ascii="Calibri Light" w:hAnsi="Calibri Light" w:eastAsia="Calibri Light" w:cs="Calibri Light"/>
          <w:b w:val="0"/>
          <w:bCs w:val="0"/>
          <w:i w:val="0"/>
          <w:iCs w:val="0"/>
          <w:caps w:val="0"/>
          <w:smallCaps w:val="0"/>
          <w:noProof w:val="0"/>
          <w:color w:val="2F5496"/>
          <w:sz w:val="32"/>
          <w:szCs w:val="32"/>
          <w:lang w:val="en-GB"/>
        </w:rPr>
      </w:pPr>
      <w:r w:rsidRPr="7C423877" w:rsidR="6B42C3D7">
        <w:rPr>
          <w:rFonts w:ascii="Calibri Light" w:hAnsi="Calibri Light" w:eastAsia="Calibri Light" w:cs="Calibri Light"/>
          <w:b w:val="0"/>
          <w:bCs w:val="0"/>
          <w:i w:val="0"/>
          <w:iCs w:val="0"/>
          <w:caps w:val="0"/>
          <w:smallCaps w:val="0"/>
          <w:noProof w:val="0"/>
          <w:color w:val="2F5496"/>
          <w:sz w:val="32"/>
          <w:szCs w:val="32"/>
          <w:lang w:val="en-GB"/>
        </w:rPr>
        <w:t>A</w:t>
      </w:r>
      <w:r w:rsidRPr="7C423877" w:rsidR="6D1C04B0">
        <w:rPr>
          <w:rFonts w:ascii="Calibri Light" w:hAnsi="Calibri Light" w:eastAsia="Calibri Light" w:cs="Calibri Light"/>
          <w:b w:val="0"/>
          <w:bCs w:val="0"/>
          <w:i w:val="0"/>
          <w:iCs w:val="0"/>
          <w:caps w:val="0"/>
          <w:smallCaps w:val="0"/>
          <w:noProof w:val="0"/>
          <w:color w:val="2F5496"/>
          <w:sz w:val="32"/>
          <w:szCs w:val="32"/>
          <w:lang w:val="en-GB"/>
        </w:rPr>
        <w:t>dditional file</w:t>
      </w:r>
      <w:r w:rsidRPr="7C423877" w:rsidR="6B42C3D7">
        <w:rPr>
          <w:rFonts w:ascii="Calibri Light" w:hAnsi="Calibri Light" w:eastAsia="Calibri Light" w:cs="Calibri Light"/>
          <w:b w:val="0"/>
          <w:bCs w:val="0"/>
          <w:i w:val="0"/>
          <w:iCs w:val="0"/>
          <w:caps w:val="0"/>
          <w:smallCaps w:val="0"/>
          <w:noProof w:val="0"/>
          <w:color w:val="2F5496"/>
          <w:sz w:val="32"/>
          <w:szCs w:val="32"/>
          <w:lang w:val="en-GB"/>
        </w:rPr>
        <w:t xml:space="preserve"> 6: Associations with outcome by outcome</w:t>
      </w:r>
    </w:p>
    <w:p xmlns:wp14="http://schemas.microsoft.com/office/word/2010/wordml" w:rsidP="77637571" wp14:paraId="66D6A48B" wp14:textId="3B59E5A2">
      <w:pPr>
        <w:spacing w:line="278"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7637571" w:rsidR="6B42C3D7">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Associations with access and waiting time outcomes</w:t>
      </w:r>
    </w:p>
    <w:p xmlns:wp14="http://schemas.microsoft.com/office/word/2010/wordml" w:rsidP="77637571" wp14:paraId="732CC3F4" wp14:textId="54BCFE3C">
      <w:pPr>
        <w:spacing w:line="278"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7637571" w:rsidR="6B42C3D7">
        <w:rPr>
          <w:rFonts w:ascii="Calibri" w:hAnsi="Calibri" w:eastAsia="Calibri" w:cs="Calibri"/>
          <w:b w:val="0"/>
          <w:bCs w:val="0"/>
          <w:i w:val="0"/>
          <w:iCs w:val="0"/>
          <w:caps w:val="0"/>
          <w:smallCaps w:val="0"/>
          <w:noProof w:val="0"/>
          <w:color w:val="000000" w:themeColor="text1" w:themeTint="FF" w:themeShade="FF"/>
          <w:sz w:val="22"/>
          <w:szCs w:val="22"/>
          <w:lang w:val="en-GB"/>
        </w:rPr>
        <w:t>Factors associated with access and waiting time outcomes were examined in two publications from one RCT evaluating the Youth Partners in Care QI intervention (Ngo, 2009; Rapp, 2017). One reported that at six months (when most outcomes of the QI intervention were favourable compared to the usual care group), more participants from minority ethnic groups accessed mental health treatment through the QI programme compared to usual care, including increased odds of counselling and speciality mental health care for Black and Latino participants. However, these groups were not more likely to access mental health care through a primary care clinician or medication (Ngo, 2009). The intervention also mitigated the negative effect of age on treatment access (Rapp, 2017), although access rates were only higher for those whose primary language was English (Rapp, 2017).  </w:t>
      </w:r>
    </w:p>
    <w:p xmlns:wp14="http://schemas.microsoft.com/office/word/2010/wordml" w:rsidP="77637571" wp14:paraId="0F813109" wp14:textId="567330AD">
      <w:pPr>
        <w:spacing w:line="278"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7637571" w:rsidR="6B42C3D7">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Factors associated with mental health and wellbeing outcomes:</w:t>
      </w:r>
    </w:p>
    <w:p xmlns:wp14="http://schemas.microsoft.com/office/word/2010/wordml" w:rsidP="77637571" wp14:paraId="0E1507BF" wp14:textId="6B99B4CC">
      <w:pPr>
        <w:spacing w:line="278"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7637571" w:rsidR="6B42C3D7">
        <w:rPr>
          <w:rFonts w:ascii="Calibri" w:hAnsi="Calibri" w:eastAsia="Calibri" w:cs="Calibri"/>
          <w:b w:val="0"/>
          <w:bCs w:val="0"/>
          <w:i w:val="0"/>
          <w:iCs w:val="0"/>
          <w:caps w:val="0"/>
          <w:smallCaps w:val="0"/>
          <w:noProof w:val="0"/>
          <w:color w:val="000000" w:themeColor="text1" w:themeTint="FF" w:themeShade="FF"/>
          <w:sz w:val="22"/>
          <w:szCs w:val="22"/>
          <w:lang w:val="en-GB"/>
        </w:rPr>
        <w:t>Eleven studies in total examined factors associated with mental health and wellbeing outcomes (Alvarez-Jimenez et al., 2020; Bond, 2020; Corley, 2023; Dowell 2020; Ngo, 2009; O’Keeffe, 2015; Parry, 2023; Schley 2019; Smith, 2012; Sterling, 2018; Souza 2011).</w:t>
      </w:r>
    </w:p>
    <w:p xmlns:wp14="http://schemas.microsoft.com/office/word/2010/wordml" w:rsidP="77637571" wp14:paraId="0E475DEF" wp14:textId="16782E7E">
      <w:pPr>
        <w:spacing w:line="278"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7637571" w:rsidR="6B42C3D7">
        <w:rPr>
          <w:rFonts w:ascii="Calibri" w:hAnsi="Calibri" w:eastAsia="Calibri" w:cs="Calibri"/>
          <w:b w:val="0"/>
          <w:bCs w:val="0"/>
          <w:i w:val="0"/>
          <w:iCs w:val="0"/>
          <w:caps w:val="0"/>
          <w:smallCaps w:val="0"/>
          <w:noProof w:val="0"/>
          <w:color w:val="000000" w:themeColor="text1" w:themeTint="FF" w:themeShade="FF"/>
          <w:sz w:val="22"/>
          <w:szCs w:val="22"/>
          <w:lang w:val="en-GB"/>
        </w:rPr>
        <w:t>Three RCTs with contemporaneous controls examined factors associated with mental health and wellbeing outcomes. These included one study examining a model designed to make care more comprehensive and joined up (Youth Partners in Care QI intervention; Ngo, 2009) and two evaluating models aiming to provide targeted support for specific needs beyond anxiety or depression (SBIRT: Sterling, 2018; MTFC+T: Smith, 2012). Ngo et al. (2009) found that the Youth Partners in Care QI intervention was predominantly beneficial for Black participants, who experienced significantly larger improvements in mental health compared to Black participants in the usual care condition, while Latino and White participants did not (Ngo, 2009). In contrast, Sterling et al. (2018) reported that SBIRT participants who were Black or of other unknown ethnicity had higher odds of endorsing depression symptoms over time compared to White participants. Additionally, younger adolescents and females were more likely to report depression symptoms than older or male participants (Sterling, 2018). Smith et al. (2012) identified baseline trauma and pre-baseline arrests as significant predictors of trauma-related symptoms at 12 months post-baseline for MTFC+T participants, while age and baseline mental health symptoms did not have an additive effect (Smith, 2012).</w:t>
      </w:r>
    </w:p>
    <w:p xmlns:wp14="http://schemas.microsoft.com/office/word/2010/wordml" w:rsidP="77637571" wp14:paraId="7363FC3D" wp14:textId="08CF7FE8">
      <w:pPr>
        <w:spacing w:line="278"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7637571" w:rsidR="6B42C3D7">
        <w:rPr>
          <w:rFonts w:ascii="Calibri" w:hAnsi="Calibri" w:eastAsia="Calibri" w:cs="Calibri"/>
          <w:b w:val="0"/>
          <w:bCs w:val="0"/>
          <w:i w:val="0"/>
          <w:iCs w:val="0"/>
          <w:caps w:val="0"/>
          <w:smallCaps w:val="0"/>
          <w:noProof w:val="0"/>
          <w:color w:val="000000" w:themeColor="text1" w:themeTint="FF" w:themeShade="FF"/>
          <w:sz w:val="22"/>
          <w:szCs w:val="22"/>
          <w:lang w:val="en-GB"/>
        </w:rPr>
        <w:t>Seven pre-post studies explored factors associated with mental health and wellbeing outcomes of models aiming to make care more comprehensive and joined up (Bond, 2020; Corley, 2023; O’Keeffe, 2015; Parry, 2023), models increasing speed or ease of access to care (Alvarez-Jimenez, 2020; Dowell, 2020; Schley, 2019), and models providing targeted support for specific needs beyond anxiety or depression (Souza, 2011). Living situation (Corley, 2023), referral route (Corley, 2023), diagnosis (Parry, 2023), number of interventions (Parry, 2023), urban versus rural location (Dowell, 2020), full versus partial intervention access (Alvarez-Jimenez, 2020), and age (O’Keeffe, 2015; Schley, 2019; Souza, 2011) did not significantly predict mental health outcomes. There were mixed results regarding gender (O’Keeffe, 2015; Schley, 2019; Souza, 2011). However, attendance at diagnosis-specific interventions did predict more positive mental health outcomes (Bond, 2020), as did complexity of presenting problems in participants aged 17+ (Corley, 2023).</w:t>
      </w:r>
    </w:p>
    <w:p xmlns:wp14="http://schemas.microsoft.com/office/word/2010/wordml" w:rsidP="77637571" wp14:paraId="7FA7146C" wp14:textId="38182CE5">
      <w:pPr>
        <w:spacing w:line="278"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7637571" w:rsidR="6B42C3D7">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Factors associated with social or functioning outcomes</w:t>
      </w:r>
    </w:p>
    <w:p xmlns:wp14="http://schemas.microsoft.com/office/word/2010/wordml" w:rsidP="77637571" wp14:paraId="2C0C2498" wp14:textId="4D89925F">
      <w:pPr>
        <w:spacing w:line="278"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7637571" w:rsidR="6B42C3D7">
        <w:rPr>
          <w:rFonts w:ascii="Calibri" w:hAnsi="Calibri" w:eastAsia="Calibri" w:cs="Calibri"/>
          <w:b w:val="0"/>
          <w:bCs w:val="0"/>
          <w:i w:val="0"/>
          <w:iCs w:val="0"/>
          <w:caps w:val="0"/>
          <w:smallCaps w:val="0"/>
          <w:noProof w:val="0"/>
          <w:color w:val="000000" w:themeColor="text1" w:themeTint="FF" w:themeShade="FF"/>
          <w:sz w:val="22"/>
          <w:szCs w:val="22"/>
          <w:lang w:val="en-GB"/>
        </w:rPr>
        <w:t>Factors associated with social or functioning outcomes were explored in two pre-post studies evaluating approaches aiming to increase speed or ease of access to care (Alvarez-Jimenez, 2020; Schley, 2019) and one approach aiming to make care more comprehensive and joined up (O’Reilly, 2022). One reported that age group, gender, centre, number of completed sessions, and dropout versus planned treatment completion status were not significant predictors of occupational and social functioning (Schley, 2019). Likewise, O’Reilly et al. (2022) found no significant association between changes in goal-based outcome scores and either age group or gender. However, young people referred by schools were significantly more likely to experience reliable deterioration in goal-based outcomes than those referred by other sources (O’Reilly, 2022). Alvarez-Jimenez et al. (2020) found that participants with full intervention access only showed improvements in loneliness, social support, and autonomy, while those given partial access only showed significant improvements in social support and self-competency.</w:t>
      </w:r>
      <w:r>
        <w:br/>
      </w:r>
      <w:r>
        <w:br/>
      </w:r>
      <w:r w:rsidRPr="77637571" w:rsidR="6B42C3D7">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Factors associated with acceptability outcomes</w:t>
      </w:r>
    </w:p>
    <w:p xmlns:wp14="http://schemas.microsoft.com/office/word/2010/wordml" w:rsidP="77637571" wp14:paraId="127F2246" wp14:textId="08CF6FA3">
      <w:pPr>
        <w:spacing w:line="278"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7637571" w:rsidR="6B42C3D7">
        <w:rPr>
          <w:rFonts w:ascii="Calibri" w:hAnsi="Calibri" w:eastAsia="Calibri" w:cs="Calibri"/>
          <w:b w:val="0"/>
          <w:bCs w:val="0"/>
          <w:i w:val="0"/>
          <w:iCs w:val="0"/>
          <w:caps w:val="0"/>
          <w:smallCaps w:val="0"/>
          <w:noProof w:val="0"/>
          <w:color w:val="000000" w:themeColor="text1" w:themeTint="FF" w:themeShade="FF"/>
          <w:sz w:val="22"/>
          <w:szCs w:val="22"/>
          <w:lang w:val="en-GB"/>
        </w:rPr>
        <w:t>Three pre-post studies evaluated factors associated with acceptability, including one study evaluating a model aiming to make care more comprehensive and joined up (YAS: Bond &amp; Power, 2020) and two studies evaluating a model aiming to increase speed or ease of access to care (RISE: Dowell, 2020; Waters, 2024). Significant predictors of YAS dropout rates included: time in the service, referral from CAMHS, medication prescription, and presence of developmental disorder (Bond &amp; Power, 2020). RISE participants at urban sites (versus rural) and receiving ‘remote’ or ‘in-person and remote real-time' sessions (versus in-person delivery only) rated sessions as significantly more enjoyable (Waters, 2024). There were no differences in ratings of helpfulness, usefulness, or ease of understanding between participants at rural versus urban sites (Waters, 2024).</w:t>
      </w:r>
    </w:p>
    <w:p xmlns:wp14="http://schemas.microsoft.com/office/word/2010/wordml" wp14:paraId="5E5787A5" wp14:textId="710B5ECF"/>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AC902E"/>
    <w:rsid w:val="4BAC902E"/>
    <w:rsid w:val="6B42C3D7"/>
    <w:rsid w:val="6D1C04B0"/>
    <w:rsid w:val="77637571"/>
    <w:rsid w:val="7C423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C902E"/>
  <w15:chartTrackingRefBased/>
  <w15:docId w15:val="{A7E80289-5A9B-46D8-B8F0-E5ED6C7B48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Appleton, Becky</dc:creator>
  <keywords/>
  <dc:description/>
  <lastModifiedBy>Appleton, Becky</lastModifiedBy>
  <revision>3</revision>
  <dcterms:created xsi:type="dcterms:W3CDTF">2025-09-17T15:43:17.5419122Z</dcterms:created>
  <dcterms:modified xsi:type="dcterms:W3CDTF">2025-09-17T15:44:25.5399787Z</dcterms:modified>
</coreProperties>
</file>