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2A37" w:rsidRPr="00656DF9" w:rsidRDefault="00995749">
      <w:pPr>
        <w:rPr>
          <w:rFonts w:ascii="Times New Roman" w:hAnsi="Times New Roman" w:cs="Times New Roman"/>
          <w:b/>
          <w:sz w:val="24"/>
          <w:szCs w:val="24"/>
          <w:lang w:val="en-US"/>
        </w:rPr>
      </w:pPr>
      <w:r w:rsidRPr="00656DF9">
        <w:rPr>
          <w:rFonts w:ascii="Times New Roman" w:hAnsi="Times New Roman" w:cs="Times New Roman"/>
          <w:b/>
          <w:sz w:val="24"/>
          <w:szCs w:val="24"/>
          <w:lang w:val="en-US"/>
        </w:rPr>
        <w:t>Supplementary Material</w:t>
      </w:r>
    </w:p>
    <w:p w:rsidR="00656DF9" w:rsidRPr="00656DF9" w:rsidRDefault="00656DF9">
      <w:pPr>
        <w:rPr>
          <w:rFonts w:ascii="Times New Roman" w:hAnsi="Times New Roman" w:cs="Times New Roman"/>
          <w:b/>
          <w:sz w:val="24"/>
          <w:szCs w:val="24"/>
          <w:lang w:val="en-US"/>
        </w:rPr>
      </w:pPr>
    </w:p>
    <w:p w:rsidR="00656DF9" w:rsidRDefault="00656DF9">
      <w:pPr>
        <w:rPr>
          <w:rFonts w:ascii="Times New Roman" w:hAnsi="Times New Roman" w:cs="Times New Roman"/>
          <w:b/>
          <w:sz w:val="24"/>
          <w:szCs w:val="24"/>
          <w:lang w:val="en-US"/>
        </w:rPr>
      </w:pPr>
      <w:r>
        <w:rPr>
          <w:rFonts w:ascii="Times New Roman" w:hAnsi="Times New Roman" w:cs="Times New Roman"/>
          <w:b/>
          <w:sz w:val="24"/>
          <w:szCs w:val="24"/>
          <w:lang w:val="en-US"/>
        </w:rPr>
        <w:t>Results of additional pre-ictal aperiodic exponent dynamics</w:t>
      </w:r>
    </w:p>
    <w:p w:rsidR="00656DF9" w:rsidRPr="00656DF9" w:rsidRDefault="00B76DE8">
      <w:pPr>
        <w:rPr>
          <w:rFonts w:ascii="Times New Roman" w:hAnsi="Times New Roman" w:cs="Times New Roman"/>
          <w:b/>
          <w:sz w:val="24"/>
          <w:szCs w:val="24"/>
          <w:lang w:val="en-US"/>
        </w:rPr>
      </w:pPr>
      <w:r>
        <w:rPr>
          <w:rFonts w:ascii="Times New Roman" w:hAnsi="Times New Roman" w:cs="Times New Roman"/>
          <w:b/>
          <w:noProof/>
          <w:sz w:val="24"/>
          <w:szCs w:val="24"/>
          <w:lang w:val="it-IT"/>
        </w:rPr>
        <w:drawing>
          <wp:inline distT="0" distB="0" distL="0" distR="0">
            <wp:extent cx="5319979" cy="6790334"/>
            <wp:effectExtent l="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upplementary_fig_2-01.tif"/>
                    <pic:cNvPicPr/>
                  </pic:nvPicPr>
                  <pic:blipFill>
                    <a:blip r:embed="rId6" cstate="print">
                      <a:extLst>
                        <a:ext uri="{28A0092B-C50C-407E-A947-70E740481C1C}">
                          <a14:useLocalDpi xmlns:a14="http://schemas.microsoft.com/office/drawing/2010/main" val="0"/>
                        </a:ext>
                      </a:extLst>
                    </a:blip>
                    <a:stretch>
                      <a:fillRect/>
                    </a:stretch>
                  </pic:blipFill>
                  <pic:spPr>
                    <a:xfrm>
                      <a:off x="0" y="0"/>
                      <a:ext cx="5319979" cy="6790334"/>
                    </a:xfrm>
                    <a:prstGeom prst="rect">
                      <a:avLst/>
                    </a:prstGeom>
                  </pic:spPr>
                </pic:pic>
              </a:graphicData>
            </a:graphic>
          </wp:inline>
        </w:drawing>
      </w:r>
    </w:p>
    <w:p w:rsidR="002F2A37" w:rsidRPr="00656DF9" w:rsidRDefault="00656DF9" w:rsidP="00656DF9">
      <w:pPr>
        <w:jc w:val="both"/>
        <w:rPr>
          <w:rFonts w:ascii="Times New Roman" w:hAnsi="Times New Roman" w:cs="Times New Roman"/>
          <w:sz w:val="24"/>
          <w:szCs w:val="24"/>
          <w:lang w:val="en-US"/>
        </w:rPr>
      </w:pPr>
      <w:r>
        <w:rPr>
          <w:rFonts w:ascii="Times New Roman" w:hAnsi="Times New Roman" w:cs="Times New Roman"/>
          <w:b/>
          <w:sz w:val="24"/>
          <w:szCs w:val="24"/>
          <w:lang w:val="en-US"/>
        </w:rPr>
        <w:t xml:space="preserve">Figure </w:t>
      </w:r>
      <w:r w:rsidR="005B5155">
        <w:rPr>
          <w:rFonts w:ascii="Times New Roman" w:hAnsi="Times New Roman" w:cs="Times New Roman"/>
          <w:b/>
          <w:sz w:val="24"/>
          <w:szCs w:val="24"/>
          <w:lang w:val="en-US"/>
        </w:rPr>
        <w:t>S</w:t>
      </w:r>
      <w:r>
        <w:rPr>
          <w:rFonts w:ascii="Times New Roman" w:hAnsi="Times New Roman" w:cs="Times New Roman"/>
          <w:b/>
          <w:sz w:val="24"/>
          <w:szCs w:val="24"/>
          <w:lang w:val="en-US"/>
        </w:rPr>
        <w:t>1. Additional pre-ictal time interval</w:t>
      </w:r>
      <w:r w:rsidR="00B76DE8">
        <w:rPr>
          <w:rFonts w:ascii="Times New Roman" w:hAnsi="Times New Roman" w:cs="Times New Roman"/>
          <w:b/>
          <w:sz w:val="24"/>
          <w:szCs w:val="24"/>
          <w:lang w:val="en-US"/>
        </w:rPr>
        <w:t xml:space="preserve"> results</w:t>
      </w:r>
      <w:r>
        <w:rPr>
          <w:rFonts w:ascii="Times New Roman" w:hAnsi="Times New Roman" w:cs="Times New Roman"/>
          <w:b/>
          <w:sz w:val="24"/>
          <w:szCs w:val="24"/>
          <w:lang w:val="en-US"/>
        </w:rPr>
        <w:t>.</w:t>
      </w:r>
      <w:r>
        <w:rPr>
          <w:rFonts w:ascii="Times New Roman" w:hAnsi="Times New Roman" w:cs="Times New Roman"/>
          <w:sz w:val="24"/>
          <w:szCs w:val="24"/>
          <w:lang w:val="en-US"/>
        </w:rPr>
        <w:t xml:space="preserve"> The present figure shows the dynamics of the aperiodic exponent with larger time interval before seizure occurrence, 20 (top), 30 (middle) and 40 (bottom) minutes, respectively. These time-series plots highlight that the major increase of the aperiodic exponent is around 15 minutes before the seizures. </w:t>
      </w:r>
      <w:r w:rsidR="00603AEE" w:rsidRPr="00603AEE">
        <w:rPr>
          <w:rFonts w:ascii="Times New Roman" w:hAnsi="Times New Roman" w:cs="Times New Roman"/>
          <w:sz w:val="24"/>
          <w:szCs w:val="24"/>
          <w:lang w:val="en-US"/>
        </w:rPr>
        <w:t>These results support that the pre-ictal selected time window (13 minutes before seizures), representing a good balance between signal length, number of patients included in the analysis and the characterization of aperiodic exponent dynamics</w:t>
      </w:r>
      <w:r w:rsidR="00603AEE">
        <w:rPr>
          <w:rFonts w:ascii="Times New Roman" w:hAnsi="Times New Roman" w:cs="Times New Roman"/>
          <w:sz w:val="24"/>
          <w:szCs w:val="24"/>
          <w:lang w:val="en-US"/>
        </w:rPr>
        <w:t>.</w:t>
      </w:r>
    </w:p>
    <w:p w:rsidR="002F2A37" w:rsidRPr="00656DF9" w:rsidRDefault="00995749">
      <w:pPr>
        <w:spacing w:line="360" w:lineRule="auto"/>
        <w:jc w:val="both"/>
        <w:rPr>
          <w:rFonts w:ascii="Times New Roman" w:hAnsi="Times New Roman" w:cs="Times New Roman"/>
          <w:b/>
          <w:sz w:val="24"/>
          <w:szCs w:val="24"/>
          <w:lang w:val="en-US"/>
        </w:rPr>
      </w:pPr>
      <w:r w:rsidRPr="00656DF9">
        <w:rPr>
          <w:rFonts w:ascii="Times New Roman" w:hAnsi="Times New Roman" w:cs="Times New Roman"/>
          <w:b/>
          <w:sz w:val="24"/>
          <w:szCs w:val="24"/>
          <w:lang w:val="en-US"/>
        </w:rPr>
        <w:lastRenderedPageBreak/>
        <w:t>Inward/outward connections and relationship with exponent - Theta band</w:t>
      </w:r>
    </w:p>
    <w:p w:rsidR="002F2A37" w:rsidRPr="00656DF9" w:rsidRDefault="00995749">
      <w:pPr>
        <w:spacing w:line="360" w:lineRule="auto"/>
        <w:jc w:val="both"/>
        <w:rPr>
          <w:rFonts w:ascii="Times New Roman" w:hAnsi="Times New Roman" w:cs="Times New Roman"/>
          <w:sz w:val="24"/>
          <w:szCs w:val="24"/>
          <w:lang w:val="en-US"/>
        </w:rPr>
      </w:pPr>
      <w:r w:rsidRPr="00656DF9">
        <w:rPr>
          <w:rFonts w:ascii="Times New Roman" w:hAnsi="Times New Roman" w:cs="Times New Roman"/>
          <w:sz w:val="24"/>
          <w:szCs w:val="24"/>
          <w:lang w:val="en-US"/>
        </w:rPr>
        <w:t xml:space="preserve">No significant linear increase or decrease were found as the seizure approaches analyzing theta band changes of in/outward connections in the </w:t>
      </w:r>
      <w:proofErr w:type="spellStart"/>
      <w:r w:rsidRPr="00656DF9">
        <w:rPr>
          <w:rFonts w:ascii="Times New Roman" w:hAnsi="Times New Roman" w:cs="Times New Roman"/>
          <w:sz w:val="24"/>
          <w:szCs w:val="24"/>
          <w:lang w:val="en-US"/>
        </w:rPr>
        <w:t>preictal</w:t>
      </w:r>
      <w:proofErr w:type="spellEnd"/>
      <w:r w:rsidRPr="00656DF9">
        <w:rPr>
          <w:rFonts w:ascii="Times New Roman" w:hAnsi="Times New Roman" w:cs="Times New Roman"/>
          <w:sz w:val="24"/>
          <w:szCs w:val="24"/>
          <w:lang w:val="en-US"/>
        </w:rPr>
        <w:t xml:space="preserve"> phase (</w:t>
      </w:r>
      <w:r w:rsidR="001F6AFE" w:rsidRPr="00656DF9">
        <w:rPr>
          <w:rFonts w:ascii="Times New Roman" w:hAnsi="Times New Roman" w:cs="Times New Roman"/>
          <w:sz w:val="24"/>
          <w:szCs w:val="24"/>
          <w:lang w:val="en-US"/>
        </w:rPr>
        <w:t>see Supplementary Fig.2A</w:t>
      </w:r>
      <w:r w:rsidRPr="00656DF9">
        <w:rPr>
          <w:rFonts w:ascii="Times New Roman" w:hAnsi="Times New Roman" w:cs="Times New Roman"/>
          <w:sz w:val="24"/>
          <w:szCs w:val="24"/>
          <w:lang w:val="en-US"/>
        </w:rPr>
        <w:t>).</w:t>
      </w:r>
      <w:r w:rsidR="001F6AFE" w:rsidRPr="00656DF9">
        <w:rPr>
          <w:rFonts w:ascii="Times New Roman" w:hAnsi="Times New Roman" w:cs="Times New Roman"/>
          <w:sz w:val="24"/>
          <w:szCs w:val="24"/>
          <w:lang w:val="en-US"/>
        </w:rPr>
        <w:t xml:space="preserve"> </w:t>
      </w:r>
      <w:r w:rsidRPr="00656DF9">
        <w:rPr>
          <w:rFonts w:ascii="Times New Roman" w:hAnsi="Times New Roman" w:cs="Times New Roman"/>
          <w:sz w:val="24"/>
          <w:szCs w:val="24"/>
          <w:lang w:val="en-US"/>
        </w:rPr>
        <w:t xml:space="preserve">For the analyses on the time-averaged inward and outward connections the following pipeline was used: we averaged separately over time inward and outward connections of the pre-ictal and </w:t>
      </w:r>
      <w:proofErr w:type="spellStart"/>
      <w:r w:rsidRPr="00656DF9">
        <w:rPr>
          <w:rFonts w:ascii="Times New Roman" w:hAnsi="Times New Roman" w:cs="Times New Roman"/>
          <w:sz w:val="24"/>
          <w:szCs w:val="24"/>
          <w:lang w:val="en-US"/>
        </w:rPr>
        <w:t>interictal</w:t>
      </w:r>
      <w:proofErr w:type="spellEnd"/>
      <w:r w:rsidRPr="00656DF9">
        <w:rPr>
          <w:rFonts w:ascii="Times New Roman" w:hAnsi="Times New Roman" w:cs="Times New Roman"/>
          <w:sz w:val="24"/>
          <w:szCs w:val="24"/>
          <w:lang w:val="en-US"/>
        </w:rPr>
        <w:t xml:space="preserve"> periods and then compared connectivity profiles between epileptogenic and non-epileptogenic regions. In order to examine the relationship between E/I balance and functional organization (in/outward connectivity), we correlated time averaged aperiodic exponent (pre-ictal and </w:t>
      </w:r>
      <w:proofErr w:type="spellStart"/>
      <w:r w:rsidRPr="00656DF9">
        <w:rPr>
          <w:rFonts w:ascii="Times New Roman" w:hAnsi="Times New Roman" w:cs="Times New Roman"/>
          <w:sz w:val="24"/>
          <w:szCs w:val="24"/>
          <w:lang w:val="en-US"/>
        </w:rPr>
        <w:t>interictal</w:t>
      </w:r>
      <w:proofErr w:type="spellEnd"/>
      <w:r w:rsidRPr="00656DF9">
        <w:rPr>
          <w:rFonts w:ascii="Times New Roman" w:hAnsi="Times New Roman" w:cs="Times New Roman"/>
          <w:sz w:val="24"/>
          <w:szCs w:val="24"/>
          <w:lang w:val="en-US"/>
        </w:rPr>
        <w:t>) with directed connectivity previousl</w:t>
      </w:r>
      <w:r w:rsidR="00503FE2">
        <w:rPr>
          <w:rFonts w:ascii="Times New Roman" w:hAnsi="Times New Roman" w:cs="Times New Roman"/>
          <w:sz w:val="24"/>
          <w:szCs w:val="24"/>
          <w:lang w:val="en-US"/>
        </w:rPr>
        <w:t>y av</w:t>
      </w:r>
      <w:r w:rsidR="006E22FC">
        <w:rPr>
          <w:rFonts w:ascii="Times New Roman" w:hAnsi="Times New Roman" w:cs="Times New Roman"/>
          <w:sz w:val="24"/>
          <w:szCs w:val="24"/>
          <w:lang w:val="en-US"/>
        </w:rPr>
        <w:t>eraged over time. Similar</w:t>
      </w:r>
      <w:r w:rsidR="00503FE2">
        <w:rPr>
          <w:rFonts w:ascii="Times New Roman" w:hAnsi="Times New Roman" w:cs="Times New Roman"/>
          <w:sz w:val="24"/>
          <w:szCs w:val="24"/>
          <w:lang w:val="en-US"/>
        </w:rPr>
        <w:t xml:space="preserve"> to </w:t>
      </w:r>
      <w:r w:rsidRPr="00656DF9">
        <w:rPr>
          <w:rFonts w:ascii="Times New Roman" w:hAnsi="Times New Roman" w:cs="Times New Roman"/>
          <w:sz w:val="24"/>
          <w:szCs w:val="24"/>
          <w:lang w:val="en-US"/>
        </w:rPr>
        <w:t>the delta band results, in the theta band during the pre-ictal phase epileptogenic regions exhibited a greater number of outward connections compared to non-epileptogenic regions (</w:t>
      </w:r>
      <w:r w:rsidRPr="00656DF9">
        <w:rPr>
          <w:rFonts w:ascii="Times New Roman" w:hAnsi="Times New Roman" w:cs="Times New Roman"/>
          <w:i/>
          <w:sz w:val="24"/>
          <w:szCs w:val="24"/>
          <w:lang w:val="en-US"/>
        </w:rPr>
        <w:t>t</w:t>
      </w:r>
      <w:r w:rsidRPr="00656DF9">
        <w:rPr>
          <w:rFonts w:ascii="Times New Roman" w:hAnsi="Times New Roman" w:cs="Times New Roman"/>
          <w:sz w:val="24"/>
          <w:szCs w:val="24"/>
          <w:lang w:val="en-US"/>
        </w:rPr>
        <w:t xml:space="preserve"> = 2.16; </w:t>
      </w:r>
      <w:r w:rsidRPr="00656DF9">
        <w:rPr>
          <w:rFonts w:ascii="Times New Roman" w:hAnsi="Times New Roman" w:cs="Times New Roman"/>
          <w:i/>
          <w:sz w:val="24"/>
          <w:szCs w:val="24"/>
          <w:lang w:val="en-US"/>
        </w:rPr>
        <w:t>p</w:t>
      </w:r>
      <w:r w:rsidR="001F6AFE" w:rsidRPr="00656DF9">
        <w:rPr>
          <w:rFonts w:ascii="Times New Roman" w:hAnsi="Times New Roman" w:cs="Times New Roman"/>
          <w:sz w:val="24"/>
          <w:szCs w:val="24"/>
          <w:lang w:val="en-US"/>
        </w:rPr>
        <w:t xml:space="preserve"> = .040) (see Supplementary Fig.2</w:t>
      </w:r>
      <w:r w:rsidRPr="00656DF9">
        <w:rPr>
          <w:rFonts w:ascii="Times New Roman" w:hAnsi="Times New Roman" w:cs="Times New Roman"/>
          <w:sz w:val="24"/>
          <w:szCs w:val="24"/>
          <w:lang w:val="en-US"/>
        </w:rPr>
        <w:t xml:space="preserve">B). The same result was found also in the </w:t>
      </w:r>
      <w:proofErr w:type="spellStart"/>
      <w:r w:rsidRPr="00656DF9">
        <w:rPr>
          <w:rFonts w:ascii="Times New Roman" w:hAnsi="Times New Roman" w:cs="Times New Roman"/>
          <w:sz w:val="24"/>
          <w:szCs w:val="24"/>
          <w:lang w:val="en-US"/>
        </w:rPr>
        <w:t>interictal</w:t>
      </w:r>
      <w:proofErr w:type="spellEnd"/>
      <w:r w:rsidRPr="00656DF9">
        <w:rPr>
          <w:rFonts w:ascii="Times New Roman" w:hAnsi="Times New Roman" w:cs="Times New Roman"/>
          <w:sz w:val="24"/>
          <w:szCs w:val="24"/>
          <w:lang w:val="en-US"/>
        </w:rPr>
        <w:t xml:space="preserve"> phase (</w:t>
      </w:r>
      <w:r w:rsidRPr="00656DF9">
        <w:rPr>
          <w:rFonts w:ascii="Times New Roman" w:hAnsi="Times New Roman" w:cs="Times New Roman"/>
          <w:i/>
          <w:sz w:val="24"/>
          <w:szCs w:val="24"/>
          <w:lang w:val="en-US"/>
        </w:rPr>
        <w:t>t</w:t>
      </w:r>
      <w:r w:rsidRPr="00656DF9">
        <w:rPr>
          <w:rFonts w:ascii="Times New Roman" w:hAnsi="Times New Roman" w:cs="Times New Roman"/>
          <w:sz w:val="24"/>
          <w:szCs w:val="24"/>
          <w:lang w:val="en-US"/>
        </w:rPr>
        <w:t xml:space="preserve"> = 2.42; </w:t>
      </w:r>
      <w:r w:rsidRPr="00656DF9">
        <w:rPr>
          <w:rFonts w:ascii="Times New Roman" w:hAnsi="Times New Roman" w:cs="Times New Roman"/>
          <w:i/>
          <w:sz w:val="24"/>
          <w:szCs w:val="24"/>
          <w:lang w:val="en-US"/>
        </w:rPr>
        <w:t>p</w:t>
      </w:r>
      <w:r w:rsidRPr="00656DF9">
        <w:rPr>
          <w:rFonts w:ascii="Times New Roman" w:hAnsi="Times New Roman" w:cs="Times New Roman"/>
          <w:sz w:val="24"/>
          <w:szCs w:val="24"/>
          <w:lang w:val="en-US"/>
        </w:rPr>
        <w:t xml:space="preserve"> = .026)</w:t>
      </w:r>
      <w:r w:rsidR="001F6AFE" w:rsidRPr="00656DF9">
        <w:rPr>
          <w:rFonts w:ascii="Times New Roman" w:hAnsi="Times New Roman" w:cs="Times New Roman"/>
          <w:sz w:val="24"/>
          <w:szCs w:val="24"/>
          <w:lang w:val="en-US"/>
        </w:rPr>
        <w:t xml:space="preserve"> </w:t>
      </w:r>
      <w:r w:rsidRPr="00656DF9">
        <w:rPr>
          <w:rFonts w:ascii="Times New Roman" w:hAnsi="Times New Roman" w:cs="Times New Roman"/>
          <w:sz w:val="24"/>
          <w:szCs w:val="24"/>
          <w:lang w:val="en-US"/>
        </w:rPr>
        <w:t xml:space="preserve">(see </w:t>
      </w:r>
      <w:r w:rsidR="001F6AFE" w:rsidRPr="00656DF9">
        <w:rPr>
          <w:rFonts w:ascii="Times New Roman" w:hAnsi="Times New Roman" w:cs="Times New Roman"/>
          <w:sz w:val="24"/>
          <w:szCs w:val="24"/>
          <w:lang w:val="en-US"/>
        </w:rPr>
        <w:t>Supplementary Fig.2</w:t>
      </w:r>
      <w:r w:rsidRPr="00656DF9">
        <w:rPr>
          <w:rFonts w:ascii="Times New Roman" w:hAnsi="Times New Roman" w:cs="Times New Roman"/>
          <w:sz w:val="24"/>
          <w:szCs w:val="24"/>
          <w:lang w:val="en-US"/>
        </w:rPr>
        <w:t>B).</w:t>
      </w:r>
    </w:p>
    <w:p w:rsidR="002F2A37" w:rsidRPr="00656DF9" w:rsidRDefault="00995749">
      <w:pPr>
        <w:spacing w:line="360" w:lineRule="auto"/>
        <w:jc w:val="both"/>
        <w:rPr>
          <w:rFonts w:ascii="Times New Roman" w:hAnsi="Times New Roman" w:cs="Times New Roman"/>
          <w:sz w:val="24"/>
          <w:szCs w:val="24"/>
          <w:lang w:val="en-US"/>
        </w:rPr>
      </w:pPr>
      <w:r w:rsidRPr="00656DF9">
        <w:rPr>
          <w:rFonts w:ascii="Times New Roman" w:hAnsi="Times New Roman" w:cs="Times New Roman"/>
          <w:sz w:val="24"/>
          <w:szCs w:val="24"/>
          <w:lang w:val="en-US"/>
        </w:rPr>
        <w:t xml:space="preserve">Finally, as per the relationship between E/I and effective connectivity, the pattern already found in the delta band was present also in theta band. Larger inhibition was related to an increased number of outward connections in the non-epileptogenic region in the pre-ictal phase (rho = 0.49; </w:t>
      </w:r>
      <w:r w:rsidRPr="00656DF9">
        <w:rPr>
          <w:rFonts w:ascii="Times New Roman" w:hAnsi="Times New Roman" w:cs="Times New Roman"/>
          <w:i/>
          <w:sz w:val="24"/>
          <w:szCs w:val="24"/>
          <w:lang w:val="en-US"/>
        </w:rPr>
        <w:t xml:space="preserve">p </w:t>
      </w:r>
      <w:r w:rsidRPr="00656DF9">
        <w:rPr>
          <w:rFonts w:ascii="Times New Roman" w:hAnsi="Times New Roman" w:cs="Times New Roman"/>
          <w:sz w:val="24"/>
          <w:szCs w:val="24"/>
          <w:lang w:val="en-US"/>
        </w:rPr>
        <w:t>= .036). Conversely, in the pre-ictal period epileptogenic regions displayed an opposite correlation pattern as compared to the non-epileptogenic regions, with more outflow connections as the E/I balance shifted toward excitation even though the latter correlation does not survive multiple comparison correction (</w:t>
      </w:r>
      <w:r w:rsidRPr="00503FE2">
        <w:rPr>
          <w:rFonts w:ascii="Times New Roman" w:hAnsi="Times New Roman" w:cs="Times New Roman"/>
          <w:i/>
          <w:sz w:val="24"/>
          <w:szCs w:val="24"/>
          <w:lang w:val="en-US"/>
        </w:rPr>
        <w:t>rho</w:t>
      </w:r>
      <w:r w:rsidRPr="00656DF9">
        <w:rPr>
          <w:rFonts w:ascii="Times New Roman" w:hAnsi="Times New Roman" w:cs="Times New Roman"/>
          <w:sz w:val="24"/>
          <w:szCs w:val="24"/>
          <w:lang w:val="en-US"/>
        </w:rPr>
        <w:t xml:space="preserve"> = -0.42; </w:t>
      </w:r>
      <w:r w:rsidRPr="00656DF9">
        <w:rPr>
          <w:rFonts w:ascii="Times New Roman" w:hAnsi="Times New Roman" w:cs="Times New Roman"/>
          <w:i/>
          <w:sz w:val="24"/>
          <w:szCs w:val="24"/>
          <w:lang w:val="en-US"/>
        </w:rPr>
        <w:t xml:space="preserve">p </w:t>
      </w:r>
      <w:r w:rsidR="001F6AFE" w:rsidRPr="00656DF9">
        <w:rPr>
          <w:rFonts w:ascii="Times New Roman" w:hAnsi="Times New Roman" w:cs="Times New Roman"/>
          <w:sz w:val="24"/>
          <w:szCs w:val="24"/>
          <w:lang w:val="en-US"/>
        </w:rPr>
        <w:t>= .055) (see Supplementary Fig.2C</w:t>
      </w:r>
      <w:r w:rsidRPr="00656DF9">
        <w:rPr>
          <w:rFonts w:ascii="Times New Roman" w:hAnsi="Times New Roman" w:cs="Times New Roman"/>
          <w:sz w:val="24"/>
          <w:szCs w:val="24"/>
          <w:lang w:val="en-US"/>
        </w:rPr>
        <w:t>)</w:t>
      </w:r>
    </w:p>
    <w:p w:rsidR="002F2A37" w:rsidRPr="00A74A46" w:rsidRDefault="00A74A46">
      <w:pPr>
        <w:spacing w:line="360" w:lineRule="auto"/>
        <w:jc w:val="both"/>
        <w:rPr>
          <w:rFonts w:ascii="Times New Roman" w:hAnsi="Times New Roman" w:cs="Times New Roman"/>
          <w:b/>
          <w:sz w:val="24"/>
          <w:szCs w:val="24"/>
          <w:lang w:val="en-US"/>
        </w:rPr>
      </w:pPr>
      <w:r>
        <w:rPr>
          <w:rFonts w:ascii="Times New Roman" w:hAnsi="Times New Roman" w:cs="Times New Roman"/>
          <w:b/>
          <w:noProof/>
          <w:sz w:val="24"/>
          <w:szCs w:val="24"/>
          <w:lang w:val="it-IT"/>
        </w:rPr>
        <w:drawing>
          <wp:inline distT="0" distB="0" distL="0" distR="0">
            <wp:extent cx="5254142" cy="2595067"/>
            <wp:effectExtent l="0" t="0" r="381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upplementary_fig_1-01.t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5254142" cy="2595067"/>
                    </a:xfrm>
                    <a:prstGeom prst="rect">
                      <a:avLst/>
                    </a:prstGeom>
                  </pic:spPr>
                </pic:pic>
              </a:graphicData>
            </a:graphic>
          </wp:inline>
        </w:drawing>
      </w:r>
    </w:p>
    <w:p w:rsidR="002F2A37" w:rsidRPr="00656DF9" w:rsidRDefault="00656DF9">
      <w:pPr>
        <w:spacing w:line="36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 xml:space="preserve">Figure </w:t>
      </w:r>
      <w:r w:rsidR="005B5155">
        <w:rPr>
          <w:rFonts w:ascii="Times New Roman" w:hAnsi="Times New Roman" w:cs="Times New Roman"/>
          <w:b/>
          <w:sz w:val="24"/>
          <w:szCs w:val="24"/>
          <w:lang w:val="en-US"/>
        </w:rPr>
        <w:t>S</w:t>
      </w:r>
      <w:r>
        <w:rPr>
          <w:rFonts w:ascii="Times New Roman" w:hAnsi="Times New Roman" w:cs="Times New Roman"/>
          <w:b/>
          <w:sz w:val="24"/>
          <w:szCs w:val="24"/>
          <w:lang w:val="en-US"/>
        </w:rPr>
        <w:t>2.</w:t>
      </w:r>
      <w:r w:rsidR="00995749" w:rsidRPr="00656DF9">
        <w:rPr>
          <w:rFonts w:ascii="Times New Roman" w:hAnsi="Times New Roman" w:cs="Times New Roman"/>
          <w:b/>
          <w:sz w:val="24"/>
          <w:szCs w:val="24"/>
          <w:lang w:val="en-US"/>
        </w:rPr>
        <w:t xml:space="preserve"> </w:t>
      </w:r>
      <w:bookmarkStart w:id="0" w:name="_GoBack"/>
      <w:r w:rsidR="00995749" w:rsidRPr="00656DF9">
        <w:rPr>
          <w:rFonts w:ascii="Times New Roman" w:hAnsi="Times New Roman" w:cs="Times New Roman"/>
          <w:b/>
          <w:sz w:val="24"/>
          <w:szCs w:val="24"/>
          <w:lang w:val="en-US"/>
        </w:rPr>
        <w:t>Effective connectivity in theta band and its relationship with the aperiodic exponent</w:t>
      </w:r>
      <w:bookmarkEnd w:id="0"/>
      <w:r w:rsidR="00995749" w:rsidRPr="00656DF9">
        <w:rPr>
          <w:rFonts w:ascii="Times New Roman" w:hAnsi="Times New Roman" w:cs="Times New Roman"/>
          <w:b/>
          <w:sz w:val="24"/>
          <w:szCs w:val="24"/>
          <w:lang w:val="en-US"/>
        </w:rPr>
        <w:t>.</w:t>
      </w:r>
      <w:r w:rsidR="00995749" w:rsidRPr="00656DF9">
        <w:rPr>
          <w:rFonts w:ascii="Times New Roman" w:hAnsi="Times New Roman" w:cs="Times New Roman"/>
          <w:sz w:val="24"/>
          <w:szCs w:val="24"/>
          <w:lang w:val="en-US"/>
        </w:rPr>
        <w:t xml:space="preserve"> (</w:t>
      </w:r>
      <w:r w:rsidR="00995749" w:rsidRPr="00656DF9">
        <w:rPr>
          <w:rFonts w:ascii="Times New Roman" w:hAnsi="Times New Roman" w:cs="Times New Roman"/>
          <w:b/>
          <w:sz w:val="24"/>
          <w:szCs w:val="24"/>
          <w:lang w:val="en-US"/>
        </w:rPr>
        <w:t>A</w:t>
      </w:r>
      <w:r w:rsidR="00995749" w:rsidRPr="00656DF9">
        <w:rPr>
          <w:rFonts w:ascii="Times New Roman" w:hAnsi="Times New Roman" w:cs="Times New Roman"/>
          <w:sz w:val="24"/>
          <w:szCs w:val="24"/>
          <w:lang w:val="en-US"/>
        </w:rPr>
        <w:t xml:space="preserve">) Dynamics of the inward and outward number of connections (degree) in the theta band, for epileptogenic (blue lines) and non-epileptogenic (red lines) regions. Shaded </w:t>
      </w:r>
      <w:r w:rsidR="00995749" w:rsidRPr="00656DF9">
        <w:rPr>
          <w:rFonts w:ascii="Times New Roman" w:hAnsi="Times New Roman" w:cs="Times New Roman"/>
          <w:sz w:val="24"/>
          <w:szCs w:val="24"/>
          <w:lang w:val="en-US"/>
        </w:rPr>
        <w:lastRenderedPageBreak/>
        <w:t>areas indicate the standard error, and black vertical lines mark the seizure onset. (</w:t>
      </w:r>
      <w:r w:rsidR="00995749" w:rsidRPr="00656DF9">
        <w:rPr>
          <w:rFonts w:ascii="Times New Roman" w:hAnsi="Times New Roman" w:cs="Times New Roman"/>
          <w:b/>
          <w:sz w:val="24"/>
          <w:szCs w:val="24"/>
          <w:lang w:val="en-US"/>
        </w:rPr>
        <w:t>B</w:t>
      </w:r>
      <w:r w:rsidR="00995749" w:rsidRPr="00656DF9">
        <w:rPr>
          <w:rFonts w:ascii="Times New Roman" w:hAnsi="Times New Roman" w:cs="Times New Roman"/>
          <w:sz w:val="24"/>
          <w:szCs w:val="24"/>
          <w:lang w:val="en-US"/>
        </w:rPr>
        <w:t xml:space="preserve">) Distribution of the time-averaged degree during </w:t>
      </w:r>
      <w:proofErr w:type="spellStart"/>
      <w:r w:rsidR="00995749" w:rsidRPr="00656DF9">
        <w:rPr>
          <w:rFonts w:ascii="Times New Roman" w:hAnsi="Times New Roman" w:cs="Times New Roman"/>
          <w:sz w:val="24"/>
          <w:szCs w:val="24"/>
          <w:lang w:val="en-US"/>
        </w:rPr>
        <w:t>interictal</w:t>
      </w:r>
      <w:proofErr w:type="spellEnd"/>
      <w:r w:rsidR="00995749" w:rsidRPr="00656DF9">
        <w:rPr>
          <w:rFonts w:ascii="Times New Roman" w:hAnsi="Times New Roman" w:cs="Times New Roman"/>
          <w:sz w:val="24"/>
          <w:szCs w:val="24"/>
          <w:lang w:val="en-US"/>
        </w:rPr>
        <w:t xml:space="preserve"> resting-state and pre-ictal conditions using box plots. Significant comparisons are indicated by black lines with asterisks. (</w:t>
      </w:r>
      <w:r w:rsidR="00995749" w:rsidRPr="00656DF9">
        <w:rPr>
          <w:rFonts w:ascii="Times New Roman" w:hAnsi="Times New Roman" w:cs="Times New Roman"/>
          <w:b/>
          <w:sz w:val="24"/>
          <w:szCs w:val="24"/>
          <w:lang w:val="en-US"/>
        </w:rPr>
        <w:t>C</w:t>
      </w:r>
      <w:r w:rsidR="00995749" w:rsidRPr="00656DF9">
        <w:rPr>
          <w:rFonts w:ascii="Times New Roman" w:hAnsi="Times New Roman" w:cs="Times New Roman"/>
          <w:sz w:val="24"/>
          <w:szCs w:val="24"/>
          <w:lang w:val="en-US"/>
        </w:rPr>
        <w:t xml:space="preserve">) Spearman’s rho values for the correlation between the aperiodic exponent and the theta band inward (in) and outward (out) connectivity, represented as a </w:t>
      </w:r>
      <w:proofErr w:type="spellStart"/>
      <w:r w:rsidR="00995749" w:rsidRPr="00656DF9">
        <w:rPr>
          <w:rFonts w:ascii="Times New Roman" w:hAnsi="Times New Roman" w:cs="Times New Roman"/>
          <w:sz w:val="24"/>
          <w:szCs w:val="24"/>
          <w:lang w:val="en-US"/>
        </w:rPr>
        <w:t>barplot</w:t>
      </w:r>
      <w:proofErr w:type="spellEnd"/>
      <w:r w:rsidR="00995749" w:rsidRPr="00656DF9">
        <w:rPr>
          <w:rFonts w:ascii="Times New Roman" w:hAnsi="Times New Roman" w:cs="Times New Roman"/>
          <w:sz w:val="24"/>
          <w:szCs w:val="24"/>
          <w:lang w:val="en-US"/>
        </w:rPr>
        <w:t xml:space="preserve">. Results are shown separately for epileptogenic (Epi) and non-epileptogenic (Non-Epi) regions, as well as for </w:t>
      </w:r>
      <w:proofErr w:type="spellStart"/>
      <w:r w:rsidR="00995749" w:rsidRPr="00656DF9">
        <w:rPr>
          <w:rFonts w:ascii="Times New Roman" w:hAnsi="Times New Roman" w:cs="Times New Roman"/>
          <w:sz w:val="24"/>
          <w:szCs w:val="24"/>
          <w:lang w:val="en-US"/>
        </w:rPr>
        <w:t>interictal</w:t>
      </w:r>
      <w:proofErr w:type="spellEnd"/>
      <w:r w:rsidR="00995749" w:rsidRPr="00656DF9">
        <w:rPr>
          <w:rFonts w:ascii="Times New Roman" w:hAnsi="Times New Roman" w:cs="Times New Roman"/>
          <w:sz w:val="24"/>
          <w:szCs w:val="24"/>
          <w:lang w:val="en-US"/>
        </w:rPr>
        <w:t xml:space="preserve"> (</w:t>
      </w:r>
      <w:proofErr w:type="spellStart"/>
      <w:r w:rsidR="00995749" w:rsidRPr="00656DF9">
        <w:rPr>
          <w:rFonts w:ascii="Times New Roman" w:hAnsi="Times New Roman" w:cs="Times New Roman"/>
          <w:sz w:val="24"/>
          <w:szCs w:val="24"/>
          <w:lang w:val="en-US"/>
        </w:rPr>
        <w:t>Interic</w:t>
      </w:r>
      <w:proofErr w:type="spellEnd"/>
      <w:r w:rsidR="00995749" w:rsidRPr="00656DF9">
        <w:rPr>
          <w:rFonts w:ascii="Times New Roman" w:hAnsi="Times New Roman" w:cs="Times New Roman"/>
          <w:sz w:val="24"/>
          <w:szCs w:val="24"/>
          <w:lang w:val="en-US"/>
        </w:rPr>
        <w:t>) and pre-ictal (Pre-</w:t>
      </w:r>
      <w:proofErr w:type="spellStart"/>
      <w:r w:rsidR="00995749" w:rsidRPr="00656DF9">
        <w:rPr>
          <w:rFonts w:ascii="Times New Roman" w:hAnsi="Times New Roman" w:cs="Times New Roman"/>
          <w:sz w:val="24"/>
          <w:szCs w:val="24"/>
          <w:lang w:val="en-US"/>
        </w:rPr>
        <w:t>Ic</w:t>
      </w:r>
      <w:proofErr w:type="spellEnd"/>
      <w:r w:rsidR="00995749" w:rsidRPr="00656DF9">
        <w:rPr>
          <w:rFonts w:ascii="Times New Roman" w:hAnsi="Times New Roman" w:cs="Times New Roman"/>
          <w:sz w:val="24"/>
          <w:szCs w:val="24"/>
          <w:lang w:val="en-US"/>
        </w:rPr>
        <w:t>) intervals</w:t>
      </w:r>
    </w:p>
    <w:p w:rsidR="002F2A37" w:rsidRPr="00656DF9" w:rsidRDefault="002F2A37">
      <w:pPr>
        <w:rPr>
          <w:rFonts w:ascii="Times New Roman" w:hAnsi="Times New Roman" w:cs="Times New Roman"/>
          <w:b/>
          <w:sz w:val="24"/>
          <w:szCs w:val="24"/>
          <w:lang w:val="en-US"/>
        </w:rPr>
      </w:pPr>
    </w:p>
    <w:sectPr w:rsidR="002F2A37" w:rsidRPr="00656DF9">
      <w:headerReference w:type="default" r:id="rId8"/>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459E" w:rsidRDefault="00A6459E">
      <w:pPr>
        <w:spacing w:line="240" w:lineRule="auto"/>
      </w:pPr>
      <w:r>
        <w:separator/>
      </w:r>
    </w:p>
  </w:endnote>
  <w:endnote w:type="continuationSeparator" w:id="0">
    <w:p w:rsidR="00A6459E" w:rsidRDefault="00A6459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459E" w:rsidRDefault="00A6459E">
      <w:pPr>
        <w:spacing w:line="240" w:lineRule="auto"/>
      </w:pPr>
      <w:r>
        <w:separator/>
      </w:r>
    </w:p>
  </w:footnote>
  <w:footnote w:type="continuationSeparator" w:id="0">
    <w:p w:rsidR="00A6459E" w:rsidRDefault="00A6459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2A37" w:rsidRDefault="002F2A37"/>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2A37"/>
    <w:rsid w:val="001223A1"/>
    <w:rsid w:val="001F6AFE"/>
    <w:rsid w:val="002F2A37"/>
    <w:rsid w:val="00503FE2"/>
    <w:rsid w:val="005B5155"/>
    <w:rsid w:val="00603AEE"/>
    <w:rsid w:val="00656DF9"/>
    <w:rsid w:val="006E22FC"/>
    <w:rsid w:val="00995749"/>
    <w:rsid w:val="00A6459E"/>
    <w:rsid w:val="00A74A46"/>
    <w:rsid w:val="00B76DE8"/>
    <w:rsid w:val="00F41AF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1FF529"/>
  <w15:docId w15:val="{5C92C6B7-87C5-4BA7-BBFF-F2A66D2A9C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it" w:eastAsia="it-IT"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style>
  <w:style w:type="paragraph" w:styleId="Titolo1">
    <w:name w:val="heading 1"/>
    <w:basedOn w:val="Normale"/>
    <w:next w:val="Normale"/>
    <w:pPr>
      <w:keepNext/>
      <w:keepLines/>
      <w:spacing w:before="400" w:after="120"/>
      <w:outlineLvl w:val="0"/>
    </w:pPr>
    <w:rPr>
      <w:sz w:val="40"/>
      <w:szCs w:val="40"/>
    </w:rPr>
  </w:style>
  <w:style w:type="paragraph" w:styleId="Titolo2">
    <w:name w:val="heading 2"/>
    <w:basedOn w:val="Normale"/>
    <w:next w:val="Normale"/>
    <w:pPr>
      <w:keepNext/>
      <w:keepLines/>
      <w:spacing w:before="360" w:after="120"/>
      <w:outlineLvl w:val="1"/>
    </w:pPr>
    <w:rPr>
      <w:sz w:val="32"/>
      <w:szCs w:val="32"/>
    </w:rPr>
  </w:style>
  <w:style w:type="paragraph" w:styleId="Titolo3">
    <w:name w:val="heading 3"/>
    <w:basedOn w:val="Normale"/>
    <w:next w:val="Normale"/>
    <w:pPr>
      <w:keepNext/>
      <w:keepLines/>
      <w:spacing w:before="320" w:after="80"/>
      <w:outlineLvl w:val="2"/>
    </w:pPr>
    <w:rPr>
      <w:color w:val="434343"/>
      <w:sz w:val="28"/>
      <w:szCs w:val="28"/>
    </w:rPr>
  </w:style>
  <w:style w:type="paragraph" w:styleId="Titolo4">
    <w:name w:val="heading 4"/>
    <w:basedOn w:val="Normale"/>
    <w:next w:val="Normale"/>
    <w:pPr>
      <w:keepNext/>
      <w:keepLines/>
      <w:spacing w:before="280" w:after="80"/>
      <w:outlineLvl w:val="3"/>
    </w:pPr>
    <w:rPr>
      <w:color w:val="666666"/>
      <w:sz w:val="24"/>
      <w:szCs w:val="24"/>
    </w:rPr>
  </w:style>
  <w:style w:type="paragraph" w:styleId="Titolo5">
    <w:name w:val="heading 5"/>
    <w:basedOn w:val="Normale"/>
    <w:next w:val="Normale"/>
    <w:pPr>
      <w:keepNext/>
      <w:keepLines/>
      <w:spacing w:before="240" w:after="80"/>
      <w:outlineLvl w:val="4"/>
    </w:pPr>
    <w:rPr>
      <w:color w:val="666666"/>
    </w:rPr>
  </w:style>
  <w:style w:type="paragraph" w:styleId="Titolo6">
    <w:name w:val="heading 6"/>
    <w:basedOn w:val="Normale"/>
    <w:next w:val="Normale"/>
    <w:pPr>
      <w:keepNext/>
      <w:keepLines/>
      <w:spacing w:before="240" w:after="80"/>
      <w:outlineLvl w:val="5"/>
    </w:pPr>
    <w:rPr>
      <w:i/>
      <w:color w:val="66666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pPr>
      <w:keepNext/>
      <w:keepLines/>
      <w:spacing w:after="60"/>
    </w:pPr>
    <w:rPr>
      <w:sz w:val="52"/>
      <w:szCs w:val="52"/>
    </w:rPr>
  </w:style>
  <w:style w:type="paragraph" w:styleId="Sottotitolo">
    <w:name w:val="Subtitle"/>
    <w:basedOn w:val="Normale"/>
    <w:next w:val="Normale"/>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tif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3</Pages>
  <Words>501</Words>
  <Characters>2861</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Utente</cp:lastModifiedBy>
  <cp:revision>8</cp:revision>
  <cp:lastPrinted>2025-09-15T07:33:00Z</cp:lastPrinted>
  <dcterms:created xsi:type="dcterms:W3CDTF">2025-09-14T17:58:00Z</dcterms:created>
  <dcterms:modified xsi:type="dcterms:W3CDTF">2025-10-08T10:22:00Z</dcterms:modified>
</cp:coreProperties>
</file>