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D7D8D">
      <w:pPr>
        <w:widowControl w:val="0"/>
        <w:spacing w:line="240" w:lineRule="auto"/>
        <w:jc w:val="left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32"/>
          <w:szCs w:val="36"/>
          <w:highlight w:val="none"/>
          <w:lang w:val="en-US" w:eastAsia="zh-CN" w:bidi="ar-SA"/>
        </w:rPr>
        <w:t>Supplementary Information</w:t>
      </w:r>
    </w:p>
    <w:p w14:paraId="7FD6F45A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Formula of calculation 1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: The obesity progression model</w:t>
      </w:r>
    </w:p>
    <w:p w14:paraId="75B0EE73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Formula of calculation 2: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Calculation of QALYs saved</w:t>
      </w:r>
    </w:p>
    <w:p w14:paraId="477159F4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Formula of calculation 3: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 Estimation of labor productivity loss</w:t>
      </w:r>
    </w:p>
    <w:p w14:paraId="389CE38F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 xml:space="preserve">Formula of calculation 4: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Calculation of medical costs averted</w:t>
      </w:r>
    </w:p>
    <w:p w14:paraId="53BE6C6F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</w:p>
    <w:p w14:paraId="4FB04F12">
      <w:pPr>
        <w:rPr>
          <w:rFonts w:hint="default" w:ascii="Times New Roman" w:hAnsi="Times New Roman" w:eastAsia="等线" w:cs="Times New Roman"/>
          <w:b/>
          <w:bCs/>
          <w:kern w:val="2"/>
          <w:sz w:val="32"/>
          <w:szCs w:val="36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32"/>
          <w:szCs w:val="36"/>
          <w:highlight w:val="none"/>
          <w:lang w:val="en-US" w:eastAsia="zh-CN" w:bidi="ar-SA"/>
        </w:rPr>
        <w:br w:type="page"/>
      </w:r>
    </w:p>
    <w:p w14:paraId="69E1D3FA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bookmarkStart w:id="0" w:name="OLE_LINK11"/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Formula of calculation 1:</w:t>
      </w:r>
      <w:bookmarkEnd w:id="0"/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 xml:space="preserve"> The obesity progression model</w:t>
      </w:r>
    </w:p>
    <w:p w14:paraId="178E1C74">
      <w:pPr>
        <w:spacing w:line="240" w:lineRule="auto"/>
        <w:rPr>
          <w:rFonts w:hint="default" w:ascii="Times New Roman" w:hAnsi="Times New Roman" w:eastAsia="宋体" w:cs="Times New Roman"/>
          <w:szCs w:val="21"/>
          <w:highlight w:val="none"/>
        </w:rPr>
      </w:pPr>
      <m:oMathPara>
        <m:oMath>
          <m:sSub>
            <w:bookmarkStart w:id="1" w:name="_Hlk141730746"/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f</m:t>
              </m:r>
              <w:bookmarkEnd w:id="1"/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kern w:val="0"/>
              <w:sz w:val="24"/>
              <w:szCs w:val="24"/>
              <w:highlight w:val="none"/>
            </w:rPr>
            <m:t>=</m:t>
          </m:r>
          <m:sSub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1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  <w:highlight w:val="none"/>
                </w:rPr>
                <m:t>f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 w:val="24"/>
              <w:szCs w:val="24"/>
              <w:highlight w:val="none"/>
            </w:rPr>
            <m:t>×</m:t>
          </m:r>
          <m:d>
            <m:dPr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dPr>
            <m:e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2o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2n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e>
          </m:d>
          <m:r>
            <m:rPr/>
            <w:rPr>
              <w:rFonts w:hint="default" w:ascii="Cambria Math" w:hAnsi="Cambria Math" w:cs="Times New Roman"/>
              <w:sz w:val="24"/>
              <w:szCs w:val="24"/>
              <w:highlight w:val="none"/>
            </w:rPr>
            <m:t>×</m:t>
          </m:r>
          <m:d>
            <m:dPr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dPr>
            <m:e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3of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3nf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e>
          </m:d>
          <m:r>
            <m:rPr/>
            <w:rPr>
              <w:rFonts w:hint="default" w:ascii="Cambria Math" w:hAnsi="Cambria Math" w:eastAsia="宋体" w:cs="Times New Roman"/>
              <w:sz w:val="24"/>
              <w:szCs w:val="24"/>
              <w:highlight w:val="none"/>
            </w:rPr>
            <m:t xml:space="preserve"> </m:t>
          </m:r>
        </m:oMath>
      </m:oMathPara>
    </w:p>
    <w:p w14:paraId="1864BC8D">
      <w:pPr>
        <w:spacing w:line="240" w:lineRule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m:oMathPara>
        <m:oMath>
          <m:sSub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m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kern w:val="0"/>
              <w:sz w:val="24"/>
              <w:szCs w:val="24"/>
              <w:highlight w:val="none"/>
            </w:rPr>
            <m:t>=</m:t>
          </m:r>
          <m:sSub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1</m:t>
              </m:r>
              <m:r>
                <m:rPr/>
                <w:rPr>
                  <w:rFonts w:hint="default" w:ascii="Cambria Math" w:hAnsi="Cambria Math" w:cs="Times New Roman"/>
                  <w:sz w:val="24"/>
                  <w:szCs w:val="24"/>
                  <w:highlight w:val="none"/>
                </w:rPr>
                <m:t>m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 w:val="24"/>
              <w:szCs w:val="24"/>
              <w:highlight w:val="none"/>
            </w:rPr>
            <m:t>×</m:t>
          </m:r>
          <m:d>
            <m:dPr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dPr>
            <m:e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2o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2n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e>
          </m:d>
          <m:r>
            <m:rPr/>
            <w:rPr>
              <w:rFonts w:hint="default" w:ascii="Cambria Math" w:hAnsi="Cambria Math" w:cs="Times New Roman"/>
              <w:sz w:val="24"/>
              <w:szCs w:val="24"/>
              <w:highlight w:val="none"/>
            </w:rPr>
            <m:t>×</m:t>
          </m:r>
          <m:d>
            <m:dPr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dPr>
            <m:e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3om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P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</w:rPr>
                    <m:t>3nm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24"/>
                      <w:szCs w:val="24"/>
                      <w:highlight w:val="none"/>
                    </w:rPr>
                  </m:ctrlPr>
                </m:sub>
              </m:sSub>
              <m:ctrlPr>
                <w:rPr>
                  <w:rFonts w:hint="default" w:ascii="Cambria Math" w:hAnsi="Cambria Math" w:eastAsia="宋体" w:cs="Times New Roman"/>
                  <w:i/>
                  <w:sz w:val="24"/>
                  <w:szCs w:val="24"/>
                  <w:highlight w:val="none"/>
                </w:rPr>
              </m:ctrlPr>
            </m:e>
          </m:d>
          <m:r>
            <m:rPr/>
            <w:rPr>
              <w:rFonts w:hint="default" w:ascii="Cambria Math" w:hAnsi="Cambria Math" w:eastAsia="宋体" w:cs="Times New Roman"/>
              <w:sz w:val="24"/>
              <w:szCs w:val="24"/>
              <w:highlight w:val="none"/>
            </w:rPr>
            <m:t xml:space="preserve"> </m:t>
          </m:r>
        </m:oMath>
      </m:oMathPara>
    </w:p>
    <w:p w14:paraId="1ABB0E09">
      <w:pPr>
        <w:spacing w:line="240" w:lineRule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highlight w:val="none"/>
                </w:rPr>
                <m:t>N</m:t>
              </m: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highlight w:val="none"/>
                </w:rPr>
                <m:t>Prenvent</m:t>
              </m: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highlight w:val="none"/>
            </w:rPr>
            <m:t>=</m:t>
          </m:r>
          <m:sSub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f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eastAsia="Cambria Math" w:cs="Times New Roman"/>
              <w:sz w:val="24"/>
              <w:szCs w:val="24"/>
              <w:highlight w:val="none"/>
            </w:rPr>
            <m:t>+</m:t>
          </m:r>
          <m:sSub>
            <m:sSubP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eastAsia="Cambria Math" w:cs="Times New Roman"/>
                  <w:kern w:val="0"/>
                  <w:sz w:val="24"/>
                  <w:szCs w:val="24"/>
                  <w:highlight w:val="none"/>
                </w:rPr>
                <m:t>N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eastAsia="Cambria Math" w:cs="Times New Roman"/>
                  <w:sz w:val="24"/>
                  <w:szCs w:val="24"/>
                  <w:highlight w:val="none"/>
                </w:rPr>
                <m:t>m</m:t>
              </m:r>
              <m:ctrlPr>
                <w:rPr>
                  <w:rFonts w:hint="default" w:ascii="Cambria Math" w:hAnsi="Cambria Math" w:eastAsia="Cambria Math" w:cs="Times New Roman"/>
                  <w:i/>
                  <w:sz w:val="24"/>
                  <w:szCs w:val="24"/>
                  <w:highlight w:val="none"/>
                </w:rPr>
              </m:ctrlPr>
            </m:sub>
          </m:sSub>
        </m:oMath>
      </m:oMathPara>
    </w:p>
    <w:p w14:paraId="11434D7A">
      <w:pPr>
        <w:spacing w:line="240" w:lineRule="auto"/>
        <w:jc w:val="center"/>
        <w:rPr>
          <w:rFonts w:hint="default" w:ascii="Times New Roman" w:hAnsi="Times New Roman" w:eastAsia="等线" w:cs="Times New Roman"/>
          <w:szCs w:val="22"/>
          <w:highlight w:val="none"/>
        </w:rPr>
      </w:pPr>
      <w:bookmarkStart w:id="2" w:name="OLE_LINK8"/>
      <w:r>
        <w:rPr>
          <w:rFonts w:hint="default" w:ascii="Times New Roman" w:hAnsi="Times New Roman" w:eastAsia="等线" w:cs="Times New Roman"/>
          <w:b/>
          <w:bCs/>
          <w:szCs w:val="22"/>
          <w:highlight w:val="none"/>
        </w:rPr>
        <w:t>Table</w:t>
      </w:r>
      <w:r>
        <w:rPr>
          <w:rFonts w:hint="eastAsia" w:ascii="Times New Roman" w:hAnsi="Times New Roman" w:eastAsia="等线" w:cs="Times New Roman"/>
          <w:b/>
          <w:bCs/>
          <w:szCs w:val="22"/>
          <w:highlight w:val="none"/>
          <w:lang w:val="en-US" w:eastAsia="zh-CN"/>
        </w:rPr>
        <w:t xml:space="preserve"> </w:t>
      </w:r>
      <w:bookmarkEnd w:id="2"/>
      <w:r>
        <w:rPr>
          <w:rFonts w:hint="default" w:ascii="Times New Roman" w:hAnsi="Times New Roman" w:eastAsia="等线" w:cs="Times New Roman"/>
          <w:szCs w:val="22"/>
          <w:highlight w:val="none"/>
        </w:rPr>
        <w:t>Parameters for the obesity progression model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4411"/>
        <w:gridCol w:w="1521"/>
      </w:tblGrid>
      <w:tr w14:paraId="7179F8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5DFFFED6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bookmarkStart w:id="3" w:name="_Hlk141733465"/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Parameters</w:t>
            </w:r>
          </w:p>
        </w:tc>
        <w:tc>
          <w:tcPr>
            <w:tcW w:w="4411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40E03674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Meaning</w:t>
            </w:r>
          </w:p>
        </w:tc>
        <w:tc>
          <w:tcPr>
            <w:tcW w:w="1521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7495CA64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Value</w:t>
            </w:r>
          </w:p>
        </w:tc>
      </w:tr>
      <w:tr w14:paraId="113450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</w:tcBorders>
          </w:tcPr>
          <w:p w14:paraId="6F4C2B1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eastAsia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N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eastAsia="Cambria Math" w:cs="Times New Roman"/>
                        <w:sz w:val="24"/>
                        <w:szCs w:val="24"/>
                        <w:highlight w:val="none"/>
                      </w:rPr>
                      <m:t>f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  <w:tcBorders>
              <w:top w:val="single" w:color="auto" w:sz="4" w:space="0"/>
            </w:tcBorders>
          </w:tcPr>
          <w:p w14:paraId="18BA2C6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 cases of obesity after age 40 prevented</w:t>
            </w:r>
          </w:p>
        </w:tc>
        <w:tc>
          <w:tcPr>
            <w:tcW w:w="1521" w:type="dxa"/>
            <w:tcBorders>
              <w:top w:val="single" w:color="auto" w:sz="4" w:space="0"/>
            </w:tcBorders>
          </w:tcPr>
          <w:p w14:paraId="3946140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10 (Chinese)</w:t>
            </w:r>
          </w:p>
          <w:p w14:paraId="507B3B9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5 (WHO)</w:t>
            </w:r>
          </w:p>
        </w:tc>
      </w:tr>
      <w:bookmarkEnd w:id="3"/>
      <w:tr w14:paraId="227B8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F07AE2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eastAsia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N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eastAsia="Cambria Math" w:cs="Times New Roman"/>
                        <w:sz w:val="24"/>
                        <w:szCs w:val="24"/>
                        <w:highlight w:val="none"/>
                      </w:rPr>
                      <m:t>m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74CB918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 cases of obesity after age 40 prevented</w:t>
            </w:r>
          </w:p>
        </w:tc>
        <w:tc>
          <w:tcPr>
            <w:tcW w:w="1521" w:type="dxa"/>
          </w:tcPr>
          <w:p w14:paraId="409BEBD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2 (Chinese)</w:t>
            </w:r>
          </w:p>
          <w:p w14:paraId="38B4AA7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 (WHO)</w:t>
            </w:r>
          </w:p>
        </w:tc>
      </w:tr>
      <w:tr w14:paraId="4EF337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78A050B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eastAsia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N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eastAsia="Cambria Math" w:cs="Times New Roman"/>
                        <w:sz w:val="24"/>
                        <w:szCs w:val="24"/>
                        <w:highlight w:val="none"/>
                      </w:rPr>
                      <m:t>1</m:t>
                    </m:r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highlight w:val="none"/>
                      </w:rPr>
                      <m:t>f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41EB0EF0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 cases of overweight or obesity prevented in the Diet, ExerCIse and CarDiovascular hEalth-Children study</w:t>
            </w:r>
          </w:p>
        </w:tc>
        <w:tc>
          <w:tcPr>
            <w:tcW w:w="1521" w:type="dxa"/>
          </w:tcPr>
          <w:p w14:paraId="71A8E75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21 (Chinese)</w:t>
            </w:r>
          </w:p>
          <w:p w14:paraId="77BF48B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12 (WHO)</w:t>
            </w:r>
          </w:p>
        </w:tc>
      </w:tr>
      <w:tr w14:paraId="2B98BC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639FCD8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eastAsia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N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eastAsia="Cambria Math" w:cs="Times New Roman"/>
                        <w:sz w:val="24"/>
                        <w:szCs w:val="24"/>
                        <w:highlight w:val="none"/>
                      </w:rPr>
                      <m:t>1</m:t>
                    </m:r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highlight w:val="none"/>
                      </w:rPr>
                      <m:t>m</m:t>
                    </m:r>
                    <m:ctrlPr>
                      <w:rPr>
                        <w:rFonts w:hint="default" w:ascii="Cambria Math" w:hAnsi="Cambria Math" w:eastAsia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51951DD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 cases of overweight or obesity prevented in the Diet, ExerCIse and CarDiovascular hEalth-Children study</w:t>
            </w:r>
          </w:p>
        </w:tc>
        <w:tc>
          <w:tcPr>
            <w:tcW w:w="1521" w:type="dxa"/>
          </w:tcPr>
          <w:p w14:paraId="60A6BC4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5 (Chinese)</w:t>
            </w:r>
          </w:p>
          <w:p w14:paraId="77922E0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3 (WHO)</w:t>
            </w:r>
          </w:p>
        </w:tc>
      </w:tr>
      <w:tr w14:paraId="21A2B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D8C4B37">
            <w:pPr>
              <w:spacing w:line="240" w:lineRule="auto"/>
              <w:jc w:val="right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2o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56999CD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21-29 conditional on having obesity (overweight) at age 10-14</w:t>
            </w:r>
          </w:p>
        </w:tc>
        <w:tc>
          <w:tcPr>
            <w:tcW w:w="1521" w:type="dxa"/>
          </w:tcPr>
          <w:p w14:paraId="5E235F6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0.75</w:t>
            </w:r>
          </w:p>
        </w:tc>
      </w:tr>
      <w:tr w14:paraId="344DE4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7B1D264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2n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65E5785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21-29 conditional on not having obesity (overweight) at age 10-14</w:t>
            </w:r>
          </w:p>
        </w:tc>
        <w:tc>
          <w:tcPr>
            <w:tcW w:w="1521" w:type="dxa"/>
          </w:tcPr>
          <w:p w14:paraId="2F46B71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0.09</w:t>
            </w:r>
          </w:p>
        </w:tc>
      </w:tr>
      <w:tr w14:paraId="7AAFFC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B3E163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3of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1B031E3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40 conditional on having obesity at age 21-29 (female)</w:t>
            </w:r>
          </w:p>
        </w:tc>
        <w:tc>
          <w:tcPr>
            <w:tcW w:w="1521" w:type="dxa"/>
          </w:tcPr>
          <w:p w14:paraId="61AA15C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0.85</w:t>
            </w:r>
          </w:p>
          <w:p w14:paraId="5511E37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5E3B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4C7F8F5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3nf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2C0BF69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40 conditional on not having obesity at age 21-29 (female)</w:t>
            </w:r>
          </w:p>
        </w:tc>
        <w:tc>
          <w:tcPr>
            <w:tcW w:w="1521" w:type="dxa"/>
          </w:tcPr>
          <w:p w14:paraId="62007DC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0.12</w:t>
            </w:r>
          </w:p>
          <w:p w14:paraId="47E5796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C1581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BC12FE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3om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6621F19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4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 xml:space="preserve"> conditional on having obesity at age 21-29 (male)</w:t>
            </w:r>
          </w:p>
        </w:tc>
        <w:tc>
          <w:tcPr>
            <w:tcW w:w="1521" w:type="dxa"/>
          </w:tcPr>
          <w:p w14:paraId="3F3DF85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0.77</w:t>
            </w:r>
          </w:p>
          <w:p w14:paraId="476CCF50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FDBC9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6020AD6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P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3nm</m:t>
                    </m:r>
                    <m:ctrlPr>
                      <w:rPr>
                        <w:rFonts w:hint="default" w:ascii="Cambria Math" w:hAnsi="Cambria Math" w:eastAsia="宋体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411" w:type="dxa"/>
          </w:tcPr>
          <w:p w14:paraId="7F433790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developing obesity at age 40 conditional on not having obesity at age 21-29 (male)</w:t>
            </w:r>
          </w:p>
        </w:tc>
        <w:tc>
          <w:tcPr>
            <w:tcW w:w="1521" w:type="dxa"/>
          </w:tcPr>
          <w:p w14:paraId="50B79A3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0.12</w:t>
            </w:r>
          </w:p>
          <w:p w14:paraId="2EA49A4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</w:tbl>
    <w:p w14:paraId="59C681A4">
      <w:pPr>
        <w:rPr>
          <w:rFonts w:hint="default" w:ascii="Times New Roman" w:hAnsi="Times New Roman" w:eastAsia="等线" w:cs="Times New Roman"/>
          <w:szCs w:val="22"/>
          <w:highlight w:val="none"/>
        </w:rPr>
      </w:pPr>
      <w:r>
        <w:rPr>
          <w:rFonts w:hint="default" w:ascii="Times New Roman" w:hAnsi="Times New Roman" w:eastAsia="等线" w:cs="Times New Roman"/>
          <w:szCs w:val="22"/>
          <w:highlight w:val="none"/>
        </w:rPr>
        <w:br w:type="page"/>
      </w:r>
    </w:p>
    <w:p w14:paraId="37576B1A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</w:rPr>
      </w:pPr>
    </w:p>
    <w:p w14:paraId="2F6844F3">
      <w:pPr>
        <w:spacing w:line="240" w:lineRule="auto"/>
        <w:rPr>
          <w:rFonts w:hint="default" w:ascii="Times New Roman" w:hAnsi="Times New Roman" w:eastAsia="等线" w:cs="Times New Roman"/>
          <w:szCs w:val="22"/>
          <w:highlight w:val="none"/>
        </w:rPr>
      </w:pPr>
    </w:p>
    <w:p w14:paraId="4E29E5FC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Formula of calculation 2: Calculation of QALYs saved</w:t>
      </w:r>
    </w:p>
    <w:p w14:paraId="3868C7DE">
      <w:pPr>
        <w:spacing w:line="240" w:lineRule="auto"/>
        <w:rPr>
          <w:rFonts w:hint="default" w:ascii="Times New Roman" w:hAnsi="Times New Roman" w:eastAsia="等线" w:cs="Times New Roman"/>
          <w:sz w:val="18"/>
          <w:szCs w:val="18"/>
          <w:highlight w:val="none"/>
        </w:rPr>
      </w:pPr>
      <m:oMathPara>
        <m:oMath>
          <m:r>
            <m:rPr/>
            <w:rPr>
              <w:rFonts w:hint="default" w:ascii="Cambria Math" w:hAnsi="Cambria Math" w:cs="Times New Roman"/>
              <w:kern w:val="0"/>
              <w:sz w:val="18"/>
              <w:szCs w:val="18"/>
              <w:highlight w:val="none"/>
            </w:rPr>
            <m:t>Q=</m:t>
          </m:r>
          <m:f>
            <m:fPr>
              <m:ctrlPr>
                <w:rPr>
                  <w:rFonts w:hint="default" w:ascii="Cambria Math" w:hAnsi="Cambria Math" w:eastAsia="宋体" w:cs="Times New Roman"/>
                  <w:i/>
                  <w:sz w:val="18"/>
                  <w:szCs w:val="18"/>
                  <w:highlight w:val="none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M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n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ub>
              </m:sSub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S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n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ub>
              </m:sSub>
              <w:bookmarkStart w:id="4" w:name="OLE_LINK17"/>
              <m:d>
                <m:dPr>
                  <m:begChr m:val="["/>
                  <m:endChr m:val="]"/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−</m:t>
                  </m:r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sSup>
                        <m:sSupP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m:t>1+r</m:t>
                              </m: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</m:d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p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b w:val="0"/>
                              <w:i w:val="0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Ln</m:t>
                          </m:r>
                          <w:bookmarkEnd w:id="4"/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kern w:val="0"/>
                  <w:sz w:val="18"/>
                  <w:szCs w:val="18"/>
                  <w:highlight w:val="none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M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o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ub>
              </m:sSub>
              <m:sSub>
                <m:sSubP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S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o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ub>
              </m:sSub>
              <w:bookmarkStart w:id="5" w:name="OLE_LINK18"/>
              <m:d>
                <m:dPr>
                  <m:begChr m:val="["/>
                  <m:endChr m:val="]"/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−</m:t>
                  </m:r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sSup>
                        <m:sSupP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m:t>1+r</m:t>
                              </m: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</m:d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p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b w:val="0"/>
                              <w:i w:val="0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Lo</m:t>
                          </m:r>
                          <w:bookmarkEnd w:id="5"/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kern w:val="0"/>
                  <w:sz w:val="18"/>
                  <w:szCs w:val="18"/>
                  <w:highlight w:val="none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dPr>
                <m:e>
                  <m:d>
                    <m:d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M</m:t>
                          </m: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n</m:t>
                          </m: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S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n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−</m:t>
                  </m:r>
                  <m:d>
                    <m:d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M</m:t>
                          </m: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o</m:t>
                          </m: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sSub>
                    <m:sSub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S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o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</m:d>
              <m:d>
                <m:dPr>
                  <m:begChr m:val="["/>
                  <m:endChr m:val="]"/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−</m:t>
                  </m:r>
                  <m:f>
                    <m:f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r</m:t>
                      </m:r>
                      <m:sSup>
                        <m:sSupPr>
                          <m:ctrlPr>
                            <w:rPr>
                              <w:rFonts w:hint="default" w:ascii="Cambria Math" w:hAnsi="Cambria Math" w:eastAsia="宋体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d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kern w:val="0"/>
                                  <w:sz w:val="18"/>
                                  <w:szCs w:val="18"/>
                                  <w:highlight w:val="none"/>
                                </w:rPr>
                                <m:t>1+r</m:t>
                              </m:r>
                              <m:ctrlPr>
                                <w:rPr>
                                  <w:rFonts w:hint="default" w:ascii="Cambria Math" w:hAnsi="Cambria Math" w:eastAsia="宋体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</m:d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p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Cambria Math" w:hAnsi="Cambria Math" w:cs="Times New Roman"/>
                              <w:b w:val="0"/>
                              <w:i w:val="0"/>
                              <w:kern w:val="0"/>
                              <w:sz w:val="18"/>
                              <w:szCs w:val="18"/>
                              <w:highlight w:val="none"/>
                            </w:rPr>
                            <m:t>25</m:t>
                          </m:r>
                          <m:ctrlPr>
                            <w:rPr>
                              <w:rFonts w:hint="default" w:ascii="Cambria Math" w:hAnsi="Cambria Math" w:eastAsia="宋体" w:cs="Times New Roman"/>
                              <w:sz w:val="18"/>
                              <w:szCs w:val="18"/>
                              <w:highlight w:val="none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en>
                  </m:f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</m:d>
              <m:ctrlPr>
                <w:rPr>
                  <w:rFonts w:hint="default" w:ascii="Cambria Math" w:hAnsi="Cambria Math" w:eastAsia="宋体" w:cs="Times New Roman"/>
                  <w:i/>
                  <w:sz w:val="18"/>
                  <w:szCs w:val="18"/>
                  <w:highlight w:val="none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kern w:val="0"/>
                          <w:sz w:val="18"/>
                          <w:szCs w:val="18"/>
                          <w:highlight w:val="none"/>
                        </w:rPr>
                        <m:t>1+r</m:t>
                      </m:r>
                      <m:ctrlPr>
                        <w:rPr>
                          <w:rFonts w:hint="default" w:ascii="Cambria Math" w:hAnsi="Cambria Math" w:eastAsia="宋体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18"/>
                      <w:szCs w:val="18"/>
                      <w:highlight w:val="none"/>
                    </w:rPr>
                    <m:t>30</m:t>
                  </m:r>
                  <m:ctrlPr>
                    <w:rPr>
                      <w:rFonts w:hint="default" w:ascii="Cambria Math" w:hAnsi="Cambria Math" w:eastAsia="宋体" w:cs="Times New Roman"/>
                      <w:i/>
                      <w:sz w:val="18"/>
                      <w:szCs w:val="18"/>
                      <w:highlight w:val="none"/>
                    </w:rPr>
                  </m:ctrlPr>
                </m:sup>
              </m:sSup>
              <m:ctrlPr>
                <w:rPr>
                  <w:rFonts w:hint="default" w:ascii="Cambria Math" w:hAnsi="Cambria Math" w:eastAsia="宋体" w:cs="Times New Roman"/>
                  <w:i/>
                  <w:sz w:val="18"/>
                  <w:szCs w:val="18"/>
                  <w:highlight w:val="none"/>
                </w:rPr>
              </m:ctrlPr>
            </m:den>
          </m:f>
        </m:oMath>
      </m:oMathPara>
    </w:p>
    <w:p w14:paraId="29F1B090">
      <w:pPr>
        <w:widowControl/>
        <w:spacing w:line="240" w:lineRule="auto"/>
        <w:jc w:val="center"/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>Table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 xml:space="preserve"> Parameters for calculating QALY saved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4200"/>
        <w:gridCol w:w="1487"/>
        <w:gridCol w:w="1355"/>
      </w:tblGrid>
      <w:tr w14:paraId="37A2EC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bottom w:val="single" w:color="auto" w:sz="4" w:space="0"/>
            </w:tcBorders>
            <w:shd w:val="clear" w:color="auto" w:fill="E7E6E6"/>
          </w:tcPr>
          <w:p w14:paraId="380F4A4C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Parameters</w:t>
            </w:r>
          </w:p>
        </w:tc>
        <w:tc>
          <w:tcPr>
            <w:tcW w:w="4200" w:type="dxa"/>
            <w:tcBorders>
              <w:bottom w:val="single" w:color="auto" w:sz="4" w:space="0"/>
            </w:tcBorders>
            <w:shd w:val="clear" w:color="auto" w:fill="E7E6E6"/>
          </w:tcPr>
          <w:p w14:paraId="3DA2121D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Meaning</w:t>
            </w:r>
          </w:p>
        </w:tc>
        <w:tc>
          <w:tcPr>
            <w:tcW w:w="1487" w:type="dxa"/>
            <w:tcBorders>
              <w:bottom w:val="single" w:color="auto" w:sz="4" w:space="0"/>
            </w:tcBorders>
            <w:shd w:val="clear" w:color="auto" w:fill="E7E6E6"/>
          </w:tcPr>
          <w:p w14:paraId="0D9DA779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Value</w:t>
            </w:r>
          </w:p>
        </w:tc>
        <w:tc>
          <w:tcPr>
            <w:tcW w:w="1355" w:type="dxa"/>
            <w:tcBorders>
              <w:bottom w:val="single" w:color="auto" w:sz="4" w:space="0"/>
            </w:tcBorders>
            <w:shd w:val="clear" w:color="auto" w:fill="E7E6E6"/>
          </w:tcPr>
          <w:p w14:paraId="742E84A0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Reference</w:t>
            </w:r>
          </w:p>
        </w:tc>
      </w:tr>
      <w:tr w14:paraId="765661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  <w:bottom w:val="nil"/>
            </w:tcBorders>
          </w:tcPr>
          <w:p w14:paraId="0061810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szCs w:val="22"/>
                <w:highlight w:val="none"/>
              </w:rPr>
              <w:t>Q</w:t>
            </w:r>
          </w:p>
        </w:tc>
        <w:tc>
          <w:tcPr>
            <w:tcW w:w="4200" w:type="dxa"/>
            <w:tcBorders>
              <w:top w:val="single" w:color="auto" w:sz="4" w:space="0"/>
              <w:bottom w:val="nil"/>
            </w:tcBorders>
          </w:tcPr>
          <w:p w14:paraId="37A0C0D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QALYs saved per case of obesity prevented through obesity prevention</w:t>
            </w:r>
          </w:p>
        </w:tc>
        <w:tc>
          <w:tcPr>
            <w:tcW w:w="1487" w:type="dxa"/>
            <w:tcBorders>
              <w:top w:val="single" w:color="auto" w:sz="4" w:space="0"/>
              <w:bottom w:val="nil"/>
            </w:tcBorders>
          </w:tcPr>
          <w:p w14:paraId="2D13C2C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0.249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0.238</w:t>
            </w:r>
          </w:p>
        </w:tc>
        <w:tc>
          <w:tcPr>
            <w:tcW w:w="1355" w:type="dxa"/>
            <w:tcBorders>
              <w:top w:val="single" w:color="auto" w:sz="4" w:space="0"/>
              <w:bottom w:val="nil"/>
            </w:tcBorders>
          </w:tcPr>
          <w:p w14:paraId="6A23B15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39813B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nil"/>
            </w:tcBorders>
          </w:tcPr>
          <w:p w14:paraId="6AECBC0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n</w:t>
            </w:r>
          </w:p>
        </w:tc>
        <w:tc>
          <w:tcPr>
            <w:tcW w:w="4200" w:type="dxa"/>
            <w:tcBorders>
              <w:top w:val="nil"/>
            </w:tcBorders>
          </w:tcPr>
          <w:p w14:paraId="16F61E4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an adult without obesity dying between age 40-64, by sex</w:t>
            </w:r>
          </w:p>
        </w:tc>
        <w:tc>
          <w:tcPr>
            <w:tcW w:w="1487" w:type="dxa"/>
            <w:tcBorders>
              <w:top w:val="nil"/>
            </w:tcBorders>
          </w:tcPr>
          <w:p w14:paraId="7AF54E0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0.066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0.079</w:t>
            </w:r>
          </w:p>
        </w:tc>
        <w:tc>
          <w:tcPr>
            <w:tcW w:w="1355" w:type="dxa"/>
            <w:tcBorders>
              <w:top w:val="nil"/>
            </w:tcBorders>
          </w:tcPr>
          <w:p w14:paraId="2FBE7AF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5C6175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DC977C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S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n</w:t>
            </w:r>
          </w:p>
        </w:tc>
        <w:tc>
          <w:tcPr>
            <w:tcW w:w="4200" w:type="dxa"/>
          </w:tcPr>
          <w:p w14:paraId="250431F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activity scale score for non-obese by sex</w:t>
            </w:r>
          </w:p>
        </w:tc>
        <w:tc>
          <w:tcPr>
            <w:tcW w:w="1487" w:type="dxa"/>
          </w:tcPr>
          <w:p w14:paraId="2CFD4DB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0.859</w:t>
            </w:r>
          </w:p>
          <w:p w14:paraId="0C9BF4F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0.872</w:t>
            </w:r>
          </w:p>
        </w:tc>
        <w:tc>
          <w:tcPr>
            <w:tcW w:w="1355" w:type="dxa"/>
          </w:tcPr>
          <w:p w14:paraId="5610C4F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[1]</w:t>
            </w:r>
          </w:p>
        </w:tc>
      </w:tr>
      <w:tr w14:paraId="7A3F8C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1DAF3B6">
            <w:pPr>
              <w:spacing w:line="240" w:lineRule="auto"/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L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n</w:t>
            </w:r>
          </w:p>
        </w:tc>
        <w:tc>
          <w:tcPr>
            <w:tcW w:w="4200" w:type="dxa"/>
          </w:tcPr>
          <w:p w14:paraId="67C4451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life expectancy of an adult without obesity at age 40 who dies by age 65, by sex</w:t>
            </w:r>
          </w:p>
        </w:tc>
        <w:tc>
          <w:tcPr>
            <w:tcW w:w="1487" w:type="dxa"/>
          </w:tcPr>
          <w:p w14:paraId="6F9B512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16.94</w:t>
            </w:r>
          </w:p>
          <w:p w14:paraId="34844DA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18.57</w:t>
            </w:r>
          </w:p>
        </w:tc>
        <w:tc>
          <w:tcPr>
            <w:tcW w:w="1355" w:type="dxa"/>
          </w:tcPr>
          <w:p w14:paraId="52A40AC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3CB7C2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730979F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o</w:t>
            </w:r>
          </w:p>
        </w:tc>
        <w:tc>
          <w:tcPr>
            <w:tcW w:w="4200" w:type="dxa"/>
          </w:tcPr>
          <w:p w14:paraId="4D9A30A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an adult with obesity dying between age 40-64, by sex</w:t>
            </w:r>
          </w:p>
        </w:tc>
        <w:tc>
          <w:tcPr>
            <w:tcW w:w="1487" w:type="dxa"/>
          </w:tcPr>
          <w:p w14:paraId="2F48A09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0.145</w:t>
            </w:r>
          </w:p>
          <w:p w14:paraId="10450C8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0.147</w:t>
            </w:r>
          </w:p>
        </w:tc>
        <w:tc>
          <w:tcPr>
            <w:tcW w:w="1355" w:type="dxa"/>
          </w:tcPr>
          <w:p w14:paraId="43FF85A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386F08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709C006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S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o</w:t>
            </w:r>
          </w:p>
        </w:tc>
        <w:tc>
          <w:tcPr>
            <w:tcW w:w="4200" w:type="dxa"/>
          </w:tcPr>
          <w:p w14:paraId="2BC94D0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activity scale score for obese by sex</w:t>
            </w:r>
          </w:p>
        </w:tc>
        <w:tc>
          <w:tcPr>
            <w:tcW w:w="1487" w:type="dxa"/>
          </w:tcPr>
          <w:p w14:paraId="649D1A6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0.795</w:t>
            </w:r>
          </w:p>
          <w:p w14:paraId="7A0B9E5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0.807</w:t>
            </w:r>
          </w:p>
        </w:tc>
        <w:tc>
          <w:tcPr>
            <w:tcW w:w="1355" w:type="dxa"/>
          </w:tcPr>
          <w:p w14:paraId="2AC73CA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[1]</w:t>
            </w:r>
          </w:p>
        </w:tc>
      </w:tr>
      <w:tr w14:paraId="43B89E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6A0EA5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L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o</w:t>
            </w:r>
          </w:p>
        </w:tc>
        <w:tc>
          <w:tcPr>
            <w:tcW w:w="4200" w:type="dxa"/>
          </w:tcPr>
          <w:p w14:paraId="364B16E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life expectancy of an adult with obesity at age 40 who dies by age 65, by sex</w:t>
            </w:r>
          </w:p>
        </w:tc>
        <w:tc>
          <w:tcPr>
            <w:tcW w:w="1487" w:type="dxa"/>
          </w:tcPr>
          <w:p w14:paraId="79BA42B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16.8</w:t>
            </w:r>
          </w:p>
          <w:p w14:paraId="799EDD3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18.46</w:t>
            </w:r>
          </w:p>
        </w:tc>
        <w:tc>
          <w:tcPr>
            <w:tcW w:w="1355" w:type="dxa"/>
          </w:tcPr>
          <w:p w14:paraId="5E998CB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32783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C9BDF8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szCs w:val="22"/>
                <w:highlight w:val="none"/>
              </w:rPr>
              <w:t>r</w:t>
            </w:r>
          </w:p>
        </w:tc>
        <w:tc>
          <w:tcPr>
            <w:tcW w:w="4200" w:type="dxa"/>
          </w:tcPr>
          <w:p w14:paraId="22DC306A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the discount rate</w:t>
            </w:r>
          </w:p>
        </w:tc>
        <w:tc>
          <w:tcPr>
            <w:tcW w:w="1487" w:type="dxa"/>
          </w:tcPr>
          <w:p w14:paraId="743A269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0.05</w:t>
            </w:r>
          </w:p>
        </w:tc>
        <w:tc>
          <w:tcPr>
            <w:tcW w:w="1355" w:type="dxa"/>
          </w:tcPr>
          <w:p w14:paraId="75E6CDF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[3]</w:t>
            </w:r>
          </w:p>
        </w:tc>
      </w:tr>
    </w:tbl>
    <w:p w14:paraId="447608B1">
      <w:pPr>
        <w:spacing w:line="240" w:lineRule="auto"/>
        <w:rPr>
          <w:rFonts w:hint="default" w:ascii="Times New Roman" w:hAnsi="Times New Roman" w:eastAsia="等线" w:cs="Times New Roman"/>
          <w:bCs/>
          <w:szCs w:val="22"/>
          <w:highlight w:val="none"/>
        </w:rPr>
      </w:pPr>
    </w:p>
    <w:p w14:paraId="7F383EC5">
      <w:pPr>
        <w:spacing w:line="240" w:lineRule="auto"/>
        <w:rPr>
          <w:rFonts w:hint="default" w:ascii="Times New Roman" w:hAnsi="Times New Roman" w:eastAsia="等线" w:cs="Times New Roman"/>
          <w:bCs/>
          <w:szCs w:val="22"/>
          <w:highlight w:val="none"/>
        </w:rPr>
      </w:pPr>
    </w:p>
    <w:p w14:paraId="7483C243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br w:type="page"/>
      </w:r>
    </w:p>
    <w:p w14:paraId="2BCD0EEB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Formula of calculation 3: Estimation of labor productivity loss</w:t>
      </w:r>
    </w:p>
    <w:p w14:paraId="74C210E1">
      <w:pPr>
        <w:spacing w:line="240" w:lineRule="auto"/>
        <w:rPr>
          <w:rFonts w:hint="default" w:ascii="Times New Roman" w:hAnsi="Times New Roman" w:eastAsia="等线" w:cs="Times New Roman"/>
          <w:b/>
          <w:sz w:val="15"/>
          <w:szCs w:val="16"/>
          <w:highlight w:val="none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sz w:val="18"/>
                  <w:szCs w:val="18"/>
                  <w:highlight w:val="none"/>
                </w:rPr>
                <m:t>B</m:t>
              </m:r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sz w:val="18"/>
                  <w:szCs w:val="18"/>
                  <w:highlight w:val="none"/>
                </w:rPr>
                <m:t>1</m:t>
              </m:r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 w:val="18"/>
              <w:szCs w:val="18"/>
              <w:highlight w:val="none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 w:val="18"/>
                      <w:szCs w:val="18"/>
                      <w:highlight w:val="none"/>
                    </w:rPr>
                    <m:t>W</m:t>
                  </m:r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 w:val="18"/>
                      <w:szCs w:val="18"/>
                      <w:highlight w:val="none"/>
                    </w:rPr>
                    <m:t>d</m:t>
                  </m:r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sub>
              </m:sSub>
              <m:d>
                <m:dPr>
                  <m:begChr m:val="{"/>
                  <m:endChr m:val="}"/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M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o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o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18"/>
                                      <w:szCs w:val="18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 w:val="18"/>
                                  <w:szCs w:val="18"/>
                                  <w:highlight w:val="none"/>
                                </w:rPr>
                                <m:t>Lo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 w:cs="Times New Roman"/>
                      <w:sz w:val="18"/>
                      <w:szCs w:val="18"/>
                      <w:highlight w:val="none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M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n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n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18"/>
                                      <w:szCs w:val="18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 w:val="18"/>
                                  <w:szCs w:val="18"/>
                                  <w:highlight w:val="none"/>
                                </w:rPr>
                                <m:t>Ln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 w:cs="Times New Roman"/>
                      <w:sz w:val="18"/>
                      <w:szCs w:val="18"/>
                      <w:highlight w:val="none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1−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  <m:t>M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  <m:t>o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</m:d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o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ub>
                      </m:sSub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−</m:t>
                      </m:r>
                      <m:d>
                        <m:d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1−</m:t>
                          </m:r>
                          <m:sSub>
                            <m:sSub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SubPr>
                            <m:e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  <m:t>M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  <m:sub>
                              <m:r>
                                <m:rPr/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  <m:t>n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ub>
                          </m:sSub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</m:d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D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n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18"/>
                              <w:szCs w:val="18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18"/>
                                      <w:szCs w:val="18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18"/>
                                      <w:szCs w:val="18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 w:val="18"/>
                                  <w:szCs w:val="18"/>
                                  <w:highlight w:val="none"/>
                                </w:rPr>
                                <m:t>25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18"/>
                                  <w:szCs w:val="18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18"/>
                              <w:szCs w:val="18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18"/>
                          <w:szCs w:val="18"/>
                          <w:highlight w:val="none"/>
                        </w:rPr>
                        <m:t>1+r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18"/>
                          <w:szCs w:val="18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sz w:val="18"/>
                      <w:szCs w:val="18"/>
                      <w:highlight w:val="none"/>
                    </w:rPr>
                    <m:t>30</m:t>
                  </m:r>
                  <m:ctrlPr>
                    <w:rPr>
                      <w:rFonts w:hint="default" w:ascii="Cambria Math" w:hAnsi="Cambria Math" w:cs="Times New Roman"/>
                      <w:i/>
                      <w:sz w:val="18"/>
                      <w:szCs w:val="18"/>
                      <w:highlight w:val="none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i/>
                  <w:sz w:val="18"/>
                  <w:szCs w:val="18"/>
                  <w:highlight w:val="none"/>
                </w:rPr>
              </m:ctrlPr>
            </m:den>
          </m:f>
        </m:oMath>
      </m:oMathPara>
    </w:p>
    <w:p w14:paraId="65EC82FA">
      <w:pPr>
        <w:spacing w:line="240" w:lineRule="auto"/>
        <w:rPr>
          <w:rFonts w:hint="default" w:ascii="Times New Roman" w:hAnsi="Times New Roman" w:eastAsia="等线" w:cs="Times New Roman"/>
          <w:szCs w:val="21"/>
          <w:highlight w:val="none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szCs w:val="21"/>
                  <w:highlight w:val="none"/>
                </w:rPr>
                <m:t>B</m:t>
              </m:r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szCs w:val="21"/>
                  <w:highlight w:val="none"/>
                </w:rPr>
                <m:t>2</m:t>
              </m:r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Cs w:val="21"/>
              <w:highlight w:val="none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szCs w:val="21"/>
                      <w:highlight w:val="none"/>
                    </w:rPr>
                    <m:t>W</m:t>
                  </m:r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szCs w:val="21"/>
                      <w:highlight w:val="none"/>
                    </w:rPr>
                    <m:t>y</m:t>
                  </m:r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sub>
              </m:sSub>
              <m:d>
                <m:dPr>
                  <m:begChr m:val="{"/>
                  <m:endChr m:val="}"/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Cs w:val="21"/>
                          <w:highlight w:val="none"/>
                        </w:rPr>
                        <m:t>M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Cs w:val="21"/>
                          <w:highlight w:val="none"/>
                        </w:rPr>
                        <m:t>n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eastAsia="微软雅黑" w:cs="Times New Roman"/>
                          <w:szCs w:val="21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Cs w:val="21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Cs w:val="21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Cs w:val="21"/>
                                  <w:highlight w:val="none"/>
                                </w:rPr>
                                <m:t>Ln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 w:eastAsia="微软雅黑" w:cs="Times New Roman"/>
                      <w:szCs w:val="21"/>
                      <w:highlight w:val="none"/>
                    </w:rPr>
                    <m:t>−</m:t>
                  </m:r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Cs w:val="21"/>
                          <w:highlight w:val="none"/>
                        </w:rPr>
                        <m:t>M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Cs w:val="21"/>
                          <w:highlight w:val="none"/>
                        </w:rPr>
                        <m:t>o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eastAsia="微软雅黑" w:cs="Times New Roman"/>
                          <w:szCs w:val="21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Cs w:val="21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Cs w:val="21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Cs w:val="21"/>
                                  <w:highlight w:val="none"/>
                                </w:rPr>
                                <m:t>Lo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 w:cs="Times New Roman"/>
                      <w:szCs w:val="21"/>
                      <w:highlight w:val="none"/>
                    </w:rPr>
                    <m:t>+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M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o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sub>
                      </m:sSub>
                      <m:r>
                        <m:rPr/>
                        <w:rPr>
                          <w:rFonts w:hint="default" w:ascii="Cambria Math" w:hAnsi="Cambria Math" w:eastAsia="微软雅黑" w:cs="Times New Roman"/>
                          <w:szCs w:val="21"/>
                          <w:highlight w:val="none"/>
                        </w:rPr>
                        <m:t>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M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n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</m:d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eastAsia="微软雅黑" w:cs="Times New Roman"/>
                          <w:szCs w:val="21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Cs w:val="21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Cs w:val="21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Cs w:val="21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Cs w:val="21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Cs w:val="21"/>
                                  <w:highlight w:val="none"/>
                                </w:rPr>
                                <m:t>25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Cs w:val="21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Cs w:val="21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szCs w:val="21"/>
                          <w:highlight w:val="none"/>
                        </w:rPr>
                        <m:t>1+r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Cs w:val="21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szCs w:val="21"/>
                      <w:highlight w:val="none"/>
                    </w:rPr>
                    <m:t>30</m:t>
                  </m:r>
                  <m:ctrlPr>
                    <w:rPr>
                      <w:rFonts w:hint="default" w:ascii="Cambria Math" w:hAnsi="Cambria Math" w:cs="Times New Roman"/>
                      <w:i/>
                      <w:szCs w:val="21"/>
                      <w:highlight w:val="none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i/>
                  <w:szCs w:val="21"/>
                  <w:highlight w:val="none"/>
                </w:rPr>
              </m:ctrlPr>
            </m:den>
          </m:f>
        </m:oMath>
      </m:oMathPara>
    </w:p>
    <w:p w14:paraId="118C8831">
      <w:pPr>
        <w:spacing w:line="240" w:lineRule="auto"/>
        <w:rPr>
          <w:rFonts w:hint="default" w:ascii="Times New Roman" w:hAnsi="Times New Roman" w:eastAsia="等线" w:cs="Times New Roman"/>
          <w:bCs/>
          <w:sz w:val="18"/>
          <w:szCs w:val="20"/>
          <w:highlight w:val="none"/>
        </w:rPr>
      </w:pPr>
      <m:oMathPara>
        <m:oMath>
          <m:sSub>
            <m:sSubP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highlight w:val="none"/>
                </w:rPr>
                <m:t>C</m:t>
              </m: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highlight w:val="none"/>
                </w:rPr>
                <m:t>productivity loss</m:t>
              </m: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 w:val="18"/>
              <w:szCs w:val="20"/>
              <w:highlight w:val="none"/>
            </w:rPr>
            <m:t xml:space="preserve">= </m:t>
          </m:r>
          <m:sSub>
            <m:sSubP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sz w:val="18"/>
                  <w:szCs w:val="20"/>
                  <w:highlight w:val="none"/>
                </w:rPr>
                <m:t>B</m:t>
              </m: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sz w:val="18"/>
                  <w:szCs w:val="20"/>
                  <w:highlight w:val="none"/>
                </w:rPr>
                <m:t>1</m:t>
              </m: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sz w:val="18"/>
              <w:szCs w:val="20"/>
              <w:highlight w:val="none"/>
            </w:rPr>
            <m:t>+</m:t>
          </m:r>
          <m:sSub>
            <m:sSubP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sz w:val="18"/>
                  <w:szCs w:val="20"/>
                  <w:highlight w:val="none"/>
                </w:rPr>
                <m:t>B</m:t>
              </m: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sz w:val="18"/>
                  <w:szCs w:val="20"/>
                  <w:highlight w:val="none"/>
                </w:rPr>
                <m:t>2</m:t>
              </m:r>
              <m:ctrlPr>
                <w:rPr>
                  <w:rFonts w:hint="default" w:ascii="Cambria Math" w:hAnsi="Cambria Math" w:cs="Times New Roman"/>
                  <w:bCs/>
                  <w:i/>
                  <w:sz w:val="18"/>
                  <w:szCs w:val="20"/>
                  <w:highlight w:val="none"/>
                </w:rPr>
              </m:ctrlPr>
            </m:sub>
          </m:sSub>
        </m:oMath>
      </m:oMathPara>
    </w:p>
    <w:p w14:paraId="34A7E223">
      <w:pPr>
        <w:widowControl/>
        <w:spacing w:line="240" w:lineRule="auto"/>
        <w:jc w:val="center"/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1"/>
          <w:highlight w:val="none"/>
          <w:lang w:val="en-US" w:eastAsia="zh-CN" w:bidi="ar-SA"/>
        </w:rPr>
        <w:t xml:space="preserve">Table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highlight w:val="none"/>
          <w:lang w:val="en-US" w:eastAsia="zh-CN" w:bidi="ar-SA"/>
        </w:rPr>
        <w:t>Parameters for calculating labor productivity loss of per obese adult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4200"/>
        <w:gridCol w:w="1659"/>
        <w:gridCol w:w="1183"/>
      </w:tblGrid>
      <w:tr w14:paraId="626304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279B388D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Parameters</w:t>
            </w: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08D538EA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Meaning</w:t>
            </w:r>
          </w:p>
        </w:tc>
        <w:tc>
          <w:tcPr>
            <w:tcW w:w="1659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76F52B9E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Value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36973899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Reference</w:t>
            </w:r>
          </w:p>
        </w:tc>
      </w:tr>
      <w:tr w14:paraId="35A266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</w:tcBorders>
          </w:tcPr>
          <w:p w14:paraId="0BA2F2FC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w:bookmarkStart w:id="6" w:name="OLE_LINK39" w:colFirst="2" w:colLast="2"/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sz w:val="18"/>
                        <w:szCs w:val="18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sz w:val="18"/>
                        <w:szCs w:val="18"/>
                        <w:highlight w:val="none"/>
                      </w:rPr>
                      <m:t>B</m:t>
                    </m:r>
                    <m:ctrlPr>
                      <w:rPr>
                        <w:rFonts w:hint="default" w:ascii="Cambria Math" w:hAnsi="Cambria Math" w:cs="Times New Roman"/>
                        <w:i/>
                        <w:sz w:val="18"/>
                        <w:szCs w:val="18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sz w:val="18"/>
                        <w:szCs w:val="18"/>
                        <w:highlight w:val="none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  <w:i/>
                        <w:sz w:val="18"/>
                        <w:szCs w:val="18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  <w:tcBorders>
              <w:top w:val="single" w:color="auto" w:sz="4" w:space="0"/>
            </w:tcBorders>
          </w:tcPr>
          <w:p w14:paraId="32A6817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averted costs from lost productivity due to morbidity per obese adult prevented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 w14:paraId="38C09F2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2765.50</w:t>
            </w:r>
          </w:p>
          <w:p w14:paraId="50A6392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2604.73</w:t>
            </w:r>
          </w:p>
        </w:tc>
        <w:tc>
          <w:tcPr>
            <w:tcW w:w="1183" w:type="dxa"/>
            <w:tcBorders>
              <w:top w:val="single" w:color="auto" w:sz="4" w:space="0"/>
            </w:tcBorders>
          </w:tcPr>
          <w:p w14:paraId="13EAE6B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72A45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24EC2A1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szCs w:val="21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szCs w:val="21"/>
                        <w:highlight w:val="none"/>
                      </w:rPr>
                      <m:t>B</m:t>
                    </m:r>
                    <m:ctrlPr>
                      <w:rPr>
                        <w:rFonts w:hint="default" w:ascii="Cambria Math" w:hAnsi="Cambria Math" w:cs="Times New Roman"/>
                        <w:i/>
                        <w:szCs w:val="21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szCs w:val="21"/>
                        <w:highlight w:val="none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i/>
                        <w:szCs w:val="21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7B34D23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averted costs from lost productivity due to mortality per obese adult prevented</w:t>
            </w:r>
          </w:p>
        </w:tc>
        <w:tc>
          <w:tcPr>
            <w:tcW w:w="1659" w:type="dxa"/>
          </w:tcPr>
          <w:p w14:paraId="347176C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4676.54</w:t>
            </w:r>
          </w:p>
          <w:p w14:paraId="7FE762D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3092.28</w:t>
            </w:r>
          </w:p>
        </w:tc>
        <w:tc>
          <w:tcPr>
            <w:tcW w:w="1183" w:type="dxa"/>
          </w:tcPr>
          <w:p w14:paraId="6AC7160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bookmarkEnd w:id="6"/>
      <w:tr w14:paraId="0FD9D5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5BE487C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w:bookmarkStart w:id="7" w:name="OLE_LINK19"/>
                  <m:sSubP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W</m:t>
                    </m: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d</m:t>
                    </m:r>
                    <w:bookmarkEnd w:id="7"/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050DCD9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daily wage by sex</w:t>
            </w:r>
          </w:p>
        </w:tc>
        <w:tc>
          <w:tcPr>
            <w:tcW w:w="1659" w:type="dxa"/>
          </w:tcPr>
          <w:p w14:paraId="7D94ACF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331.70</w:t>
            </w:r>
          </w:p>
        </w:tc>
        <w:tc>
          <w:tcPr>
            <w:tcW w:w="1183" w:type="dxa"/>
          </w:tcPr>
          <w:p w14:paraId="4BBC3F6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[1]</w:t>
            </w:r>
          </w:p>
        </w:tc>
      </w:tr>
      <w:tr w14:paraId="1950DF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2CD0E68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W</m:t>
                    </m: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</w:rPr>
                      <m:t>y</m:t>
                    </m: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7CD2568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annual wage by sex</w:t>
            </w:r>
          </w:p>
        </w:tc>
        <w:tc>
          <w:tcPr>
            <w:tcW w:w="1659" w:type="dxa"/>
          </w:tcPr>
          <w:p w14:paraId="2C4E5BA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bookmarkStart w:id="8" w:name="OLE_LINK20"/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86564</w:t>
            </w:r>
            <w:bookmarkEnd w:id="8"/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.00</w:t>
            </w:r>
          </w:p>
        </w:tc>
        <w:tc>
          <w:tcPr>
            <w:tcW w:w="1183" w:type="dxa"/>
          </w:tcPr>
          <w:p w14:paraId="551ECAA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[1]</w:t>
            </w:r>
          </w:p>
        </w:tc>
      </w:tr>
      <w:tr w14:paraId="191ABF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4E9C11BD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n</w:t>
            </w:r>
          </w:p>
        </w:tc>
        <w:tc>
          <w:tcPr>
            <w:tcW w:w="4200" w:type="dxa"/>
          </w:tcPr>
          <w:p w14:paraId="5461556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an adult without obesity dying between age 40-64, by sex</w:t>
            </w:r>
          </w:p>
        </w:tc>
        <w:tc>
          <w:tcPr>
            <w:tcW w:w="1659" w:type="dxa"/>
          </w:tcPr>
          <w:p w14:paraId="35153C4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bookmarkStart w:id="9" w:name="OLE_LINK23"/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</w:t>
            </w:r>
            <w: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0.066</w:t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0.079</w:t>
            </w:r>
            <w:bookmarkEnd w:id="9"/>
          </w:p>
        </w:tc>
        <w:tc>
          <w:tcPr>
            <w:tcW w:w="1183" w:type="dxa"/>
          </w:tcPr>
          <w:p w14:paraId="0AB6926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73121A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2429AE7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</w:rPr>
              <w:t>M</w:t>
            </w:r>
            <w:r>
              <w:rPr>
                <w:rFonts w:hint="default" w:ascii="Times New Roman" w:hAnsi="Times New Roman" w:eastAsia="等线" w:cs="Times New Roman"/>
                <w:i/>
                <w:kern w:val="0"/>
                <w:sz w:val="24"/>
                <w:szCs w:val="24"/>
                <w:highlight w:val="none"/>
                <w:vertAlign w:val="subscript"/>
              </w:rPr>
              <w:t>o</w:t>
            </w:r>
          </w:p>
        </w:tc>
        <w:tc>
          <w:tcPr>
            <w:tcW w:w="4200" w:type="dxa"/>
          </w:tcPr>
          <w:p w14:paraId="403D70A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an adult with obesity dying between age 40 -64, by sex</w:t>
            </w:r>
          </w:p>
        </w:tc>
        <w:tc>
          <w:tcPr>
            <w:tcW w:w="1659" w:type="dxa"/>
          </w:tcPr>
          <w:p w14:paraId="10177D4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0.145</w:t>
            </w:r>
          </w:p>
          <w:p w14:paraId="702CDE2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0.147</w:t>
            </w:r>
          </w:p>
        </w:tc>
        <w:tc>
          <w:tcPr>
            <w:tcW w:w="1183" w:type="dxa"/>
          </w:tcPr>
          <w:p w14:paraId="0452AF0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1E1F5C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87D6100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Ln</w:t>
            </w:r>
          </w:p>
        </w:tc>
        <w:tc>
          <w:tcPr>
            <w:tcW w:w="4200" w:type="dxa"/>
          </w:tcPr>
          <w:p w14:paraId="1CFF0A8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life expectancy of an adult without obesity at age 40 who dies by age 65, by sex</w:t>
            </w:r>
          </w:p>
        </w:tc>
        <w:tc>
          <w:tcPr>
            <w:tcW w:w="1659" w:type="dxa"/>
          </w:tcPr>
          <w:p w14:paraId="7F449CF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16.94</w:t>
            </w:r>
          </w:p>
          <w:p w14:paraId="0647609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18.57</w:t>
            </w:r>
          </w:p>
        </w:tc>
        <w:tc>
          <w:tcPr>
            <w:tcW w:w="1183" w:type="dxa"/>
          </w:tcPr>
          <w:p w14:paraId="7B52449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52C465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42F8B48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Lo</w:t>
            </w:r>
          </w:p>
        </w:tc>
        <w:tc>
          <w:tcPr>
            <w:tcW w:w="4200" w:type="dxa"/>
          </w:tcPr>
          <w:p w14:paraId="1EFF2A1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life expectancy of an adult with obesity at age 40 who dies by age 65, by sex</w:t>
            </w:r>
          </w:p>
        </w:tc>
        <w:tc>
          <w:tcPr>
            <w:tcW w:w="1659" w:type="dxa"/>
          </w:tcPr>
          <w:p w14:paraId="3DFF760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16.8</w:t>
            </w:r>
          </w:p>
          <w:p w14:paraId="0C5F95B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18.46</w:t>
            </w:r>
          </w:p>
        </w:tc>
        <w:tc>
          <w:tcPr>
            <w:tcW w:w="1183" w:type="dxa"/>
          </w:tcPr>
          <w:p w14:paraId="49FEE5D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5B09D3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53877331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bookmarkStart w:id="10" w:name="OLE_LINK21"/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highlight w:val="none"/>
                      </w:rPr>
                      <m:t>D</m:t>
                    </m:r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highlight w:val="none"/>
                      </w:rPr>
                      <m:t>n</m:t>
                    </m:r>
                    <w:bookmarkEnd w:id="10"/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5DF6BA0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Missed days of an adult without obesity, by sex</w:t>
            </w:r>
          </w:p>
        </w:tc>
        <w:tc>
          <w:tcPr>
            <w:tcW w:w="1659" w:type="dxa"/>
          </w:tcPr>
          <w:p w14:paraId="5D4ACC58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 xml:space="preserve">Female: </w:t>
            </w:r>
            <w:bookmarkStart w:id="11" w:name="OLE_LINK22"/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1.46</w:t>
            </w:r>
            <w:bookmarkEnd w:id="11"/>
          </w:p>
          <w:p w14:paraId="198E423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1.33</w:t>
            </w:r>
          </w:p>
        </w:tc>
        <w:tc>
          <w:tcPr>
            <w:tcW w:w="1183" w:type="dxa"/>
          </w:tcPr>
          <w:p w14:paraId="018EB6DC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[3]</w:t>
            </w:r>
          </w:p>
        </w:tc>
      </w:tr>
      <w:tr w14:paraId="268224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3156D7F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highlight w:val="none"/>
                      </w:rPr>
                      <m:t>D</m:t>
                    </m:r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highlight w:val="none"/>
                      </w:rPr>
                      <m:t>o</m:t>
                    </m:r>
                    <m:ctrlPr>
                      <w:rPr>
                        <w:rFonts w:hint="default" w:ascii="Cambria Math" w:hAnsi="Cambria Math" w:cs="Times New Roman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2DF72071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Missed days of an adult with obesity, by sex</w:t>
            </w:r>
          </w:p>
        </w:tc>
        <w:tc>
          <w:tcPr>
            <w:tcW w:w="1659" w:type="dxa"/>
          </w:tcPr>
          <w:p w14:paraId="7CA467B0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2.02</w:t>
            </w:r>
          </w:p>
          <w:p w14:paraId="4A2AC69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1.88</w:t>
            </w:r>
          </w:p>
        </w:tc>
        <w:tc>
          <w:tcPr>
            <w:tcW w:w="1183" w:type="dxa"/>
          </w:tcPr>
          <w:p w14:paraId="66109DC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[3]</w:t>
            </w:r>
          </w:p>
        </w:tc>
      </w:tr>
      <w:tr w14:paraId="0D903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69C10AB7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r</w:t>
            </w:r>
          </w:p>
        </w:tc>
        <w:tc>
          <w:tcPr>
            <w:tcW w:w="4200" w:type="dxa"/>
          </w:tcPr>
          <w:p w14:paraId="2DC4F1F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the discount rate</w:t>
            </w:r>
          </w:p>
        </w:tc>
        <w:tc>
          <w:tcPr>
            <w:tcW w:w="1659" w:type="dxa"/>
          </w:tcPr>
          <w:p w14:paraId="778432C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0.05</w:t>
            </w:r>
          </w:p>
        </w:tc>
        <w:tc>
          <w:tcPr>
            <w:tcW w:w="1183" w:type="dxa"/>
          </w:tcPr>
          <w:p w14:paraId="259CDB2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[4]</w:t>
            </w:r>
          </w:p>
        </w:tc>
      </w:tr>
    </w:tbl>
    <w:p w14:paraId="534ACB9E">
      <w:pPr>
        <w:spacing w:line="240" w:lineRule="auto"/>
        <w:rPr>
          <w:rFonts w:hint="default" w:ascii="Times New Roman" w:hAnsi="Times New Roman" w:eastAsia="等线" w:cs="Times New Roman"/>
          <w:bCs/>
          <w:sz w:val="18"/>
          <w:szCs w:val="20"/>
          <w:highlight w:val="none"/>
        </w:rPr>
      </w:pPr>
    </w:p>
    <w:p w14:paraId="77724E8D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</w:p>
    <w:p w14:paraId="21FFA91A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br w:type="page"/>
      </w:r>
    </w:p>
    <w:p w14:paraId="773C7579">
      <w:pPr>
        <w:widowControl/>
        <w:spacing w:line="240" w:lineRule="auto"/>
        <w:jc w:val="left"/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4"/>
          <w:szCs w:val="24"/>
          <w:highlight w:val="none"/>
          <w:lang w:val="en-US" w:eastAsia="zh-CN" w:bidi="ar-SA"/>
        </w:rPr>
        <w:t>Formula of calculation 4: Calculation of medical costs averted</w:t>
      </w:r>
    </w:p>
    <w:p w14:paraId="6573A5B4">
      <w:pPr>
        <w:spacing w:line="240" w:lineRule="auto"/>
        <w:rPr>
          <w:rFonts w:hint="default" w:ascii="Times New Roman" w:hAnsi="Times New Roman" w:eastAsia="等线" w:cs="Times New Roman"/>
          <w:bCs/>
          <w:sz w:val="18"/>
          <w:szCs w:val="20"/>
          <w:highlight w:val="none"/>
        </w:rPr>
      </w:pPr>
      <m:oMathPara>
        <m:oMath>
          <m:sSub>
            <w:bookmarkStart w:id="12" w:name="OLE_LINK26"/>
            <m:sSubP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highlight w:val="none"/>
                </w:rPr>
                <m:t>C</m:t>
              </m:r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highlight w:val="none"/>
                </w:rPr>
                <m:t>medical loss</m:t>
              </m:r>
              <w:bookmarkEnd w:id="12"/>
              <m:ctrlPr>
                <w:rPr>
                  <w:rFonts w:hint="default" w:ascii="Cambria Math" w:hAnsi="Cambria Math" w:cs="Times New Roman"/>
                  <w:i/>
                  <w:highlight w:val="none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highlight w:val="none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sz w:val="24"/>
                  <w:szCs w:val="24"/>
                  <w:highlight w:val="none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bscript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bscript"/>
                    </w:rPr>
                    <m:t>C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bscript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bscript"/>
                    </w:rPr>
                    <m:t>mca</m:t>
                  </m:r>
                  <m:ctrlPr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bscript"/>
                    </w:rPr>
                  </m:ctrlPr>
                </m:sub>
              </m:sSub>
              <m:d>
                <m:dPr>
                  <m:begChr m:val="{"/>
                  <m:endChr m:val="}"/>
                  <m:ctrlPr>
                    <w:rPr>
                      <w:rFonts w:hint="default" w:ascii="Cambria Math" w:hAnsi="Cambria Math" w:cs="Times New Roman"/>
                      <w:i/>
                      <w:sz w:val="24"/>
                      <w:szCs w:val="24"/>
                      <w:highlight w:val="none"/>
                    </w:rPr>
                  </m:ctrlPr>
                </m:dPr>
                <m:e>
                  <m:sSub>
                    <m:sSubP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M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o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24"/>
                                      <w:szCs w:val="24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24"/>
                                      <w:szCs w:val="24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 w:val="24"/>
                                  <w:szCs w:val="24"/>
                                  <w:highlight w:val="none"/>
                                </w:rPr>
                                <m:t>Lo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 w:cs="Times New Roman"/>
                      <w:sz w:val="24"/>
                      <w:szCs w:val="24"/>
                      <w:highlight w:val="none"/>
                    </w:rPr>
                    <m:t>+</m:t>
                  </m:r>
                  <m:d>
                    <m:dP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1−</m:t>
                      </m:r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M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o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e>
                  </m:d>
                  <m:d>
                    <m:dPr>
                      <m:begChr m:val="["/>
                      <m:endChr m:val="]"/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r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den>
                      </m:f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−</m:t>
                      </m:r>
                      <m:f>
                        <m:fP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fPr>
                        <m:num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1</m:t>
                          </m:r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num>
                        <m:den>
                          <m:r>
                            <m:rPr/>
                            <w:rPr>
                              <w:rFonts w:hint="default" w:ascii="Cambria Math" w:hAnsi="Cambria Math" w:cs="Times New Roman"/>
                              <w:sz w:val="24"/>
                              <w:szCs w:val="24"/>
                              <w:highlight w:val="none"/>
                            </w:rPr>
                            <m:t>r</m:t>
                          </m:r>
                          <m:sSup>
                            <m:sSupPr>
                              <m:ctrlPr>
                                <w:rPr>
                                  <w:rFonts w:hint="default" w:ascii="Cambria Math" w:hAnsi="Cambria Math" w:cs="Times New Roman"/>
                                  <w:i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24"/>
                                      <w:szCs w:val="24"/>
                                      <w:highlight w:val="none"/>
                                    </w:rPr>
                                  </m:ctrlPr>
                                </m:dPr>
                                <m:e>
                                  <m:r>
                                    <m:rPr/>
                                    <w:rPr>
                                      <w:rFonts w:hint="default" w:ascii="Cambria Math" w:hAnsi="Cambria Math" w:cs="Times New Roman"/>
                                      <w:sz w:val="24"/>
                                      <w:szCs w:val="24"/>
                                      <w:highlight w:val="none"/>
                                    </w:rPr>
                                    <m:t>1+r</m:t>
                                  </m:r>
                                  <m:ctrlPr>
                                    <w:rPr>
                                      <w:rFonts w:hint="default" w:ascii="Cambria Math" w:hAnsi="Cambria Math" w:cs="Times New Roman"/>
                                      <w:i/>
                                      <w:sz w:val="24"/>
                                      <w:szCs w:val="24"/>
                                      <w:highlight w:val="none"/>
                                    </w:rPr>
                                  </m:ctrlPr>
                                </m:e>
                              </m:d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e>
                            <m:sup>
                              <m:r>
                                <m:rPr>
                                  <m:nor/>
                                  <m:sty m:val="p"/>
                                </m:rPr>
                                <w:rPr>
                                  <w:rFonts w:hint="default" w:ascii="Cambria Math" w:hAnsi="Cambria Math" w:cs="Times New Roman"/>
                                  <w:b w:val="0"/>
                                  <w:i w:val="0"/>
                                  <w:sz w:val="24"/>
                                  <w:szCs w:val="24"/>
                                  <w:highlight w:val="none"/>
                                </w:rPr>
                                <m:t>25</m:t>
                              </m:r>
                              <m:ctrlPr>
                                <w:rPr>
                                  <w:rFonts w:hint="default" w:ascii="Cambria Math" w:hAnsi="Cambria Math" w:cs="Times New Roman"/>
                                  <w:sz w:val="24"/>
                                  <w:szCs w:val="24"/>
                                  <w:highlight w:val="none"/>
                                </w:rPr>
                              </m:ctrlPr>
                            </m:sup>
                          </m:sSup>
                          <m:ctrlPr>
                            <w:rPr>
                              <w:rFonts w:hint="default" w:ascii="Cambria Math" w:hAnsi="Cambria Math" w:cs="Times New Roman"/>
                              <w:i/>
                              <w:sz w:val="24"/>
                              <w:szCs w:val="24"/>
                              <w:highlight w:val="none"/>
                            </w:rPr>
                          </m:ctrlPr>
                        </m:den>
                      </m:f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i/>
                      <w:sz w:val="24"/>
                      <w:szCs w:val="24"/>
                      <w:highlight w:val="none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i/>
                  <w:sz w:val="24"/>
                  <w:szCs w:val="24"/>
                  <w:highlight w:val="none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i/>
                      <w:sz w:val="24"/>
                      <w:szCs w:val="24"/>
                      <w:highlight w:val="none"/>
                    </w:rPr>
                  </m:ctrlPr>
                </m:sSupPr>
                <m:e>
                  <m:d>
                    <m:dP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 w:cs="Times New Roman"/>
                          <w:sz w:val="24"/>
                          <w:szCs w:val="24"/>
                          <w:highlight w:val="none"/>
                        </w:rPr>
                        <m:t>1+r</m:t>
                      </m:r>
                      <m:ctrlPr>
                        <w:rPr>
                          <w:rFonts w:hint="default" w:ascii="Cambria Math" w:hAnsi="Cambria Math" w:cs="Times New Roman"/>
                          <w:i/>
                          <w:sz w:val="24"/>
                          <w:szCs w:val="24"/>
                          <w:highlight w:val="none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  <w:highlight w:val="none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Cambria Math" w:hAnsi="Cambria Math" w:cs="Times New Roman"/>
                      <w:b w:val="0"/>
                      <w:i w:val="0"/>
                      <w:sz w:val="24"/>
                      <w:szCs w:val="24"/>
                      <w:highlight w:val="none"/>
                    </w:rPr>
                    <m:t>30</m:t>
                  </m:r>
                  <m:ctrlPr>
                    <w:rPr>
                      <w:rFonts w:hint="default" w:ascii="Cambria Math" w:hAnsi="Cambria Math" w:cs="Times New Roman"/>
                      <w:sz w:val="24"/>
                      <w:szCs w:val="24"/>
                      <w:highlight w:val="none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i/>
                  <w:sz w:val="24"/>
                  <w:szCs w:val="24"/>
                  <w:highlight w:val="none"/>
                </w:rPr>
              </m:ctrlPr>
            </m:den>
          </m:f>
        </m:oMath>
      </m:oMathPara>
    </w:p>
    <w:p w14:paraId="1FA892AC">
      <w:pPr>
        <w:spacing w:line="240" w:lineRule="auto"/>
        <w:rPr>
          <w:rFonts w:hint="default" w:ascii="Times New Roman" w:hAnsi="Times New Roman" w:eastAsia="等线" w:cs="Times New Roman"/>
          <w:kern w:val="0"/>
          <w:sz w:val="24"/>
          <w:szCs w:val="24"/>
          <w:highlight w:val="none"/>
          <w:vertAlign w:val="superscript"/>
        </w:rPr>
      </w:pPr>
      <m:oMathPara>
        <m:oMath>
          <m:sSub>
            <w:bookmarkStart w:id="13" w:name="OLE_LINK25"/>
            <m:sSubPr>
              <m:ctrlPr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sSubPr>
            <m:e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  <m:t>C</m:t>
              </m:r>
              <m:ctrlPr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  <m:t>mca</m:t>
              </m:r>
              <w:bookmarkEnd w:id="13"/>
              <m:ctrlPr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kern w:val="0"/>
              <w:sz w:val="24"/>
              <w:szCs w:val="24"/>
              <w:highlight w:val="none"/>
              <w:vertAlign w:val="superscript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  <m:t>C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  <m:t>tmc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  <m:t>P×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  <m:t>a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den>
          </m:f>
          <m:r>
            <m:rPr/>
            <w:rPr>
              <w:rFonts w:hint="default" w:ascii="Cambria Math" w:hAnsi="Cambria Math" w:cs="Times New Roman"/>
              <w:kern w:val="0"/>
              <w:sz w:val="24"/>
              <w:szCs w:val="24"/>
              <w:highlight w:val="none"/>
              <w:vertAlign w:val="superscript"/>
            </w:rPr>
            <m:t>×</m:t>
          </m:r>
          <m:sSup>
            <m:sSupPr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sSupPr>
            <m:e>
              <m:d>
                <m:dP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dPr>
                <m:e>
                  <m:r>
                    <m:rPr/>
                    <w:rPr>
                      <w:rFonts w:hint="default" w:ascii="Cambria Math" w:hAnsi="Cambria Math" w:cs="Times New Roman"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  <m:t>1+r</m:t>
                  </m:r>
                  <m:ctrlPr>
                    <w:rPr>
                      <w:rFonts w:hint="default" w:ascii="Cambria Math" w:hAnsi="Cambria Math" w:cs="Times New Roman"/>
                      <w:i/>
                      <w:kern w:val="0"/>
                      <w:sz w:val="24"/>
                      <w:szCs w:val="24"/>
                      <w:highlight w:val="none"/>
                      <w:vertAlign w:val="superscript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e>
            <m:sup>
              <m:r>
                <m:rPr/>
                <w:rPr>
                  <w:rFonts w:hint="default" w:ascii="Cambria Math" w:hAnsi="Cambria Math" w:cs="Times New Roman"/>
                  <w:kern w:val="0"/>
                  <w:sz w:val="24"/>
                  <w:szCs w:val="24"/>
                  <w:highlight w:val="none"/>
                  <w:vertAlign w:val="superscript"/>
                </w:rPr>
                <m:t>y</m:t>
              </m:r>
              <m:ctrlPr>
                <w:rPr>
                  <w:rFonts w:hint="default" w:ascii="Cambria Math" w:hAnsi="Cambria Math" w:cs="Times New Roman"/>
                  <w:i/>
                  <w:kern w:val="0"/>
                  <w:sz w:val="24"/>
                  <w:szCs w:val="24"/>
                  <w:highlight w:val="none"/>
                  <w:vertAlign w:val="superscript"/>
                </w:rPr>
              </m:ctrlPr>
            </m:sup>
          </m:sSup>
        </m:oMath>
      </m:oMathPara>
    </w:p>
    <w:p w14:paraId="59F2E1FA">
      <w:pPr>
        <w:spacing w:line="240" w:lineRule="auto"/>
        <w:jc w:val="center"/>
        <w:rPr>
          <w:rFonts w:hint="default" w:ascii="Times New Roman" w:hAnsi="Times New Roman" w:eastAsia="等线" w:cs="Times New Roman"/>
          <w:szCs w:val="21"/>
          <w:highlight w:val="none"/>
        </w:rPr>
      </w:pPr>
      <w:r>
        <w:rPr>
          <w:rFonts w:hint="default" w:ascii="Times New Roman" w:hAnsi="Times New Roman" w:eastAsia="等线" w:cs="Times New Roman"/>
          <w:b/>
          <w:bCs/>
          <w:szCs w:val="22"/>
          <w:highlight w:val="none"/>
        </w:rPr>
        <w:t xml:space="preserve">Table </w:t>
      </w:r>
      <w:r>
        <w:rPr>
          <w:rFonts w:hint="default" w:ascii="Times New Roman" w:hAnsi="Times New Roman" w:eastAsia="等线" w:cs="Times New Roman"/>
          <w:szCs w:val="21"/>
          <w:highlight w:val="none"/>
        </w:rPr>
        <w:t>Parameters for calculating medical costs averted of per obese adult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4200"/>
        <w:gridCol w:w="1487"/>
        <w:gridCol w:w="1355"/>
      </w:tblGrid>
      <w:tr w14:paraId="4BF0AD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55D4160D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Parameters</w:t>
            </w:r>
          </w:p>
        </w:tc>
        <w:tc>
          <w:tcPr>
            <w:tcW w:w="4200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445ECF95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Meaning</w:t>
            </w: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044E5F53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Value</w:t>
            </w:r>
          </w:p>
        </w:tc>
        <w:tc>
          <w:tcPr>
            <w:tcW w:w="1355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/>
          </w:tcPr>
          <w:p w14:paraId="4DAB9E9C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szCs w:val="22"/>
                <w:highlight w:val="none"/>
              </w:rPr>
              <w:t>Reference</w:t>
            </w:r>
          </w:p>
        </w:tc>
      </w:tr>
      <w:tr w14:paraId="0ED245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  <w:tcBorders>
              <w:top w:val="single" w:color="auto" w:sz="4" w:space="0"/>
            </w:tcBorders>
          </w:tcPr>
          <w:p w14:paraId="6B4FFBFB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bscript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bscript"/>
                      </w:rPr>
                      <m:t>C</m:t>
                    </m:r>
                    <m:ctrlPr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bscript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bscript"/>
                      </w:rPr>
                      <m:t>mca</m:t>
                    </m:r>
                    <m:ctrlPr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bscript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  <w:tcBorders>
              <w:top w:val="single" w:color="auto" w:sz="4" w:space="0"/>
            </w:tcBorders>
          </w:tcPr>
          <w:p w14:paraId="5CF5FAEF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  <w:t>annual medical costs for per obese adult</w:t>
            </w:r>
          </w:p>
        </w:tc>
        <w:tc>
          <w:tcPr>
            <w:tcW w:w="1487" w:type="dxa"/>
            <w:tcBorders>
              <w:top w:val="single" w:color="auto" w:sz="4" w:space="0"/>
            </w:tcBorders>
            <w:shd w:val="clear" w:color="auto" w:fill="auto"/>
          </w:tcPr>
          <w:p w14:paraId="05969D8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535.33</w:t>
            </w:r>
          </w:p>
        </w:tc>
        <w:tc>
          <w:tcPr>
            <w:tcW w:w="1355" w:type="dxa"/>
            <w:tcBorders>
              <w:top w:val="single" w:color="auto" w:sz="4" w:space="0"/>
            </w:tcBorders>
          </w:tcPr>
          <w:p w14:paraId="52B1ECB2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69A143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33B87BC0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  <w:vertAlign w:val="superscript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perscript"/>
                      </w:rPr>
                      <m:t>C</m:t>
                    </m: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  <w:vertAlign w:val="superscript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kern w:val="0"/>
                        <w:sz w:val="24"/>
                        <w:szCs w:val="24"/>
                        <w:highlight w:val="none"/>
                        <w:vertAlign w:val="superscript"/>
                      </w:rPr>
                      <m:t>tmc</m:t>
                    </m:r>
                    <m:ctrlPr>
                      <w:rPr>
                        <w:rFonts w:hint="default" w:ascii="Cambria Math" w:hAnsi="Cambria Math" w:cs="Times New Roman"/>
                        <w:i/>
                        <w:kern w:val="0"/>
                        <w:sz w:val="24"/>
                        <w:szCs w:val="24"/>
                        <w:highlight w:val="none"/>
                        <w:vertAlign w:val="superscript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17691CA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  <w:t>total medical cost for the four chronic diseases attributable to overweight and obesity (2010)</w:t>
            </w:r>
          </w:p>
        </w:tc>
        <w:tc>
          <w:tcPr>
            <w:tcW w:w="1487" w:type="dxa"/>
          </w:tcPr>
          <w:p w14:paraId="367C4F0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43.48 billion</w:t>
            </w:r>
          </w:p>
        </w:tc>
        <w:tc>
          <w:tcPr>
            <w:tcW w:w="1355" w:type="dxa"/>
          </w:tcPr>
          <w:p w14:paraId="59F00FF6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[1]</w:t>
            </w:r>
          </w:p>
        </w:tc>
      </w:tr>
      <w:tr w14:paraId="7635E7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6AA5B957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r>
                  <m:rPr/>
                  <w:rPr>
                    <w:rFonts w:hint="default" w:ascii="Cambria Math" w:hAnsi="Cambria Math" w:cs="Times New Roman"/>
                    <w:kern w:val="0"/>
                    <w:sz w:val="24"/>
                    <w:szCs w:val="24"/>
                    <w:highlight w:val="none"/>
                    <w:vertAlign w:val="superscript"/>
                  </w:rPr>
                  <m:t>P</m:t>
                </m:r>
              </m:oMath>
            </m:oMathPara>
          </w:p>
        </w:tc>
        <w:tc>
          <w:tcPr>
            <w:tcW w:w="4200" w:type="dxa"/>
          </w:tcPr>
          <w:p w14:paraId="72C436A3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  <w:t>prevalence of adult overweight and obesity in 2012 in China</w:t>
            </w:r>
          </w:p>
        </w:tc>
        <w:tc>
          <w:tcPr>
            <w:tcW w:w="1487" w:type="dxa"/>
          </w:tcPr>
          <w:p w14:paraId="6C710AF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12%</w:t>
            </w:r>
          </w:p>
        </w:tc>
        <w:tc>
          <w:tcPr>
            <w:tcW w:w="1355" w:type="dxa"/>
          </w:tcPr>
          <w:p w14:paraId="47BE9A6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[2]</w:t>
            </w:r>
          </w:p>
        </w:tc>
      </w:tr>
      <w:tr w14:paraId="7B5917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0CFE753D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i/>
                <w:iCs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kern w:val="0"/>
                <w:sz w:val="24"/>
                <w:szCs w:val="24"/>
                <w:highlight w:val="none"/>
              </w:rPr>
              <w:t>N</w:t>
            </w:r>
          </w:p>
        </w:tc>
        <w:tc>
          <w:tcPr>
            <w:tcW w:w="4200" w:type="dxa"/>
          </w:tcPr>
          <w:p w14:paraId="18E45BEF">
            <w:pPr>
              <w:spacing w:line="240" w:lineRule="auto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  <w:t>adult population in 2010 in China</w:t>
            </w:r>
          </w:p>
        </w:tc>
        <w:tc>
          <w:tcPr>
            <w:tcW w:w="1487" w:type="dxa"/>
          </w:tcPr>
          <w:p w14:paraId="0BA7B133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1.05 billion</w:t>
            </w:r>
          </w:p>
        </w:tc>
        <w:tc>
          <w:tcPr>
            <w:tcW w:w="1355" w:type="dxa"/>
          </w:tcPr>
          <w:p w14:paraId="3B45AF0B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[3]</w:t>
            </w:r>
          </w:p>
        </w:tc>
      </w:tr>
      <w:tr w14:paraId="015EDA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3EF4503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r>
                  <m:rPr/>
                  <w:rPr>
                    <w:rFonts w:hint="default" w:ascii="Cambria Math" w:hAnsi="Cambria Math" w:cs="Times New Roman"/>
                    <w:kern w:val="0"/>
                    <w:sz w:val="24"/>
                    <w:szCs w:val="24"/>
                    <w:highlight w:val="none"/>
                    <w:vertAlign w:val="superscript"/>
                  </w:rPr>
                  <m:t>y</m:t>
                </m:r>
              </m:oMath>
            </m:oMathPara>
          </w:p>
        </w:tc>
        <w:tc>
          <w:tcPr>
            <w:tcW w:w="4200" w:type="dxa"/>
          </w:tcPr>
          <w:p w14:paraId="2D3737D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years from the year medical costs were calculated (2010) to the end of the intervention (2019)</w:t>
            </w:r>
          </w:p>
        </w:tc>
        <w:tc>
          <w:tcPr>
            <w:tcW w:w="1487" w:type="dxa"/>
          </w:tcPr>
          <w:p w14:paraId="3A6706D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9</w:t>
            </w:r>
          </w:p>
        </w:tc>
        <w:tc>
          <w:tcPr>
            <w:tcW w:w="1355" w:type="dxa"/>
          </w:tcPr>
          <w:p w14:paraId="1D7DE249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</w:p>
        </w:tc>
      </w:tr>
      <w:tr w14:paraId="2863A8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2EE7608E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kern w:val="0"/>
                <w:sz w:val="24"/>
                <w:szCs w:val="24"/>
                <w:highlight w:val="none"/>
              </w:rPr>
            </w:pPr>
            <m:oMathPara>
              <m:oMath>
                <m:sSub>
                  <w:bookmarkStart w:id="14" w:name="OLE_LINK24"/>
                  <m:sSubPr>
                    <m:ctrl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highlight w:val="none"/>
                      </w:rPr>
                      <m:t>M</m:t>
                    </m:r>
                    <m:ctrl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sz w:val="24"/>
                        <w:szCs w:val="24"/>
                        <w:highlight w:val="none"/>
                      </w:rPr>
                      <m:t>o</m:t>
                    </m:r>
                    <w:bookmarkEnd w:id="14"/>
                    <m:ctrl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  <w:highlight w:val="none"/>
                      </w:rPr>
                    </m:ctrlPr>
                  </m:sub>
                </m:sSub>
              </m:oMath>
            </m:oMathPara>
          </w:p>
        </w:tc>
        <w:tc>
          <w:tcPr>
            <w:tcW w:w="4200" w:type="dxa"/>
          </w:tcPr>
          <w:p w14:paraId="5328765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probability of an adult with obesity dying between age 40 -64, by sex</w:t>
            </w:r>
          </w:p>
        </w:tc>
        <w:tc>
          <w:tcPr>
            <w:tcW w:w="1487" w:type="dxa"/>
          </w:tcPr>
          <w:p w14:paraId="5250B7C7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Female: 0.145</w:t>
            </w:r>
          </w:p>
          <w:p w14:paraId="7DA734C4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Male: 0.147</w:t>
            </w:r>
          </w:p>
        </w:tc>
        <w:tc>
          <w:tcPr>
            <w:tcW w:w="1355" w:type="dxa"/>
          </w:tcPr>
          <w:p w14:paraId="12A03D7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[4]</w:t>
            </w:r>
          </w:p>
        </w:tc>
      </w:tr>
      <w:tr w14:paraId="1DDED1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4" w:type="dxa"/>
          </w:tcPr>
          <w:p w14:paraId="124A942C">
            <w:pPr>
              <w:spacing w:line="240" w:lineRule="auto"/>
              <w:jc w:val="center"/>
              <w:rPr>
                <w:rFonts w:hint="default" w:ascii="Times New Roman" w:hAnsi="Times New Roman" w:eastAsia="等线" w:cs="Times New Roman"/>
                <w:sz w:val="24"/>
                <w:szCs w:val="24"/>
                <w:highlight w:val="none"/>
              </w:rPr>
            </w:pPr>
            <m:oMathPara>
              <m:oMath>
                <m:r>
                  <m:rPr/>
                  <w:rPr>
                    <w:rFonts w:hint="default" w:ascii="Cambria Math" w:hAnsi="Cambria Math" w:cs="Times New Roman"/>
                    <w:kern w:val="0"/>
                    <w:sz w:val="24"/>
                    <w:szCs w:val="24"/>
                    <w:highlight w:val="none"/>
                    <w:vertAlign w:val="superscript"/>
                  </w:rPr>
                  <m:t>r</m:t>
                </m:r>
              </m:oMath>
            </m:oMathPara>
          </w:p>
        </w:tc>
        <w:tc>
          <w:tcPr>
            <w:tcW w:w="4200" w:type="dxa"/>
          </w:tcPr>
          <w:p w14:paraId="52230C9D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the discount rate</w:t>
            </w:r>
          </w:p>
        </w:tc>
        <w:tc>
          <w:tcPr>
            <w:tcW w:w="1487" w:type="dxa"/>
          </w:tcPr>
          <w:p w14:paraId="25A7B875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0.05</w:t>
            </w:r>
          </w:p>
        </w:tc>
        <w:tc>
          <w:tcPr>
            <w:tcW w:w="1355" w:type="dxa"/>
          </w:tcPr>
          <w:p w14:paraId="2E5C16AE">
            <w:pPr>
              <w:spacing w:line="240" w:lineRule="auto"/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</w:pPr>
            <w:r>
              <w:rPr>
                <w:rFonts w:hint="default" w:ascii="Times New Roman" w:hAnsi="Times New Roman" w:eastAsia="等线" w:cs="Times New Roman"/>
                <w:szCs w:val="22"/>
                <w:highlight w:val="none"/>
              </w:rPr>
              <w:t>[5]</w:t>
            </w:r>
          </w:p>
        </w:tc>
      </w:tr>
    </w:tbl>
    <w:p w14:paraId="580B3997">
      <w:pPr>
        <w:spacing w:line="240" w:lineRule="auto"/>
        <w:rPr>
          <w:rFonts w:hint="default" w:ascii="Times New Roman" w:hAnsi="Times New Roman" w:eastAsia="等线" w:cs="Times New Roman"/>
          <w:bCs/>
          <w:sz w:val="18"/>
          <w:szCs w:val="20"/>
          <w:highlight w:val="none"/>
        </w:rPr>
      </w:pPr>
    </w:p>
    <w:p w14:paraId="33680045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</w:rPr>
      </w:pPr>
      <w:bookmarkStart w:id="15" w:name="_GoBack"/>
      <w:bookmarkEnd w:id="15"/>
    </w:p>
    <w:p w14:paraId="6988F819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</w:rPr>
      </w:pPr>
    </w:p>
    <w:p w14:paraId="1A4D307E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A237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9BA8A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9BA8A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MjVmYjc5MmEwYjBiM2I4ZmRkMGJkNTZmYjI2NjAifQ=="/>
  </w:docVars>
  <w:rsids>
    <w:rsidRoot w:val="00172A27"/>
    <w:rsid w:val="046475FE"/>
    <w:rsid w:val="0A670BFA"/>
    <w:rsid w:val="0D6D6244"/>
    <w:rsid w:val="100135C0"/>
    <w:rsid w:val="1149216E"/>
    <w:rsid w:val="1ACA6D66"/>
    <w:rsid w:val="1B652F1C"/>
    <w:rsid w:val="1C7279C8"/>
    <w:rsid w:val="23083DAE"/>
    <w:rsid w:val="2D582265"/>
    <w:rsid w:val="30E350A8"/>
    <w:rsid w:val="31312F07"/>
    <w:rsid w:val="35D133DF"/>
    <w:rsid w:val="3FEF4085"/>
    <w:rsid w:val="459A58CC"/>
    <w:rsid w:val="47D6179B"/>
    <w:rsid w:val="6C202D30"/>
    <w:rsid w:val="72EE5994"/>
    <w:rsid w:val="754658DF"/>
    <w:rsid w:val="790947AD"/>
    <w:rsid w:val="7FD2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网格型1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1346</Words>
  <Characters>5943</Characters>
  <Lines>0</Lines>
  <Paragraphs>0</Paragraphs>
  <TotalTime>17</TotalTime>
  <ScaleCrop>false</ScaleCrop>
  <LinksUpToDate>false</LinksUpToDate>
  <CharactersWithSpaces>6793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2024-11-06T12:57:00Z</dcterms:created>
  <dc:creator>严诗钰</dc:creator>
  <cp:lastModifiedBy>Yan Shiyu</cp:lastModifiedBy>
  <dcterms:modified xsi:type="dcterms:W3CDTF">2025-10-11T03:17:38Z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E95F740F62B84DC6A9F3B8E3F2B90F34_13</vt:lpwstr>
  </property>
  <property fmtid="{D5CDD505-2E9C-101B-9397-08002B2CF9AE}" pid="4" name="KSOTemplateDocerSaveRecord">
    <vt:lpwstr>eyJoZGlkIjoiMjQyMjVmYjc5MmEwYjBiM2I4ZmRkMGJkNTZmYjI2NjAiLCJ1c2VySWQiOiIxNjM5NDczMjUxIn0=</vt:lpwstr>
  </property>
</Properties>
</file>