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56EE9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32"/>
          <w:szCs w:val="36"/>
          <w:highlight w:val="none"/>
          <w:lang w:val="en-US" w:eastAsia="zh-CN" w:bidi="ar-SA"/>
        </w:rPr>
        <w:t>Supplementary Information</w:t>
      </w:r>
    </w:p>
    <w:p w14:paraId="73994338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>Appendix Table 1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 xml:space="preserve"> Parameter Distribution Explanation</w:t>
      </w:r>
    </w:p>
    <w:p w14:paraId="442497AF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 xml:space="preserve">Appendix Table </w:t>
      </w:r>
      <w:r>
        <w:rPr>
          <w:rFonts w:hint="eastAsia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>2</w:t>
      </w: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>Scenario assumptions and cost adjustments in sensitivity analyses</w:t>
      </w:r>
    </w:p>
    <w:p w14:paraId="096619C7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 xml:space="preserve">Appendix Table </w:t>
      </w:r>
      <w:r>
        <w:rPr>
          <w:rFonts w:hint="eastAsia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>R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>esults of the cost-utility and cost-benefit analyses in sensitivity analyses【Scenario 1-3】</w:t>
      </w:r>
    </w:p>
    <w:p w14:paraId="525DF6DB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 xml:space="preserve">Appendix Table </w:t>
      </w:r>
      <w:r>
        <w:rPr>
          <w:rFonts w:hint="eastAsia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 xml:space="preserve"> Results of the cost-utility and cost-benefit analyses in sensitivity analyses【Scenario 4：Discount rate adjusted from 5% (base case) to 3%</w:t>
      </w:r>
    </w:p>
    <w:p w14:paraId="2B928DF8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 xml:space="preserve">Appendix Table </w:t>
      </w:r>
      <w:r>
        <w:rPr>
          <w:rFonts w:hint="eastAsia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>Results of the cost-utility and cost-benefit analyses in sensitivity analyses【Scenario 5：Reduction in intervention effectiveness (−10% ) in obesity prevention rate】</w:t>
      </w:r>
    </w:p>
    <w:p w14:paraId="422A0695">
      <w:pP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 xml:space="preserve">Appendix Table </w:t>
      </w:r>
      <w:r>
        <w:rPr>
          <w:rFonts w:hint="eastAsia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 xml:space="preserve"> Results of the cost-utility and cost-benefit analyses in sensitivity analyses</w:t>
      </w:r>
      <w:r>
        <w:rPr>
          <w:rFonts w:hint="eastAsia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>【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>Scenario 4+5】</w:t>
      </w:r>
    </w:p>
    <w:p w14:paraId="10A48EBC">
      <w:pP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br w:type="page"/>
      </w:r>
    </w:p>
    <w:p w14:paraId="2E951C28">
      <w:pPr>
        <w:spacing w:line="240" w:lineRule="auto"/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 xml:space="preserve">Appendix Table 1 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>Parameter Distribution Explanatio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val="en-US" w:eastAsia="zh-CN"/>
        </w:rPr>
        <w:t>n</w:t>
      </w:r>
    </w:p>
    <w:p w14:paraId="3B7A78C5">
      <w:pPr>
        <w:spacing w:line="240" w:lineRule="auto"/>
        <w:rPr>
          <w:rFonts w:hint="default" w:ascii="Times New Roman" w:hAnsi="Times New Roman" w:eastAsia="等线" w:cs="Times New Roman"/>
          <w:szCs w:val="22"/>
          <w:highlight w:val="non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1"/>
        <w:gridCol w:w="2131"/>
      </w:tblGrid>
      <w:tr w14:paraId="3005A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2" w:hRule="atLeast"/>
        </w:trPr>
        <w:tc>
          <w:tcPr>
            <w:tcW w:w="2129" w:type="dxa"/>
            <w:shd w:val="clear" w:color="auto" w:fill="F1F1F1" w:themeFill="background1" w:themeFillShade="F2"/>
          </w:tcPr>
          <w:p w14:paraId="50301D5A">
            <w:pPr>
              <w:spacing w:line="240" w:lineRule="auto"/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vertAlign w:val="baseline"/>
                <w:lang w:val="en-US" w:eastAsia="zh-CN"/>
              </w:rPr>
              <w:t>Parameter</w:t>
            </w:r>
          </w:p>
        </w:tc>
        <w:tc>
          <w:tcPr>
            <w:tcW w:w="2129" w:type="dxa"/>
            <w:shd w:val="clear" w:color="auto" w:fill="F1F1F1" w:themeFill="background1" w:themeFillShade="F2"/>
          </w:tcPr>
          <w:p w14:paraId="4EFBFF98">
            <w:pPr>
              <w:spacing w:line="240" w:lineRule="auto"/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vertAlign w:val="baseline"/>
              </w:rPr>
              <w:t>Distribution</w:t>
            </w:r>
          </w:p>
        </w:tc>
        <w:tc>
          <w:tcPr>
            <w:tcW w:w="2131" w:type="dxa"/>
            <w:shd w:val="clear" w:color="auto" w:fill="F1F1F1" w:themeFill="background1" w:themeFillShade="F2"/>
          </w:tcPr>
          <w:p w14:paraId="55DD6EF6">
            <w:pPr>
              <w:spacing w:line="240" w:lineRule="auto"/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vertAlign w:val="baseline"/>
              </w:rPr>
              <w:t>Justification</w:t>
            </w:r>
          </w:p>
        </w:tc>
        <w:tc>
          <w:tcPr>
            <w:tcW w:w="2131" w:type="dxa"/>
            <w:shd w:val="clear" w:color="auto" w:fill="F1F1F1" w:themeFill="background1" w:themeFillShade="F2"/>
          </w:tcPr>
          <w:p w14:paraId="406F09FA">
            <w:pPr>
              <w:spacing w:line="240" w:lineRule="auto"/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vertAlign w:val="baseline"/>
              </w:rPr>
              <w:t>Value</w:t>
            </w:r>
          </w:p>
        </w:tc>
      </w:tr>
      <w:tr w14:paraId="204CF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129" w:type="dxa"/>
          </w:tcPr>
          <w:p w14:paraId="67344079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QALY gain per obesity case prevented</w:t>
            </w:r>
          </w:p>
        </w:tc>
        <w:tc>
          <w:tcPr>
            <w:tcW w:w="2129" w:type="dxa"/>
          </w:tcPr>
          <w:p w14:paraId="41BECFC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Normal</w:t>
            </w:r>
          </w:p>
        </w:tc>
        <w:tc>
          <w:tcPr>
            <w:tcW w:w="2131" w:type="dxa"/>
          </w:tcPr>
          <w:p w14:paraId="011F5D3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Utility values are typically modeled as normal when derived from population-based sources</w:t>
            </w:r>
          </w:p>
        </w:tc>
        <w:tc>
          <w:tcPr>
            <w:tcW w:w="2131" w:type="dxa"/>
          </w:tcPr>
          <w:p w14:paraId="41D1EEE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Female: 0.249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Male: 0.238</w:t>
            </w:r>
          </w:p>
        </w:tc>
      </w:tr>
      <w:tr w14:paraId="14AD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2129" w:type="dxa"/>
          </w:tcPr>
          <w:p w14:paraId="569600E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Medical cost per obese adult</w:t>
            </w:r>
          </w:p>
        </w:tc>
        <w:tc>
          <w:tcPr>
            <w:tcW w:w="2129" w:type="dxa"/>
          </w:tcPr>
          <w:p w14:paraId="6B6D0EE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Gamma</w:t>
            </w:r>
          </w:p>
        </w:tc>
        <w:tc>
          <w:tcPr>
            <w:tcW w:w="2131" w:type="dxa"/>
          </w:tcPr>
          <w:p w14:paraId="7A9B3B1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Costs are continuous, non-negative, and often right-skewed</w:t>
            </w:r>
          </w:p>
        </w:tc>
        <w:tc>
          <w:tcPr>
            <w:tcW w:w="2131" w:type="dxa"/>
          </w:tcPr>
          <w:p w14:paraId="2F81686C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 xml:space="preserve">Female: 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312.73</w:t>
            </w:r>
            <w:r>
              <w:rPr>
                <w:rFonts w:hint="eastAsia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USD</w:t>
            </w:r>
          </w:p>
          <w:p w14:paraId="59ABCD9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 xml:space="preserve">Male: 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363.69USD</w:t>
            </w:r>
          </w:p>
        </w:tc>
      </w:tr>
      <w:tr w14:paraId="66EC0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29" w:type="dxa"/>
          </w:tcPr>
          <w:p w14:paraId="1B84F4D8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Productivity loss per case</w:t>
            </w:r>
          </w:p>
        </w:tc>
        <w:tc>
          <w:tcPr>
            <w:tcW w:w="2129" w:type="dxa"/>
          </w:tcPr>
          <w:p w14:paraId="08BA439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Gamma</w:t>
            </w:r>
          </w:p>
        </w:tc>
        <w:tc>
          <w:tcPr>
            <w:tcW w:w="2131" w:type="dxa"/>
          </w:tcPr>
          <w:p w14:paraId="2150FB1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Same reason as above</w:t>
            </w:r>
          </w:p>
        </w:tc>
        <w:tc>
          <w:tcPr>
            <w:tcW w:w="2131" w:type="dxa"/>
          </w:tcPr>
          <w:p w14:paraId="3E1DA26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 xml:space="preserve">Female: 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1068.1</w:t>
            </w:r>
            <w:r>
              <w:rPr>
                <w:rFonts w:hint="eastAsia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USD</w:t>
            </w:r>
          </w:p>
          <w:p w14:paraId="7ACAD404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 xml:space="preserve">Male: 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817.6</w:t>
            </w:r>
            <w:r>
              <w:rPr>
                <w:rFonts w:hint="eastAsia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USD</w:t>
            </w:r>
          </w:p>
        </w:tc>
      </w:tr>
      <w:tr w14:paraId="1D530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29" w:type="dxa"/>
          </w:tcPr>
          <w:p w14:paraId="243C12FC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Discount rate</w:t>
            </w:r>
          </w:p>
        </w:tc>
        <w:tc>
          <w:tcPr>
            <w:tcW w:w="2129" w:type="dxa"/>
          </w:tcPr>
          <w:p w14:paraId="4B9FE5E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Fixed</w:t>
            </w:r>
          </w:p>
        </w:tc>
        <w:tc>
          <w:tcPr>
            <w:tcW w:w="2131" w:type="dxa"/>
          </w:tcPr>
          <w:p w14:paraId="294A2802">
            <w:pPr>
              <w:spacing w:line="240" w:lineRule="auto"/>
              <w:rPr>
                <w:rFonts w:hint="eastAsia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  <w:t>Chinese Pharmacoeconomic Guideline</w:t>
            </w:r>
            <w:r>
              <w:rPr>
                <w:rFonts w:hint="eastAsia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s</w:t>
            </w:r>
          </w:p>
        </w:tc>
        <w:tc>
          <w:tcPr>
            <w:tcW w:w="2131" w:type="dxa"/>
          </w:tcPr>
          <w:p w14:paraId="1056CE2C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vertAlign w:val="baseline"/>
                <w:lang w:val="en-US" w:eastAsia="zh-CN"/>
              </w:rPr>
              <w:t>5%</w:t>
            </w:r>
          </w:p>
        </w:tc>
      </w:tr>
    </w:tbl>
    <w:p w14:paraId="7BE9ACCA">
      <w:pPr>
        <w:rPr>
          <w:rFonts w:hint="default" w:ascii="Times New Roman" w:hAnsi="Times New Roman" w:eastAsia="等线" w:cs="Times New Roman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等线" w:cs="Times New Roman"/>
          <w:szCs w:val="22"/>
          <w:highlight w:val="none"/>
          <w:lang w:val="en-US" w:eastAsia="zh-CN"/>
        </w:rPr>
        <w:br w:type="page"/>
      </w:r>
    </w:p>
    <w:p w14:paraId="5F0F8ACA">
      <w:pPr>
        <w:spacing w:line="240" w:lineRule="auto"/>
        <w:rPr>
          <w:rFonts w:hint="default" w:ascii="Times New Roman" w:hAnsi="Times New Roman" w:eastAsia="等线" w:cs="Times New Roman"/>
          <w:szCs w:val="22"/>
          <w:highlight w:val="none"/>
          <w:lang w:val="en-US" w:eastAsia="zh-CN"/>
        </w:rPr>
      </w:pPr>
    </w:p>
    <w:p w14:paraId="40AAEDFE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sz w:val="24"/>
          <w:szCs w:val="24"/>
          <w:highlight w:val="none"/>
          <w:lang w:val="en-US" w:eastAsia="zh-CN"/>
        </w:rPr>
        <w:t>Appendix Table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highlight w:val="none"/>
          <w:lang w:val="en-US" w:eastAsia="zh-CN"/>
        </w:rPr>
        <w:t xml:space="preserve"> 2</w:t>
      </w:r>
      <w:r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Scenario assumptions and cost adjustments in sensitivity analyses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3765"/>
      </w:tblGrid>
      <w:tr w14:paraId="25D6E16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CECEC"/>
          </w:tcPr>
          <w:p w14:paraId="26538FEA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  <w:t>Scenario</w:t>
            </w:r>
          </w:p>
        </w:tc>
        <w:tc>
          <w:tcPr>
            <w:tcW w:w="37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CECEC"/>
          </w:tcPr>
          <w:p w14:paraId="5E173E28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  <w:t>Adjustment</w:t>
            </w:r>
          </w:p>
        </w:tc>
      </w:tr>
      <w:tr w14:paraId="697AC4C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F4B6A1B">
            <w:pPr>
              <w:spacing w:line="240" w:lineRule="auto"/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  <w:t xml:space="preserve">Scenario 1 </w:t>
            </w: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  <w:t>Teaching aids were shared among schools in each district during the actual intervention.  But in the long term, there should be a set for each school.</w:t>
            </w:r>
          </w:p>
        </w:tc>
        <w:tc>
          <w:tcPr>
            <w:tcW w:w="37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F97CE3D">
            <w:pPr>
              <w:spacing w:line="240" w:lineRule="auto"/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  <w:t xml:space="preserve">Three sets of teaching aids were changed to 12 sets, and the cost was adjusted to 12*188.47 </w:t>
            </w: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  <w:lang w:val="en-US" w:eastAsia="zh-CN"/>
              </w:rPr>
              <w:t>USD</w:t>
            </w: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  <w:t>.</w:t>
            </w:r>
          </w:p>
        </w:tc>
      </w:tr>
      <w:tr w14:paraId="7A15170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B288764">
            <w:pPr>
              <w:spacing w:line="240" w:lineRule="auto"/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  <w:t xml:space="preserve">Scenario 2 </w:t>
            </w: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  <w:t>In the actual intervention, physical activity supplies were relatively complete in 4 schools, so it was only provided to 8 schools. We assumed that the intervention schools had no sports equipment.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4F7ACA06">
            <w:pPr>
              <w:spacing w:line="240" w:lineRule="auto"/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  <w:t xml:space="preserve">Eight sets of physical activity supplies were changed to 12 sets, and the cost was adjusted to 12*78.41 </w:t>
            </w: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  <w:lang w:val="en-US" w:eastAsia="zh-CN"/>
              </w:rPr>
              <w:t>USD</w:t>
            </w: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  <w:t>.</w:t>
            </w:r>
          </w:p>
        </w:tc>
      </w:tr>
      <w:tr w14:paraId="670E85B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3C02E26">
            <w:pPr>
              <w:spacing w:line="240" w:lineRule="auto"/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  <w:t xml:space="preserve">Scenario 3 </w:t>
            </w: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  <w:t>When calculating productivity costs, the average wage of the 3 regions was used. Assuming generalization to other cities, the national average wage should be calculated.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2C618148">
            <w:pPr>
              <w:spacing w:line="240" w:lineRule="auto"/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  <w:t>The daily wage was adjusted to 315.68 CNY.</w:t>
            </w:r>
          </w:p>
          <w:p w14:paraId="6565E3C6">
            <w:pPr>
              <w:spacing w:line="240" w:lineRule="auto"/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1"/>
                <w:highlight w:val="none"/>
              </w:rPr>
              <w:t xml:space="preserve">The annual wage was adjusted to 82413.00 CNY. </w:t>
            </w:r>
          </w:p>
          <w:p w14:paraId="6D8B6B73">
            <w:pPr>
              <w:spacing w:line="240" w:lineRule="auto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</w:pPr>
          </w:p>
        </w:tc>
      </w:tr>
      <w:tr w14:paraId="5472CA2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97B6FA">
            <w:pPr>
              <w:spacing w:line="240" w:lineRule="auto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  <w:t>Scenario 4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0"/>
                <w:sz w:val="20"/>
                <w:szCs w:val="21"/>
                <w:highlight w:val="none"/>
                <w:lang w:val="en-US" w:eastAsia="zh-CN"/>
              </w:rPr>
              <w:t xml:space="preserve"> Following international discounting practices</w:t>
            </w: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D5D887">
            <w:pPr>
              <w:spacing w:line="240" w:lineRule="auto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0"/>
                <w:sz w:val="20"/>
                <w:szCs w:val="21"/>
                <w:highlight w:val="none"/>
              </w:rPr>
              <w:t>Discount rate adjusted from 5% (base case) to 3%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0"/>
                <w:sz w:val="2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0"/>
                <w:sz w:val="20"/>
                <w:szCs w:val="21"/>
                <w:highlight w:val="none"/>
              </w:rPr>
              <w:t>examine the effect on ICUR, CBR, and NB.</w:t>
            </w:r>
          </w:p>
        </w:tc>
      </w:tr>
      <w:tr w14:paraId="50B52D5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A3476E4">
            <w:pPr>
              <w:spacing w:line="240" w:lineRule="auto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  <w:t xml:space="preserve">Scenario 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0"/>
                <w:sz w:val="20"/>
                <w:szCs w:val="21"/>
                <w:highlight w:val="none"/>
                <w:lang w:val="en-US" w:eastAsia="zh-CN"/>
              </w:rPr>
              <w:t xml:space="preserve"> The actual effect of the project promotion may be slightly lower than the experimental result.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9FC3E53">
            <w:pPr>
              <w:spacing w:line="240" w:lineRule="auto"/>
              <w:rPr>
                <w:rFonts w:hint="default" w:ascii="Times New Roman" w:hAnsi="Times New Roman" w:eastAsia="等线" w:cs="Times New Roman"/>
                <w:b/>
                <w:bCs/>
                <w:kern w:val="0"/>
                <w:sz w:val="20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kern w:val="0"/>
                <w:sz w:val="20"/>
                <w:szCs w:val="21"/>
                <w:highlight w:val="none"/>
              </w:rPr>
              <w:t>Reduction in intervention effectiveness (−10% ) in obesity prevention rate</w:t>
            </w:r>
          </w:p>
        </w:tc>
      </w:tr>
    </w:tbl>
    <w:p w14:paraId="7D1E91CA">
      <w:pPr>
        <w:spacing w:line="240" w:lineRule="auto"/>
        <w:rPr>
          <w:rFonts w:hint="default" w:ascii="Times New Roman" w:hAnsi="Times New Roman" w:eastAsia="等线" w:cs="Times New Roman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等线" w:cs="Times New Roman"/>
          <w:szCs w:val="21"/>
          <w:highlight w:val="none"/>
        </w:rPr>
        <w:br w:type="page"/>
      </w:r>
      <w:bookmarkStart w:id="2" w:name="_GoBack"/>
      <w:bookmarkEnd w:id="2"/>
    </w:p>
    <w:p w14:paraId="2C99398F">
      <w:pPr>
        <w:widowControl/>
        <w:spacing w:line="240" w:lineRule="auto"/>
        <w:jc w:val="left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 xml:space="preserve">Appendix Table </w:t>
      </w: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>3-6</w:t>
      </w:r>
    </w:p>
    <w:p w14:paraId="63A84917">
      <w:pPr>
        <w:widowControl/>
        <w:spacing w:line="240" w:lineRule="auto"/>
        <w:jc w:val="left"/>
        <w:rPr>
          <w:rFonts w:hint="default" w:ascii="Times New Roman" w:hAnsi="Times New Roman" w:eastAsia="等线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highlight w:val="none"/>
          <w:lang w:val="en-US" w:eastAsia="zh-CN" w:bidi="ar-SA"/>
        </w:rPr>
        <w:t xml:space="preserve">Appendix Table </w:t>
      </w:r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1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The results of the cost-utility and cost-benefit analyses in sensitivity analyses</w:t>
      </w:r>
      <w:r>
        <w:rPr>
          <w:rFonts w:hint="default" w:ascii="Times New Roman" w:hAnsi="Times New Roman" w:eastAsia="等线" w:cs="Times New Roman"/>
          <w:b w:val="0"/>
          <w:bCs w:val="0"/>
          <w:sz w:val="21"/>
          <w:szCs w:val="21"/>
          <w:highlight w:val="none"/>
          <w:lang w:eastAsia="zh-CN"/>
        </w:rPr>
        <w:t>【</w:t>
      </w:r>
      <w:r>
        <w:rPr>
          <w:rFonts w:hint="default" w:ascii="Times New Roman" w:hAnsi="Times New Roman" w:eastAsia="等线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Scenario </w:t>
      </w:r>
      <w:r>
        <w:rPr>
          <w:rFonts w:hint="eastAsia" w:ascii="Times New Roman" w:hAnsi="Times New Roman" w:eastAsia="等线" w:cs="Times New Roman"/>
          <w:b w:val="0"/>
          <w:bCs w:val="0"/>
          <w:sz w:val="21"/>
          <w:szCs w:val="21"/>
          <w:highlight w:val="none"/>
          <w:lang w:val="en-US" w:eastAsia="zh-CN"/>
        </w:rPr>
        <w:t>1-3</w:t>
      </w:r>
      <w:r>
        <w:rPr>
          <w:rFonts w:hint="default" w:ascii="Times New Roman" w:hAnsi="Times New Roman" w:eastAsia="等线" w:cs="Times New Roman"/>
          <w:b w:val="0"/>
          <w:bCs w:val="0"/>
          <w:sz w:val="21"/>
          <w:szCs w:val="22"/>
          <w:highlight w:val="none"/>
          <w:lang w:eastAsia="zh-CN"/>
        </w:rPr>
        <w:t>】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426"/>
        <w:gridCol w:w="1426"/>
        <w:gridCol w:w="1426"/>
        <w:gridCol w:w="1426"/>
        <w:gridCol w:w="1461"/>
      </w:tblGrid>
      <w:tr w14:paraId="003D12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25ACED1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0BD2B21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  <w:t>Scenario 1</w:t>
            </w: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42C5D7E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  <w:t>Scenario 2</w:t>
            </w: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50B6FB6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  <w:t>Scenario 1+2</w:t>
            </w: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2C950CB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  <w:t>Scenario3</w:t>
            </w: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02D2DA7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  <w:t>Scenario 1+2+3</w:t>
            </w:r>
          </w:p>
        </w:tc>
      </w:tr>
      <w:tr w14:paraId="2A44FF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auto" w:sz="4" w:space="0"/>
            </w:tcBorders>
          </w:tcPr>
          <w:p w14:paraId="41EC05ED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 xml:space="preserve">Net intervention cost </w:t>
            </w:r>
            <w:bookmarkStart w:id="0" w:name="OLE_LINK12"/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 xml:space="preserve"> (USD)</w:t>
            </w:r>
            <w:bookmarkEnd w:id="0"/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0250CC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14564.88 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4D58B7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14082.29 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D08D2F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14878.52 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4F61D4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13768.65 </w:t>
            </w:r>
          </w:p>
        </w:tc>
        <w:tc>
          <w:tcPr>
            <w:tcW w:w="146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4C66B0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14878.52 </w:t>
            </w:r>
          </w:p>
        </w:tc>
      </w:tr>
      <w:tr w14:paraId="438E15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483171A2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Medical costs averted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AFC200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4004.46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EB09CC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4004.46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712F7D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4004.46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2B5393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4004.46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102B96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4004.46 </w:t>
            </w:r>
          </w:p>
        </w:tc>
      </w:tr>
      <w:tr w14:paraId="02A03C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5F596E0A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Productivity loss averted 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BAC359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11728.11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83FB3F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11728.11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56CA96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11728.11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611FF1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11164.07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FF677D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11164.07 </w:t>
            </w:r>
          </w:p>
        </w:tc>
      </w:tr>
      <w:tr w14:paraId="14441B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5848AE3B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ICUR 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70437A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5051.07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78B99A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4883.71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D0FD4E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5159.84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207F40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4774.94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EEBAFB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5159.84 </w:t>
            </w:r>
          </w:p>
        </w:tc>
      </w:tr>
      <w:tr w14:paraId="6753A7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13EB7000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CBR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1668FC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0.93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FAAAC6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AC0AE9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D33A80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4378E4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0.98 </w:t>
            </w:r>
          </w:p>
        </w:tc>
      </w:tr>
      <w:tr w14:paraId="42A1B9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0F4CFDA4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Net benefit 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32D9E0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1167.69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5997CC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1650.28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E729D8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854.05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639AAD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1399.88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14BDE0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290.01 </w:t>
            </w:r>
          </w:p>
        </w:tc>
      </w:tr>
    </w:tbl>
    <w:p w14:paraId="5163F959">
      <w:pPr>
        <w:spacing w:line="240" w:lineRule="auto"/>
        <w:rPr>
          <w:rFonts w:hint="default" w:ascii="Times New Roman" w:hAnsi="Times New Roman" w:eastAsia="等线" w:cs="Times New Roman"/>
          <w:szCs w:val="21"/>
          <w:highlight w:val="none"/>
        </w:rPr>
      </w:pPr>
      <w:r>
        <w:rPr>
          <w:rFonts w:hint="default" w:ascii="Times New Roman" w:hAnsi="Times New Roman" w:eastAsia="等线" w:cs="Times New Roman"/>
          <w:b/>
          <w:bCs/>
          <w:szCs w:val="21"/>
          <w:highlight w:val="none"/>
        </w:rPr>
        <w:t xml:space="preserve">Scenario 1: </w:t>
      </w:r>
      <w:r>
        <w:rPr>
          <w:rFonts w:hint="default" w:ascii="Times New Roman" w:hAnsi="Times New Roman" w:eastAsia="等线" w:cs="Times New Roman"/>
          <w:szCs w:val="21"/>
          <w:highlight w:val="none"/>
        </w:rPr>
        <w:t>Three sets of teaching aids were changed to 12 sets, and the cost was adjusted to 12*1250.00 yuan.</w:t>
      </w:r>
    </w:p>
    <w:p w14:paraId="0361AFAA">
      <w:pPr>
        <w:spacing w:line="240" w:lineRule="auto"/>
        <w:rPr>
          <w:rFonts w:hint="default" w:ascii="Times New Roman" w:hAnsi="Times New Roman" w:eastAsia="等线" w:cs="Times New Roman"/>
          <w:szCs w:val="21"/>
          <w:highlight w:val="none"/>
        </w:rPr>
      </w:pPr>
      <w:r>
        <w:rPr>
          <w:rFonts w:hint="default" w:ascii="Times New Roman" w:hAnsi="Times New Roman" w:eastAsia="等线" w:cs="Times New Roman"/>
          <w:b/>
          <w:bCs/>
          <w:szCs w:val="21"/>
          <w:highlight w:val="none"/>
        </w:rPr>
        <w:t xml:space="preserve">Scenario 2: </w:t>
      </w:r>
      <w:r>
        <w:rPr>
          <w:rFonts w:hint="default" w:ascii="Times New Roman" w:hAnsi="Times New Roman" w:eastAsia="等线" w:cs="Times New Roman"/>
          <w:szCs w:val="21"/>
          <w:highlight w:val="none"/>
        </w:rPr>
        <w:t>Eight sets of physical activity supplies were changed to 12 sets, and the cost was adjusted to 12*520.00 yuan.</w:t>
      </w:r>
    </w:p>
    <w:p w14:paraId="559CC88D">
      <w:pPr>
        <w:spacing w:line="240" w:lineRule="auto"/>
        <w:rPr>
          <w:rFonts w:hint="default" w:ascii="Times New Roman" w:hAnsi="Times New Roman" w:eastAsia="等线" w:cs="Times New Roman"/>
          <w:szCs w:val="21"/>
          <w:highlight w:val="none"/>
        </w:rPr>
      </w:pPr>
      <w:r>
        <w:rPr>
          <w:rFonts w:hint="default" w:ascii="Times New Roman" w:hAnsi="Times New Roman" w:eastAsia="等线" w:cs="Times New Roman"/>
          <w:b/>
          <w:bCs/>
          <w:szCs w:val="21"/>
          <w:highlight w:val="none"/>
        </w:rPr>
        <w:t xml:space="preserve">Scenario 3: </w:t>
      </w:r>
      <w:r>
        <w:rPr>
          <w:rFonts w:hint="default" w:ascii="Times New Roman" w:hAnsi="Times New Roman" w:eastAsia="等线" w:cs="Times New Roman"/>
          <w:szCs w:val="21"/>
          <w:highlight w:val="none"/>
        </w:rPr>
        <w:t>The daily wage was adjusted to 315.68</w:t>
      </w:r>
      <w:bookmarkStart w:id="1" w:name="OLE_LINK34"/>
      <w:r>
        <w:rPr>
          <w:rFonts w:hint="default" w:ascii="Times New Roman" w:hAnsi="Times New Roman" w:eastAsia="等线" w:cs="Times New Roman"/>
          <w:szCs w:val="21"/>
          <w:highlight w:val="none"/>
        </w:rPr>
        <w:t xml:space="preserve"> CNY</w:t>
      </w:r>
      <w:bookmarkEnd w:id="1"/>
      <w:r>
        <w:rPr>
          <w:rFonts w:hint="default" w:ascii="Times New Roman" w:hAnsi="Times New Roman" w:eastAsia="等线" w:cs="Times New Roman"/>
          <w:szCs w:val="21"/>
          <w:highlight w:val="none"/>
        </w:rPr>
        <w:t xml:space="preserve">. The annual wage was adjusted to 82413 CNY. </w:t>
      </w:r>
    </w:p>
    <w:p w14:paraId="7AC6A11C">
      <w:pPr>
        <w:spacing w:line="240" w:lineRule="auto"/>
        <w:rPr>
          <w:rFonts w:hint="default" w:ascii="Times New Roman" w:hAnsi="Times New Roman" w:eastAsia="等线" w:cs="Times New Roman"/>
          <w:szCs w:val="21"/>
          <w:highlight w:val="none"/>
        </w:rPr>
      </w:pPr>
      <w:r>
        <w:rPr>
          <w:rFonts w:hint="default" w:ascii="Times New Roman" w:hAnsi="Times New Roman" w:eastAsia="等线" w:cs="Times New Roman"/>
          <w:szCs w:val="21"/>
          <w:highlight w:val="none"/>
        </w:rPr>
        <w:t>ICUR, incremental cost-utility ratio; CBR, cost-benefit ratio</w:t>
      </w:r>
    </w:p>
    <w:p w14:paraId="311FB1D9">
      <w:pPr>
        <w:spacing w:line="240" w:lineRule="auto"/>
        <w:rPr>
          <w:rFonts w:hint="default" w:ascii="Times New Roman" w:hAnsi="Times New Roman" w:eastAsia="等线" w:cs="Times New Roman"/>
          <w:szCs w:val="21"/>
          <w:highlight w:val="none"/>
        </w:rPr>
      </w:pPr>
    </w:p>
    <w:p w14:paraId="2D6BE45E">
      <w:pPr>
        <w:spacing w:line="240" w:lineRule="auto"/>
        <w:rPr>
          <w:rFonts w:hint="default" w:ascii="Times New Roman" w:hAnsi="Times New Roman" w:eastAsia="等线" w:cs="Times New Roman"/>
          <w:b/>
          <w:bCs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szCs w:val="22"/>
          <w:highlight w:val="none"/>
          <w:lang w:val="en-US" w:eastAsia="zh-CN"/>
        </w:rPr>
        <w:t>Appendix Table</w:t>
      </w:r>
      <w:r>
        <w:rPr>
          <w:rFonts w:hint="eastAsia" w:ascii="Times New Roman" w:hAnsi="Times New Roman" w:eastAsia="等线" w:cs="Times New Roman"/>
          <w:b/>
          <w:bCs/>
          <w:szCs w:val="22"/>
          <w:highlight w:val="none"/>
          <w:lang w:val="en-US" w:eastAsia="zh-CN"/>
        </w:rPr>
        <w:t xml:space="preserve"> 4</w:t>
      </w:r>
      <w:r>
        <w:rPr>
          <w:rFonts w:hint="default" w:ascii="Times New Roman" w:hAnsi="Times New Roman" w:eastAsia="等线" w:cs="Times New Roman"/>
          <w:b/>
          <w:bCs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val="en-US" w:eastAsia="zh-CN"/>
        </w:rPr>
        <w:t>The results of the cost-utility and cost-benefit analyses in sensitivity analyses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eastAsia="zh-CN"/>
        </w:rPr>
        <w:t>【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val="en-US" w:eastAsia="zh-CN"/>
        </w:rPr>
        <w:t xml:space="preserve">Scenario </w:t>
      </w:r>
      <w:r>
        <w:rPr>
          <w:rFonts w:hint="eastAsia" w:ascii="Times New Roman" w:hAnsi="Times New Roman" w:eastAsia="等线" w:cs="Times New Roman"/>
          <w:b w:val="0"/>
          <w:bCs w:val="0"/>
          <w:szCs w:val="22"/>
          <w:highlight w:val="none"/>
          <w:lang w:val="en-US" w:eastAsia="zh-CN"/>
        </w:rPr>
        <w:t>4：Discount rate adjusted from 5% (base case) to 3%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eastAsia="zh-CN"/>
        </w:rPr>
        <w:t>】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426"/>
        <w:gridCol w:w="1426"/>
        <w:gridCol w:w="1426"/>
        <w:gridCol w:w="1426"/>
        <w:gridCol w:w="1461"/>
      </w:tblGrid>
      <w:tr w14:paraId="592290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5316022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6273DE1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  <w:t>Scenario 1</w:t>
            </w: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  <w:lang w:val="en-US" w:eastAsia="zh-CN"/>
              </w:rPr>
              <w:t>+4</w:t>
            </w: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B4C4BC0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  <w:t>Scenario 2</w:t>
            </w: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  <w:lang w:val="en-US" w:eastAsia="zh-CN"/>
              </w:rPr>
              <w:t>+4</w:t>
            </w: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FAFF5D4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  <w:t>Scenario 1+2</w:t>
            </w: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  <w:lang w:val="en-US" w:eastAsia="zh-CN"/>
              </w:rPr>
              <w:t>+4</w:t>
            </w: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3F40253A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  <w:t>Scenario3</w:t>
            </w: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  <w:lang w:val="en-US" w:eastAsia="zh-CN"/>
              </w:rPr>
              <w:t>+4</w:t>
            </w: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E03C145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</w:rPr>
              <w:t>Scenario 1+2+3</w:t>
            </w:r>
            <w:r>
              <w:rPr>
                <w:rFonts w:hint="default" w:ascii="Times New Roman" w:hAnsi="Times New Roman" w:eastAsia="等线" w:cs="Times New Roman"/>
                <w:b/>
                <w:bCs/>
                <w:szCs w:val="21"/>
                <w:highlight w:val="none"/>
                <w:lang w:val="en-US" w:eastAsia="zh-CN"/>
              </w:rPr>
              <w:t>+4</w:t>
            </w:r>
          </w:p>
        </w:tc>
      </w:tr>
      <w:tr w14:paraId="146635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auto" w:sz="4" w:space="0"/>
            </w:tcBorders>
          </w:tcPr>
          <w:p w14:paraId="7D8134E6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Net intervention cost  (USD)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vAlign w:val="center"/>
          </w:tcPr>
          <w:p w14:paraId="65424D3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14564.88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vAlign w:val="center"/>
          </w:tcPr>
          <w:p w14:paraId="03A30F0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14082.29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vAlign w:val="center"/>
          </w:tcPr>
          <w:p w14:paraId="37691DF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14878.52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vAlign w:val="center"/>
          </w:tcPr>
          <w:p w14:paraId="3F5FC6A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13768.65</w:t>
            </w:r>
          </w:p>
        </w:tc>
        <w:tc>
          <w:tcPr>
            <w:tcW w:w="1461" w:type="dxa"/>
            <w:tcBorders>
              <w:top w:val="single" w:color="auto" w:sz="4" w:space="0"/>
            </w:tcBorders>
            <w:vAlign w:val="center"/>
          </w:tcPr>
          <w:p w14:paraId="2FBECCE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14878.52</w:t>
            </w:r>
          </w:p>
        </w:tc>
      </w:tr>
      <w:tr w14:paraId="0F5541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auto" w:sz="4" w:space="0"/>
            </w:tcBorders>
          </w:tcPr>
          <w:p w14:paraId="0EF0B80D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Medical costs averted (USD)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CF41DD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5997.04 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E53EA5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5997.04 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4C1A8C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5997.04 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0B4C50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5997.04 </w:t>
            </w:r>
          </w:p>
        </w:tc>
        <w:tc>
          <w:tcPr>
            <w:tcW w:w="146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455180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5997.04 </w:t>
            </w:r>
          </w:p>
        </w:tc>
      </w:tr>
      <w:tr w14:paraId="4ABFFF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772809F8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Productivity loss averted 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6FD28F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30756.55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E91798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30756.55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34254A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30756.55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874FE1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29277.53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94C334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29277.53 </w:t>
            </w:r>
          </w:p>
        </w:tc>
      </w:tr>
      <w:tr w14:paraId="6D971A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1975260B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ICUR 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3359FF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2228.23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1F0636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2154.40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5F4E3F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2276.21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72C873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2106.42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B77ECE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2276.21 </w:t>
            </w:r>
          </w:p>
        </w:tc>
      </w:tr>
      <w:tr w14:paraId="7E22D4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1A19B4F6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CBR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CED917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6933D4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876E19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F6F6D7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9F83B2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0.42 </w:t>
            </w:r>
          </w:p>
        </w:tc>
      </w:tr>
      <w:tr w14:paraId="13CBC8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4EBE7123">
            <w:pPr>
              <w:spacing w:line="240" w:lineRule="auto"/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1"/>
                <w:highlight w:val="none"/>
              </w:rPr>
              <w:t>Net benefit 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D0CC02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22188.72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D96B41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22671.31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C5D045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21875.08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E1874D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22984.95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2D145BD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21875.08 </w:t>
            </w:r>
          </w:p>
        </w:tc>
      </w:tr>
    </w:tbl>
    <w:p w14:paraId="00FA9EA6">
      <w:pPr>
        <w:spacing w:line="240" w:lineRule="auto"/>
        <w:rPr>
          <w:rFonts w:hint="default" w:ascii="Times New Roman" w:hAnsi="Times New Roman" w:eastAsia="等线" w:cs="Times New Roman"/>
          <w:szCs w:val="22"/>
          <w:highlight w:val="none"/>
          <w:lang w:eastAsia="zh-CN"/>
        </w:rPr>
      </w:pPr>
    </w:p>
    <w:p w14:paraId="43D1F4A1">
      <w:pPr>
        <w:spacing w:line="240" w:lineRule="auto"/>
        <w:rPr>
          <w:rFonts w:hint="default" w:ascii="Times New Roman" w:hAnsi="Times New Roman" w:eastAsia="等线" w:cs="Times New Roman"/>
          <w:b/>
          <w:bCs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szCs w:val="22"/>
          <w:highlight w:val="none"/>
          <w:lang w:val="en-US" w:eastAsia="zh-CN"/>
        </w:rPr>
        <w:t xml:space="preserve">Appendix Table </w:t>
      </w:r>
      <w:r>
        <w:rPr>
          <w:rFonts w:hint="eastAsia" w:ascii="Times New Roman" w:hAnsi="Times New Roman" w:eastAsia="等线" w:cs="Times New Roman"/>
          <w:b/>
          <w:bCs/>
          <w:szCs w:val="22"/>
          <w:highlight w:val="none"/>
          <w:lang w:val="en-US" w:eastAsia="zh-CN"/>
        </w:rPr>
        <w:t>5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val="en-US" w:eastAsia="zh-CN"/>
        </w:rPr>
        <w:t xml:space="preserve"> The results of the cost-utility and cost-benefit analyses in sensitivity analyses</w:t>
      </w:r>
    </w:p>
    <w:p w14:paraId="6958EFF3">
      <w:pPr>
        <w:spacing w:line="240" w:lineRule="auto"/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eastAsia="zh-CN"/>
        </w:rPr>
      </w:pP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eastAsia="zh-CN"/>
        </w:rPr>
        <w:t>【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val="en-US" w:eastAsia="zh-CN"/>
        </w:rPr>
        <w:t>Scenario 5</w:t>
      </w:r>
      <w:r>
        <w:rPr>
          <w:rFonts w:hint="eastAsia" w:ascii="Times New Roman" w:hAnsi="Times New Roman" w:eastAsia="等线" w:cs="Times New Roman"/>
          <w:b w:val="0"/>
          <w:bCs w:val="0"/>
          <w:szCs w:val="22"/>
          <w:highlight w:val="none"/>
          <w:lang w:val="en-US" w:eastAsia="zh-CN"/>
        </w:rPr>
        <w:t>：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</w:rPr>
        <w:t>Reduction in intervention effectiveness (−10% ) in obesity prevention rate</w:t>
      </w:r>
      <w:r>
        <w:rPr>
          <w:rFonts w:hint="eastAsia" w:ascii="Times New Roman" w:hAnsi="Times New Roman" w:eastAsia="等线" w:cs="Times New Roman"/>
          <w:b w:val="0"/>
          <w:bCs w:val="0"/>
          <w:szCs w:val="22"/>
          <w:highlight w:val="none"/>
          <w:lang w:eastAsia="zh-CN"/>
        </w:rPr>
        <w:t>】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426"/>
        <w:gridCol w:w="1426"/>
        <w:gridCol w:w="1426"/>
        <w:gridCol w:w="1426"/>
        <w:gridCol w:w="1461"/>
      </w:tblGrid>
      <w:tr w14:paraId="156752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245E208">
            <w:pPr>
              <w:spacing w:line="240" w:lineRule="auto"/>
              <w:jc w:val="both"/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4D315A8">
            <w:pPr>
              <w:spacing w:line="240" w:lineRule="auto"/>
              <w:jc w:val="both"/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  <w:t>Scenario 1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  <w:lang w:val="en-US" w:eastAsia="zh-CN"/>
              </w:rPr>
              <w:t>+5</w:t>
            </w: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FD60EC6">
            <w:pPr>
              <w:spacing w:line="240" w:lineRule="auto"/>
              <w:jc w:val="both"/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  <w:t>Scenario 2</w:t>
            </w: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lang w:val="en-US" w:eastAsia="zh-CN"/>
              </w:rPr>
              <w:t>+5</w:t>
            </w: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6F6358E">
            <w:pPr>
              <w:spacing w:line="240" w:lineRule="auto"/>
              <w:jc w:val="both"/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  <w:t>Scenario 1+2</w:t>
            </w: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lang w:val="en-US" w:eastAsia="zh-CN"/>
              </w:rPr>
              <w:t>+5</w:t>
            </w:r>
          </w:p>
        </w:tc>
        <w:tc>
          <w:tcPr>
            <w:tcW w:w="1426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4235053">
            <w:pPr>
              <w:spacing w:line="240" w:lineRule="auto"/>
              <w:jc w:val="both"/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  <w:t>Scenario3</w:t>
            </w: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lang w:val="en-US" w:eastAsia="zh-CN"/>
              </w:rPr>
              <w:t>+5</w:t>
            </w:r>
          </w:p>
        </w:tc>
        <w:tc>
          <w:tcPr>
            <w:tcW w:w="1461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785D6E9">
            <w:pPr>
              <w:spacing w:line="240" w:lineRule="auto"/>
              <w:jc w:val="both"/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</w:rPr>
              <w:t>Scenario 1+2+3</w:t>
            </w:r>
            <w:r>
              <w:rPr>
                <w:rFonts w:hint="default" w:ascii="Times New Roman" w:hAnsi="Times New Roman" w:eastAsia="等线" w:cs="Times New Roman"/>
                <w:b/>
                <w:bCs/>
                <w:szCs w:val="22"/>
                <w:highlight w:val="none"/>
                <w:lang w:val="en-US" w:eastAsia="zh-CN"/>
              </w:rPr>
              <w:t>+5</w:t>
            </w:r>
          </w:p>
        </w:tc>
      </w:tr>
      <w:tr w14:paraId="614EDF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auto" w:sz="4" w:space="0"/>
            </w:tcBorders>
          </w:tcPr>
          <w:p w14:paraId="4D71B4E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Net intervention cost  (USD)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DE6D4CD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 xml:space="preserve">14564.88 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153E75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 xml:space="preserve">14082.29 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DFE474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 xml:space="preserve">14878.52 </w:t>
            </w:r>
          </w:p>
        </w:tc>
        <w:tc>
          <w:tcPr>
            <w:tcW w:w="14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B2A8B8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 xml:space="preserve">13768.65 </w:t>
            </w:r>
          </w:p>
        </w:tc>
        <w:tc>
          <w:tcPr>
            <w:tcW w:w="146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8DA181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 xml:space="preserve">14878.52 </w:t>
            </w:r>
          </w:p>
        </w:tc>
      </w:tr>
      <w:tr w14:paraId="7B1F82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5A7F995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Medical costs averted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496287A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3605.36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8DB24E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3605.36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9FEADB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3605.36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F15EA5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3605.36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2FCA688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3605.36 </w:t>
            </w:r>
          </w:p>
        </w:tc>
      </w:tr>
      <w:tr w14:paraId="7FB9F6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197E1B0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Productivity loss averted 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4540B3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10559.26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D9FC07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10559.26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756A7F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10559.26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A123E1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10051.43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22D47DC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10051.43 </w:t>
            </w:r>
          </w:p>
        </w:tc>
      </w:tr>
      <w:tr w14:paraId="5B5145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241A0C3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ICUR 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E6E9E0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5612.30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5255BC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5426.34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F66BF6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5733.15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3BFABC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5305.48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931D8C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5733.15 </w:t>
            </w:r>
          </w:p>
        </w:tc>
      </w:tr>
      <w:tr w14:paraId="59C757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74E8CCB1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CBR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D067AB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A98A71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FC5DEC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A42F76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061625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1.03 </w:t>
            </w:r>
          </w:p>
        </w:tc>
      </w:tr>
      <w:tr w14:paraId="103AE0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</w:tcPr>
          <w:p w14:paraId="3A1DC131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Net benefit  (USD)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695950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-400.25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D495FF5"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82.34 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10E0EF8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-713.89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D66D2C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-111.85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2603656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-1221.72</w:t>
            </w:r>
          </w:p>
        </w:tc>
      </w:tr>
    </w:tbl>
    <w:p w14:paraId="215E4560">
      <w:pPr>
        <w:spacing w:line="240" w:lineRule="auto"/>
        <w:rPr>
          <w:rFonts w:hint="default" w:ascii="Times New Roman" w:hAnsi="Times New Roman" w:eastAsia="等线" w:cs="Times New Roman"/>
          <w:szCs w:val="22"/>
          <w:highlight w:val="none"/>
        </w:rPr>
      </w:pPr>
    </w:p>
    <w:p w14:paraId="7B76616C">
      <w:pPr>
        <w:spacing w:line="240" w:lineRule="auto"/>
        <w:rPr>
          <w:rFonts w:hint="default" w:ascii="Times New Roman" w:hAnsi="Times New Roman" w:eastAsia="等线" w:cs="Times New Roman"/>
          <w:szCs w:val="22"/>
          <w:highlight w:val="none"/>
        </w:rPr>
      </w:pPr>
    </w:p>
    <w:p w14:paraId="0DD3C126">
      <w:pPr>
        <w:spacing w:line="240" w:lineRule="auto"/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</w:rPr>
      </w:pPr>
      <w:r>
        <w:rPr>
          <w:rFonts w:hint="default" w:ascii="Times New Roman" w:hAnsi="Times New Roman" w:eastAsia="等线" w:cs="Times New Roman"/>
          <w:b/>
          <w:bCs/>
          <w:szCs w:val="22"/>
          <w:highlight w:val="none"/>
          <w:lang w:val="en-US" w:eastAsia="zh-CN"/>
        </w:rPr>
        <w:t xml:space="preserve">Appendix Table </w:t>
      </w:r>
      <w:r>
        <w:rPr>
          <w:rFonts w:hint="eastAsia" w:ascii="Times New Roman" w:hAnsi="Times New Roman" w:eastAsia="等线" w:cs="Times New Roman"/>
          <w:b/>
          <w:bCs/>
          <w:szCs w:val="22"/>
          <w:highlight w:val="none"/>
          <w:lang w:val="en-US" w:eastAsia="zh-CN"/>
        </w:rPr>
        <w:t>6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val="en-US" w:eastAsia="zh-CN"/>
        </w:rPr>
        <w:t xml:space="preserve"> The results of the cost-utility and cost-benefit analyses in sensitivity analyses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eastAsia="zh-CN"/>
        </w:rPr>
        <w:t>【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val="en-US" w:eastAsia="zh-CN"/>
        </w:rPr>
        <w:t>Scenario 4</w:t>
      </w:r>
      <w:r>
        <w:rPr>
          <w:rFonts w:hint="eastAsia" w:ascii="Times New Roman" w:hAnsi="Times New Roman" w:eastAsia="等线" w:cs="Times New Roman"/>
          <w:b w:val="0"/>
          <w:bCs w:val="0"/>
          <w:szCs w:val="22"/>
          <w:highlight w:val="none"/>
          <w:lang w:val="en-US" w:eastAsia="zh-CN"/>
        </w:rPr>
        <w:t>+5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highlight w:val="none"/>
          <w:lang w:eastAsia="zh-CN"/>
        </w:rPr>
        <w:t>】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392"/>
        <w:gridCol w:w="1392"/>
        <w:gridCol w:w="1394"/>
        <w:gridCol w:w="1552"/>
        <w:gridCol w:w="1443"/>
      </w:tblGrid>
      <w:tr w14:paraId="1ED9E0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782A8AD">
            <w:pPr>
              <w:spacing w:line="240" w:lineRule="auto"/>
              <w:jc w:val="both"/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</w:p>
        </w:tc>
        <w:tc>
          <w:tcPr>
            <w:tcW w:w="1405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3C782A3A">
            <w:pPr>
              <w:spacing w:line="240" w:lineRule="auto"/>
              <w:jc w:val="both"/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  <w:t>Scenario 1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  <w:lang w:val="en-US" w:eastAsia="zh-CN"/>
              </w:rPr>
              <w:t>+4+5</w:t>
            </w:r>
          </w:p>
        </w:tc>
        <w:tc>
          <w:tcPr>
            <w:tcW w:w="1405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DD1EDBF">
            <w:pPr>
              <w:spacing w:line="240" w:lineRule="auto"/>
              <w:jc w:val="both"/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  <w:t>Scenario 2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  <w:lang w:val="en-US" w:eastAsia="zh-CN"/>
              </w:rPr>
              <w:t>+4+5</w:t>
            </w:r>
          </w:p>
        </w:tc>
        <w:tc>
          <w:tcPr>
            <w:tcW w:w="140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798B106">
            <w:pPr>
              <w:spacing w:line="240" w:lineRule="auto"/>
              <w:jc w:val="both"/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  <w:t>Scenario 1+2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  <w:lang w:val="en-US" w:eastAsia="zh-CN"/>
              </w:rPr>
              <w:t>+4+5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32379AF">
            <w:pPr>
              <w:spacing w:line="240" w:lineRule="auto"/>
              <w:jc w:val="both"/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  <w:t>Scenario3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  <w:lang w:val="en-US" w:eastAsia="zh-CN"/>
              </w:rPr>
              <w:t>+4+5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2B638A9">
            <w:pPr>
              <w:spacing w:line="240" w:lineRule="auto"/>
              <w:jc w:val="both"/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</w:rPr>
              <w:t>Scenario 1+2+3</w:t>
            </w:r>
            <w:r>
              <w:rPr>
                <w:rFonts w:hint="eastAsia" w:ascii="Times New Roman" w:hAnsi="Times New Roman" w:eastAsia="等线" w:cs="Times New Roman"/>
                <w:b/>
                <w:bCs/>
                <w:szCs w:val="22"/>
                <w:highlight w:val="none"/>
                <w:lang w:val="en-US" w:eastAsia="zh-CN"/>
              </w:rPr>
              <w:t>+4+5</w:t>
            </w:r>
          </w:p>
        </w:tc>
      </w:tr>
      <w:tr w14:paraId="1BAC19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tcBorders>
              <w:top w:val="single" w:color="auto" w:sz="4" w:space="0"/>
            </w:tcBorders>
          </w:tcPr>
          <w:p w14:paraId="4235A604">
            <w:pPr>
              <w:spacing w:line="240" w:lineRule="auto"/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  <w:t>Net intervention cost  (USD)</w:t>
            </w:r>
          </w:p>
        </w:tc>
        <w:tc>
          <w:tcPr>
            <w:tcW w:w="140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2EF996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 xml:space="preserve">14564.88 </w:t>
            </w:r>
          </w:p>
        </w:tc>
        <w:tc>
          <w:tcPr>
            <w:tcW w:w="140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B52615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 xml:space="preserve">14082.29 </w:t>
            </w:r>
          </w:p>
        </w:tc>
        <w:tc>
          <w:tcPr>
            <w:tcW w:w="140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3A06D1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 xml:space="preserve">14878.52 </w:t>
            </w:r>
          </w:p>
        </w:tc>
        <w:tc>
          <w:tcPr>
            <w:tcW w:w="150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87D6B2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 xml:space="preserve">13768.65 </w:t>
            </w:r>
          </w:p>
        </w:tc>
        <w:tc>
          <w:tcPr>
            <w:tcW w:w="14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BC0636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 xml:space="preserve">14878.52 </w:t>
            </w:r>
          </w:p>
        </w:tc>
      </w:tr>
      <w:tr w14:paraId="186522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 w14:paraId="103127C2">
            <w:pPr>
              <w:spacing w:line="240" w:lineRule="auto"/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  <w:t>Medical costs averted (USD)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BEE1C6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5399.37 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771F85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5399.37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111200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5399.37 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2F5180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5399.37 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5C9EB8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5399.37 </w:t>
            </w:r>
          </w:p>
        </w:tc>
      </w:tr>
      <w:tr w14:paraId="3721B1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 w14:paraId="080A5CCE">
            <w:pPr>
              <w:spacing w:line="240" w:lineRule="auto"/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  <w:t>Productivity loss averted  (USD)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4D07A2D0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27691.29 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3F2CED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27691.29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EAA7A0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27691.29 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510E8552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26359.67 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9BB4844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26359.67 </w:t>
            </w:r>
          </w:p>
        </w:tc>
      </w:tr>
      <w:tr w14:paraId="74B29C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 w14:paraId="57048627">
            <w:pPr>
              <w:spacing w:line="240" w:lineRule="auto"/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  <w:t>ICUR  (USD)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6E68E755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2475.81 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E482901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2393.78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7DD54B3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2529.12 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E25F52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2340.46 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F3CABB7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2529.12 </w:t>
            </w:r>
          </w:p>
        </w:tc>
      </w:tr>
      <w:tr w14:paraId="5D85B1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 w14:paraId="100E10D3">
            <w:pPr>
              <w:spacing w:line="240" w:lineRule="auto"/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  <w:t>CBR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B8EB9C6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40A29DB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B93FEAC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0624F91D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08A2FAE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0.47 </w:t>
            </w:r>
          </w:p>
        </w:tc>
      </w:tr>
      <w:tr w14:paraId="544952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 w14:paraId="44A103C6">
            <w:pPr>
              <w:spacing w:line="240" w:lineRule="auto"/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eastAsia" w:ascii="Times New Roman" w:hAnsi="Times New Roman" w:eastAsia="等线" w:cs="Times New Roman"/>
                <w:szCs w:val="22"/>
                <w:highlight w:val="none"/>
              </w:rPr>
              <w:t>Net benefit  (USD)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77C3A9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18525.77 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CFA244F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19008.36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39012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18212.13 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B90A469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17990.38 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25C3BFB">
            <w:pPr>
              <w:widowControl/>
              <w:spacing w:line="24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16880.51 </w:t>
            </w:r>
          </w:p>
        </w:tc>
      </w:tr>
    </w:tbl>
    <w:p w14:paraId="4E0F101B">
      <w:pPr>
        <w:spacing w:line="240" w:lineRule="auto"/>
        <w:rPr>
          <w:rFonts w:hint="eastAsia" w:ascii="Times New Roman" w:hAnsi="Times New Roman" w:eastAsia="等线" w:cs="Times New Roman"/>
          <w:szCs w:val="22"/>
          <w:highlight w:val="none"/>
        </w:rPr>
      </w:pPr>
    </w:p>
    <w:p w14:paraId="7F0499CB">
      <w:pPr>
        <w:spacing w:line="240" w:lineRule="auto"/>
        <w:rPr>
          <w:rFonts w:hint="eastAsia" w:ascii="Times New Roman" w:hAnsi="Times New Roman" w:eastAsia="等线" w:cs="Times New Roman"/>
          <w:szCs w:val="22"/>
          <w:highlight w:val="none"/>
        </w:rPr>
      </w:pPr>
    </w:p>
    <w:p w14:paraId="38652EC5">
      <w:pP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F19CE"/>
    <w:rsid w:val="152F19CE"/>
    <w:rsid w:val="1711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1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932</Words>
  <Characters>5478</Characters>
  <Lines>0</Lines>
  <Paragraphs>0</Paragraphs>
  <TotalTime>4</TotalTime>
  <ScaleCrop>false</ScaleCrop>
  <LinksUpToDate>false</LinksUpToDate>
  <CharactersWithSpaces>6285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2025-10-10T14:59:00Z</dcterms:created>
  <dc:creator>Yan Shiyu</dc:creator>
  <cp:lastModifiedBy>Yan Shiyu</cp:lastModifiedBy>
  <dcterms:modified xsi:type="dcterms:W3CDTF">2025-10-11T03:22:37Z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99B1C517D3AC435195584113160F7704_11</vt:lpwstr>
  </property>
  <property fmtid="{D5CDD505-2E9C-101B-9397-08002B2CF9AE}" pid="4" name="KSOTemplateDocerSaveRecord">
    <vt:lpwstr>eyJoZGlkIjoiMjQyMjVmYjc5MmEwYjBiM2I4ZmRkMGJkNTZmYjI2NjAiLCJ1c2VySWQiOiIxNjM5NDczMjUxIn0=</vt:lpwstr>
  </property>
</Properties>
</file>