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43D38">
      <w:pPr>
        <w:widowControl w:val="0"/>
        <w:spacing w:line="240" w:lineRule="auto"/>
        <w:jc w:val="both"/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32"/>
          <w:szCs w:val="36"/>
          <w:highlight w:val="none"/>
          <w:lang w:val="en-US" w:eastAsia="zh-CN" w:bidi="ar-SA"/>
        </w:rPr>
        <w:t>Supplementary Information</w:t>
      </w:r>
    </w:p>
    <w:p w14:paraId="546812AA">
      <w:pPr>
        <w:widowControl w:val="0"/>
        <w:spacing w:line="240" w:lineRule="auto"/>
        <w:jc w:val="both"/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</w:pPr>
      <w:r>
        <w:rPr>
          <w:rFonts w:hint="eastAsia" w:ascii="Times New Roman" w:hAnsi="Times New Roman" w:eastAsia="等线" w:cs="Times New Roman"/>
          <w:b/>
          <w:bCs/>
          <w:kern w:val="2"/>
          <w:sz w:val="22"/>
          <w:szCs w:val="24"/>
          <w:highlight w:val="none"/>
          <w:lang w:val="en-US" w:eastAsia="zh-CN" w:bidi="ar-SA"/>
        </w:rPr>
        <w:t>Calculating procedure</w:t>
      </w:r>
      <w:r>
        <w:rPr>
          <w:rFonts w:hint="eastAsia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 xml:space="preserve">: </w:t>
      </w:r>
      <w:r>
        <w:rPr>
          <w:rFonts w:hint="default" w:ascii="Times New Roman" w:hAnsi="Times New Roman" w:eastAsia="等线" w:cs="Times New Roman"/>
          <w:b w:val="0"/>
          <w:bCs w:val="0"/>
          <w:kern w:val="2"/>
          <w:sz w:val="22"/>
          <w:szCs w:val="24"/>
          <w:highlight w:val="none"/>
          <w:lang w:val="en-US" w:eastAsia="zh-CN" w:bidi="ar-SA"/>
        </w:rPr>
        <w:t>Long-term population-level impact of scaling up the intervention nationally</w:t>
      </w:r>
    </w:p>
    <w:p w14:paraId="0117C6BF"/>
    <w:p w14:paraId="762F25E2">
      <w:pPr>
        <w:widowControl/>
        <w:spacing w:line="240" w:lineRule="auto"/>
        <w:jc w:val="left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1. Intervention Effectiveness</w:t>
      </w:r>
    </w:p>
    <w:p w14:paraId="4C477FB1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The overweight and obesity rate in the control group decreased from 43.8% to 40.1%.</w:t>
      </w:r>
    </w:p>
    <w:p w14:paraId="19FD8316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The overweight and obesity rate in the intervention group decreased from 38.8% to 31.3%.</w:t>
      </w:r>
    </w:p>
    <w:p w14:paraId="30FBF71E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After excluding the natural decline observed in the control group, the intervention itself led to an additional 3.8% reduction in overweight and obesity.</w:t>
      </w:r>
    </w:p>
    <w:p w14:paraId="5D849C6C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1272421F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Gender-specific effects:</w:t>
      </w:r>
    </w:p>
    <w:tbl>
      <w:tblPr>
        <w:tblStyle w:val="4"/>
        <w:tblW w:w="84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367"/>
        <w:gridCol w:w="1368"/>
        <w:gridCol w:w="1635"/>
        <w:gridCol w:w="1691"/>
        <w:gridCol w:w="1773"/>
      </w:tblGrid>
      <w:tr w14:paraId="4A04F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FFFFFF"/>
            <w:vAlign w:val="center"/>
          </w:tcPr>
          <w:p w14:paraId="344673EF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Sex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0C5A830A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Control Pre (%)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13C7697C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Control Post (%)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56440125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Intervention Pre (%)</w:t>
            </w:r>
          </w:p>
        </w:tc>
        <w:tc>
          <w:tcPr>
            <w:tcW w:w="1691" w:type="dxa"/>
            <w:shd w:val="clear" w:color="auto" w:fill="FFFFFF"/>
            <w:vAlign w:val="center"/>
          </w:tcPr>
          <w:p w14:paraId="3DE14CF4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Intervention Post (%)</w:t>
            </w:r>
          </w:p>
        </w:tc>
        <w:tc>
          <w:tcPr>
            <w:tcW w:w="1773" w:type="dxa"/>
            <w:shd w:val="clear" w:color="auto" w:fill="FFFFFF"/>
            <w:vAlign w:val="center"/>
          </w:tcPr>
          <w:p w14:paraId="143A6822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Net Intervention Effect</w:t>
            </w:r>
          </w:p>
        </w:tc>
      </w:tr>
      <w:tr w14:paraId="4E8F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FFFFFF"/>
            <w:vAlign w:val="center"/>
          </w:tcPr>
          <w:p w14:paraId="406C3270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Girls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03AC881C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33.2% (105/316)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6743176D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30.1% (95/316)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3182F7C1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32.2% (110/342)</w:t>
            </w:r>
          </w:p>
        </w:tc>
        <w:tc>
          <w:tcPr>
            <w:tcW w:w="1691" w:type="dxa"/>
            <w:shd w:val="clear" w:color="auto" w:fill="FFFFFF"/>
            <w:vAlign w:val="center"/>
          </w:tcPr>
          <w:p w14:paraId="35D49AF1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23.1% (79/342)</w:t>
            </w:r>
          </w:p>
        </w:tc>
        <w:tc>
          <w:tcPr>
            <w:tcW w:w="1773" w:type="dxa"/>
            <w:shd w:val="clear" w:color="auto" w:fill="FFFFFF"/>
            <w:vAlign w:val="center"/>
          </w:tcPr>
          <w:p w14:paraId="0C7999B0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6.0%</w:t>
            </w:r>
          </w:p>
        </w:tc>
      </w:tr>
      <w:tr w14:paraId="7E327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shd w:val="clear" w:color="auto" w:fill="FFFFFF"/>
            <w:vAlign w:val="center"/>
          </w:tcPr>
          <w:p w14:paraId="15D5B69A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Boys</w:t>
            </w:r>
          </w:p>
        </w:tc>
        <w:tc>
          <w:tcPr>
            <w:tcW w:w="1367" w:type="dxa"/>
            <w:shd w:val="clear" w:color="auto" w:fill="FFFFFF"/>
            <w:vAlign w:val="center"/>
          </w:tcPr>
          <w:p w14:paraId="24A1A0C1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53.4% (191/358)</w:t>
            </w:r>
          </w:p>
        </w:tc>
        <w:tc>
          <w:tcPr>
            <w:tcW w:w="1368" w:type="dxa"/>
            <w:shd w:val="clear" w:color="auto" w:fill="FFFFFF"/>
            <w:vAlign w:val="center"/>
          </w:tcPr>
          <w:p w14:paraId="7F7170A6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49.2% (176/358)</w:t>
            </w:r>
          </w:p>
        </w:tc>
        <w:tc>
          <w:tcPr>
            <w:tcW w:w="1635" w:type="dxa"/>
            <w:shd w:val="clear" w:color="auto" w:fill="FFFFFF"/>
            <w:vAlign w:val="center"/>
          </w:tcPr>
          <w:p w14:paraId="79E3AFF8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45.3% (156/344)</w:t>
            </w:r>
          </w:p>
        </w:tc>
        <w:tc>
          <w:tcPr>
            <w:tcW w:w="1691" w:type="dxa"/>
            <w:shd w:val="clear" w:color="auto" w:fill="FFFFFF"/>
            <w:vAlign w:val="center"/>
          </w:tcPr>
          <w:p w14:paraId="2D64A556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39.5% (136/344)</w:t>
            </w:r>
          </w:p>
        </w:tc>
        <w:tc>
          <w:tcPr>
            <w:tcW w:w="1773" w:type="dxa"/>
            <w:shd w:val="clear" w:color="auto" w:fill="FFFFFF"/>
            <w:vAlign w:val="center"/>
          </w:tcPr>
          <w:p w14:paraId="236A4F74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color w:val="000000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highlight w:val="none"/>
                <w:lang w:val="en-US" w:eastAsia="zh-CN"/>
              </w:rPr>
              <w:t>1.6%</w:t>
            </w:r>
          </w:p>
        </w:tc>
      </w:tr>
    </w:tbl>
    <w:p w14:paraId="64201F87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5C771B77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Assuming a 10% reduction in intervention effectiveness due to implementation challenges during nationwide scale-up:</w:t>
      </w:r>
    </w:p>
    <w:p w14:paraId="1C78AC23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Adjusted effect for girls: 6.0% × 0.9 = 5.4%</w:t>
      </w:r>
    </w:p>
    <w:p w14:paraId="205418AF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Adjusted effect for boys: 1.6% × 0.9 = 1.44%</w:t>
      </w:r>
    </w:p>
    <w:p w14:paraId="007E71D8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61ADB5C4">
      <w:pPr>
        <w:widowControl/>
        <w:spacing w:line="240" w:lineRule="auto"/>
        <w:jc w:val="left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2. National Population Coverage and Estimated Reductions</w:t>
      </w:r>
    </w:p>
    <w:p w14:paraId="46518EB8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According to the 2022 National Educational Statistics Bulletin, there were 107 million primary school students in China.</w:t>
      </w:r>
    </w:p>
    <w:p w14:paraId="1D4D9E7B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Gender ratio (male : female) is approximately 1.047 : 1, translating to 51.16% boys and 48.84% girls.</w:t>
      </w:r>
    </w:p>
    <w:p w14:paraId="6E8E7FBD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Prevalence of overweight and obesity: 28.4% for boys, 18.4% for girls.</w:t>
      </w:r>
    </w:p>
    <w:p w14:paraId="27231D83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Estimated number of students and corresponding reduction:</w:t>
      </w:r>
    </w:p>
    <w:p w14:paraId="6B33ABC9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2929"/>
        <w:gridCol w:w="2367"/>
        <w:gridCol w:w="2286"/>
      </w:tblGrid>
      <w:tr w14:paraId="65371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0" w:type="dxa"/>
            <w:vAlign w:val="center"/>
          </w:tcPr>
          <w:p w14:paraId="13722A8D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Sex</w:t>
            </w:r>
          </w:p>
        </w:tc>
        <w:tc>
          <w:tcPr>
            <w:tcW w:w="2929" w:type="dxa"/>
            <w:vAlign w:val="center"/>
          </w:tcPr>
          <w:p w14:paraId="0A2A3818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Estimated Population</w:t>
            </w:r>
          </w:p>
        </w:tc>
        <w:tc>
          <w:tcPr>
            <w:tcW w:w="2367" w:type="dxa"/>
            <w:vAlign w:val="center"/>
          </w:tcPr>
          <w:p w14:paraId="7B7EEADA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Adjusted Effectiveness</w:t>
            </w:r>
          </w:p>
        </w:tc>
        <w:tc>
          <w:tcPr>
            <w:tcW w:w="2286" w:type="dxa"/>
            <w:vAlign w:val="center"/>
          </w:tcPr>
          <w:p w14:paraId="560F2698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Estimated Reduction</w:t>
            </w:r>
          </w:p>
        </w:tc>
      </w:tr>
      <w:tr w14:paraId="2315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3E1E111E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Boys</w:t>
            </w:r>
          </w:p>
        </w:tc>
        <w:tc>
          <w:tcPr>
            <w:tcW w:w="2929" w:type="dxa"/>
            <w:vAlign w:val="center"/>
          </w:tcPr>
          <w:p w14:paraId="3CA65BBA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107 million × 51.16% ≈ 54.74 million</w:t>
            </w:r>
          </w:p>
        </w:tc>
        <w:tc>
          <w:tcPr>
            <w:tcW w:w="2367" w:type="dxa"/>
            <w:vAlign w:val="center"/>
          </w:tcPr>
          <w:p w14:paraId="5F1FF241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1.44%</w:t>
            </w:r>
          </w:p>
        </w:tc>
        <w:tc>
          <w:tcPr>
            <w:tcW w:w="2286" w:type="dxa"/>
            <w:vAlign w:val="center"/>
          </w:tcPr>
          <w:p w14:paraId="4CA7CEDB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≈ 788,000</w:t>
            </w:r>
          </w:p>
        </w:tc>
      </w:tr>
      <w:tr w14:paraId="21ADD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" w:type="dxa"/>
            <w:vAlign w:val="center"/>
          </w:tcPr>
          <w:p w14:paraId="1B538C9A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Girls</w:t>
            </w:r>
          </w:p>
        </w:tc>
        <w:tc>
          <w:tcPr>
            <w:tcW w:w="2929" w:type="dxa"/>
            <w:vAlign w:val="center"/>
          </w:tcPr>
          <w:p w14:paraId="46E5B0B5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107 million × 48.84% ≈ 52.26 million</w:t>
            </w:r>
          </w:p>
        </w:tc>
        <w:tc>
          <w:tcPr>
            <w:tcW w:w="2367" w:type="dxa"/>
            <w:vAlign w:val="center"/>
          </w:tcPr>
          <w:p w14:paraId="551AD59A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5.4%</w:t>
            </w:r>
          </w:p>
        </w:tc>
        <w:tc>
          <w:tcPr>
            <w:tcW w:w="2286" w:type="dxa"/>
            <w:vAlign w:val="center"/>
          </w:tcPr>
          <w:p w14:paraId="772369B3"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≈ 2,822,000</w:t>
            </w:r>
          </w:p>
        </w:tc>
      </w:tr>
    </w:tbl>
    <w:p w14:paraId="15745CB3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526ED1C9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3. Estimated Reduction in Adult Obesity (Based on a Two-Stage Obesity Progression Model)</w:t>
      </w:r>
    </w:p>
    <w:p w14:paraId="074CD8FC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Total reduction in adult obesity: 1.6975 million</w:t>
      </w:r>
    </w:p>
    <w:p w14:paraId="79276EB8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58B83697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Females: 1.3586 million</w:t>
      </w:r>
    </w:p>
    <w:p w14:paraId="7FBE93D2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Males: 0.3389 million</w:t>
      </w:r>
    </w:p>
    <w:p w14:paraId="7868214F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01B03241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QALYs saved = (1.3586M × 0.249) + (0.3389M × 0.238) = 419,040</w:t>
      </w:r>
    </w:p>
    <w:p w14:paraId="6D876481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044448BA">
      <w:pPr>
        <w:widowControl/>
        <w:numPr>
          <w:ilvl w:val="0"/>
          <w:numId w:val="1"/>
        </w:numPr>
        <w:spacing w:line="240" w:lineRule="auto"/>
        <w:jc w:val="left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Economic Benefit Estimation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 w14:paraId="05117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541C16BF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Indicator</w:t>
            </w:r>
          </w:p>
        </w:tc>
        <w:tc>
          <w:tcPr>
            <w:tcW w:w="1704" w:type="dxa"/>
            <w:vAlign w:val="center"/>
          </w:tcPr>
          <w:p w14:paraId="23D2105A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Unit Cost (RMB/person)</w:t>
            </w:r>
          </w:p>
        </w:tc>
        <w:tc>
          <w:tcPr>
            <w:tcW w:w="1704" w:type="dxa"/>
            <w:vAlign w:val="center"/>
          </w:tcPr>
          <w:p w14:paraId="5D75017E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Savings in Females (¥)</w:t>
            </w:r>
          </w:p>
        </w:tc>
        <w:tc>
          <w:tcPr>
            <w:tcW w:w="1705" w:type="dxa"/>
            <w:vAlign w:val="center"/>
          </w:tcPr>
          <w:p w14:paraId="687B1776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Savings in Males (¥)</w:t>
            </w:r>
          </w:p>
        </w:tc>
        <w:tc>
          <w:tcPr>
            <w:tcW w:w="1705" w:type="dxa"/>
            <w:vAlign w:val="center"/>
          </w:tcPr>
          <w:p w14:paraId="78876B6A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Total (¥)</w:t>
            </w:r>
          </w:p>
        </w:tc>
      </w:tr>
      <w:tr w14:paraId="52350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10BD0D09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Medical Costs</w:t>
            </w:r>
          </w:p>
        </w:tc>
        <w:tc>
          <w:tcPr>
            <w:tcW w:w="1704" w:type="dxa"/>
            <w:vAlign w:val="center"/>
          </w:tcPr>
          <w:p w14:paraId="350DA6D4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Female: 2,074.12</w:t>
            </w:r>
          </w:p>
        </w:tc>
        <w:tc>
          <w:tcPr>
            <w:tcW w:w="1704" w:type="dxa"/>
            <w:vAlign w:val="center"/>
          </w:tcPr>
          <w:p w14:paraId="3A7FEFE3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1.3586M × 2,074.12 ≈ 28.18</w:t>
            </w:r>
          </w:p>
        </w:tc>
        <w:tc>
          <w:tcPr>
            <w:tcW w:w="1705" w:type="dxa"/>
            <w:vAlign w:val="center"/>
          </w:tcPr>
          <w:p w14:paraId="706691AF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0.3389M × 2,412.09 ≈ 8.18</w:t>
            </w:r>
          </w:p>
        </w:tc>
        <w:tc>
          <w:tcPr>
            <w:tcW w:w="1705" w:type="dxa"/>
            <w:vAlign w:val="center"/>
          </w:tcPr>
          <w:p w14:paraId="489646AC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36.36</w:t>
            </w:r>
          </w:p>
        </w:tc>
      </w:tr>
      <w:tr w14:paraId="51A4F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7A88451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Productivity Loss</w:t>
            </w:r>
          </w:p>
        </w:tc>
        <w:tc>
          <w:tcPr>
            <w:tcW w:w="1704" w:type="dxa"/>
            <w:vAlign w:val="center"/>
          </w:tcPr>
          <w:p w14:paraId="3DB21334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Female: 7,084.22</w:t>
            </w:r>
          </w:p>
        </w:tc>
        <w:tc>
          <w:tcPr>
            <w:tcW w:w="1704" w:type="dxa"/>
            <w:vAlign w:val="center"/>
          </w:tcPr>
          <w:p w14:paraId="4679A95D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1.3586M × 7,084.22 ≈ 96.22</w:t>
            </w:r>
          </w:p>
        </w:tc>
        <w:tc>
          <w:tcPr>
            <w:tcW w:w="1705" w:type="dxa"/>
            <w:vAlign w:val="center"/>
          </w:tcPr>
          <w:p w14:paraId="350EF497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0.3389M × 5,422.93 ≈ 18.38</w:t>
            </w:r>
          </w:p>
        </w:tc>
        <w:tc>
          <w:tcPr>
            <w:tcW w:w="1705" w:type="dxa"/>
            <w:vAlign w:val="center"/>
          </w:tcPr>
          <w:p w14:paraId="59D3C97B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114.60</w:t>
            </w:r>
          </w:p>
        </w:tc>
      </w:tr>
      <w:tr w14:paraId="04B8F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 w14:paraId="3676825D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Total Economic Benefit</w:t>
            </w:r>
          </w:p>
        </w:tc>
        <w:tc>
          <w:tcPr>
            <w:tcW w:w="1704" w:type="dxa"/>
            <w:vAlign w:val="center"/>
          </w:tcPr>
          <w:p w14:paraId="5C53EEEF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 w14:paraId="36C765AA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124.40</w:t>
            </w:r>
          </w:p>
        </w:tc>
        <w:tc>
          <w:tcPr>
            <w:tcW w:w="1705" w:type="dxa"/>
            <w:vAlign w:val="center"/>
          </w:tcPr>
          <w:p w14:paraId="104B6C02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26.56</w:t>
            </w:r>
          </w:p>
        </w:tc>
        <w:tc>
          <w:tcPr>
            <w:tcW w:w="1705" w:type="dxa"/>
            <w:vAlign w:val="center"/>
          </w:tcPr>
          <w:p w14:paraId="796C6895">
            <w:pPr>
              <w:widowControl/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Times New Roman" w:hAnsi="Times New Roman" w:cs="Times New Roman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  <w:t>150.96</w:t>
            </w:r>
          </w:p>
        </w:tc>
      </w:tr>
    </w:tbl>
    <w:p w14:paraId="49DF1D1E">
      <w:pPr>
        <w:widowControl/>
        <w:numPr>
          <w:ilvl w:val="0"/>
          <w:numId w:val="0"/>
        </w:numPr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151BD6BE">
      <w:pPr>
        <w:widowControl/>
        <w:spacing w:line="240" w:lineRule="auto"/>
        <w:jc w:val="left"/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highlight w:val="none"/>
          <w:lang w:val="en-US" w:eastAsia="zh-CN"/>
        </w:rPr>
        <w:t>5. Intervention Cost and Net Benefit</w:t>
      </w:r>
    </w:p>
    <w:p w14:paraId="5A15A628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Intervention cost (per person: 19.53 USD; exchange rate: 1 USD = 6.6322 RMB):</w:t>
      </w:r>
    </w:p>
    <w:p w14:paraId="3D448DFD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107 million × 19.53 USD × 6.6322 ≈ 13.86 billion RMB</w:t>
      </w:r>
    </w:p>
    <w:p w14:paraId="6356068E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</w:p>
    <w:p w14:paraId="343559B0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Net Benefit:</w:t>
      </w:r>
    </w:p>
    <w:p w14:paraId="1A4D307E">
      <w:pPr>
        <w:widowControl/>
        <w:spacing w:line="240" w:lineRule="auto"/>
        <w:jc w:val="left"/>
        <w:rPr>
          <w:rFonts w:hint="default" w:ascii="Times New Roman" w:hAnsi="Times New Roman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  <w:lang w:val="en-US" w:eastAsia="zh-CN"/>
        </w:rPr>
        <w:t>150.96 − 138.60 = 12.36 billion RMB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highlight w:val="none"/>
          <w:lang w:val="en-US" w:eastAsia="zh-CN"/>
        </w:rPr>
        <w:t xml:space="preserve">≈ 1.86 billion </w:t>
      </w:r>
    </w:p>
    <w:p w14:paraId="1780423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89967A"/>
    <w:multiLevelType w:val="singleLevel"/>
    <w:tmpl w:val="9B89967A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133A55"/>
    <w:rsid w:val="6013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2025-10-10T15:00:00Z</dcterms:created>
  <dc:creator>Yan Shiyu</dc:creator>
  <cp:lastModifiedBy>Yan Shiyu</cp:lastModifiedBy>
  <dcterms:modified xsi:type="dcterms:W3CDTF">2025-10-10T15:02:56Z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A2BEC42782EF45BB941D3576CF01F9FA_11</vt:lpwstr>
  </property>
  <property fmtid="{D5CDD505-2E9C-101B-9397-08002B2CF9AE}" pid="4" name="KSOTemplateDocerSaveRecord">
    <vt:lpwstr>eyJoZGlkIjoiMjQyMjVmYjc5MmEwYjBiM2I4ZmRkMGJkNTZmYjI2NjAiLCJ1c2VySWQiOiIxNjM5NDczMjUxIn0=</vt:lpwstr>
  </property>
</Properties>
</file>