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D0534" w14:textId="497D6122" w:rsidR="00264695" w:rsidRDefault="007A4457" w:rsidP="00264695">
      <w:pPr>
        <w:pStyle w:val="Heading1"/>
      </w:pPr>
      <w:r>
        <w:t xml:space="preserve">Additional File </w:t>
      </w:r>
      <w:r w:rsidR="00E66840">
        <w:t>2</w:t>
      </w:r>
      <w:r w:rsidR="00264695">
        <w:t>: parameters</w:t>
      </w:r>
    </w:p>
    <w:p w14:paraId="610F087C" w14:textId="77777777" w:rsidR="00264695" w:rsidRDefault="00264695" w:rsidP="00264695">
      <w:pPr>
        <w:rPr>
          <w:lang w:eastAsia="ja-JP"/>
        </w:rPr>
      </w:pPr>
    </w:p>
    <w:p w14:paraId="6A771C86" w14:textId="3568D920" w:rsidR="00264695" w:rsidRDefault="00264695" w:rsidP="00264695">
      <w:pPr>
        <w:rPr>
          <w:lang w:eastAsia="ja-JP"/>
        </w:rPr>
      </w:pPr>
      <w:r>
        <w:rPr>
          <w:b/>
          <w:bCs/>
          <w:lang w:eastAsia="ja-JP"/>
        </w:rPr>
        <w:t>Table S</w:t>
      </w:r>
      <w:r w:rsidR="00E66840">
        <w:rPr>
          <w:b/>
          <w:bCs/>
          <w:lang w:eastAsia="ja-JP"/>
        </w:rPr>
        <w:t>2</w:t>
      </w:r>
      <w:r w:rsidR="00F64FD1">
        <w:rPr>
          <w:b/>
          <w:bCs/>
          <w:lang w:eastAsia="ja-JP"/>
        </w:rPr>
        <w:t>a</w:t>
      </w:r>
      <w:r>
        <w:rPr>
          <w:b/>
          <w:bCs/>
          <w:lang w:eastAsia="ja-JP"/>
        </w:rPr>
        <w:t xml:space="preserve">. </w:t>
      </w:r>
      <w:r>
        <w:rPr>
          <w:lang w:eastAsia="ja-JP"/>
        </w:rPr>
        <w:t>Parameters in the model that are taken directly from national databases, published literature, or expert opinion.</w:t>
      </w:r>
    </w:p>
    <w:tbl>
      <w:tblPr>
        <w:tblStyle w:val="TableGridLight"/>
        <w:tblW w:w="0" w:type="auto"/>
        <w:tblLook w:val="04A0" w:firstRow="1" w:lastRow="0" w:firstColumn="1" w:lastColumn="0" w:noHBand="0" w:noVBand="1"/>
      </w:tblPr>
      <w:tblGrid>
        <w:gridCol w:w="2263"/>
        <w:gridCol w:w="4395"/>
        <w:gridCol w:w="1112"/>
        <w:gridCol w:w="2006"/>
        <w:gridCol w:w="3174"/>
      </w:tblGrid>
      <w:tr w:rsidR="00CB21B8" w14:paraId="61D26D32" w14:textId="77777777" w:rsidTr="007279A7">
        <w:trPr>
          <w:trHeight w:val="397"/>
        </w:trPr>
        <w:tc>
          <w:tcPr>
            <w:tcW w:w="2263" w:type="dxa"/>
            <w:shd w:val="clear" w:color="auto" w:fill="002060"/>
          </w:tcPr>
          <w:p w14:paraId="677DAB16" w14:textId="3A846A53" w:rsidR="00CB21B8" w:rsidRPr="004377AD" w:rsidRDefault="00CB21B8" w:rsidP="00264695">
            <w:pPr>
              <w:rPr>
                <w:b/>
                <w:bCs/>
                <w:lang w:eastAsia="ja-JP"/>
              </w:rPr>
            </w:pPr>
            <w:r w:rsidRPr="004377AD">
              <w:rPr>
                <w:b/>
                <w:bCs/>
                <w:lang w:eastAsia="ja-JP"/>
              </w:rPr>
              <w:t>Parameter</w:t>
            </w:r>
          </w:p>
        </w:tc>
        <w:tc>
          <w:tcPr>
            <w:tcW w:w="4395" w:type="dxa"/>
            <w:shd w:val="clear" w:color="auto" w:fill="002060"/>
          </w:tcPr>
          <w:p w14:paraId="5B194B46" w14:textId="709C90A5" w:rsidR="00CB21B8" w:rsidRPr="004377AD" w:rsidRDefault="00CB21B8" w:rsidP="00264695">
            <w:pPr>
              <w:rPr>
                <w:b/>
                <w:bCs/>
                <w:lang w:eastAsia="ja-JP"/>
              </w:rPr>
            </w:pPr>
            <w:r w:rsidRPr="004377AD">
              <w:rPr>
                <w:b/>
                <w:bCs/>
                <w:lang w:eastAsia="ja-JP"/>
              </w:rPr>
              <w:t>Description</w:t>
            </w:r>
          </w:p>
        </w:tc>
        <w:tc>
          <w:tcPr>
            <w:tcW w:w="1112" w:type="dxa"/>
            <w:shd w:val="clear" w:color="auto" w:fill="002060"/>
          </w:tcPr>
          <w:p w14:paraId="7469A5ED" w14:textId="291FF357" w:rsidR="00CB21B8" w:rsidRPr="004377AD" w:rsidRDefault="00CB21B8" w:rsidP="00264695">
            <w:pPr>
              <w:rPr>
                <w:b/>
                <w:bCs/>
                <w:lang w:eastAsia="ja-JP"/>
              </w:rPr>
            </w:pPr>
            <w:r w:rsidRPr="004377AD">
              <w:rPr>
                <w:b/>
                <w:bCs/>
                <w:lang w:eastAsia="ja-JP"/>
              </w:rPr>
              <w:t>Unit</w:t>
            </w:r>
          </w:p>
        </w:tc>
        <w:tc>
          <w:tcPr>
            <w:tcW w:w="2006" w:type="dxa"/>
            <w:shd w:val="clear" w:color="auto" w:fill="002060"/>
          </w:tcPr>
          <w:p w14:paraId="7B672358" w14:textId="77777777" w:rsidR="004377AD" w:rsidRPr="004377AD" w:rsidRDefault="006F08EE" w:rsidP="00264695">
            <w:pPr>
              <w:rPr>
                <w:b/>
                <w:bCs/>
                <w:lang w:eastAsia="ja-JP"/>
              </w:rPr>
            </w:pPr>
            <w:r w:rsidRPr="004377AD">
              <w:rPr>
                <w:b/>
                <w:bCs/>
                <w:lang w:eastAsia="ja-JP"/>
              </w:rPr>
              <w:t xml:space="preserve">Value </w:t>
            </w:r>
          </w:p>
          <w:p w14:paraId="140F6BB6" w14:textId="5BAC217E" w:rsidR="00CB21B8" w:rsidRDefault="006F08EE" w:rsidP="00264695">
            <w:pPr>
              <w:rPr>
                <w:lang w:eastAsia="ja-JP"/>
              </w:rPr>
            </w:pPr>
            <w:r>
              <w:rPr>
                <w:lang w:eastAsia="ja-JP"/>
              </w:rPr>
              <w:t>(lower – upper)</w:t>
            </w:r>
          </w:p>
        </w:tc>
        <w:tc>
          <w:tcPr>
            <w:tcW w:w="3174" w:type="dxa"/>
            <w:shd w:val="clear" w:color="auto" w:fill="002060"/>
          </w:tcPr>
          <w:p w14:paraId="2EA3ED46" w14:textId="31CA5475" w:rsidR="00CB21B8" w:rsidRPr="004377AD" w:rsidRDefault="004377AD" w:rsidP="00264695">
            <w:pPr>
              <w:rPr>
                <w:b/>
                <w:bCs/>
                <w:lang w:eastAsia="ja-JP"/>
              </w:rPr>
            </w:pPr>
            <w:r w:rsidRPr="004377AD">
              <w:rPr>
                <w:b/>
                <w:bCs/>
                <w:lang w:eastAsia="ja-JP"/>
              </w:rPr>
              <w:t>Source</w:t>
            </w:r>
          </w:p>
        </w:tc>
      </w:tr>
      <w:tr w:rsidR="00CB21B8" w14:paraId="3C64B28B" w14:textId="77777777" w:rsidTr="007279A7">
        <w:trPr>
          <w:trHeight w:val="397"/>
        </w:trPr>
        <w:tc>
          <w:tcPr>
            <w:tcW w:w="2263" w:type="dxa"/>
          </w:tcPr>
          <w:p w14:paraId="60B3FE0A" w14:textId="3A2558A1" w:rsidR="00CB21B8" w:rsidRDefault="00C571A3" w:rsidP="00264695">
            <w:pPr>
              <w:rPr>
                <w:lang w:eastAsia="ja-JP"/>
              </w:rPr>
            </w:pPr>
            <w:r>
              <w:rPr>
                <w:lang w:eastAsia="ja-JP"/>
              </w:rPr>
              <w:t>aHD_start</w:t>
            </w:r>
          </w:p>
        </w:tc>
        <w:tc>
          <w:tcPr>
            <w:tcW w:w="4395" w:type="dxa"/>
          </w:tcPr>
          <w:p w14:paraId="7425AE88" w14:textId="6DA35637" w:rsidR="00CB21B8" w:rsidRDefault="00C571A3" w:rsidP="00264695">
            <w:pPr>
              <w:rPr>
                <w:lang w:eastAsia="ja-JP"/>
              </w:rPr>
            </w:pPr>
            <w:r>
              <w:rPr>
                <w:lang w:eastAsia="ja-JP"/>
              </w:rPr>
              <w:t>Starting number of HD patients in the model</w:t>
            </w:r>
            <w:r w:rsidR="003856E5">
              <w:rPr>
                <w:lang w:eastAsia="ja-JP"/>
              </w:rPr>
              <w:t xml:space="preserve"> (January 2018)</w:t>
            </w:r>
          </w:p>
        </w:tc>
        <w:tc>
          <w:tcPr>
            <w:tcW w:w="1112" w:type="dxa"/>
          </w:tcPr>
          <w:p w14:paraId="64A57CA2" w14:textId="45BC8AD4" w:rsidR="00CB21B8" w:rsidRDefault="00C571A3" w:rsidP="00264695">
            <w:pPr>
              <w:rPr>
                <w:lang w:eastAsia="ja-JP"/>
              </w:rPr>
            </w:pPr>
            <w:r>
              <w:rPr>
                <w:lang w:eastAsia="ja-JP"/>
              </w:rPr>
              <w:t>People</w:t>
            </w:r>
          </w:p>
        </w:tc>
        <w:tc>
          <w:tcPr>
            <w:tcW w:w="2006" w:type="dxa"/>
          </w:tcPr>
          <w:p w14:paraId="3BAB3BFA" w14:textId="4A143521" w:rsidR="00CB21B8" w:rsidRDefault="00A87CA8" w:rsidP="00264695">
            <w:pPr>
              <w:rPr>
                <w:lang w:eastAsia="ja-JP"/>
              </w:rPr>
            </w:pPr>
            <w:r>
              <w:rPr>
                <w:lang w:eastAsia="ja-JP"/>
              </w:rPr>
              <w:t>19,725 (19,579 - 19,801)</w:t>
            </w:r>
          </w:p>
        </w:tc>
        <w:tc>
          <w:tcPr>
            <w:tcW w:w="3174" w:type="dxa"/>
          </w:tcPr>
          <w:p w14:paraId="3328B997" w14:textId="5C7F5577" w:rsidR="00CB21B8" w:rsidRDefault="00A87CA8" w:rsidP="00264695">
            <w:pPr>
              <w:rPr>
                <w:lang w:eastAsia="ja-JP"/>
              </w:rPr>
            </w:pPr>
            <w:r>
              <w:rPr>
                <w:lang w:eastAsia="ja-JP"/>
              </w:rPr>
              <w:t>Renal registry</w:t>
            </w:r>
            <w:r w:rsidR="003856E5">
              <w:rPr>
                <w:lang w:eastAsia="ja-JP"/>
              </w:rPr>
              <w:t xml:space="preserve"> </w:t>
            </w:r>
          </w:p>
        </w:tc>
      </w:tr>
      <w:tr w:rsidR="00CB21B8" w14:paraId="4843A6C6" w14:textId="77777777" w:rsidTr="007279A7">
        <w:trPr>
          <w:trHeight w:val="397"/>
        </w:trPr>
        <w:tc>
          <w:tcPr>
            <w:tcW w:w="2263" w:type="dxa"/>
          </w:tcPr>
          <w:p w14:paraId="7E224C6B" w14:textId="613018E4" w:rsidR="00CB21B8" w:rsidRDefault="006E3ADB" w:rsidP="00264695">
            <w:pPr>
              <w:rPr>
                <w:lang w:eastAsia="ja-JP"/>
              </w:rPr>
            </w:pPr>
            <w:r w:rsidRPr="006E3ADB">
              <w:rPr>
                <w:lang w:eastAsia="ja-JP"/>
              </w:rPr>
              <w:t>aPD_start</w:t>
            </w:r>
          </w:p>
        </w:tc>
        <w:tc>
          <w:tcPr>
            <w:tcW w:w="4395" w:type="dxa"/>
          </w:tcPr>
          <w:p w14:paraId="04DAA17B" w14:textId="6AD730FD" w:rsidR="00CB21B8" w:rsidRDefault="003856E5" w:rsidP="00264695">
            <w:pPr>
              <w:rPr>
                <w:lang w:eastAsia="ja-JP"/>
              </w:rPr>
            </w:pPr>
            <w:r>
              <w:rPr>
                <w:lang w:eastAsia="ja-JP"/>
              </w:rPr>
              <w:t>Starting number of PD patients in the model (January 2018)</w:t>
            </w:r>
          </w:p>
        </w:tc>
        <w:tc>
          <w:tcPr>
            <w:tcW w:w="1112" w:type="dxa"/>
          </w:tcPr>
          <w:p w14:paraId="5271A1DB" w14:textId="224D3417" w:rsidR="00CB21B8" w:rsidRDefault="00491BA5" w:rsidP="00264695">
            <w:pPr>
              <w:rPr>
                <w:lang w:eastAsia="ja-JP"/>
              </w:rPr>
            </w:pPr>
            <w:r>
              <w:rPr>
                <w:lang w:eastAsia="ja-JP"/>
              </w:rPr>
              <w:t>People</w:t>
            </w:r>
          </w:p>
        </w:tc>
        <w:tc>
          <w:tcPr>
            <w:tcW w:w="2006" w:type="dxa"/>
          </w:tcPr>
          <w:p w14:paraId="6C5B34E9" w14:textId="044F1D2B" w:rsidR="00CB21B8" w:rsidRDefault="00491BA5" w:rsidP="00264695">
            <w:pPr>
              <w:rPr>
                <w:lang w:eastAsia="ja-JP"/>
              </w:rPr>
            </w:pPr>
            <w:r>
              <w:rPr>
                <w:lang w:eastAsia="ja-JP"/>
              </w:rPr>
              <w:t>20,546 (</w:t>
            </w:r>
            <w:r w:rsidR="00BB3A83">
              <w:rPr>
                <w:lang w:eastAsia="ja-JP"/>
              </w:rPr>
              <w:t>20,465 – 20,766)</w:t>
            </w:r>
          </w:p>
        </w:tc>
        <w:tc>
          <w:tcPr>
            <w:tcW w:w="3174" w:type="dxa"/>
          </w:tcPr>
          <w:p w14:paraId="0209AD22" w14:textId="1BFEA44D" w:rsidR="00CB21B8" w:rsidRDefault="00A87CA8" w:rsidP="00264695">
            <w:pPr>
              <w:rPr>
                <w:lang w:eastAsia="ja-JP"/>
              </w:rPr>
            </w:pPr>
            <w:r>
              <w:rPr>
                <w:lang w:eastAsia="ja-JP"/>
              </w:rPr>
              <w:t>Renal registry</w:t>
            </w:r>
            <w:r w:rsidR="003856E5">
              <w:rPr>
                <w:lang w:eastAsia="ja-JP"/>
              </w:rPr>
              <w:t xml:space="preserve"> </w:t>
            </w:r>
          </w:p>
        </w:tc>
      </w:tr>
      <w:tr w:rsidR="00D10FC4" w14:paraId="43C76CFD" w14:textId="77777777" w:rsidTr="007279A7">
        <w:trPr>
          <w:trHeight w:val="397"/>
        </w:trPr>
        <w:tc>
          <w:tcPr>
            <w:tcW w:w="2263" w:type="dxa"/>
          </w:tcPr>
          <w:p w14:paraId="4704DEDC" w14:textId="66C22316" w:rsidR="00D10FC4" w:rsidRPr="007C6626" w:rsidRDefault="00D10FC4" w:rsidP="00D10FC4">
            <w:pPr>
              <w:rPr>
                <w:lang w:eastAsia="ja-JP"/>
              </w:rPr>
            </w:pPr>
            <w:r w:rsidRPr="00C87BA7">
              <w:rPr>
                <w:lang w:eastAsia="ja-JP"/>
              </w:rPr>
              <w:t>aHD_topup</w:t>
            </w:r>
          </w:p>
        </w:tc>
        <w:tc>
          <w:tcPr>
            <w:tcW w:w="4395" w:type="dxa"/>
          </w:tcPr>
          <w:p w14:paraId="20E66ED9" w14:textId="11B71D19" w:rsidR="00D10FC4" w:rsidRDefault="00D10FC4" w:rsidP="00D10FC4">
            <w:pPr>
              <w:rPr>
                <w:lang w:eastAsia="ja-JP"/>
              </w:rPr>
            </w:pPr>
            <w:r>
              <w:t>Self-funded patients that switched to NHSO following the 2022 policy change</w:t>
            </w:r>
          </w:p>
        </w:tc>
        <w:tc>
          <w:tcPr>
            <w:tcW w:w="1112" w:type="dxa"/>
          </w:tcPr>
          <w:p w14:paraId="433734E7" w14:textId="36FBB7F1" w:rsidR="00D10FC4" w:rsidRDefault="00D10FC4" w:rsidP="00D10FC4">
            <w:pPr>
              <w:rPr>
                <w:lang w:eastAsia="ja-JP"/>
              </w:rPr>
            </w:pPr>
            <w:r>
              <w:rPr>
                <w:lang w:eastAsia="ja-JP"/>
              </w:rPr>
              <w:t>People</w:t>
            </w:r>
          </w:p>
        </w:tc>
        <w:tc>
          <w:tcPr>
            <w:tcW w:w="2006" w:type="dxa"/>
          </w:tcPr>
          <w:p w14:paraId="37F552FE" w14:textId="785ED794" w:rsidR="00D10FC4" w:rsidRDefault="00D10FC4" w:rsidP="00D10FC4">
            <w:pPr>
              <w:rPr>
                <w:lang w:eastAsia="ja-JP"/>
              </w:rPr>
            </w:pPr>
            <w:r>
              <w:rPr>
                <w:lang w:eastAsia="ja-JP"/>
              </w:rPr>
              <w:t>1,600 (1,300 – 2,500)</w:t>
            </w:r>
          </w:p>
        </w:tc>
        <w:tc>
          <w:tcPr>
            <w:tcW w:w="3174" w:type="dxa"/>
          </w:tcPr>
          <w:p w14:paraId="597DA247" w14:textId="55167810" w:rsidR="00D10FC4" w:rsidRDefault="00D10FC4" w:rsidP="00D10FC4">
            <w:pPr>
              <w:rPr>
                <w:lang w:eastAsia="ja-JP"/>
              </w:rPr>
            </w:pPr>
            <w:r>
              <w:rPr>
                <w:lang w:eastAsia="ja-JP"/>
              </w:rPr>
              <w:t>Renal registry</w:t>
            </w:r>
          </w:p>
        </w:tc>
      </w:tr>
      <w:tr w:rsidR="00D10FC4" w14:paraId="59CDAD1E" w14:textId="77777777" w:rsidTr="007279A7">
        <w:trPr>
          <w:trHeight w:val="397"/>
        </w:trPr>
        <w:tc>
          <w:tcPr>
            <w:tcW w:w="2263" w:type="dxa"/>
          </w:tcPr>
          <w:p w14:paraId="5AA93E43" w14:textId="40C8EA3E" w:rsidR="00D10FC4" w:rsidRPr="007C6626" w:rsidRDefault="00D10FC4" w:rsidP="00D10FC4">
            <w:pPr>
              <w:rPr>
                <w:lang w:eastAsia="ja-JP"/>
              </w:rPr>
            </w:pPr>
            <w:r w:rsidRPr="000E20A1">
              <w:rPr>
                <w:lang w:eastAsia="ja-JP"/>
              </w:rPr>
              <w:t>aPDtoHD_topup</w:t>
            </w:r>
          </w:p>
        </w:tc>
        <w:tc>
          <w:tcPr>
            <w:tcW w:w="4395" w:type="dxa"/>
          </w:tcPr>
          <w:p w14:paraId="29C66D67" w14:textId="1E1C6447" w:rsidR="00D10FC4" w:rsidRDefault="00D10FC4" w:rsidP="00D10FC4">
            <w:pPr>
              <w:rPr>
                <w:lang w:eastAsia="ja-JP"/>
              </w:rPr>
            </w:pPr>
            <w:r>
              <w:t>PD patients that switched to HD on 1 February 2022</w:t>
            </w:r>
          </w:p>
        </w:tc>
        <w:tc>
          <w:tcPr>
            <w:tcW w:w="1112" w:type="dxa"/>
          </w:tcPr>
          <w:p w14:paraId="3C5FD2D3" w14:textId="35056AFA" w:rsidR="00D10FC4" w:rsidRDefault="00D10FC4" w:rsidP="00D10FC4">
            <w:pPr>
              <w:rPr>
                <w:lang w:eastAsia="ja-JP"/>
              </w:rPr>
            </w:pPr>
            <w:r>
              <w:rPr>
                <w:lang w:eastAsia="ja-JP"/>
              </w:rPr>
              <w:t>People</w:t>
            </w:r>
          </w:p>
        </w:tc>
        <w:tc>
          <w:tcPr>
            <w:tcW w:w="2006" w:type="dxa"/>
          </w:tcPr>
          <w:p w14:paraId="4327AA4A" w14:textId="255F1747" w:rsidR="00D10FC4" w:rsidRDefault="00D10FC4" w:rsidP="00D10FC4">
            <w:pPr>
              <w:rPr>
                <w:lang w:eastAsia="ja-JP"/>
              </w:rPr>
            </w:pPr>
            <w:r>
              <w:rPr>
                <w:lang w:eastAsia="ja-JP"/>
              </w:rPr>
              <w:t>350 (350-400)</w:t>
            </w:r>
          </w:p>
        </w:tc>
        <w:tc>
          <w:tcPr>
            <w:tcW w:w="3174" w:type="dxa"/>
          </w:tcPr>
          <w:p w14:paraId="63BCB737" w14:textId="4C963010" w:rsidR="00D10FC4" w:rsidRDefault="00D10FC4" w:rsidP="00D10FC4">
            <w:pPr>
              <w:rPr>
                <w:lang w:eastAsia="ja-JP"/>
              </w:rPr>
            </w:pPr>
            <w:r>
              <w:rPr>
                <w:lang w:eastAsia="ja-JP"/>
              </w:rPr>
              <w:t>Renal registry</w:t>
            </w:r>
          </w:p>
        </w:tc>
      </w:tr>
      <w:tr w:rsidR="000E20A1" w14:paraId="308A3120" w14:textId="77777777" w:rsidTr="007279A7">
        <w:trPr>
          <w:trHeight w:val="397"/>
        </w:trPr>
        <w:tc>
          <w:tcPr>
            <w:tcW w:w="2263" w:type="dxa"/>
          </w:tcPr>
          <w:p w14:paraId="737D6C57" w14:textId="619D898B" w:rsidR="000E20A1" w:rsidRDefault="000E20A1" w:rsidP="000E20A1">
            <w:pPr>
              <w:rPr>
                <w:lang w:eastAsia="ja-JP"/>
              </w:rPr>
            </w:pPr>
            <w:r w:rsidRPr="007C6626">
              <w:rPr>
                <w:lang w:eastAsia="ja-JP"/>
              </w:rPr>
              <w:t>aCCCmax</w:t>
            </w:r>
          </w:p>
        </w:tc>
        <w:tc>
          <w:tcPr>
            <w:tcW w:w="4395" w:type="dxa"/>
          </w:tcPr>
          <w:p w14:paraId="2DB2345A" w14:textId="59543176" w:rsidR="000E20A1" w:rsidRDefault="00125719" w:rsidP="000E20A1">
            <w:pPr>
              <w:rPr>
                <w:lang w:eastAsia="ja-JP"/>
              </w:rPr>
            </w:pPr>
            <w:r>
              <w:rPr>
                <w:lang w:eastAsia="ja-JP"/>
              </w:rPr>
              <w:t xml:space="preserve">Percentage of incident patients with kidney failure that are best suited to </w:t>
            </w:r>
            <w:r w:rsidR="006024F6">
              <w:rPr>
                <w:lang w:eastAsia="ja-JP"/>
              </w:rPr>
              <w:t>CCC</w:t>
            </w:r>
          </w:p>
        </w:tc>
        <w:tc>
          <w:tcPr>
            <w:tcW w:w="1112" w:type="dxa"/>
          </w:tcPr>
          <w:p w14:paraId="288F2628" w14:textId="773434EF" w:rsidR="000E20A1" w:rsidRDefault="00491BA5" w:rsidP="000E20A1">
            <w:pPr>
              <w:rPr>
                <w:lang w:eastAsia="ja-JP"/>
              </w:rPr>
            </w:pPr>
            <w:r>
              <w:rPr>
                <w:lang w:eastAsia="ja-JP"/>
              </w:rPr>
              <w:t>%</w:t>
            </w:r>
          </w:p>
        </w:tc>
        <w:tc>
          <w:tcPr>
            <w:tcW w:w="2006" w:type="dxa"/>
          </w:tcPr>
          <w:p w14:paraId="16B78E9F" w14:textId="2545DD22" w:rsidR="000E20A1" w:rsidRDefault="0057791B" w:rsidP="000E20A1">
            <w:pPr>
              <w:rPr>
                <w:lang w:eastAsia="ja-JP"/>
              </w:rPr>
            </w:pPr>
            <w:r>
              <w:rPr>
                <w:lang w:eastAsia="ja-JP"/>
              </w:rPr>
              <w:t>12.5 (10-15)</w:t>
            </w:r>
          </w:p>
        </w:tc>
        <w:tc>
          <w:tcPr>
            <w:tcW w:w="3174" w:type="dxa"/>
          </w:tcPr>
          <w:p w14:paraId="1AE7252F" w14:textId="485908F1" w:rsidR="000E20A1" w:rsidRDefault="00272FF8" w:rsidP="000E20A1">
            <w:pPr>
              <w:rPr>
                <w:lang w:eastAsia="ja-JP"/>
              </w:rPr>
            </w:pPr>
            <w:r>
              <w:rPr>
                <w:lang w:eastAsia="ja-JP"/>
              </w:rPr>
              <w:t>Expert opinion (single nephrologist specialised in palliative care)</w:t>
            </w:r>
          </w:p>
        </w:tc>
      </w:tr>
      <w:tr w:rsidR="000E20A1" w14:paraId="085DBF6B" w14:textId="77777777" w:rsidTr="007279A7">
        <w:trPr>
          <w:trHeight w:val="397"/>
        </w:trPr>
        <w:tc>
          <w:tcPr>
            <w:tcW w:w="2263" w:type="dxa"/>
          </w:tcPr>
          <w:p w14:paraId="3D1ECBB2" w14:textId="03AF5027" w:rsidR="000E20A1" w:rsidRDefault="000E20A1" w:rsidP="000E20A1">
            <w:pPr>
              <w:rPr>
                <w:lang w:eastAsia="ja-JP"/>
              </w:rPr>
            </w:pPr>
            <w:r w:rsidRPr="007C6626">
              <w:rPr>
                <w:lang w:eastAsia="ja-JP"/>
              </w:rPr>
              <w:t>aCCCpref</w:t>
            </w:r>
          </w:p>
        </w:tc>
        <w:tc>
          <w:tcPr>
            <w:tcW w:w="4395" w:type="dxa"/>
          </w:tcPr>
          <w:p w14:paraId="617949D9" w14:textId="2AD2F003" w:rsidR="000E20A1" w:rsidRDefault="00053B20" w:rsidP="000E20A1">
            <w:pPr>
              <w:rPr>
                <w:lang w:eastAsia="ja-JP"/>
              </w:rPr>
            </w:pPr>
            <w:r>
              <w:rPr>
                <w:lang w:eastAsia="ja-JP"/>
              </w:rPr>
              <w:t>Percentage of patients best suited to CCC who choose CCC regardless of doctor fee</w:t>
            </w:r>
          </w:p>
        </w:tc>
        <w:tc>
          <w:tcPr>
            <w:tcW w:w="1112" w:type="dxa"/>
          </w:tcPr>
          <w:p w14:paraId="0512F00A" w14:textId="28DFAECF" w:rsidR="000E20A1" w:rsidRDefault="00491BA5" w:rsidP="000E20A1">
            <w:pPr>
              <w:rPr>
                <w:lang w:eastAsia="ja-JP"/>
              </w:rPr>
            </w:pPr>
            <w:r>
              <w:rPr>
                <w:lang w:eastAsia="ja-JP"/>
              </w:rPr>
              <w:t>%</w:t>
            </w:r>
          </w:p>
        </w:tc>
        <w:tc>
          <w:tcPr>
            <w:tcW w:w="2006" w:type="dxa"/>
          </w:tcPr>
          <w:p w14:paraId="428F59D1" w14:textId="0170D587" w:rsidR="000E20A1" w:rsidRDefault="00053B20" w:rsidP="000E20A1">
            <w:pPr>
              <w:rPr>
                <w:lang w:eastAsia="ja-JP"/>
              </w:rPr>
            </w:pPr>
            <w:r>
              <w:rPr>
                <w:lang w:eastAsia="ja-JP"/>
              </w:rPr>
              <w:t>5 (</w:t>
            </w:r>
            <w:r w:rsidR="004E613E">
              <w:rPr>
                <w:lang w:eastAsia="ja-JP"/>
              </w:rPr>
              <w:t>0-20)</w:t>
            </w:r>
          </w:p>
        </w:tc>
        <w:tc>
          <w:tcPr>
            <w:tcW w:w="3174" w:type="dxa"/>
          </w:tcPr>
          <w:p w14:paraId="10758AE2" w14:textId="3B730EF2" w:rsidR="000E20A1" w:rsidRDefault="00145312" w:rsidP="000E20A1">
            <w:pPr>
              <w:rPr>
                <w:lang w:eastAsia="ja-JP"/>
              </w:rPr>
            </w:pPr>
            <w:r>
              <w:rPr>
                <w:lang w:eastAsia="ja-JP"/>
              </w:rPr>
              <w:t>Expert opinion (nephrologist and working group member)</w:t>
            </w:r>
          </w:p>
        </w:tc>
      </w:tr>
      <w:tr w:rsidR="000E20A1" w14:paraId="51946A1A" w14:textId="77777777" w:rsidTr="007279A7">
        <w:trPr>
          <w:trHeight w:val="397"/>
        </w:trPr>
        <w:tc>
          <w:tcPr>
            <w:tcW w:w="2263" w:type="dxa"/>
          </w:tcPr>
          <w:p w14:paraId="0F853202" w14:textId="36C7B6A2" w:rsidR="000E20A1" w:rsidRDefault="000E20A1" w:rsidP="000E20A1">
            <w:pPr>
              <w:rPr>
                <w:lang w:eastAsia="ja-JP"/>
              </w:rPr>
            </w:pPr>
            <w:r w:rsidRPr="007C6626">
              <w:rPr>
                <w:lang w:eastAsia="ja-JP"/>
              </w:rPr>
              <w:t>aCCCprefHD</w:t>
            </w:r>
          </w:p>
        </w:tc>
        <w:tc>
          <w:tcPr>
            <w:tcW w:w="4395" w:type="dxa"/>
          </w:tcPr>
          <w:p w14:paraId="03DC2ACE" w14:textId="7BF68AE4" w:rsidR="000E20A1" w:rsidRDefault="00053B20" w:rsidP="000E20A1">
            <w:pPr>
              <w:rPr>
                <w:lang w:eastAsia="ja-JP"/>
              </w:rPr>
            </w:pPr>
            <w:r>
              <w:rPr>
                <w:lang w:eastAsia="ja-JP"/>
              </w:rPr>
              <w:t>Percentage of patients best suited to CCC who choose HD regardless of doctor fee</w:t>
            </w:r>
          </w:p>
        </w:tc>
        <w:tc>
          <w:tcPr>
            <w:tcW w:w="1112" w:type="dxa"/>
          </w:tcPr>
          <w:p w14:paraId="3062DD87" w14:textId="284209F3" w:rsidR="000E20A1" w:rsidRDefault="00491BA5" w:rsidP="000E20A1">
            <w:pPr>
              <w:rPr>
                <w:lang w:eastAsia="ja-JP"/>
              </w:rPr>
            </w:pPr>
            <w:r>
              <w:rPr>
                <w:lang w:eastAsia="ja-JP"/>
              </w:rPr>
              <w:t>%</w:t>
            </w:r>
          </w:p>
        </w:tc>
        <w:tc>
          <w:tcPr>
            <w:tcW w:w="2006" w:type="dxa"/>
          </w:tcPr>
          <w:p w14:paraId="5BD962D3" w14:textId="479B530E" w:rsidR="000E20A1" w:rsidRDefault="004E613E" w:rsidP="000E20A1">
            <w:pPr>
              <w:rPr>
                <w:lang w:eastAsia="ja-JP"/>
              </w:rPr>
            </w:pPr>
            <w:r>
              <w:rPr>
                <w:lang w:eastAsia="ja-JP"/>
              </w:rPr>
              <w:t>70 (30-90)</w:t>
            </w:r>
          </w:p>
        </w:tc>
        <w:tc>
          <w:tcPr>
            <w:tcW w:w="3174" w:type="dxa"/>
          </w:tcPr>
          <w:p w14:paraId="3DB1303D" w14:textId="4B7D0730" w:rsidR="000E20A1" w:rsidRDefault="00145312" w:rsidP="000E20A1">
            <w:pPr>
              <w:rPr>
                <w:lang w:eastAsia="ja-JP"/>
              </w:rPr>
            </w:pPr>
            <w:r>
              <w:rPr>
                <w:lang w:eastAsia="ja-JP"/>
              </w:rPr>
              <w:t>Expert opinion (nephrologist and working group member)</w:t>
            </w:r>
          </w:p>
        </w:tc>
      </w:tr>
      <w:tr w:rsidR="000E20A1" w14:paraId="627ABE36" w14:textId="77777777" w:rsidTr="007279A7">
        <w:trPr>
          <w:trHeight w:val="397"/>
        </w:trPr>
        <w:tc>
          <w:tcPr>
            <w:tcW w:w="2263" w:type="dxa"/>
          </w:tcPr>
          <w:p w14:paraId="45B74E66" w14:textId="242D1253" w:rsidR="000E20A1" w:rsidRDefault="000E20A1" w:rsidP="000E20A1">
            <w:pPr>
              <w:rPr>
                <w:lang w:eastAsia="ja-JP"/>
              </w:rPr>
            </w:pPr>
            <w:r w:rsidRPr="007C6626">
              <w:rPr>
                <w:lang w:eastAsia="ja-JP"/>
              </w:rPr>
              <w:t>aRRdeath_CCC</w:t>
            </w:r>
          </w:p>
        </w:tc>
        <w:tc>
          <w:tcPr>
            <w:tcW w:w="4395" w:type="dxa"/>
          </w:tcPr>
          <w:p w14:paraId="24476890" w14:textId="41671ABD" w:rsidR="000E20A1" w:rsidRDefault="004E613E" w:rsidP="000E20A1">
            <w:pPr>
              <w:rPr>
                <w:lang w:eastAsia="ja-JP"/>
              </w:rPr>
            </w:pPr>
            <w:r>
              <w:rPr>
                <w:lang w:eastAsia="ja-JP"/>
              </w:rPr>
              <w:t>Relative risk of death among HD patients that are best suited to CCC, as compared to other HD patients</w:t>
            </w:r>
          </w:p>
        </w:tc>
        <w:tc>
          <w:tcPr>
            <w:tcW w:w="1112" w:type="dxa"/>
          </w:tcPr>
          <w:p w14:paraId="6283170E" w14:textId="5F003BE8" w:rsidR="000E20A1" w:rsidRDefault="00491BA5" w:rsidP="000E20A1">
            <w:pPr>
              <w:rPr>
                <w:lang w:eastAsia="ja-JP"/>
              </w:rPr>
            </w:pPr>
            <w:r>
              <w:rPr>
                <w:lang w:eastAsia="ja-JP"/>
              </w:rPr>
              <w:t>RR</w:t>
            </w:r>
          </w:p>
        </w:tc>
        <w:tc>
          <w:tcPr>
            <w:tcW w:w="2006" w:type="dxa"/>
          </w:tcPr>
          <w:p w14:paraId="5A185D82" w14:textId="3739610F" w:rsidR="000E20A1" w:rsidRDefault="004E613E" w:rsidP="000E20A1">
            <w:pPr>
              <w:rPr>
                <w:lang w:eastAsia="ja-JP"/>
              </w:rPr>
            </w:pPr>
            <w:r>
              <w:rPr>
                <w:lang w:eastAsia="ja-JP"/>
              </w:rPr>
              <w:t>1.88 (1.2-3.1)</w:t>
            </w:r>
          </w:p>
        </w:tc>
        <w:tc>
          <w:tcPr>
            <w:tcW w:w="3174" w:type="dxa"/>
          </w:tcPr>
          <w:p w14:paraId="73C833DE" w14:textId="394D0B7B" w:rsidR="000E20A1" w:rsidRDefault="008A537F" w:rsidP="000E20A1">
            <w:pPr>
              <w:rPr>
                <w:lang w:eastAsia="ja-JP"/>
              </w:rPr>
            </w:pPr>
            <w:r>
              <w:t xml:space="preserve">Longitudinal study </w:t>
            </w:r>
            <w:r w:rsidR="00D72347">
              <w:t>of US patients from 1998-2014</w:t>
            </w:r>
            <w:r w:rsidR="007279A7">
              <w:t xml:space="preserve"> </w:t>
            </w:r>
            <w:r w:rsidR="00AC0A4F">
              <w:rPr>
                <w:color w:val="000000"/>
              </w:rPr>
              <w:t>[44]</w:t>
            </w:r>
          </w:p>
        </w:tc>
      </w:tr>
      <w:tr w:rsidR="00EE7B86" w14:paraId="10F69CF9" w14:textId="77777777" w:rsidTr="007279A7">
        <w:trPr>
          <w:trHeight w:val="397"/>
        </w:trPr>
        <w:tc>
          <w:tcPr>
            <w:tcW w:w="2263" w:type="dxa"/>
          </w:tcPr>
          <w:p w14:paraId="278ACB1C" w14:textId="79AE3889" w:rsidR="00EE7B86" w:rsidRPr="00A60104" w:rsidRDefault="00EE7B86" w:rsidP="000E20A1">
            <w:pPr>
              <w:rPr>
                <w:lang w:eastAsia="ja-JP"/>
              </w:rPr>
            </w:pPr>
            <w:r>
              <w:rPr>
                <w:lang w:eastAsia="ja-JP"/>
              </w:rPr>
              <w:t>aPDmax</w:t>
            </w:r>
          </w:p>
        </w:tc>
        <w:tc>
          <w:tcPr>
            <w:tcW w:w="4395" w:type="dxa"/>
          </w:tcPr>
          <w:p w14:paraId="129EAA45" w14:textId="45A9807B" w:rsidR="00EE7B86" w:rsidRDefault="003601F1" w:rsidP="000E20A1">
            <w:pPr>
              <w:rPr>
                <w:lang w:eastAsia="ja-JP"/>
              </w:rPr>
            </w:pPr>
            <w:r>
              <w:rPr>
                <w:lang w:eastAsia="ja-JP"/>
              </w:rPr>
              <w:t>Percentage of baseline incident dialysis cases that are PD-eligible</w:t>
            </w:r>
          </w:p>
        </w:tc>
        <w:tc>
          <w:tcPr>
            <w:tcW w:w="1112" w:type="dxa"/>
          </w:tcPr>
          <w:p w14:paraId="6BF6DC46" w14:textId="12B2CDFF" w:rsidR="00EE7B86" w:rsidRDefault="003601F1" w:rsidP="000E20A1">
            <w:pPr>
              <w:rPr>
                <w:lang w:eastAsia="ja-JP"/>
              </w:rPr>
            </w:pPr>
            <w:r>
              <w:rPr>
                <w:lang w:eastAsia="ja-JP"/>
              </w:rPr>
              <w:t>%</w:t>
            </w:r>
          </w:p>
        </w:tc>
        <w:tc>
          <w:tcPr>
            <w:tcW w:w="2006" w:type="dxa"/>
          </w:tcPr>
          <w:p w14:paraId="786D6702" w14:textId="27104901" w:rsidR="00EE7B86" w:rsidRDefault="003601F1" w:rsidP="000E20A1">
            <w:pPr>
              <w:rPr>
                <w:lang w:eastAsia="ja-JP"/>
              </w:rPr>
            </w:pPr>
            <w:r>
              <w:rPr>
                <w:lang w:eastAsia="ja-JP"/>
              </w:rPr>
              <w:t>68 (</w:t>
            </w:r>
            <w:r w:rsidR="00A148C1">
              <w:rPr>
                <w:lang w:eastAsia="ja-JP"/>
              </w:rPr>
              <w:t>60-75)</w:t>
            </w:r>
          </w:p>
        </w:tc>
        <w:tc>
          <w:tcPr>
            <w:tcW w:w="3174" w:type="dxa"/>
          </w:tcPr>
          <w:p w14:paraId="1815A20D" w14:textId="2DB1F045" w:rsidR="00EE7B86" w:rsidRDefault="00A148C1" w:rsidP="000E20A1">
            <w:pPr>
              <w:rPr>
                <w:lang w:eastAsia="ja-JP"/>
              </w:rPr>
            </w:pPr>
            <w:r>
              <w:rPr>
                <w:lang w:eastAsia="ja-JP"/>
              </w:rPr>
              <w:t>Renal registry data 2016-2020</w:t>
            </w:r>
          </w:p>
        </w:tc>
      </w:tr>
      <w:tr w:rsidR="000E20A1" w14:paraId="7759B754" w14:textId="77777777" w:rsidTr="007279A7">
        <w:trPr>
          <w:trHeight w:val="397"/>
        </w:trPr>
        <w:tc>
          <w:tcPr>
            <w:tcW w:w="2263" w:type="dxa"/>
          </w:tcPr>
          <w:p w14:paraId="19E0137B" w14:textId="5E0D9351" w:rsidR="000E20A1" w:rsidRDefault="000E20A1" w:rsidP="000E20A1">
            <w:pPr>
              <w:rPr>
                <w:lang w:eastAsia="ja-JP"/>
              </w:rPr>
            </w:pPr>
            <w:r w:rsidRPr="00A60104">
              <w:rPr>
                <w:lang w:eastAsia="ja-JP"/>
              </w:rPr>
              <w:t>aPDpref</w:t>
            </w:r>
          </w:p>
        </w:tc>
        <w:tc>
          <w:tcPr>
            <w:tcW w:w="4395" w:type="dxa"/>
          </w:tcPr>
          <w:p w14:paraId="445824CF" w14:textId="3005060B" w:rsidR="000E20A1" w:rsidRDefault="004E613E" w:rsidP="000E20A1">
            <w:pPr>
              <w:rPr>
                <w:lang w:eastAsia="ja-JP"/>
              </w:rPr>
            </w:pPr>
            <w:r>
              <w:rPr>
                <w:lang w:eastAsia="ja-JP"/>
              </w:rPr>
              <w:t xml:space="preserve">Percentage of PD-eligible patients </w:t>
            </w:r>
            <w:r w:rsidR="00407327">
              <w:rPr>
                <w:lang w:eastAsia="ja-JP"/>
              </w:rPr>
              <w:t>that choose PD regardless of peritonitis rates or doctor fee</w:t>
            </w:r>
          </w:p>
        </w:tc>
        <w:tc>
          <w:tcPr>
            <w:tcW w:w="1112" w:type="dxa"/>
          </w:tcPr>
          <w:p w14:paraId="0488EBD9" w14:textId="270716CA" w:rsidR="000E20A1" w:rsidRDefault="00491BA5" w:rsidP="000E20A1">
            <w:pPr>
              <w:rPr>
                <w:lang w:eastAsia="ja-JP"/>
              </w:rPr>
            </w:pPr>
            <w:r>
              <w:rPr>
                <w:lang w:eastAsia="ja-JP"/>
              </w:rPr>
              <w:t>%</w:t>
            </w:r>
          </w:p>
        </w:tc>
        <w:tc>
          <w:tcPr>
            <w:tcW w:w="2006" w:type="dxa"/>
          </w:tcPr>
          <w:p w14:paraId="13CCA4B9" w14:textId="599D3FEA" w:rsidR="000E20A1" w:rsidRDefault="000A45E3" w:rsidP="000E20A1">
            <w:pPr>
              <w:rPr>
                <w:lang w:eastAsia="ja-JP"/>
              </w:rPr>
            </w:pPr>
            <w:r>
              <w:rPr>
                <w:lang w:eastAsia="ja-JP"/>
              </w:rPr>
              <w:t>11 (0-20)</w:t>
            </w:r>
          </w:p>
        </w:tc>
        <w:tc>
          <w:tcPr>
            <w:tcW w:w="3174" w:type="dxa"/>
          </w:tcPr>
          <w:p w14:paraId="2CD80C39" w14:textId="168999CD" w:rsidR="000E20A1" w:rsidRDefault="00145312" w:rsidP="000E20A1">
            <w:pPr>
              <w:rPr>
                <w:lang w:eastAsia="ja-JP"/>
              </w:rPr>
            </w:pPr>
            <w:r>
              <w:rPr>
                <w:lang w:eastAsia="ja-JP"/>
              </w:rPr>
              <w:t>Expert opinion (nephrologist and working group member)</w:t>
            </w:r>
          </w:p>
        </w:tc>
      </w:tr>
      <w:tr w:rsidR="008E77F3" w14:paraId="575475E5" w14:textId="77777777" w:rsidTr="007279A7">
        <w:trPr>
          <w:trHeight w:val="397"/>
        </w:trPr>
        <w:tc>
          <w:tcPr>
            <w:tcW w:w="2263" w:type="dxa"/>
          </w:tcPr>
          <w:p w14:paraId="048D295F" w14:textId="67D6DD03" w:rsidR="008E77F3" w:rsidRPr="00A60104" w:rsidRDefault="008E77F3" w:rsidP="008E77F3">
            <w:pPr>
              <w:rPr>
                <w:lang w:eastAsia="ja-JP"/>
              </w:rPr>
            </w:pPr>
            <w:r w:rsidRPr="009F1E89">
              <w:rPr>
                <w:lang w:eastAsia="ja-JP"/>
              </w:rPr>
              <w:t>aPDprefHD</w:t>
            </w:r>
          </w:p>
        </w:tc>
        <w:tc>
          <w:tcPr>
            <w:tcW w:w="4395" w:type="dxa"/>
          </w:tcPr>
          <w:p w14:paraId="3678D00B" w14:textId="38E9B6D3" w:rsidR="008E77F3" w:rsidRDefault="008E77F3" w:rsidP="008E77F3">
            <w:pPr>
              <w:rPr>
                <w:lang w:eastAsia="ja-JP"/>
              </w:rPr>
            </w:pPr>
            <w:r>
              <w:rPr>
                <w:lang w:eastAsia="ja-JP"/>
              </w:rPr>
              <w:t>Proportion of PD-eligible patients with a preference for HD that is not moderated by the doctor fee or relative risk of peritonitis</w:t>
            </w:r>
          </w:p>
        </w:tc>
        <w:tc>
          <w:tcPr>
            <w:tcW w:w="1112" w:type="dxa"/>
          </w:tcPr>
          <w:p w14:paraId="53D2081E" w14:textId="7917845B" w:rsidR="008E77F3" w:rsidRDefault="008E77F3" w:rsidP="008E77F3">
            <w:pPr>
              <w:rPr>
                <w:lang w:eastAsia="ja-JP"/>
              </w:rPr>
            </w:pPr>
            <w:r>
              <w:rPr>
                <w:lang w:eastAsia="ja-JP"/>
              </w:rPr>
              <w:t>%</w:t>
            </w:r>
          </w:p>
        </w:tc>
        <w:tc>
          <w:tcPr>
            <w:tcW w:w="2006" w:type="dxa"/>
          </w:tcPr>
          <w:p w14:paraId="3B8E43BC" w14:textId="33F8FDA3" w:rsidR="008E77F3" w:rsidRDefault="008E77F3" w:rsidP="008E77F3">
            <w:pPr>
              <w:rPr>
                <w:lang w:eastAsia="ja-JP"/>
              </w:rPr>
            </w:pPr>
            <w:r>
              <w:rPr>
                <w:lang w:eastAsia="ja-JP"/>
              </w:rPr>
              <w:t>50 (0-80)</w:t>
            </w:r>
          </w:p>
        </w:tc>
        <w:tc>
          <w:tcPr>
            <w:tcW w:w="3174" w:type="dxa"/>
          </w:tcPr>
          <w:p w14:paraId="5BC95F28" w14:textId="3EBFFE41" w:rsidR="008E77F3" w:rsidRDefault="008E77F3" w:rsidP="008E77F3">
            <w:pPr>
              <w:rPr>
                <w:lang w:eastAsia="ja-JP"/>
              </w:rPr>
            </w:pPr>
            <w:r>
              <w:rPr>
                <w:lang w:eastAsia="ja-JP"/>
              </w:rPr>
              <w:t>Expert opinion (nephrologist and working group member)</w:t>
            </w:r>
          </w:p>
        </w:tc>
      </w:tr>
      <w:tr w:rsidR="008E77F3" w14:paraId="3C6FFA29" w14:textId="77777777" w:rsidTr="007279A7">
        <w:trPr>
          <w:trHeight w:val="397"/>
        </w:trPr>
        <w:tc>
          <w:tcPr>
            <w:tcW w:w="2263" w:type="dxa"/>
          </w:tcPr>
          <w:p w14:paraId="47DAFC70" w14:textId="22421BFA" w:rsidR="008E77F3" w:rsidRDefault="008E77F3" w:rsidP="008E77F3">
            <w:pPr>
              <w:rPr>
                <w:lang w:eastAsia="ja-JP"/>
              </w:rPr>
            </w:pPr>
            <w:r w:rsidRPr="00A60104">
              <w:rPr>
                <w:lang w:eastAsia="ja-JP"/>
              </w:rPr>
              <w:lastRenderedPageBreak/>
              <w:t>aRRdeath_peritonitis</w:t>
            </w:r>
          </w:p>
        </w:tc>
        <w:tc>
          <w:tcPr>
            <w:tcW w:w="4395" w:type="dxa"/>
          </w:tcPr>
          <w:p w14:paraId="37133652" w14:textId="19E695BD" w:rsidR="008E77F3" w:rsidRDefault="008E77F3" w:rsidP="008E77F3">
            <w:pPr>
              <w:rPr>
                <w:lang w:eastAsia="ja-JP"/>
              </w:rPr>
            </w:pPr>
            <w:r>
              <w:rPr>
                <w:lang w:eastAsia="ja-JP"/>
              </w:rPr>
              <w:t>Relative risk of death for PD patients with peritonitis, as compared to other PD patients without peritonitis</w:t>
            </w:r>
          </w:p>
        </w:tc>
        <w:tc>
          <w:tcPr>
            <w:tcW w:w="1112" w:type="dxa"/>
          </w:tcPr>
          <w:p w14:paraId="7717B543" w14:textId="25AA191C" w:rsidR="008E77F3" w:rsidRDefault="008E77F3" w:rsidP="008E77F3">
            <w:pPr>
              <w:rPr>
                <w:lang w:eastAsia="ja-JP"/>
              </w:rPr>
            </w:pPr>
            <w:r>
              <w:rPr>
                <w:lang w:eastAsia="ja-JP"/>
              </w:rPr>
              <w:t>RR</w:t>
            </w:r>
          </w:p>
        </w:tc>
        <w:tc>
          <w:tcPr>
            <w:tcW w:w="2006" w:type="dxa"/>
          </w:tcPr>
          <w:p w14:paraId="6391C47F" w14:textId="15046F84" w:rsidR="008E77F3" w:rsidRDefault="008E77F3" w:rsidP="008E77F3">
            <w:pPr>
              <w:rPr>
                <w:lang w:eastAsia="ja-JP"/>
              </w:rPr>
            </w:pPr>
            <w:r>
              <w:t>2.08 (1.59-4.88)</w:t>
            </w:r>
          </w:p>
        </w:tc>
        <w:tc>
          <w:tcPr>
            <w:tcW w:w="3174" w:type="dxa"/>
          </w:tcPr>
          <w:p w14:paraId="6A2C3166" w14:textId="6A23B5E7" w:rsidR="008E77F3" w:rsidRDefault="008E77F3" w:rsidP="008E77F3">
            <w:pPr>
              <w:rPr>
                <w:lang w:eastAsia="ja-JP"/>
              </w:rPr>
            </w:pPr>
            <w:r>
              <w:t xml:space="preserve">Retrospective cohort in Spanish registry from1993-2005 </w:t>
            </w:r>
            <w:r w:rsidR="00072986">
              <w:rPr>
                <w:color w:val="000000"/>
              </w:rPr>
              <w:t>[45]</w:t>
            </w:r>
          </w:p>
        </w:tc>
      </w:tr>
      <w:tr w:rsidR="008E77F3" w14:paraId="56BD09A0" w14:textId="77777777" w:rsidTr="007279A7">
        <w:trPr>
          <w:trHeight w:val="397"/>
        </w:trPr>
        <w:tc>
          <w:tcPr>
            <w:tcW w:w="2263" w:type="dxa"/>
          </w:tcPr>
          <w:p w14:paraId="01BF5AD9" w14:textId="6EFCA904" w:rsidR="008E77F3" w:rsidRDefault="008E77F3" w:rsidP="008E77F3">
            <w:pPr>
              <w:rPr>
                <w:lang w:eastAsia="ja-JP"/>
              </w:rPr>
            </w:pPr>
            <w:r w:rsidRPr="00A60104">
              <w:rPr>
                <w:lang w:eastAsia="ja-JP"/>
              </w:rPr>
              <w:t>aVAtemp_redo</w:t>
            </w:r>
          </w:p>
        </w:tc>
        <w:tc>
          <w:tcPr>
            <w:tcW w:w="4395" w:type="dxa"/>
          </w:tcPr>
          <w:p w14:paraId="250CF09B" w14:textId="0D369D8F" w:rsidR="008E77F3" w:rsidRDefault="008E77F3" w:rsidP="008E77F3">
            <w:pPr>
              <w:rPr>
                <w:lang w:eastAsia="ja-JP"/>
              </w:rPr>
            </w:pPr>
            <w:r>
              <w:rPr>
                <w:lang w:eastAsia="ja-JP"/>
              </w:rPr>
              <w:t>Average duration of temporary vascular access operation (after which the patient requires another vascular access operation)</w:t>
            </w:r>
          </w:p>
        </w:tc>
        <w:tc>
          <w:tcPr>
            <w:tcW w:w="1112" w:type="dxa"/>
          </w:tcPr>
          <w:p w14:paraId="7C771F82" w14:textId="0428B896" w:rsidR="008E77F3" w:rsidRDefault="008E77F3" w:rsidP="008E77F3">
            <w:pPr>
              <w:rPr>
                <w:lang w:eastAsia="ja-JP"/>
              </w:rPr>
            </w:pPr>
            <w:r>
              <w:rPr>
                <w:lang w:eastAsia="ja-JP"/>
              </w:rPr>
              <w:t>Months</w:t>
            </w:r>
          </w:p>
        </w:tc>
        <w:tc>
          <w:tcPr>
            <w:tcW w:w="2006" w:type="dxa"/>
          </w:tcPr>
          <w:p w14:paraId="0100ADB9" w14:textId="7BEBA9AD" w:rsidR="008E77F3" w:rsidRDefault="008E77F3" w:rsidP="008E77F3">
            <w:pPr>
              <w:rPr>
                <w:lang w:eastAsia="ja-JP"/>
              </w:rPr>
            </w:pPr>
            <w:r>
              <w:rPr>
                <w:lang w:eastAsia="ja-JP"/>
              </w:rPr>
              <w:t>14 (5-23)</w:t>
            </w:r>
          </w:p>
        </w:tc>
        <w:tc>
          <w:tcPr>
            <w:tcW w:w="3174" w:type="dxa"/>
          </w:tcPr>
          <w:p w14:paraId="1215507A" w14:textId="509DBCFD" w:rsidR="008E77F3" w:rsidRDefault="008E77F3" w:rsidP="008E77F3">
            <w:pPr>
              <w:rPr>
                <w:lang w:eastAsia="ja-JP"/>
              </w:rPr>
            </w:pPr>
            <w:r>
              <w:rPr>
                <w:lang w:eastAsia="ja-JP"/>
              </w:rPr>
              <w:t>Observational multi-centre study from Iran</w:t>
            </w:r>
            <w:r w:rsidR="00AC0A4F">
              <w:rPr>
                <w:lang w:eastAsia="ja-JP"/>
              </w:rPr>
              <w:t xml:space="preserve"> [35]</w:t>
            </w:r>
          </w:p>
        </w:tc>
      </w:tr>
      <w:tr w:rsidR="008E77F3" w14:paraId="6A22B482" w14:textId="77777777" w:rsidTr="007279A7">
        <w:trPr>
          <w:trHeight w:val="397"/>
        </w:trPr>
        <w:tc>
          <w:tcPr>
            <w:tcW w:w="2263" w:type="dxa"/>
          </w:tcPr>
          <w:p w14:paraId="2D271209" w14:textId="1217B2E3" w:rsidR="008E77F3" w:rsidRDefault="008E77F3" w:rsidP="008E77F3">
            <w:pPr>
              <w:rPr>
                <w:lang w:eastAsia="ja-JP"/>
              </w:rPr>
            </w:pPr>
            <w:r w:rsidRPr="00A60104">
              <w:rPr>
                <w:lang w:eastAsia="ja-JP"/>
              </w:rPr>
              <w:t>aRR_VAtemp</w:t>
            </w:r>
          </w:p>
        </w:tc>
        <w:tc>
          <w:tcPr>
            <w:tcW w:w="4395" w:type="dxa"/>
          </w:tcPr>
          <w:p w14:paraId="4EEBA967" w14:textId="00A3EBA3" w:rsidR="008E77F3" w:rsidRDefault="008E77F3" w:rsidP="008E77F3">
            <w:pPr>
              <w:rPr>
                <w:lang w:eastAsia="ja-JP"/>
              </w:rPr>
            </w:pPr>
            <w:r>
              <w:rPr>
                <w:lang w:eastAsia="ja-JP"/>
              </w:rPr>
              <w:t>Relative risk of death for HD patients with temporary vascular access, as compared to HD patients with permanent access</w:t>
            </w:r>
          </w:p>
        </w:tc>
        <w:tc>
          <w:tcPr>
            <w:tcW w:w="1112" w:type="dxa"/>
          </w:tcPr>
          <w:p w14:paraId="41CEAEDB" w14:textId="4ADC93C0" w:rsidR="008E77F3" w:rsidRDefault="008E77F3" w:rsidP="008E77F3">
            <w:pPr>
              <w:rPr>
                <w:lang w:eastAsia="ja-JP"/>
              </w:rPr>
            </w:pPr>
            <w:r>
              <w:rPr>
                <w:lang w:eastAsia="ja-JP"/>
              </w:rPr>
              <w:t>RR</w:t>
            </w:r>
          </w:p>
        </w:tc>
        <w:tc>
          <w:tcPr>
            <w:tcW w:w="2006" w:type="dxa"/>
          </w:tcPr>
          <w:p w14:paraId="3116EA9D" w14:textId="6A9F4221" w:rsidR="008E77F3" w:rsidRDefault="008E77F3" w:rsidP="008E77F3">
            <w:pPr>
              <w:rPr>
                <w:lang w:eastAsia="ja-JP"/>
              </w:rPr>
            </w:pPr>
            <w:r>
              <w:rPr>
                <w:lang w:eastAsia="ja-JP"/>
              </w:rPr>
              <w:t>1.85 (1.13-3.03)</w:t>
            </w:r>
          </w:p>
        </w:tc>
        <w:tc>
          <w:tcPr>
            <w:tcW w:w="3174" w:type="dxa"/>
          </w:tcPr>
          <w:p w14:paraId="573367D1" w14:textId="74959FC8" w:rsidR="008E77F3" w:rsidRDefault="008E77F3" w:rsidP="008E77F3">
            <w:pPr>
              <w:rPr>
                <w:lang w:eastAsia="ja-JP"/>
              </w:rPr>
            </w:pPr>
            <w:r>
              <w:rPr>
                <w:lang w:eastAsia="ja-JP"/>
              </w:rPr>
              <w:t>Prospective cohort study from Palestine</w:t>
            </w:r>
            <w:r w:rsidR="00072986">
              <w:rPr>
                <w:color w:val="000000"/>
                <w:lang w:eastAsia="ja-JP"/>
              </w:rPr>
              <w:t xml:space="preserve"> [46]</w:t>
            </w:r>
            <w:r>
              <w:rPr>
                <w:lang w:eastAsia="ja-JP"/>
              </w:rPr>
              <w:t xml:space="preserve"> (similar to registry studies from Indonesia </w:t>
            </w:r>
            <w:r w:rsidR="00072986">
              <w:rPr>
                <w:color w:val="000000"/>
                <w:lang w:eastAsia="ja-JP"/>
              </w:rPr>
              <w:t>[47]</w:t>
            </w:r>
            <w:r>
              <w:rPr>
                <w:lang w:eastAsia="ja-JP"/>
              </w:rPr>
              <w:t xml:space="preserve"> and the US </w:t>
            </w:r>
            <w:r w:rsidR="00072986">
              <w:rPr>
                <w:color w:val="000000"/>
                <w:lang w:eastAsia="ja-JP"/>
              </w:rPr>
              <w:t>[48]</w:t>
            </w:r>
            <w:r>
              <w:rPr>
                <w:color w:val="000000"/>
                <w:lang w:eastAsia="ja-JP"/>
              </w:rPr>
              <w:t xml:space="preserve"> </w:t>
            </w:r>
            <w:r>
              <w:rPr>
                <w:lang w:eastAsia="ja-JP"/>
              </w:rPr>
              <w:t>and a prospective cohort study in Iran</w:t>
            </w:r>
            <w:r w:rsidR="00072986">
              <w:rPr>
                <w:lang w:eastAsia="ja-JP"/>
              </w:rPr>
              <w:t xml:space="preserve"> [35]</w:t>
            </w:r>
            <w:r>
              <w:rPr>
                <w:lang w:eastAsia="ja-JP"/>
              </w:rPr>
              <w:t>, but higher use of non-tunnelled catheters than Thailand</w:t>
            </w:r>
          </w:p>
        </w:tc>
      </w:tr>
      <w:tr w:rsidR="008E77F3" w14:paraId="06B4FEB6" w14:textId="77777777" w:rsidTr="007279A7">
        <w:trPr>
          <w:trHeight w:val="397"/>
        </w:trPr>
        <w:tc>
          <w:tcPr>
            <w:tcW w:w="2263" w:type="dxa"/>
          </w:tcPr>
          <w:p w14:paraId="5073DB88" w14:textId="24DEB065" w:rsidR="008E77F3" w:rsidRDefault="008E77F3" w:rsidP="008E77F3">
            <w:pPr>
              <w:rPr>
                <w:lang w:eastAsia="ja-JP"/>
              </w:rPr>
            </w:pPr>
            <w:r w:rsidRPr="00A60104">
              <w:rPr>
                <w:lang w:eastAsia="ja-JP"/>
              </w:rPr>
              <w:t>aHDstrain_lag</w:t>
            </w:r>
          </w:p>
        </w:tc>
        <w:tc>
          <w:tcPr>
            <w:tcW w:w="4395" w:type="dxa"/>
          </w:tcPr>
          <w:p w14:paraId="07B9D75D" w14:textId="62595D36" w:rsidR="008E77F3" w:rsidRDefault="008E77F3" w:rsidP="008E77F3">
            <w:pPr>
              <w:rPr>
                <w:lang w:eastAsia="ja-JP"/>
              </w:rPr>
            </w:pPr>
            <w:r>
              <w:t>Time delay to calculate strain on the system from increase in HD patients</w:t>
            </w:r>
          </w:p>
        </w:tc>
        <w:tc>
          <w:tcPr>
            <w:tcW w:w="1112" w:type="dxa"/>
          </w:tcPr>
          <w:p w14:paraId="7F87ADEC" w14:textId="26803C12" w:rsidR="008E77F3" w:rsidRDefault="008E77F3" w:rsidP="008E77F3">
            <w:pPr>
              <w:rPr>
                <w:lang w:eastAsia="ja-JP"/>
              </w:rPr>
            </w:pPr>
            <w:r>
              <w:t>Months</w:t>
            </w:r>
          </w:p>
        </w:tc>
        <w:tc>
          <w:tcPr>
            <w:tcW w:w="2006" w:type="dxa"/>
          </w:tcPr>
          <w:p w14:paraId="13283E35" w14:textId="208D3311" w:rsidR="008E77F3" w:rsidRDefault="008E77F3" w:rsidP="008E77F3">
            <w:pPr>
              <w:rPr>
                <w:lang w:eastAsia="ja-JP"/>
              </w:rPr>
            </w:pPr>
            <w:r>
              <w:t>1 (0.5-3)</w:t>
            </w:r>
          </w:p>
        </w:tc>
        <w:tc>
          <w:tcPr>
            <w:tcW w:w="3174" w:type="dxa"/>
          </w:tcPr>
          <w:p w14:paraId="09E73A51" w14:textId="63ECD350" w:rsidR="008E77F3" w:rsidRDefault="008E77F3" w:rsidP="008E77F3">
            <w:pPr>
              <w:rPr>
                <w:lang w:eastAsia="ja-JP"/>
              </w:rPr>
            </w:pPr>
            <w:r>
              <w:t>Assumption</w:t>
            </w:r>
          </w:p>
        </w:tc>
      </w:tr>
    </w:tbl>
    <w:p w14:paraId="3E44994E" w14:textId="6A2F3071" w:rsidR="00264695" w:rsidRPr="006024F6" w:rsidRDefault="006024F6" w:rsidP="00264695">
      <w:pPr>
        <w:rPr>
          <w:sz w:val="20"/>
          <w:szCs w:val="20"/>
          <w:lang w:eastAsia="ja-JP"/>
        </w:rPr>
      </w:pPr>
      <w:r>
        <w:rPr>
          <w:sz w:val="20"/>
          <w:szCs w:val="20"/>
          <w:lang w:eastAsia="ja-JP"/>
        </w:rPr>
        <w:t>CCC – comprehensive conservative care; HD – haemodialysis; PD – peritoneal dialysis</w:t>
      </w:r>
      <w:r w:rsidR="00272FF8">
        <w:rPr>
          <w:sz w:val="20"/>
          <w:szCs w:val="20"/>
          <w:lang w:eastAsia="ja-JP"/>
        </w:rPr>
        <w:t>; RR – relative risk</w:t>
      </w:r>
    </w:p>
    <w:p w14:paraId="4761D1FC" w14:textId="77777777" w:rsidR="00264695" w:rsidRDefault="00264695" w:rsidP="00264695">
      <w:pPr>
        <w:rPr>
          <w:lang w:eastAsia="ja-JP"/>
        </w:rPr>
      </w:pPr>
    </w:p>
    <w:p w14:paraId="1DFCF8C5" w14:textId="77777777" w:rsidR="007E501F" w:rsidRDefault="007E501F">
      <w:pPr>
        <w:rPr>
          <w:b/>
          <w:bCs/>
          <w:lang w:eastAsia="ja-JP"/>
        </w:rPr>
      </w:pPr>
      <w:r>
        <w:rPr>
          <w:b/>
          <w:bCs/>
          <w:lang w:eastAsia="ja-JP"/>
        </w:rPr>
        <w:br w:type="page"/>
      </w:r>
    </w:p>
    <w:p w14:paraId="32A4811A" w14:textId="4B485307" w:rsidR="00264695" w:rsidRDefault="00264695" w:rsidP="00264695">
      <w:pPr>
        <w:rPr>
          <w:lang w:eastAsia="ja-JP"/>
        </w:rPr>
      </w:pPr>
      <w:r>
        <w:rPr>
          <w:b/>
          <w:bCs/>
          <w:lang w:eastAsia="ja-JP"/>
        </w:rPr>
        <w:lastRenderedPageBreak/>
        <w:t>Table S</w:t>
      </w:r>
      <w:r w:rsidR="00E66840">
        <w:rPr>
          <w:b/>
          <w:bCs/>
          <w:lang w:eastAsia="ja-JP"/>
        </w:rPr>
        <w:t>2</w:t>
      </w:r>
      <w:r w:rsidR="00F64FD1">
        <w:rPr>
          <w:b/>
          <w:bCs/>
          <w:lang w:eastAsia="ja-JP"/>
        </w:rPr>
        <w:t>b</w:t>
      </w:r>
      <w:r>
        <w:rPr>
          <w:b/>
          <w:bCs/>
          <w:lang w:eastAsia="ja-JP"/>
        </w:rPr>
        <w:t>.</w:t>
      </w:r>
      <w:r w:rsidR="004D3785">
        <w:rPr>
          <w:b/>
          <w:bCs/>
          <w:lang w:eastAsia="ja-JP"/>
        </w:rPr>
        <w:t xml:space="preserve"> </w:t>
      </w:r>
      <w:r w:rsidR="003563E9">
        <w:rPr>
          <w:lang w:eastAsia="ja-JP"/>
        </w:rPr>
        <w:t>Parameters in the model that have been estimated from one or more data sources</w:t>
      </w:r>
      <w:r>
        <w:rPr>
          <w:lang w:eastAsia="ja-JP"/>
        </w:rPr>
        <w:t>.</w:t>
      </w:r>
    </w:p>
    <w:tbl>
      <w:tblPr>
        <w:tblStyle w:val="TableGridLight"/>
        <w:tblW w:w="0" w:type="auto"/>
        <w:tblLook w:val="04A0" w:firstRow="1" w:lastRow="0" w:firstColumn="1" w:lastColumn="0" w:noHBand="0" w:noVBand="1"/>
      </w:tblPr>
      <w:tblGrid>
        <w:gridCol w:w="1780"/>
        <w:gridCol w:w="4027"/>
        <w:gridCol w:w="992"/>
        <w:gridCol w:w="1418"/>
        <w:gridCol w:w="4733"/>
      </w:tblGrid>
      <w:tr w:rsidR="001C5379" w14:paraId="67BE732C" w14:textId="77777777" w:rsidTr="00802A78">
        <w:trPr>
          <w:trHeight w:val="397"/>
        </w:trPr>
        <w:tc>
          <w:tcPr>
            <w:tcW w:w="1780" w:type="dxa"/>
            <w:shd w:val="clear" w:color="auto" w:fill="002060"/>
          </w:tcPr>
          <w:p w14:paraId="151F2017" w14:textId="77777777" w:rsidR="00B04337" w:rsidRPr="004377AD" w:rsidRDefault="00B04337" w:rsidP="00BE3F87">
            <w:pPr>
              <w:rPr>
                <w:b/>
                <w:bCs/>
                <w:lang w:eastAsia="ja-JP"/>
              </w:rPr>
            </w:pPr>
            <w:r w:rsidRPr="004377AD">
              <w:rPr>
                <w:b/>
                <w:bCs/>
                <w:lang w:eastAsia="ja-JP"/>
              </w:rPr>
              <w:t>Parameter</w:t>
            </w:r>
          </w:p>
        </w:tc>
        <w:tc>
          <w:tcPr>
            <w:tcW w:w="4027" w:type="dxa"/>
            <w:shd w:val="clear" w:color="auto" w:fill="002060"/>
          </w:tcPr>
          <w:p w14:paraId="661EC05C" w14:textId="77777777" w:rsidR="00B04337" w:rsidRPr="004377AD" w:rsidRDefault="00B04337" w:rsidP="00BE3F87">
            <w:pPr>
              <w:rPr>
                <w:b/>
                <w:bCs/>
                <w:lang w:eastAsia="ja-JP"/>
              </w:rPr>
            </w:pPr>
            <w:r w:rsidRPr="004377AD">
              <w:rPr>
                <w:b/>
                <w:bCs/>
                <w:lang w:eastAsia="ja-JP"/>
              </w:rPr>
              <w:t>Description</w:t>
            </w:r>
          </w:p>
        </w:tc>
        <w:tc>
          <w:tcPr>
            <w:tcW w:w="992" w:type="dxa"/>
            <w:shd w:val="clear" w:color="auto" w:fill="002060"/>
          </w:tcPr>
          <w:p w14:paraId="44C6777E" w14:textId="77777777" w:rsidR="00B04337" w:rsidRPr="004377AD" w:rsidRDefault="00B04337" w:rsidP="00BE3F87">
            <w:pPr>
              <w:rPr>
                <w:b/>
                <w:bCs/>
                <w:lang w:eastAsia="ja-JP"/>
              </w:rPr>
            </w:pPr>
            <w:r w:rsidRPr="004377AD">
              <w:rPr>
                <w:b/>
                <w:bCs/>
                <w:lang w:eastAsia="ja-JP"/>
              </w:rPr>
              <w:t>Unit</w:t>
            </w:r>
          </w:p>
        </w:tc>
        <w:tc>
          <w:tcPr>
            <w:tcW w:w="1418" w:type="dxa"/>
            <w:shd w:val="clear" w:color="auto" w:fill="002060"/>
          </w:tcPr>
          <w:p w14:paraId="0CE2F019" w14:textId="77777777" w:rsidR="00B04337" w:rsidRPr="004377AD" w:rsidRDefault="00B04337" w:rsidP="00BE3F87">
            <w:pPr>
              <w:rPr>
                <w:b/>
                <w:bCs/>
                <w:lang w:eastAsia="ja-JP"/>
              </w:rPr>
            </w:pPr>
            <w:r w:rsidRPr="004377AD">
              <w:rPr>
                <w:b/>
                <w:bCs/>
                <w:lang w:eastAsia="ja-JP"/>
              </w:rPr>
              <w:t xml:space="preserve">Value </w:t>
            </w:r>
          </w:p>
          <w:p w14:paraId="7921A1F5" w14:textId="758DB7DC" w:rsidR="00B04337" w:rsidRDefault="00B04337" w:rsidP="00BE3F87">
            <w:pPr>
              <w:rPr>
                <w:lang w:eastAsia="ja-JP"/>
              </w:rPr>
            </w:pPr>
            <w:r>
              <w:rPr>
                <w:lang w:eastAsia="ja-JP"/>
              </w:rPr>
              <w:t>(lower – upper)</w:t>
            </w:r>
          </w:p>
        </w:tc>
        <w:tc>
          <w:tcPr>
            <w:tcW w:w="4733" w:type="dxa"/>
            <w:shd w:val="clear" w:color="auto" w:fill="002060"/>
          </w:tcPr>
          <w:p w14:paraId="1A4F1AA9" w14:textId="1F156475" w:rsidR="00B04337" w:rsidRPr="004377AD" w:rsidRDefault="004D3785" w:rsidP="00BE3F87">
            <w:pPr>
              <w:rPr>
                <w:b/>
                <w:bCs/>
                <w:lang w:eastAsia="ja-JP"/>
              </w:rPr>
            </w:pPr>
            <w:r>
              <w:rPr>
                <w:b/>
                <w:bCs/>
                <w:lang w:eastAsia="ja-JP"/>
              </w:rPr>
              <w:t>Parameter estimation methods</w:t>
            </w:r>
          </w:p>
        </w:tc>
      </w:tr>
      <w:tr w:rsidR="00240C34" w14:paraId="0553FA70" w14:textId="77777777" w:rsidTr="00802A78">
        <w:trPr>
          <w:trHeight w:val="397"/>
        </w:trPr>
        <w:tc>
          <w:tcPr>
            <w:tcW w:w="1780" w:type="dxa"/>
          </w:tcPr>
          <w:p w14:paraId="10555E84" w14:textId="6437F654" w:rsidR="00B04337" w:rsidRDefault="00C87BA7" w:rsidP="00BE3F87">
            <w:pPr>
              <w:rPr>
                <w:lang w:eastAsia="ja-JP"/>
              </w:rPr>
            </w:pPr>
            <w:r w:rsidRPr="00C87BA7">
              <w:rPr>
                <w:lang w:eastAsia="ja-JP"/>
              </w:rPr>
              <w:t>aHD_temp_start</w:t>
            </w:r>
          </w:p>
        </w:tc>
        <w:tc>
          <w:tcPr>
            <w:tcW w:w="4027" w:type="dxa"/>
          </w:tcPr>
          <w:p w14:paraId="3617A746" w14:textId="1A7BAEC6" w:rsidR="00B04337" w:rsidRDefault="000B2FFB" w:rsidP="00BE3F87">
            <w:pPr>
              <w:rPr>
                <w:lang w:eastAsia="ja-JP"/>
              </w:rPr>
            </w:pPr>
            <w:r>
              <w:rPr>
                <w:lang w:eastAsia="ja-JP"/>
              </w:rPr>
              <w:t>Number of HD patients with temporary vascular access at the start of the model (January 2018)</w:t>
            </w:r>
          </w:p>
        </w:tc>
        <w:tc>
          <w:tcPr>
            <w:tcW w:w="992" w:type="dxa"/>
          </w:tcPr>
          <w:p w14:paraId="4479008C" w14:textId="0DBEF769" w:rsidR="00B04337" w:rsidRDefault="000B2FFB" w:rsidP="00BE3F87">
            <w:pPr>
              <w:rPr>
                <w:lang w:eastAsia="ja-JP"/>
              </w:rPr>
            </w:pPr>
            <w:r>
              <w:rPr>
                <w:lang w:eastAsia="ja-JP"/>
              </w:rPr>
              <w:t>People</w:t>
            </w:r>
          </w:p>
        </w:tc>
        <w:tc>
          <w:tcPr>
            <w:tcW w:w="1418" w:type="dxa"/>
          </w:tcPr>
          <w:p w14:paraId="7116C5B6" w14:textId="23189716" w:rsidR="00B04337" w:rsidRDefault="000D6A61" w:rsidP="00BE3F87">
            <w:pPr>
              <w:rPr>
                <w:lang w:eastAsia="ja-JP"/>
              </w:rPr>
            </w:pPr>
            <w:r>
              <w:rPr>
                <w:lang w:eastAsia="ja-JP"/>
              </w:rPr>
              <w:t>2,762 (1,972 – 2,958)</w:t>
            </w:r>
          </w:p>
        </w:tc>
        <w:tc>
          <w:tcPr>
            <w:tcW w:w="4733" w:type="dxa"/>
          </w:tcPr>
          <w:p w14:paraId="11ABC291" w14:textId="037A8E62" w:rsidR="00B04337" w:rsidRDefault="00EB794E" w:rsidP="00BE3F87">
            <w:pPr>
              <w:rPr>
                <w:lang w:eastAsia="ja-JP"/>
              </w:rPr>
            </w:pPr>
            <w:r>
              <w:rPr>
                <w:lang w:eastAsia="ja-JP"/>
              </w:rPr>
              <w:t>No data on catheter use in 2018. A</w:t>
            </w:r>
            <w:r w:rsidR="006B3F6B">
              <w:rPr>
                <w:lang w:eastAsia="ja-JP"/>
              </w:rPr>
              <w:t>ssume</w:t>
            </w:r>
            <w:r>
              <w:rPr>
                <w:lang w:eastAsia="ja-JP"/>
              </w:rPr>
              <w:t>d</w:t>
            </w:r>
            <w:r w:rsidR="006B3F6B">
              <w:rPr>
                <w:lang w:eastAsia="ja-JP"/>
              </w:rPr>
              <w:t xml:space="preserve"> 14% </w:t>
            </w:r>
            <w:r w:rsidR="00A215C4">
              <w:rPr>
                <w:lang w:eastAsia="ja-JP"/>
              </w:rPr>
              <w:t>temporary access in 2018</w:t>
            </w:r>
            <w:r w:rsidR="006C5071">
              <w:rPr>
                <w:lang w:eastAsia="ja-JP"/>
              </w:rPr>
              <w:t xml:space="preserve">, </w:t>
            </w:r>
            <w:r w:rsidR="00A215C4">
              <w:rPr>
                <w:lang w:eastAsia="ja-JP"/>
              </w:rPr>
              <w:t xml:space="preserve">based on increase in catheter use </w:t>
            </w:r>
            <w:r>
              <w:rPr>
                <w:lang w:eastAsia="ja-JP"/>
              </w:rPr>
              <w:t>2020-2023</w:t>
            </w:r>
            <w:r w:rsidR="006C5071">
              <w:rPr>
                <w:lang w:eastAsia="ja-JP"/>
              </w:rPr>
              <w:t xml:space="preserve"> in TRT database</w:t>
            </w:r>
            <w:r w:rsidR="00F464DC">
              <w:rPr>
                <w:lang w:eastAsia="ja-JP"/>
              </w:rPr>
              <w:t xml:space="preserve"> </w:t>
            </w:r>
            <w:r w:rsidR="00FB1D43">
              <w:rPr>
                <w:color w:val="000000"/>
                <w:lang w:eastAsia="ja-JP"/>
              </w:rPr>
              <w:t>[28]</w:t>
            </w:r>
            <w:r w:rsidR="000035F5">
              <w:rPr>
                <w:color w:val="000000"/>
                <w:lang w:eastAsia="ja-JP"/>
              </w:rPr>
              <w:t>.</w:t>
            </w:r>
          </w:p>
        </w:tc>
      </w:tr>
      <w:tr w:rsidR="00240C34" w14:paraId="0E55A4FE" w14:textId="77777777" w:rsidTr="00802A78">
        <w:trPr>
          <w:trHeight w:val="397"/>
        </w:trPr>
        <w:tc>
          <w:tcPr>
            <w:tcW w:w="1780" w:type="dxa"/>
          </w:tcPr>
          <w:p w14:paraId="01BB524A" w14:textId="0E35CE19" w:rsidR="00B04337" w:rsidRDefault="00C87BA7" w:rsidP="00BE3F87">
            <w:pPr>
              <w:rPr>
                <w:lang w:eastAsia="ja-JP"/>
              </w:rPr>
            </w:pPr>
            <w:r w:rsidRPr="00C87BA7">
              <w:rPr>
                <w:lang w:eastAsia="ja-JP"/>
              </w:rPr>
              <w:t>aDF_start</w:t>
            </w:r>
          </w:p>
        </w:tc>
        <w:tc>
          <w:tcPr>
            <w:tcW w:w="4027" w:type="dxa"/>
          </w:tcPr>
          <w:p w14:paraId="0A508BD2" w14:textId="7B7527B0" w:rsidR="00B04337" w:rsidRDefault="0022640D" w:rsidP="00BE3F87">
            <w:pPr>
              <w:rPr>
                <w:lang w:eastAsia="ja-JP"/>
              </w:rPr>
            </w:pPr>
            <w:r>
              <w:rPr>
                <w:lang w:eastAsia="ja-JP"/>
              </w:rPr>
              <w:t xml:space="preserve">Average doctor fee paid to nephrologists per session per HD patient </w:t>
            </w:r>
            <w:r w:rsidR="00BB2C8D">
              <w:rPr>
                <w:lang w:eastAsia="ja-JP"/>
              </w:rPr>
              <w:t>(accounts for public and private centres without doctor fee)</w:t>
            </w:r>
          </w:p>
        </w:tc>
        <w:tc>
          <w:tcPr>
            <w:tcW w:w="992" w:type="dxa"/>
          </w:tcPr>
          <w:p w14:paraId="4F10ADD7" w14:textId="13EFB959" w:rsidR="00B04337" w:rsidRDefault="00D66F36" w:rsidP="00BE3F87">
            <w:pPr>
              <w:rPr>
                <w:lang w:eastAsia="ja-JP"/>
              </w:rPr>
            </w:pPr>
            <w:r>
              <w:rPr>
                <w:lang w:eastAsia="ja-JP"/>
              </w:rPr>
              <w:t>THB</w:t>
            </w:r>
          </w:p>
        </w:tc>
        <w:tc>
          <w:tcPr>
            <w:tcW w:w="1418" w:type="dxa"/>
          </w:tcPr>
          <w:p w14:paraId="4DE9E491" w14:textId="6DFD0418" w:rsidR="00B04337" w:rsidRDefault="00BB2C8D" w:rsidP="00BE3F87">
            <w:pPr>
              <w:rPr>
                <w:lang w:eastAsia="ja-JP"/>
              </w:rPr>
            </w:pPr>
            <w:r>
              <w:rPr>
                <w:lang w:eastAsia="ja-JP"/>
              </w:rPr>
              <w:t>100 (10 – 150)</w:t>
            </w:r>
          </w:p>
        </w:tc>
        <w:tc>
          <w:tcPr>
            <w:tcW w:w="4733" w:type="dxa"/>
          </w:tcPr>
          <w:p w14:paraId="20F26692" w14:textId="61A3A672" w:rsidR="00B04337" w:rsidRDefault="0080523B" w:rsidP="00BE3F87">
            <w:pPr>
              <w:rPr>
                <w:lang w:eastAsia="ja-JP"/>
              </w:rPr>
            </w:pPr>
            <w:r>
              <w:rPr>
                <w:lang w:eastAsia="ja-JP"/>
              </w:rPr>
              <w:t>Assumption informed by survey responses on the doctor fee from 4 directors of private HD centres</w:t>
            </w:r>
            <w:r w:rsidR="004B25B4">
              <w:rPr>
                <w:lang w:eastAsia="ja-JP"/>
              </w:rPr>
              <w:t xml:space="preserve"> (September 2024)</w:t>
            </w:r>
            <w:r w:rsidR="00E65910">
              <w:rPr>
                <w:lang w:eastAsia="ja-JP"/>
              </w:rPr>
              <w:t>.</w:t>
            </w:r>
          </w:p>
        </w:tc>
      </w:tr>
      <w:tr w:rsidR="001C5379" w14:paraId="227BEC3C" w14:textId="77777777" w:rsidTr="00802A78">
        <w:trPr>
          <w:trHeight w:val="397"/>
        </w:trPr>
        <w:tc>
          <w:tcPr>
            <w:tcW w:w="1780" w:type="dxa"/>
          </w:tcPr>
          <w:p w14:paraId="06A74F5C" w14:textId="1E31FEB2" w:rsidR="002C6210" w:rsidRDefault="002C6210" w:rsidP="00BE3F87">
            <w:pPr>
              <w:rPr>
                <w:lang w:eastAsia="ja-JP"/>
              </w:rPr>
            </w:pPr>
            <w:r>
              <w:rPr>
                <w:lang w:eastAsia="ja-JP"/>
              </w:rPr>
              <w:t xml:space="preserve">aRRT_i </w:t>
            </w:r>
          </w:p>
        </w:tc>
        <w:tc>
          <w:tcPr>
            <w:tcW w:w="4027" w:type="dxa"/>
          </w:tcPr>
          <w:p w14:paraId="5B9C40E8" w14:textId="712FBBB2" w:rsidR="002C6210" w:rsidRDefault="002C6210" w:rsidP="00BE3F87">
            <w:pPr>
              <w:rPr>
                <w:lang w:eastAsia="ja-JP"/>
              </w:rPr>
            </w:pPr>
            <w:r>
              <w:rPr>
                <w:lang w:eastAsia="ja-JP"/>
              </w:rPr>
              <w:t>Intercept to calculate baseline dialysis incidence by time</w:t>
            </w:r>
          </w:p>
        </w:tc>
        <w:tc>
          <w:tcPr>
            <w:tcW w:w="992" w:type="dxa"/>
          </w:tcPr>
          <w:p w14:paraId="1472DEDF" w14:textId="3A80BACE" w:rsidR="002C6210" w:rsidRDefault="002C6210" w:rsidP="00BE3F87">
            <w:pPr>
              <w:rPr>
                <w:lang w:eastAsia="ja-JP"/>
              </w:rPr>
            </w:pPr>
            <w:r>
              <w:rPr>
                <w:lang w:eastAsia="ja-JP"/>
              </w:rPr>
              <w:t>People/ month</w:t>
            </w:r>
          </w:p>
        </w:tc>
        <w:tc>
          <w:tcPr>
            <w:tcW w:w="1418" w:type="dxa"/>
          </w:tcPr>
          <w:p w14:paraId="15DCDBA5" w14:textId="1084CD99" w:rsidR="002C6210" w:rsidRDefault="002C6210" w:rsidP="00BE3F87">
            <w:pPr>
              <w:rPr>
                <w:lang w:eastAsia="ja-JP"/>
              </w:rPr>
            </w:pPr>
            <w:r>
              <w:rPr>
                <w:lang w:eastAsia="ja-JP"/>
              </w:rPr>
              <w:t>902 (881-923)</w:t>
            </w:r>
          </w:p>
        </w:tc>
        <w:tc>
          <w:tcPr>
            <w:tcW w:w="4733" w:type="dxa"/>
            <w:vMerge w:val="restart"/>
          </w:tcPr>
          <w:p w14:paraId="54E2F91F" w14:textId="040BDA7F" w:rsidR="002C6210" w:rsidRDefault="002C6210" w:rsidP="002C6210">
            <w:pPr>
              <w:rPr>
                <w:lang w:eastAsia="ja-JP"/>
              </w:rPr>
            </w:pPr>
            <w:r>
              <w:rPr>
                <w:lang w:eastAsia="ja-JP"/>
              </w:rPr>
              <w:t>Linear regression of number of dialysis patients per month from 2016-20</w:t>
            </w:r>
            <w:r w:rsidR="005D4C56">
              <w:rPr>
                <w:lang w:eastAsia="ja-JP"/>
              </w:rPr>
              <w:t>21</w:t>
            </w:r>
            <w:r w:rsidR="006C5071">
              <w:rPr>
                <w:lang w:eastAsia="ja-JP"/>
              </w:rPr>
              <w:t>, in renal registry</w:t>
            </w:r>
            <w:r w:rsidR="00B91089">
              <w:rPr>
                <w:lang w:eastAsia="ja-JP"/>
              </w:rPr>
              <w:t>.</w:t>
            </w:r>
          </w:p>
        </w:tc>
      </w:tr>
      <w:tr w:rsidR="001C5379" w14:paraId="4E422EA4" w14:textId="77777777" w:rsidTr="00802A78">
        <w:trPr>
          <w:trHeight w:val="397"/>
        </w:trPr>
        <w:tc>
          <w:tcPr>
            <w:tcW w:w="1780" w:type="dxa"/>
          </w:tcPr>
          <w:p w14:paraId="072288B3" w14:textId="3B49EDBB" w:rsidR="002C6210" w:rsidRDefault="002C6210" w:rsidP="00DC2C89">
            <w:pPr>
              <w:rPr>
                <w:lang w:eastAsia="ja-JP"/>
              </w:rPr>
            </w:pPr>
            <w:r>
              <w:rPr>
                <w:lang w:eastAsia="ja-JP"/>
              </w:rPr>
              <w:t>aRRT_t</w:t>
            </w:r>
          </w:p>
        </w:tc>
        <w:tc>
          <w:tcPr>
            <w:tcW w:w="4027" w:type="dxa"/>
          </w:tcPr>
          <w:p w14:paraId="52E2F8C4" w14:textId="0F052C6E" w:rsidR="002C6210" w:rsidRDefault="002C6210" w:rsidP="00DC2C89">
            <w:pPr>
              <w:rPr>
                <w:lang w:eastAsia="ja-JP"/>
              </w:rPr>
            </w:pPr>
            <w:r>
              <w:rPr>
                <w:lang w:eastAsia="ja-JP"/>
              </w:rPr>
              <w:t>Coefficient to calculate baseline dialysis incidence by time</w:t>
            </w:r>
          </w:p>
        </w:tc>
        <w:tc>
          <w:tcPr>
            <w:tcW w:w="992" w:type="dxa"/>
          </w:tcPr>
          <w:p w14:paraId="686E6AD1" w14:textId="3DD714F7" w:rsidR="002C6210" w:rsidRDefault="002C6210" w:rsidP="00DC2C89">
            <w:pPr>
              <w:rPr>
                <w:lang w:eastAsia="ja-JP"/>
              </w:rPr>
            </w:pPr>
            <w:r>
              <w:rPr>
                <w:lang w:eastAsia="ja-JP"/>
              </w:rPr>
              <w:t>People/ month</w:t>
            </w:r>
          </w:p>
        </w:tc>
        <w:tc>
          <w:tcPr>
            <w:tcW w:w="1418" w:type="dxa"/>
          </w:tcPr>
          <w:p w14:paraId="6F04B82D" w14:textId="5CD3A976" w:rsidR="002C6210" w:rsidRDefault="005D4C56" w:rsidP="00DC2C89">
            <w:pPr>
              <w:rPr>
                <w:lang w:eastAsia="ja-JP"/>
              </w:rPr>
            </w:pPr>
            <w:r>
              <w:rPr>
                <w:lang w:eastAsia="ja-JP"/>
              </w:rPr>
              <w:t>2.88</w:t>
            </w:r>
            <w:r w:rsidR="002C6210">
              <w:rPr>
                <w:lang w:eastAsia="ja-JP"/>
              </w:rPr>
              <w:t xml:space="preserve"> </w:t>
            </w:r>
            <w:r>
              <w:rPr>
                <w:lang w:eastAsia="ja-JP"/>
              </w:rPr>
              <w:t>(</w:t>
            </w:r>
            <w:r w:rsidR="00E31E59">
              <w:rPr>
                <w:lang w:eastAsia="ja-JP"/>
              </w:rPr>
              <w:t>0</w:t>
            </w:r>
            <w:r w:rsidR="002C6210">
              <w:rPr>
                <w:lang w:eastAsia="ja-JP"/>
              </w:rPr>
              <w:t xml:space="preserve"> – </w:t>
            </w:r>
            <w:r>
              <w:rPr>
                <w:lang w:eastAsia="ja-JP"/>
              </w:rPr>
              <w:t>3</w:t>
            </w:r>
            <w:r w:rsidR="002C6210">
              <w:rPr>
                <w:lang w:eastAsia="ja-JP"/>
              </w:rPr>
              <w:t>)</w:t>
            </w:r>
          </w:p>
        </w:tc>
        <w:tc>
          <w:tcPr>
            <w:tcW w:w="4733" w:type="dxa"/>
            <w:vMerge/>
          </w:tcPr>
          <w:p w14:paraId="231A97E7" w14:textId="6E31D799" w:rsidR="002C6210" w:rsidRDefault="002C6210" w:rsidP="00DC2C89">
            <w:pPr>
              <w:rPr>
                <w:lang w:eastAsia="ja-JP"/>
              </w:rPr>
            </w:pPr>
          </w:p>
        </w:tc>
      </w:tr>
      <w:tr w:rsidR="00240C34" w14:paraId="47FD3C19" w14:textId="77777777" w:rsidTr="00802A78">
        <w:trPr>
          <w:trHeight w:val="397"/>
        </w:trPr>
        <w:tc>
          <w:tcPr>
            <w:tcW w:w="1780" w:type="dxa"/>
          </w:tcPr>
          <w:p w14:paraId="52C570BA" w14:textId="77777777" w:rsidR="00240C34" w:rsidRDefault="00240C34" w:rsidP="00BE3F87">
            <w:pPr>
              <w:rPr>
                <w:lang w:eastAsia="ja-JP"/>
              </w:rPr>
            </w:pPr>
            <w:r w:rsidRPr="007C6626">
              <w:rPr>
                <w:lang w:eastAsia="ja-JP"/>
              </w:rPr>
              <w:t>aHDsupply_lag</w:t>
            </w:r>
          </w:p>
        </w:tc>
        <w:tc>
          <w:tcPr>
            <w:tcW w:w="4027" w:type="dxa"/>
          </w:tcPr>
          <w:p w14:paraId="7B827731" w14:textId="77777777" w:rsidR="00240C34" w:rsidRDefault="00240C34" w:rsidP="00BE3F87">
            <w:pPr>
              <w:rPr>
                <w:lang w:eastAsia="ja-JP"/>
              </w:rPr>
            </w:pPr>
            <w:r>
              <w:rPr>
                <w:lang w:eastAsia="ja-JP"/>
              </w:rPr>
              <w:t>Average time to increase HD supply (expand capacity and/or open a new centre)</w:t>
            </w:r>
          </w:p>
        </w:tc>
        <w:tc>
          <w:tcPr>
            <w:tcW w:w="992" w:type="dxa"/>
          </w:tcPr>
          <w:p w14:paraId="57239B05" w14:textId="77777777" w:rsidR="00240C34" w:rsidRDefault="00240C34" w:rsidP="00BE3F87">
            <w:pPr>
              <w:rPr>
                <w:lang w:eastAsia="ja-JP"/>
              </w:rPr>
            </w:pPr>
            <w:r>
              <w:rPr>
                <w:lang w:eastAsia="ja-JP"/>
              </w:rPr>
              <w:t>Months</w:t>
            </w:r>
          </w:p>
        </w:tc>
        <w:tc>
          <w:tcPr>
            <w:tcW w:w="1418" w:type="dxa"/>
          </w:tcPr>
          <w:p w14:paraId="0BFEF15A" w14:textId="77777777" w:rsidR="00240C34" w:rsidRDefault="00240C34" w:rsidP="00BE3F87">
            <w:pPr>
              <w:rPr>
                <w:lang w:eastAsia="ja-JP"/>
              </w:rPr>
            </w:pPr>
            <w:r>
              <w:rPr>
                <w:lang w:eastAsia="ja-JP"/>
              </w:rPr>
              <w:t>3 (1-9)</w:t>
            </w:r>
          </w:p>
        </w:tc>
        <w:tc>
          <w:tcPr>
            <w:tcW w:w="4733" w:type="dxa"/>
            <w:vMerge w:val="restart"/>
          </w:tcPr>
          <w:p w14:paraId="4E7DB7B3" w14:textId="48441BFA" w:rsidR="00240C34" w:rsidRDefault="00290EFF" w:rsidP="00BE3F87">
            <w:pPr>
              <w:rPr>
                <w:lang w:eastAsia="ja-JP"/>
              </w:rPr>
            </w:pPr>
            <w:r>
              <w:t>Optimisation of fit between HD patients and HD centres from TRT data</w:t>
            </w:r>
            <w:r w:rsidR="00E65910">
              <w:t xml:space="preserve"> (2018-2024)</w:t>
            </w:r>
            <w:r>
              <w:t xml:space="preserve"> </w:t>
            </w:r>
            <w:r w:rsidR="00FB1D43">
              <w:rPr>
                <w:color w:val="000000"/>
              </w:rPr>
              <w:t>[28]</w:t>
            </w:r>
            <w:r w:rsidR="00E65910">
              <w:rPr>
                <w:color w:val="000000"/>
              </w:rPr>
              <w:t>; ranges based on survey to 7 HD centre directors.</w:t>
            </w:r>
          </w:p>
        </w:tc>
      </w:tr>
      <w:tr w:rsidR="00240C34" w14:paraId="5228F6A1" w14:textId="77777777" w:rsidTr="00802A78">
        <w:trPr>
          <w:trHeight w:val="397"/>
        </w:trPr>
        <w:tc>
          <w:tcPr>
            <w:tcW w:w="1780" w:type="dxa"/>
          </w:tcPr>
          <w:p w14:paraId="58F75E67" w14:textId="77777777" w:rsidR="00240C34" w:rsidRDefault="00240C34" w:rsidP="00BE3F87">
            <w:pPr>
              <w:rPr>
                <w:lang w:eastAsia="ja-JP"/>
              </w:rPr>
            </w:pPr>
            <w:r w:rsidRPr="007C6626">
              <w:rPr>
                <w:lang w:eastAsia="ja-JP"/>
              </w:rPr>
              <w:t>aHDinfo_lag</w:t>
            </w:r>
          </w:p>
        </w:tc>
        <w:tc>
          <w:tcPr>
            <w:tcW w:w="4027" w:type="dxa"/>
          </w:tcPr>
          <w:p w14:paraId="24ED6EA9" w14:textId="77777777" w:rsidR="00240C34" w:rsidRDefault="00240C34" w:rsidP="00BE3F87">
            <w:pPr>
              <w:rPr>
                <w:lang w:eastAsia="ja-JP"/>
              </w:rPr>
            </w:pPr>
            <w:r>
              <w:rPr>
                <w:lang w:eastAsia="ja-JP"/>
              </w:rPr>
              <w:t>Reference point in the past that is used for judgements to increase HD supply</w:t>
            </w:r>
          </w:p>
        </w:tc>
        <w:tc>
          <w:tcPr>
            <w:tcW w:w="992" w:type="dxa"/>
          </w:tcPr>
          <w:p w14:paraId="43BB09AF" w14:textId="77777777" w:rsidR="00240C34" w:rsidRDefault="00240C34" w:rsidP="00BE3F87">
            <w:pPr>
              <w:rPr>
                <w:lang w:eastAsia="ja-JP"/>
              </w:rPr>
            </w:pPr>
            <w:r>
              <w:rPr>
                <w:lang w:eastAsia="ja-JP"/>
              </w:rPr>
              <w:t>Months</w:t>
            </w:r>
          </w:p>
        </w:tc>
        <w:tc>
          <w:tcPr>
            <w:tcW w:w="1418" w:type="dxa"/>
          </w:tcPr>
          <w:p w14:paraId="796F5291" w14:textId="77777777" w:rsidR="00240C34" w:rsidRDefault="00240C34" w:rsidP="00BE3F87">
            <w:pPr>
              <w:rPr>
                <w:lang w:eastAsia="ja-JP"/>
              </w:rPr>
            </w:pPr>
            <w:r>
              <w:rPr>
                <w:lang w:eastAsia="ja-JP"/>
              </w:rPr>
              <w:t>3 (0-4)</w:t>
            </w:r>
          </w:p>
        </w:tc>
        <w:tc>
          <w:tcPr>
            <w:tcW w:w="4733" w:type="dxa"/>
            <w:vMerge/>
          </w:tcPr>
          <w:p w14:paraId="3EBF7644" w14:textId="5A327020" w:rsidR="00240C34" w:rsidRDefault="00240C34" w:rsidP="00BE3F87">
            <w:pPr>
              <w:rPr>
                <w:lang w:eastAsia="ja-JP"/>
              </w:rPr>
            </w:pPr>
          </w:p>
        </w:tc>
      </w:tr>
      <w:tr w:rsidR="00240C34" w14:paraId="0D42F2BF" w14:textId="77777777" w:rsidTr="00802A78">
        <w:trPr>
          <w:trHeight w:val="397"/>
        </w:trPr>
        <w:tc>
          <w:tcPr>
            <w:tcW w:w="1780" w:type="dxa"/>
          </w:tcPr>
          <w:p w14:paraId="5C042C7B" w14:textId="3E395CF8" w:rsidR="00DC2C89" w:rsidRDefault="006C5071" w:rsidP="00DC2C89">
            <w:pPr>
              <w:rPr>
                <w:lang w:eastAsia="ja-JP"/>
              </w:rPr>
            </w:pPr>
            <w:r>
              <w:rPr>
                <w:lang w:eastAsia="ja-JP"/>
              </w:rPr>
              <w:t>aDF_CCC_k</w:t>
            </w:r>
          </w:p>
        </w:tc>
        <w:tc>
          <w:tcPr>
            <w:tcW w:w="4027" w:type="dxa"/>
          </w:tcPr>
          <w:p w14:paraId="272B61E5" w14:textId="6F4DA7AB" w:rsidR="00DC2C89" w:rsidRDefault="007F4529" w:rsidP="00DC2C89">
            <w:pPr>
              <w:rPr>
                <w:lang w:eastAsia="ja-JP"/>
              </w:rPr>
            </w:pPr>
            <w:r>
              <w:t>Factor scaling the relationship between the doctor fee and proportion of CCC-suitable patients selecting HD</w:t>
            </w:r>
          </w:p>
        </w:tc>
        <w:tc>
          <w:tcPr>
            <w:tcW w:w="992" w:type="dxa"/>
          </w:tcPr>
          <w:p w14:paraId="465767A8" w14:textId="3D7213B4" w:rsidR="00DC2C89" w:rsidRDefault="001C5379" w:rsidP="00DC2C89">
            <w:pPr>
              <w:rPr>
                <w:lang w:eastAsia="ja-JP"/>
              </w:rPr>
            </w:pPr>
            <w:r>
              <w:rPr>
                <w:lang w:eastAsia="ja-JP"/>
              </w:rPr>
              <w:t>None</w:t>
            </w:r>
          </w:p>
        </w:tc>
        <w:tc>
          <w:tcPr>
            <w:tcW w:w="1418" w:type="dxa"/>
          </w:tcPr>
          <w:p w14:paraId="22306D3A" w14:textId="48DEBB02" w:rsidR="00DC2C89" w:rsidRDefault="00456FA5" w:rsidP="00DC2C89">
            <w:pPr>
              <w:rPr>
                <w:lang w:eastAsia="ja-JP"/>
              </w:rPr>
            </w:pPr>
            <w:r>
              <w:rPr>
                <w:lang w:eastAsia="ja-JP"/>
              </w:rPr>
              <w:t>0.001 (0 – 0.004)</w:t>
            </w:r>
          </w:p>
        </w:tc>
        <w:tc>
          <w:tcPr>
            <w:tcW w:w="4733" w:type="dxa"/>
          </w:tcPr>
          <w:p w14:paraId="36DB11B4" w14:textId="47811043" w:rsidR="00DC2C89" w:rsidRDefault="007F4529" w:rsidP="00DC2C89">
            <w:pPr>
              <w:rPr>
                <w:lang w:eastAsia="ja-JP"/>
              </w:rPr>
            </w:pPr>
            <w:r>
              <w:rPr>
                <w:lang w:eastAsia="ja-JP"/>
              </w:rPr>
              <w:t xml:space="preserve">Assumption (not calibrated as </w:t>
            </w:r>
            <w:r w:rsidR="00456FA5">
              <w:rPr>
                <w:lang w:eastAsia="ja-JP"/>
              </w:rPr>
              <w:t>little impact on results</w:t>
            </w:r>
            <w:r w:rsidR="000C72DD">
              <w:rPr>
                <w:lang w:eastAsia="ja-JP"/>
              </w:rPr>
              <w:t>). Range determined to vary between 0 and 1 for doctor fee range between 0 and 350.</w:t>
            </w:r>
          </w:p>
        </w:tc>
      </w:tr>
      <w:tr w:rsidR="00240C34" w14:paraId="01C51181" w14:textId="77777777" w:rsidTr="00802A78">
        <w:trPr>
          <w:trHeight w:val="397"/>
        </w:trPr>
        <w:tc>
          <w:tcPr>
            <w:tcW w:w="1780" w:type="dxa"/>
          </w:tcPr>
          <w:p w14:paraId="5C674062" w14:textId="3F17D6DA" w:rsidR="00DC2C89" w:rsidRDefault="006C5071" w:rsidP="00DC2C89">
            <w:pPr>
              <w:rPr>
                <w:lang w:eastAsia="ja-JP"/>
              </w:rPr>
            </w:pPr>
            <w:r>
              <w:rPr>
                <w:lang w:eastAsia="ja-JP"/>
              </w:rPr>
              <w:t>aPDtoHD_base</w:t>
            </w:r>
          </w:p>
        </w:tc>
        <w:tc>
          <w:tcPr>
            <w:tcW w:w="4027" w:type="dxa"/>
          </w:tcPr>
          <w:p w14:paraId="001DD5E2" w14:textId="36C6FA2B" w:rsidR="00DC2C89" w:rsidRDefault="00892547" w:rsidP="00DC2C89">
            <w:pPr>
              <w:rPr>
                <w:lang w:eastAsia="ja-JP"/>
              </w:rPr>
            </w:pPr>
            <w:r>
              <w:rPr>
                <w:lang w:eastAsia="ja-JP"/>
              </w:rPr>
              <w:t>Base rate (net) of PD patients switching to HD</w:t>
            </w:r>
          </w:p>
        </w:tc>
        <w:tc>
          <w:tcPr>
            <w:tcW w:w="992" w:type="dxa"/>
          </w:tcPr>
          <w:p w14:paraId="13A2F042" w14:textId="515ED61D" w:rsidR="00DC2C89" w:rsidRDefault="00892547" w:rsidP="00DC2C89">
            <w:pPr>
              <w:rPr>
                <w:lang w:eastAsia="ja-JP"/>
              </w:rPr>
            </w:pPr>
            <w:r>
              <w:rPr>
                <w:lang w:eastAsia="ja-JP"/>
              </w:rPr>
              <w:t>People/ month</w:t>
            </w:r>
          </w:p>
        </w:tc>
        <w:tc>
          <w:tcPr>
            <w:tcW w:w="1418" w:type="dxa"/>
          </w:tcPr>
          <w:p w14:paraId="6CE7CD72" w14:textId="66579AD3" w:rsidR="00DC2C89" w:rsidRDefault="00730B21" w:rsidP="00DC2C89">
            <w:pPr>
              <w:rPr>
                <w:lang w:eastAsia="ja-JP"/>
              </w:rPr>
            </w:pPr>
            <w:r>
              <w:rPr>
                <w:lang w:eastAsia="ja-JP"/>
              </w:rPr>
              <w:t>0.004 (0.003 – 0.006)</w:t>
            </w:r>
          </w:p>
        </w:tc>
        <w:tc>
          <w:tcPr>
            <w:tcW w:w="4733" w:type="dxa"/>
          </w:tcPr>
          <w:p w14:paraId="13C182D6" w14:textId="08113723" w:rsidR="00DC2C89" w:rsidRDefault="00730B21" w:rsidP="00DC2C89">
            <w:pPr>
              <w:rPr>
                <w:lang w:eastAsia="ja-JP"/>
              </w:rPr>
            </w:pPr>
            <w:r>
              <w:rPr>
                <w:lang w:eastAsia="ja-JP"/>
              </w:rPr>
              <w:t xml:space="preserve">Estimated from the average rate of </w:t>
            </w:r>
            <w:r w:rsidR="00A50F77">
              <w:rPr>
                <w:lang w:eastAsia="ja-JP"/>
              </w:rPr>
              <w:t xml:space="preserve">transitions (PD to HD and HD to PD) </w:t>
            </w:r>
            <w:r w:rsidR="00B91089">
              <w:rPr>
                <w:lang w:eastAsia="ja-JP"/>
              </w:rPr>
              <w:t>in renal registry from 2016-2017.</w:t>
            </w:r>
          </w:p>
        </w:tc>
      </w:tr>
      <w:tr w:rsidR="0000316E" w14:paraId="239E9C7E" w14:textId="77777777" w:rsidTr="00802A78">
        <w:trPr>
          <w:trHeight w:val="397"/>
        </w:trPr>
        <w:tc>
          <w:tcPr>
            <w:tcW w:w="1780" w:type="dxa"/>
          </w:tcPr>
          <w:p w14:paraId="285D6240" w14:textId="57F20EB9" w:rsidR="0000316E" w:rsidRDefault="0000316E" w:rsidP="0000316E">
            <w:pPr>
              <w:rPr>
                <w:lang w:eastAsia="ja-JP"/>
              </w:rPr>
            </w:pPr>
            <w:r w:rsidRPr="008024E4">
              <w:rPr>
                <w:lang w:eastAsia="ja-JP"/>
              </w:rPr>
              <w:t>SSO_PDrefuse</w:t>
            </w:r>
          </w:p>
        </w:tc>
        <w:tc>
          <w:tcPr>
            <w:tcW w:w="4027" w:type="dxa"/>
          </w:tcPr>
          <w:p w14:paraId="218EF836" w14:textId="4DEF63B2" w:rsidR="0000316E" w:rsidRDefault="0000316E" w:rsidP="0000316E">
            <w:pPr>
              <w:rPr>
                <w:lang w:eastAsia="ja-JP"/>
              </w:rPr>
            </w:pPr>
            <w:r>
              <w:rPr>
                <w:lang w:eastAsia="ja-JP"/>
              </w:rPr>
              <w:t xml:space="preserve">Incident HD patients </w:t>
            </w:r>
            <w:r w:rsidR="002B39B9">
              <w:rPr>
                <w:lang w:eastAsia="ja-JP"/>
              </w:rPr>
              <w:t xml:space="preserve">who would have refused PD under the 2008 policy or </w:t>
            </w:r>
            <w:r>
              <w:rPr>
                <w:lang w:eastAsia="ja-JP"/>
              </w:rPr>
              <w:t xml:space="preserve">from SSO, as a proportion of baseline dialysis patients </w:t>
            </w:r>
          </w:p>
        </w:tc>
        <w:tc>
          <w:tcPr>
            <w:tcW w:w="992" w:type="dxa"/>
          </w:tcPr>
          <w:p w14:paraId="04D4E39F" w14:textId="31A7E70B" w:rsidR="0000316E" w:rsidRDefault="0000316E" w:rsidP="0000316E">
            <w:pPr>
              <w:rPr>
                <w:lang w:eastAsia="ja-JP"/>
              </w:rPr>
            </w:pPr>
            <w:r>
              <w:rPr>
                <w:lang w:eastAsia="ja-JP"/>
              </w:rPr>
              <w:t>%</w:t>
            </w:r>
          </w:p>
        </w:tc>
        <w:tc>
          <w:tcPr>
            <w:tcW w:w="1418" w:type="dxa"/>
          </w:tcPr>
          <w:p w14:paraId="762D007B" w14:textId="35585024" w:rsidR="0000316E" w:rsidRDefault="0000316E" w:rsidP="0000316E">
            <w:pPr>
              <w:rPr>
                <w:lang w:eastAsia="ja-JP"/>
              </w:rPr>
            </w:pPr>
            <w:r>
              <w:rPr>
                <w:lang w:eastAsia="ja-JP"/>
              </w:rPr>
              <w:t>0.1 (0-0.</w:t>
            </w:r>
            <w:r w:rsidR="00366F23">
              <w:rPr>
                <w:lang w:eastAsia="ja-JP"/>
              </w:rPr>
              <w:t>2</w:t>
            </w:r>
            <w:r>
              <w:rPr>
                <w:lang w:eastAsia="ja-JP"/>
              </w:rPr>
              <w:t>)</w:t>
            </w:r>
          </w:p>
        </w:tc>
        <w:tc>
          <w:tcPr>
            <w:tcW w:w="4733" w:type="dxa"/>
          </w:tcPr>
          <w:p w14:paraId="377877F4" w14:textId="233E3139" w:rsidR="0000316E" w:rsidRDefault="0000316E" w:rsidP="0000316E">
            <w:pPr>
              <w:rPr>
                <w:lang w:eastAsia="ja-JP"/>
              </w:rPr>
            </w:pPr>
            <w:r>
              <w:rPr>
                <w:lang w:eastAsia="ja-JP"/>
              </w:rPr>
              <w:t xml:space="preserve">Estimated from NHSO database: </w:t>
            </w:r>
            <w:r w:rsidR="008D46CE">
              <w:rPr>
                <w:lang w:eastAsia="ja-JP"/>
              </w:rPr>
              <w:t xml:space="preserve">5,186 </w:t>
            </w:r>
            <w:r w:rsidR="006F1642">
              <w:rPr>
                <w:lang w:eastAsia="ja-JP"/>
              </w:rPr>
              <w:t xml:space="preserve">self-pay patients, equivalent to 10% </w:t>
            </w:r>
            <w:r w:rsidR="00E31C4B">
              <w:rPr>
                <w:lang w:eastAsia="ja-JP"/>
              </w:rPr>
              <w:t>reimbursed patients, on 1</w:t>
            </w:r>
            <w:r w:rsidR="00E31C4B" w:rsidRPr="00E31C4B">
              <w:rPr>
                <w:vertAlign w:val="superscript"/>
                <w:lang w:eastAsia="ja-JP"/>
              </w:rPr>
              <w:t>st</w:t>
            </w:r>
            <w:r w:rsidR="00E31C4B">
              <w:rPr>
                <w:lang w:eastAsia="ja-JP"/>
              </w:rPr>
              <w:t xml:space="preserve"> February</w:t>
            </w:r>
            <w:r w:rsidR="00FD2EE3">
              <w:rPr>
                <w:lang w:eastAsia="ja-JP"/>
              </w:rPr>
              <w:t xml:space="preserve"> </w:t>
            </w:r>
            <w:r w:rsidR="00FB1D43">
              <w:rPr>
                <w:color w:val="000000"/>
                <w:lang w:eastAsia="ja-JP"/>
              </w:rPr>
              <w:t>[50]</w:t>
            </w:r>
            <w:r w:rsidR="00E31C4B">
              <w:rPr>
                <w:lang w:eastAsia="ja-JP"/>
              </w:rPr>
              <w:t>.</w:t>
            </w:r>
            <w:r w:rsidR="00973F61">
              <w:rPr>
                <w:lang w:eastAsia="ja-JP"/>
              </w:rPr>
              <w:t xml:space="preserve"> The upper bound (</w:t>
            </w:r>
            <w:r w:rsidR="00366F23">
              <w:rPr>
                <w:lang w:eastAsia="ja-JP"/>
              </w:rPr>
              <w:t>20</w:t>
            </w:r>
            <w:r w:rsidR="00973F61">
              <w:rPr>
                <w:lang w:eastAsia="ja-JP"/>
              </w:rPr>
              <w:t xml:space="preserve">%) is </w:t>
            </w:r>
            <w:r w:rsidR="00943A28">
              <w:rPr>
                <w:lang w:eastAsia="ja-JP"/>
              </w:rPr>
              <w:t>based on 1</w:t>
            </w:r>
            <w:r w:rsidR="001A09E3">
              <w:rPr>
                <w:lang w:eastAsia="ja-JP"/>
              </w:rPr>
              <w:t>2</w:t>
            </w:r>
            <w:r w:rsidR="00943A28">
              <w:rPr>
                <w:lang w:eastAsia="ja-JP"/>
              </w:rPr>
              <w:t>% refusal and</w:t>
            </w:r>
            <w:r w:rsidR="00973F61">
              <w:rPr>
                <w:lang w:eastAsia="ja-JP"/>
              </w:rPr>
              <w:t xml:space="preserve"> </w:t>
            </w:r>
            <w:r w:rsidR="00CF43FF">
              <w:rPr>
                <w:lang w:eastAsia="ja-JP"/>
              </w:rPr>
              <w:t xml:space="preserve">an additional </w:t>
            </w:r>
            <w:r w:rsidR="00EE7B75">
              <w:rPr>
                <w:lang w:eastAsia="ja-JP"/>
              </w:rPr>
              <w:t>25-30</w:t>
            </w:r>
            <w:r w:rsidR="002B39B9">
              <w:rPr>
                <w:lang w:eastAsia="ja-JP"/>
              </w:rPr>
              <w:t>% SSO patients switching to NHSO</w:t>
            </w:r>
            <w:r w:rsidR="00254625">
              <w:rPr>
                <w:lang w:eastAsia="ja-JP"/>
              </w:rPr>
              <w:t xml:space="preserve"> (</w:t>
            </w:r>
            <w:r w:rsidR="00F718AE">
              <w:rPr>
                <w:lang w:eastAsia="ja-JP"/>
              </w:rPr>
              <w:t xml:space="preserve">equivalent to </w:t>
            </w:r>
            <w:r w:rsidR="00EE7B75">
              <w:rPr>
                <w:lang w:eastAsia="ja-JP"/>
              </w:rPr>
              <w:t>8</w:t>
            </w:r>
            <w:r w:rsidR="00F718AE">
              <w:rPr>
                <w:lang w:eastAsia="ja-JP"/>
              </w:rPr>
              <w:t>% NHSO patients)</w:t>
            </w:r>
            <w:r w:rsidR="002B39B9">
              <w:rPr>
                <w:lang w:eastAsia="ja-JP"/>
              </w:rPr>
              <w:t>.</w:t>
            </w:r>
          </w:p>
        </w:tc>
      </w:tr>
    </w:tbl>
    <w:p w14:paraId="173D3DF3" w14:textId="45221503" w:rsidR="00264695" w:rsidRDefault="00D66F36" w:rsidP="00264695">
      <w:pPr>
        <w:rPr>
          <w:lang w:eastAsia="ja-JP"/>
        </w:rPr>
      </w:pPr>
      <w:r>
        <w:rPr>
          <w:lang w:eastAsia="ja-JP"/>
        </w:rPr>
        <w:t>HD – haemodialysis; PD – peritoneal dialysis; THB – Thai Baht (currency)</w:t>
      </w:r>
    </w:p>
    <w:p w14:paraId="4256EEB7" w14:textId="6B904EF7" w:rsidR="00264695" w:rsidRPr="00812D6F" w:rsidRDefault="00264695" w:rsidP="00264695">
      <w:pPr>
        <w:rPr>
          <w:lang w:eastAsia="ja-JP"/>
        </w:rPr>
      </w:pPr>
      <w:r>
        <w:rPr>
          <w:b/>
          <w:bCs/>
          <w:lang w:eastAsia="ja-JP"/>
        </w:rPr>
        <w:lastRenderedPageBreak/>
        <w:t>Table S</w:t>
      </w:r>
      <w:r w:rsidR="00E66840">
        <w:rPr>
          <w:b/>
          <w:bCs/>
          <w:lang w:eastAsia="ja-JP"/>
        </w:rPr>
        <w:t>2</w:t>
      </w:r>
      <w:r w:rsidR="00F64FD1">
        <w:rPr>
          <w:b/>
          <w:bCs/>
          <w:lang w:eastAsia="ja-JP"/>
        </w:rPr>
        <w:t>c</w:t>
      </w:r>
      <w:r>
        <w:rPr>
          <w:b/>
          <w:bCs/>
          <w:lang w:eastAsia="ja-JP"/>
        </w:rPr>
        <w:t xml:space="preserve">. </w:t>
      </w:r>
      <w:r w:rsidR="00812D6F">
        <w:rPr>
          <w:lang w:eastAsia="ja-JP"/>
        </w:rPr>
        <w:t xml:space="preserve">Parameters estimated by calibration. The calibration range represents the upper and lower bounds for calibration, the calibrated value is the </w:t>
      </w:r>
      <w:r w:rsidR="008C7DA0">
        <w:rPr>
          <w:lang w:eastAsia="ja-JP"/>
        </w:rPr>
        <w:t xml:space="preserve">parameter value with the best fit to the data, and the calibration dataset </w:t>
      </w:r>
      <w:r w:rsidR="00CA71ED">
        <w:rPr>
          <w:lang w:eastAsia="ja-JP"/>
        </w:rPr>
        <w:t>is the data used for calibration.</w:t>
      </w:r>
    </w:p>
    <w:tbl>
      <w:tblPr>
        <w:tblStyle w:val="TableGridLight"/>
        <w:tblW w:w="0" w:type="auto"/>
        <w:tblLook w:val="04A0" w:firstRow="1" w:lastRow="0" w:firstColumn="1" w:lastColumn="0" w:noHBand="0" w:noVBand="1"/>
      </w:tblPr>
      <w:tblGrid>
        <w:gridCol w:w="2382"/>
        <w:gridCol w:w="4568"/>
        <w:gridCol w:w="986"/>
        <w:gridCol w:w="1406"/>
        <w:gridCol w:w="1278"/>
        <w:gridCol w:w="2330"/>
      </w:tblGrid>
      <w:tr w:rsidR="00A148C1" w14:paraId="1B1CB82C" w14:textId="77777777" w:rsidTr="0006774B">
        <w:trPr>
          <w:trHeight w:val="397"/>
        </w:trPr>
        <w:tc>
          <w:tcPr>
            <w:tcW w:w="2382" w:type="dxa"/>
            <w:shd w:val="clear" w:color="auto" w:fill="002060"/>
          </w:tcPr>
          <w:p w14:paraId="54CEDB13" w14:textId="77777777" w:rsidR="00A81AE0" w:rsidRPr="004377AD" w:rsidRDefault="00A81AE0" w:rsidP="00BE3F87">
            <w:pPr>
              <w:rPr>
                <w:b/>
                <w:bCs/>
                <w:lang w:eastAsia="ja-JP"/>
              </w:rPr>
            </w:pPr>
            <w:r w:rsidRPr="004377AD">
              <w:rPr>
                <w:b/>
                <w:bCs/>
                <w:lang w:eastAsia="ja-JP"/>
              </w:rPr>
              <w:t>Parameter</w:t>
            </w:r>
          </w:p>
        </w:tc>
        <w:tc>
          <w:tcPr>
            <w:tcW w:w="4568" w:type="dxa"/>
            <w:shd w:val="clear" w:color="auto" w:fill="002060"/>
          </w:tcPr>
          <w:p w14:paraId="1EB74172" w14:textId="77777777" w:rsidR="00A81AE0" w:rsidRPr="004377AD" w:rsidRDefault="00A81AE0" w:rsidP="00BE3F87">
            <w:pPr>
              <w:rPr>
                <w:b/>
                <w:bCs/>
                <w:lang w:eastAsia="ja-JP"/>
              </w:rPr>
            </w:pPr>
            <w:r w:rsidRPr="004377AD">
              <w:rPr>
                <w:b/>
                <w:bCs/>
                <w:lang w:eastAsia="ja-JP"/>
              </w:rPr>
              <w:t>Description</w:t>
            </w:r>
          </w:p>
        </w:tc>
        <w:tc>
          <w:tcPr>
            <w:tcW w:w="986" w:type="dxa"/>
            <w:shd w:val="clear" w:color="auto" w:fill="002060"/>
          </w:tcPr>
          <w:p w14:paraId="77566836" w14:textId="77777777" w:rsidR="00A81AE0" w:rsidRPr="004377AD" w:rsidRDefault="00A81AE0" w:rsidP="00BE3F87">
            <w:pPr>
              <w:rPr>
                <w:b/>
                <w:bCs/>
                <w:lang w:eastAsia="ja-JP"/>
              </w:rPr>
            </w:pPr>
            <w:r w:rsidRPr="004377AD">
              <w:rPr>
                <w:b/>
                <w:bCs/>
                <w:lang w:eastAsia="ja-JP"/>
              </w:rPr>
              <w:t>Unit</w:t>
            </w:r>
          </w:p>
        </w:tc>
        <w:tc>
          <w:tcPr>
            <w:tcW w:w="1406" w:type="dxa"/>
            <w:shd w:val="clear" w:color="auto" w:fill="002060"/>
          </w:tcPr>
          <w:p w14:paraId="2586B394" w14:textId="10D7E630" w:rsidR="00A81AE0" w:rsidRDefault="00A81AE0" w:rsidP="00BE3F87">
            <w:pPr>
              <w:rPr>
                <w:lang w:eastAsia="ja-JP"/>
              </w:rPr>
            </w:pPr>
            <w:r>
              <w:rPr>
                <w:b/>
                <w:bCs/>
                <w:lang w:eastAsia="ja-JP"/>
              </w:rPr>
              <w:t>Calibration range</w:t>
            </w:r>
          </w:p>
        </w:tc>
        <w:tc>
          <w:tcPr>
            <w:tcW w:w="1278" w:type="dxa"/>
            <w:shd w:val="clear" w:color="auto" w:fill="002060"/>
          </w:tcPr>
          <w:p w14:paraId="7829B340" w14:textId="7FF4EFDC" w:rsidR="00A81AE0" w:rsidRDefault="00A81AE0" w:rsidP="00BE3F87">
            <w:pPr>
              <w:rPr>
                <w:b/>
                <w:bCs/>
                <w:lang w:eastAsia="ja-JP"/>
              </w:rPr>
            </w:pPr>
            <w:r>
              <w:rPr>
                <w:b/>
                <w:bCs/>
                <w:lang w:eastAsia="ja-JP"/>
              </w:rPr>
              <w:t>Calibrated value</w:t>
            </w:r>
          </w:p>
        </w:tc>
        <w:tc>
          <w:tcPr>
            <w:tcW w:w="2330" w:type="dxa"/>
            <w:shd w:val="clear" w:color="auto" w:fill="002060"/>
          </w:tcPr>
          <w:p w14:paraId="3BA3EF36" w14:textId="1E55BE02" w:rsidR="00A81AE0" w:rsidRPr="004377AD" w:rsidRDefault="00A81AE0" w:rsidP="00BE3F87">
            <w:pPr>
              <w:rPr>
                <w:b/>
                <w:bCs/>
                <w:lang w:eastAsia="ja-JP"/>
              </w:rPr>
            </w:pPr>
            <w:r>
              <w:rPr>
                <w:b/>
                <w:bCs/>
                <w:lang w:eastAsia="ja-JP"/>
              </w:rPr>
              <w:t>Calibration dataset</w:t>
            </w:r>
          </w:p>
        </w:tc>
      </w:tr>
      <w:tr w:rsidR="0037718E" w14:paraId="20780886" w14:textId="77777777" w:rsidTr="0006774B">
        <w:trPr>
          <w:trHeight w:val="397"/>
        </w:trPr>
        <w:tc>
          <w:tcPr>
            <w:tcW w:w="12950" w:type="dxa"/>
            <w:gridSpan w:val="6"/>
            <w:shd w:val="clear" w:color="auto" w:fill="F2F2F2" w:themeFill="background1" w:themeFillShade="F2"/>
            <w:vAlign w:val="center"/>
          </w:tcPr>
          <w:p w14:paraId="5FC194D8" w14:textId="3E6594EA" w:rsidR="0037718E" w:rsidRPr="0037718E" w:rsidRDefault="0037718E" w:rsidP="0037718E">
            <w:pPr>
              <w:rPr>
                <w:b/>
                <w:bCs/>
                <w:lang w:eastAsia="ja-JP"/>
              </w:rPr>
            </w:pPr>
            <w:r>
              <w:rPr>
                <w:b/>
                <w:bCs/>
                <w:lang w:eastAsia="ja-JP"/>
              </w:rPr>
              <w:t>Vascular access</w:t>
            </w:r>
          </w:p>
        </w:tc>
      </w:tr>
      <w:tr w:rsidR="0061009C" w14:paraId="24BF2E58" w14:textId="77777777" w:rsidTr="0006774B">
        <w:trPr>
          <w:trHeight w:val="397"/>
        </w:trPr>
        <w:tc>
          <w:tcPr>
            <w:tcW w:w="2382" w:type="dxa"/>
          </w:tcPr>
          <w:p w14:paraId="37D22363" w14:textId="0ABC80D6" w:rsidR="003F6C94" w:rsidRDefault="003F6C94" w:rsidP="00BE3F87">
            <w:pPr>
              <w:rPr>
                <w:lang w:eastAsia="ja-JP"/>
              </w:rPr>
            </w:pPr>
            <w:r>
              <w:rPr>
                <w:lang w:eastAsia="ja-JP"/>
              </w:rPr>
              <w:t>aVAconstant</w:t>
            </w:r>
          </w:p>
        </w:tc>
        <w:tc>
          <w:tcPr>
            <w:tcW w:w="4568" w:type="dxa"/>
          </w:tcPr>
          <w:p w14:paraId="13A457AC" w14:textId="6AD2B8C5" w:rsidR="003F6C94" w:rsidRDefault="00CA71ED" w:rsidP="00BE3F87">
            <w:pPr>
              <w:rPr>
                <w:lang w:eastAsia="ja-JP"/>
              </w:rPr>
            </w:pPr>
            <w:r>
              <w:rPr>
                <w:lang w:eastAsia="ja-JP"/>
              </w:rPr>
              <w:t xml:space="preserve">Baseline percentage of </w:t>
            </w:r>
            <w:r w:rsidR="00CD4640">
              <w:rPr>
                <w:lang w:eastAsia="ja-JP"/>
              </w:rPr>
              <w:t>VA patients receiving temporary access (due to urgent start dialysis, etc).</w:t>
            </w:r>
          </w:p>
        </w:tc>
        <w:tc>
          <w:tcPr>
            <w:tcW w:w="986" w:type="dxa"/>
          </w:tcPr>
          <w:p w14:paraId="22C418A2" w14:textId="100E0977" w:rsidR="003F6C94" w:rsidRDefault="00CA71ED" w:rsidP="00BE3F87">
            <w:pPr>
              <w:rPr>
                <w:lang w:eastAsia="ja-JP"/>
              </w:rPr>
            </w:pPr>
            <w:r>
              <w:rPr>
                <w:lang w:eastAsia="ja-JP"/>
              </w:rPr>
              <w:t>%</w:t>
            </w:r>
          </w:p>
        </w:tc>
        <w:tc>
          <w:tcPr>
            <w:tcW w:w="1406" w:type="dxa"/>
          </w:tcPr>
          <w:p w14:paraId="57F1CCB3" w14:textId="3F8A57EF" w:rsidR="003F6C94" w:rsidRDefault="00CA71ED" w:rsidP="00BE3F87">
            <w:pPr>
              <w:rPr>
                <w:lang w:eastAsia="ja-JP"/>
              </w:rPr>
            </w:pPr>
            <w:r>
              <w:rPr>
                <w:lang w:eastAsia="ja-JP"/>
              </w:rPr>
              <w:t>0-10</w:t>
            </w:r>
          </w:p>
        </w:tc>
        <w:tc>
          <w:tcPr>
            <w:tcW w:w="1278" w:type="dxa"/>
          </w:tcPr>
          <w:p w14:paraId="06AE5FA9" w14:textId="395C3B2D" w:rsidR="003F6C94" w:rsidRDefault="00CA71ED" w:rsidP="00BE3F87">
            <w:pPr>
              <w:rPr>
                <w:lang w:eastAsia="ja-JP"/>
              </w:rPr>
            </w:pPr>
            <w:r>
              <w:rPr>
                <w:lang w:eastAsia="ja-JP"/>
              </w:rPr>
              <w:t>5</w:t>
            </w:r>
          </w:p>
        </w:tc>
        <w:tc>
          <w:tcPr>
            <w:tcW w:w="2330" w:type="dxa"/>
            <w:vMerge w:val="restart"/>
          </w:tcPr>
          <w:p w14:paraId="7246E4A9" w14:textId="14E90069" w:rsidR="003F6C94" w:rsidRDefault="003527B6" w:rsidP="00BE3F87">
            <w:pPr>
              <w:rPr>
                <w:lang w:eastAsia="ja-JP"/>
              </w:rPr>
            </w:pPr>
            <w:r>
              <w:rPr>
                <w:lang w:eastAsia="ja-JP"/>
              </w:rPr>
              <w:t xml:space="preserve">Q1 </w:t>
            </w:r>
            <w:r w:rsidR="008C7DA0">
              <w:rPr>
                <w:lang w:eastAsia="ja-JP"/>
              </w:rPr>
              <w:t>20</w:t>
            </w:r>
            <w:r w:rsidR="009310DC">
              <w:rPr>
                <w:lang w:eastAsia="ja-JP"/>
              </w:rPr>
              <w:t>20</w:t>
            </w:r>
            <w:r>
              <w:rPr>
                <w:lang w:eastAsia="ja-JP"/>
              </w:rPr>
              <w:t xml:space="preserve"> to Q</w:t>
            </w:r>
            <w:r w:rsidR="007C6037">
              <w:rPr>
                <w:lang w:eastAsia="ja-JP"/>
              </w:rPr>
              <w:t>1</w:t>
            </w:r>
            <w:r>
              <w:rPr>
                <w:lang w:eastAsia="ja-JP"/>
              </w:rPr>
              <w:t xml:space="preserve"> </w:t>
            </w:r>
            <w:r w:rsidR="009310DC">
              <w:rPr>
                <w:lang w:eastAsia="ja-JP"/>
              </w:rPr>
              <w:t>202</w:t>
            </w:r>
            <w:r w:rsidR="000F4E64">
              <w:rPr>
                <w:lang w:eastAsia="ja-JP"/>
              </w:rPr>
              <w:t>3</w:t>
            </w:r>
            <w:r w:rsidR="009310DC">
              <w:rPr>
                <w:lang w:eastAsia="ja-JP"/>
              </w:rPr>
              <w:t>: p</w:t>
            </w:r>
            <w:r w:rsidR="003F6C94">
              <w:rPr>
                <w:lang w:eastAsia="ja-JP"/>
              </w:rPr>
              <w:t xml:space="preserve">roportion of HD patients with temporary access (TRT data) </w:t>
            </w:r>
            <w:r w:rsidR="00FB1D43">
              <w:rPr>
                <w:color w:val="000000"/>
                <w:lang w:eastAsia="ja-JP"/>
              </w:rPr>
              <w:t>[28]</w:t>
            </w:r>
          </w:p>
        </w:tc>
      </w:tr>
      <w:tr w:rsidR="0061009C" w14:paraId="1ED90712" w14:textId="77777777" w:rsidTr="0006774B">
        <w:trPr>
          <w:trHeight w:val="397"/>
        </w:trPr>
        <w:tc>
          <w:tcPr>
            <w:tcW w:w="2382" w:type="dxa"/>
          </w:tcPr>
          <w:p w14:paraId="55619EB0" w14:textId="3F0142EF" w:rsidR="003F6C94" w:rsidRDefault="003F6C94" w:rsidP="00BE3F87">
            <w:pPr>
              <w:rPr>
                <w:lang w:eastAsia="ja-JP"/>
              </w:rPr>
            </w:pPr>
            <w:r>
              <w:rPr>
                <w:lang w:eastAsia="ja-JP"/>
              </w:rPr>
              <w:t>aVAlag1</w:t>
            </w:r>
          </w:p>
        </w:tc>
        <w:tc>
          <w:tcPr>
            <w:tcW w:w="4568" w:type="dxa"/>
          </w:tcPr>
          <w:p w14:paraId="1D11B309" w14:textId="55E3473A" w:rsidR="003F6C94" w:rsidRDefault="00FC47C7" w:rsidP="00BE3F87">
            <w:pPr>
              <w:rPr>
                <w:lang w:eastAsia="ja-JP"/>
              </w:rPr>
            </w:pPr>
            <w:r>
              <w:rPr>
                <w:lang w:eastAsia="ja-JP"/>
              </w:rPr>
              <w:t>Reference time point to calculate current rate of change in number of temporary access patients</w:t>
            </w:r>
          </w:p>
        </w:tc>
        <w:tc>
          <w:tcPr>
            <w:tcW w:w="986" w:type="dxa"/>
          </w:tcPr>
          <w:p w14:paraId="4B0E25BA" w14:textId="016CC042" w:rsidR="003F6C94" w:rsidRDefault="003F6C94" w:rsidP="00BE3F87">
            <w:pPr>
              <w:rPr>
                <w:lang w:eastAsia="ja-JP"/>
              </w:rPr>
            </w:pPr>
            <w:r>
              <w:rPr>
                <w:lang w:eastAsia="ja-JP"/>
              </w:rPr>
              <w:t>Months</w:t>
            </w:r>
          </w:p>
        </w:tc>
        <w:tc>
          <w:tcPr>
            <w:tcW w:w="1406" w:type="dxa"/>
          </w:tcPr>
          <w:p w14:paraId="78CA3904" w14:textId="60E65EB9" w:rsidR="003F6C94" w:rsidRDefault="003B31A1" w:rsidP="00BE3F87">
            <w:pPr>
              <w:rPr>
                <w:lang w:eastAsia="ja-JP"/>
              </w:rPr>
            </w:pPr>
            <w:r>
              <w:rPr>
                <w:lang w:eastAsia="ja-JP"/>
              </w:rPr>
              <w:t>0-3</w:t>
            </w:r>
          </w:p>
        </w:tc>
        <w:tc>
          <w:tcPr>
            <w:tcW w:w="1278" w:type="dxa"/>
          </w:tcPr>
          <w:p w14:paraId="67282108" w14:textId="0A2CE858" w:rsidR="003F6C94" w:rsidRDefault="00BF4FCE" w:rsidP="00BE3F87">
            <w:pPr>
              <w:rPr>
                <w:lang w:eastAsia="ja-JP"/>
              </w:rPr>
            </w:pPr>
            <w:r>
              <w:rPr>
                <w:lang w:eastAsia="ja-JP"/>
              </w:rPr>
              <w:t>1</w:t>
            </w:r>
          </w:p>
        </w:tc>
        <w:tc>
          <w:tcPr>
            <w:tcW w:w="2330" w:type="dxa"/>
            <w:vMerge/>
          </w:tcPr>
          <w:p w14:paraId="00FA569A" w14:textId="38887CCA" w:rsidR="003F6C94" w:rsidRDefault="003F6C94" w:rsidP="00BE3F87">
            <w:pPr>
              <w:rPr>
                <w:lang w:eastAsia="ja-JP"/>
              </w:rPr>
            </w:pPr>
          </w:p>
        </w:tc>
      </w:tr>
      <w:tr w:rsidR="0061009C" w14:paraId="3A9EC163" w14:textId="77777777" w:rsidTr="0006774B">
        <w:trPr>
          <w:trHeight w:val="397"/>
        </w:trPr>
        <w:tc>
          <w:tcPr>
            <w:tcW w:w="2382" w:type="dxa"/>
          </w:tcPr>
          <w:p w14:paraId="06F10F11" w14:textId="2671CFE7" w:rsidR="003F6C94" w:rsidRDefault="003F6C94" w:rsidP="00BE3F87">
            <w:pPr>
              <w:rPr>
                <w:lang w:eastAsia="ja-JP"/>
              </w:rPr>
            </w:pPr>
            <w:r>
              <w:rPr>
                <w:lang w:eastAsia="ja-JP"/>
              </w:rPr>
              <w:t>aVAlag2</w:t>
            </w:r>
          </w:p>
        </w:tc>
        <w:tc>
          <w:tcPr>
            <w:tcW w:w="4568" w:type="dxa"/>
          </w:tcPr>
          <w:p w14:paraId="68DBAFC4" w14:textId="66E817A5" w:rsidR="003F6C94" w:rsidRDefault="00FC47C7" w:rsidP="00BE3F87">
            <w:pPr>
              <w:rPr>
                <w:lang w:eastAsia="ja-JP"/>
              </w:rPr>
            </w:pPr>
            <w:r>
              <w:rPr>
                <w:lang w:eastAsia="ja-JP"/>
              </w:rPr>
              <w:t>Reference time point to calculate past rate of change in number of temporary access patients</w:t>
            </w:r>
          </w:p>
        </w:tc>
        <w:tc>
          <w:tcPr>
            <w:tcW w:w="986" w:type="dxa"/>
          </w:tcPr>
          <w:p w14:paraId="4EF2D751" w14:textId="3960B695" w:rsidR="003F6C94" w:rsidRDefault="003F6C94" w:rsidP="00BE3F87">
            <w:pPr>
              <w:rPr>
                <w:lang w:eastAsia="ja-JP"/>
              </w:rPr>
            </w:pPr>
            <w:r>
              <w:rPr>
                <w:lang w:eastAsia="ja-JP"/>
              </w:rPr>
              <w:t>Months</w:t>
            </w:r>
          </w:p>
        </w:tc>
        <w:tc>
          <w:tcPr>
            <w:tcW w:w="1406" w:type="dxa"/>
          </w:tcPr>
          <w:p w14:paraId="553B302A" w14:textId="3F472D6B" w:rsidR="003F6C94" w:rsidRDefault="003B31A1" w:rsidP="00BE3F87">
            <w:pPr>
              <w:rPr>
                <w:lang w:eastAsia="ja-JP"/>
              </w:rPr>
            </w:pPr>
            <w:r>
              <w:rPr>
                <w:lang w:eastAsia="ja-JP"/>
              </w:rPr>
              <w:t>1-4</w:t>
            </w:r>
          </w:p>
        </w:tc>
        <w:tc>
          <w:tcPr>
            <w:tcW w:w="1278" w:type="dxa"/>
          </w:tcPr>
          <w:p w14:paraId="57B11D0C" w14:textId="2B62D909" w:rsidR="003F6C94" w:rsidRDefault="00BF4FCE" w:rsidP="00BE3F87">
            <w:pPr>
              <w:rPr>
                <w:lang w:eastAsia="ja-JP"/>
              </w:rPr>
            </w:pPr>
            <w:r>
              <w:rPr>
                <w:lang w:eastAsia="ja-JP"/>
              </w:rPr>
              <w:t>2.5</w:t>
            </w:r>
          </w:p>
        </w:tc>
        <w:tc>
          <w:tcPr>
            <w:tcW w:w="2330" w:type="dxa"/>
            <w:vMerge/>
          </w:tcPr>
          <w:p w14:paraId="5AB3B11E" w14:textId="472B0023" w:rsidR="003F6C94" w:rsidRDefault="003F6C94" w:rsidP="00BE3F87">
            <w:pPr>
              <w:rPr>
                <w:lang w:eastAsia="ja-JP"/>
              </w:rPr>
            </w:pPr>
          </w:p>
        </w:tc>
      </w:tr>
      <w:tr w:rsidR="0061009C" w14:paraId="72AD611A" w14:textId="77777777" w:rsidTr="0006774B">
        <w:trPr>
          <w:trHeight w:val="397"/>
        </w:trPr>
        <w:tc>
          <w:tcPr>
            <w:tcW w:w="2382" w:type="dxa"/>
          </w:tcPr>
          <w:p w14:paraId="776DC59C" w14:textId="2AFE6BDB" w:rsidR="003F6C94" w:rsidRDefault="003F6C94" w:rsidP="00BE3F87">
            <w:pPr>
              <w:rPr>
                <w:lang w:eastAsia="ja-JP"/>
              </w:rPr>
            </w:pPr>
            <w:r>
              <w:rPr>
                <w:lang w:eastAsia="ja-JP"/>
              </w:rPr>
              <w:t>aVA_k1</w:t>
            </w:r>
          </w:p>
        </w:tc>
        <w:tc>
          <w:tcPr>
            <w:tcW w:w="4568" w:type="dxa"/>
          </w:tcPr>
          <w:p w14:paraId="4942D8EC" w14:textId="682B83A9" w:rsidR="003F6C94" w:rsidRDefault="00621098" w:rsidP="00BE3F87">
            <w:pPr>
              <w:rPr>
                <w:lang w:eastAsia="ja-JP"/>
              </w:rPr>
            </w:pPr>
            <w:r>
              <w:rPr>
                <w:lang w:eastAsia="ja-JP"/>
              </w:rPr>
              <w:t xml:space="preserve">Constant to scale rate of change in number of temporary access patients to </w:t>
            </w:r>
            <w:r w:rsidR="0061009C">
              <w:rPr>
                <w:lang w:eastAsia="ja-JP"/>
              </w:rPr>
              <w:t xml:space="preserve">proportion of patients receiving temporary access </w:t>
            </w:r>
            <w:r>
              <w:rPr>
                <w:lang w:eastAsia="ja-JP"/>
              </w:rPr>
              <w:t>(power</w:t>
            </w:r>
            <w:r w:rsidR="0061009C">
              <w:rPr>
                <w:lang w:eastAsia="ja-JP"/>
              </w:rPr>
              <w:t xml:space="preserve"> term</w:t>
            </w:r>
            <w:r>
              <w:rPr>
                <w:lang w:eastAsia="ja-JP"/>
              </w:rPr>
              <w:t>)</w:t>
            </w:r>
          </w:p>
        </w:tc>
        <w:tc>
          <w:tcPr>
            <w:tcW w:w="986" w:type="dxa"/>
          </w:tcPr>
          <w:p w14:paraId="2488BB44" w14:textId="7CAC8140" w:rsidR="003F6C94" w:rsidRDefault="003F6C94" w:rsidP="00BE3F87">
            <w:pPr>
              <w:rPr>
                <w:lang w:eastAsia="ja-JP"/>
              </w:rPr>
            </w:pPr>
            <w:r>
              <w:rPr>
                <w:lang w:eastAsia="ja-JP"/>
              </w:rPr>
              <w:t>None</w:t>
            </w:r>
          </w:p>
        </w:tc>
        <w:tc>
          <w:tcPr>
            <w:tcW w:w="1406" w:type="dxa"/>
          </w:tcPr>
          <w:p w14:paraId="2C84D7E7" w14:textId="7EC3B724" w:rsidR="003F6C94" w:rsidRDefault="00BF4FCE" w:rsidP="00BE3F87">
            <w:pPr>
              <w:rPr>
                <w:lang w:eastAsia="ja-JP"/>
              </w:rPr>
            </w:pPr>
            <w:r>
              <w:rPr>
                <w:lang w:eastAsia="ja-JP"/>
              </w:rPr>
              <w:t>0.3 – 0.5</w:t>
            </w:r>
          </w:p>
        </w:tc>
        <w:tc>
          <w:tcPr>
            <w:tcW w:w="1278" w:type="dxa"/>
          </w:tcPr>
          <w:p w14:paraId="2F3CF6C5" w14:textId="0E20BD2D" w:rsidR="003F6C94" w:rsidRDefault="00BF4FCE" w:rsidP="00BE3F87">
            <w:pPr>
              <w:rPr>
                <w:lang w:eastAsia="ja-JP"/>
              </w:rPr>
            </w:pPr>
            <w:r>
              <w:rPr>
                <w:lang w:eastAsia="ja-JP"/>
              </w:rPr>
              <w:t>0.41</w:t>
            </w:r>
          </w:p>
        </w:tc>
        <w:tc>
          <w:tcPr>
            <w:tcW w:w="2330" w:type="dxa"/>
            <w:vMerge/>
          </w:tcPr>
          <w:p w14:paraId="7F5B753B" w14:textId="12BE728B" w:rsidR="003F6C94" w:rsidRDefault="003F6C94" w:rsidP="00BE3F87">
            <w:pPr>
              <w:rPr>
                <w:lang w:eastAsia="ja-JP"/>
              </w:rPr>
            </w:pPr>
          </w:p>
        </w:tc>
      </w:tr>
      <w:tr w:rsidR="0061009C" w14:paraId="6A531241" w14:textId="77777777" w:rsidTr="0006774B">
        <w:trPr>
          <w:trHeight w:val="397"/>
        </w:trPr>
        <w:tc>
          <w:tcPr>
            <w:tcW w:w="2382" w:type="dxa"/>
          </w:tcPr>
          <w:p w14:paraId="00730847" w14:textId="77873DF5" w:rsidR="003F6C94" w:rsidRDefault="003F6C94" w:rsidP="00BE3F87">
            <w:pPr>
              <w:rPr>
                <w:lang w:eastAsia="ja-JP"/>
              </w:rPr>
            </w:pPr>
            <w:r>
              <w:rPr>
                <w:lang w:eastAsia="ja-JP"/>
              </w:rPr>
              <w:t>aVA_k2</w:t>
            </w:r>
          </w:p>
        </w:tc>
        <w:tc>
          <w:tcPr>
            <w:tcW w:w="4568" w:type="dxa"/>
          </w:tcPr>
          <w:p w14:paraId="58113993" w14:textId="472B6232" w:rsidR="003F6C94" w:rsidRDefault="0061009C" w:rsidP="00BE3F87">
            <w:pPr>
              <w:rPr>
                <w:lang w:eastAsia="ja-JP"/>
              </w:rPr>
            </w:pPr>
            <w:r>
              <w:rPr>
                <w:lang w:eastAsia="ja-JP"/>
              </w:rPr>
              <w:t>Constant to scale rate of change in number of temporary access patients to proportion of patients receiving temporary access (multiplication term)</w:t>
            </w:r>
          </w:p>
        </w:tc>
        <w:tc>
          <w:tcPr>
            <w:tcW w:w="986" w:type="dxa"/>
          </w:tcPr>
          <w:p w14:paraId="27DA9592" w14:textId="31F63FE5" w:rsidR="003F6C94" w:rsidRDefault="003F6C94" w:rsidP="00BE3F87">
            <w:pPr>
              <w:rPr>
                <w:lang w:eastAsia="ja-JP"/>
              </w:rPr>
            </w:pPr>
            <w:r>
              <w:rPr>
                <w:lang w:eastAsia="ja-JP"/>
              </w:rPr>
              <w:t>None</w:t>
            </w:r>
          </w:p>
        </w:tc>
        <w:tc>
          <w:tcPr>
            <w:tcW w:w="1406" w:type="dxa"/>
          </w:tcPr>
          <w:p w14:paraId="07A8C6D4" w14:textId="501700D3" w:rsidR="003F6C94" w:rsidRDefault="00BF4FCE" w:rsidP="00BE3F87">
            <w:pPr>
              <w:rPr>
                <w:lang w:eastAsia="ja-JP"/>
              </w:rPr>
            </w:pPr>
            <w:r>
              <w:rPr>
                <w:lang w:eastAsia="ja-JP"/>
              </w:rPr>
              <w:t>1 – 1.5</w:t>
            </w:r>
          </w:p>
        </w:tc>
        <w:tc>
          <w:tcPr>
            <w:tcW w:w="1278" w:type="dxa"/>
          </w:tcPr>
          <w:p w14:paraId="7246E199" w14:textId="6AD42EBA" w:rsidR="003F6C94" w:rsidRDefault="00BF4FCE" w:rsidP="00BE3F87">
            <w:pPr>
              <w:rPr>
                <w:lang w:eastAsia="ja-JP"/>
              </w:rPr>
            </w:pPr>
            <w:r>
              <w:rPr>
                <w:lang w:eastAsia="ja-JP"/>
              </w:rPr>
              <w:t>1.2</w:t>
            </w:r>
          </w:p>
        </w:tc>
        <w:tc>
          <w:tcPr>
            <w:tcW w:w="2330" w:type="dxa"/>
            <w:vMerge/>
          </w:tcPr>
          <w:p w14:paraId="70E05CBF" w14:textId="4EB78A71" w:rsidR="003F6C94" w:rsidRDefault="003F6C94" w:rsidP="00BE3F87">
            <w:pPr>
              <w:rPr>
                <w:lang w:eastAsia="ja-JP"/>
              </w:rPr>
            </w:pPr>
          </w:p>
        </w:tc>
      </w:tr>
      <w:tr w:rsidR="0061009C" w14:paraId="4FC72287" w14:textId="77777777" w:rsidTr="0006774B">
        <w:trPr>
          <w:trHeight w:val="397"/>
        </w:trPr>
        <w:tc>
          <w:tcPr>
            <w:tcW w:w="2382" w:type="dxa"/>
          </w:tcPr>
          <w:p w14:paraId="2A4878A5" w14:textId="20AF392E" w:rsidR="003F6C94" w:rsidRDefault="003F6C94" w:rsidP="00BE3F87">
            <w:pPr>
              <w:rPr>
                <w:lang w:eastAsia="ja-JP"/>
              </w:rPr>
            </w:pPr>
            <w:r>
              <w:rPr>
                <w:lang w:eastAsia="ja-JP"/>
              </w:rPr>
              <w:t>aVA_max_rate</w:t>
            </w:r>
          </w:p>
        </w:tc>
        <w:tc>
          <w:tcPr>
            <w:tcW w:w="4568" w:type="dxa"/>
          </w:tcPr>
          <w:p w14:paraId="39491A06" w14:textId="49B7EB89" w:rsidR="003F6C94" w:rsidRDefault="003F6C94" w:rsidP="00BE3F87">
            <w:pPr>
              <w:rPr>
                <w:lang w:eastAsia="ja-JP"/>
              </w:rPr>
            </w:pPr>
            <w:r>
              <w:rPr>
                <w:lang w:eastAsia="ja-JP"/>
              </w:rPr>
              <w:t>Rate of change in number of HD patients with temporary access at which the system limit for AV access is reached</w:t>
            </w:r>
          </w:p>
        </w:tc>
        <w:tc>
          <w:tcPr>
            <w:tcW w:w="986" w:type="dxa"/>
          </w:tcPr>
          <w:p w14:paraId="447827FA" w14:textId="571CC95E" w:rsidR="003F6C94" w:rsidRDefault="003B31A1" w:rsidP="00BE3F87">
            <w:pPr>
              <w:rPr>
                <w:lang w:eastAsia="ja-JP"/>
              </w:rPr>
            </w:pPr>
            <w:r>
              <w:rPr>
                <w:lang w:eastAsia="ja-JP"/>
              </w:rPr>
              <w:t>None</w:t>
            </w:r>
          </w:p>
        </w:tc>
        <w:tc>
          <w:tcPr>
            <w:tcW w:w="1406" w:type="dxa"/>
          </w:tcPr>
          <w:p w14:paraId="50A28CD1" w14:textId="7D55C96F" w:rsidR="003F6C94" w:rsidRDefault="00BF4FCE" w:rsidP="00BE3F87">
            <w:pPr>
              <w:rPr>
                <w:lang w:eastAsia="ja-JP"/>
              </w:rPr>
            </w:pPr>
            <w:r>
              <w:rPr>
                <w:lang w:eastAsia="ja-JP"/>
              </w:rPr>
              <w:t>0</w:t>
            </w:r>
            <w:r w:rsidR="00D742D7">
              <w:rPr>
                <w:lang w:eastAsia="ja-JP"/>
              </w:rPr>
              <w:t>-1</w:t>
            </w:r>
          </w:p>
        </w:tc>
        <w:tc>
          <w:tcPr>
            <w:tcW w:w="1278" w:type="dxa"/>
          </w:tcPr>
          <w:p w14:paraId="49E050DD" w14:textId="3BA87679" w:rsidR="003F6C94" w:rsidRDefault="00BF4FCE" w:rsidP="00BE3F87">
            <w:pPr>
              <w:rPr>
                <w:lang w:eastAsia="ja-JP"/>
              </w:rPr>
            </w:pPr>
            <w:r>
              <w:rPr>
                <w:lang w:eastAsia="ja-JP"/>
              </w:rPr>
              <w:t>0.12</w:t>
            </w:r>
          </w:p>
        </w:tc>
        <w:tc>
          <w:tcPr>
            <w:tcW w:w="2330" w:type="dxa"/>
            <w:vMerge/>
          </w:tcPr>
          <w:p w14:paraId="07011674" w14:textId="2A0CD8A7" w:rsidR="003F6C94" w:rsidRDefault="003F6C94" w:rsidP="00BE3F87">
            <w:pPr>
              <w:rPr>
                <w:lang w:eastAsia="ja-JP"/>
              </w:rPr>
            </w:pPr>
          </w:p>
        </w:tc>
      </w:tr>
      <w:tr w:rsidR="0061009C" w14:paraId="7C6BB169" w14:textId="77777777" w:rsidTr="0006774B">
        <w:trPr>
          <w:trHeight w:val="397"/>
        </w:trPr>
        <w:tc>
          <w:tcPr>
            <w:tcW w:w="2382" w:type="dxa"/>
          </w:tcPr>
          <w:p w14:paraId="25846C56" w14:textId="168D693F" w:rsidR="003F6C94" w:rsidRDefault="003F6C94" w:rsidP="00BE3F87">
            <w:pPr>
              <w:rPr>
                <w:lang w:eastAsia="ja-JP"/>
              </w:rPr>
            </w:pPr>
            <w:r>
              <w:rPr>
                <w:lang w:eastAsia="ja-JP"/>
              </w:rPr>
              <w:t>aVA_p_max</w:t>
            </w:r>
          </w:p>
        </w:tc>
        <w:tc>
          <w:tcPr>
            <w:tcW w:w="4568" w:type="dxa"/>
          </w:tcPr>
          <w:p w14:paraId="643CEA2B" w14:textId="568112F2" w:rsidR="003F6C94" w:rsidRDefault="0061009C" w:rsidP="00BE3F87">
            <w:pPr>
              <w:rPr>
                <w:lang w:eastAsia="ja-JP"/>
              </w:rPr>
            </w:pPr>
            <w:r>
              <w:rPr>
                <w:lang w:eastAsia="ja-JP"/>
              </w:rPr>
              <w:t xml:space="preserve">Maximum proportion of </w:t>
            </w:r>
            <w:r w:rsidR="00C32326">
              <w:rPr>
                <w:lang w:eastAsia="ja-JP"/>
              </w:rPr>
              <w:t>VA patients receiving temporary access</w:t>
            </w:r>
          </w:p>
        </w:tc>
        <w:tc>
          <w:tcPr>
            <w:tcW w:w="986" w:type="dxa"/>
          </w:tcPr>
          <w:p w14:paraId="0FF0660A" w14:textId="06660ADF" w:rsidR="003F6C94" w:rsidRDefault="003B31A1" w:rsidP="00BE3F87">
            <w:pPr>
              <w:rPr>
                <w:lang w:eastAsia="ja-JP"/>
              </w:rPr>
            </w:pPr>
            <w:r>
              <w:rPr>
                <w:lang w:eastAsia="ja-JP"/>
              </w:rPr>
              <w:t>%</w:t>
            </w:r>
          </w:p>
        </w:tc>
        <w:tc>
          <w:tcPr>
            <w:tcW w:w="1406" w:type="dxa"/>
          </w:tcPr>
          <w:p w14:paraId="14874F20" w14:textId="13CD4C61" w:rsidR="003F6C94" w:rsidRDefault="003B31A1" w:rsidP="00BE3F87">
            <w:pPr>
              <w:rPr>
                <w:lang w:eastAsia="ja-JP"/>
              </w:rPr>
            </w:pPr>
            <w:r>
              <w:rPr>
                <w:lang w:eastAsia="ja-JP"/>
              </w:rPr>
              <w:t>50 - 100</w:t>
            </w:r>
          </w:p>
        </w:tc>
        <w:tc>
          <w:tcPr>
            <w:tcW w:w="1278" w:type="dxa"/>
          </w:tcPr>
          <w:p w14:paraId="11430F32" w14:textId="4F16C39A" w:rsidR="003F6C94" w:rsidRDefault="003B31A1" w:rsidP="00BE3F87">
            <w:pPr>
              <w:rPr>
                <w:lang w:eastAsia="ja-JP"/>
              </w:rPr>
            </w:pPr>
            <w:r>
              <w:rPr>
                <w:lang w:eastAsia="ja-JP"/>
              </w:rPr>
              <w:t>62</w:t>
            </w:r>
          </w:p>
        </w:tc>
        <w:tc>
          <w:tcPr>
            <w:tcW w:w="2330" w:type="dxa"/>
            <w:vMerge/>
          </w:tcPr>
          <w:p w14:paraId="25F328A9" w14:textId="47729175" w:rsidR="003F6C94" w:rsidRDefault="003F6C94" w:rsidP="00BE3F87">
            <w:pPr>
              <w:rPr>
                <w:lang w:eastAsia="ja-JP"/>
              </w:rPr>
            </w:pPr>
          </w:p>
        </w:tc>
      </w:tr>
      <w:tr w:rsidR="0037718E" w14:paraId="4E096DA4" w14:textId="77777777" w:rsidTr="0006774B">
        <w:trPr>
          <w:trHeight w:val="397"/>
        </w:trPr>
        <w:tc>
          <w:tcPr>
            <w:tcW w:w="12950" w:type="dxa"/>
            <w:gridSpan w:val="6"/>
            <w:shd w:val="clear" w:color="auto" w:fill="F2F2F2" w:themeFill="background1" w:themeFillShade="F2"/>
            <w:vAlign w:val="center"/>
          </w:tcPr>
          <w:p w14:paraId="49333F1F" w14:textId="62866B43" w:rsidR="0037718E" w:rsidRPr="00BB0ED2" w:rsidRDefault="00BB0ED2" w:rsidP="0037718E">
            <w:pPr>
              <w:rPr>
                <w:b/>
                <w:bCs/>
                <w:lang w:eastAsia="ja-JP"/>
              </w:rPr>
            </w:pPr>
            <w:r>
              <w:rPr>
                <w:b/>
                <w:bCs/>
                <w:lang w:eastAsia="ja-JP"/>
              </w:rPr>
              <w:t xml:space="preserve">Calibrated to data </w:t>
            </w:r>
            <w:r>
              <w:rPr>
                <w:b/>
                <w:bCs/>
                <w:u w:val="single"/>
                <w:lang w:eastAsia="ja-JP"/>
              </w:rPr>
              <w:t>before</w:t>
            </w:r>
            <w:r>
              <w:rPr>
                <w:b/>
                <w:bCs/>
                <w:lang w:eastAsia="ja-JP"/>
              </w:rPr>
              <w:t xml:space="preserve"> the 2022 policy change</w:t>
            </w:r>
          </w:p>
        </w:tc>
      </w:tr>
      <w:tr w:rsidR="00A148C1" w14:paraId="2BD2BE40" w14:textId="77777777" w:rsidTr="0006774B">
        <w:trPr>
          <w:trHeight w:val="397"/>
        </w:trPr>
        <w:tc>
          <w:tcPr>
            <w:tcW w:w="2382" w:type="dxa"/>
          </w:tcPr>
          <w:p w14:paraId="4A81F710" w14:textId="1BDF89D7" w:rsidR="00A148C1" w:rsidRDefault="00A148C1" w:rsidP="00BE3F87">
            <w:pPr>
              <w:rPr>
                <w:lang w:eastAsia="ja-JP"/>
              </w:rPr>
            </w:pPr>
            <w:r w:rsidRPr="009217B4">
              <w:rPr>
                <w:lang w:eastAsia="ja-JP"/>
              </w:rPr>
              <w:t>aHDdeath_base</w:t>
            </w:r>
          </w:p>
        </w:tc>
        <w:tc>
          <w:tcPr>
            <w:tcW w:w="4568" w:type="dxa"/>
          </w:tcPr>
          <w:p w14:paraId="76F00CA2" w14:textId="57D2C859" w:rsidR="00A148C1" w:rsidRDefault="00A646EE" w:rsidP="00BE3F87">
            <w:pPr>
              <w:rPr>
                <w:lang w:eastAsia="ja-JP"/>
              </w:rPr>
            </w:pPr>
            <w:r>
              <w:rPr>
                <w:lang w:eastAsia="ja-JP"/>
              </w:rPr>
              <w:t>Baseline death rate of HD patients, with optimal quality of care</w:t>
            </w:r>
          </w:p>
        </w:tc>
        <w:tc>
          <w:tcPr>
            <w:tcW w:w="986" w:type="dxa"/>
          </w:tcPr>
          <w:p w14:paraId="72218B4D" w14:textId="4CF535A2" w:rsidR="00A148C1" w:rsidRDefault="00A646EE" w:rsidP="00BE3F87">
            <w:pPr>
              <w:rPr>
                <w:lang w:eastAsia="ja-JP"/>
              </w:rPr>
            </w:pPr>
            <w:r>
              <w:rPr>
                <w:lang w:eastAsia="ja-JP"/>
              </w:rPr>
              <w:t>% per month</w:t>
            </w:r>
          </w:p>
        </w:tc>
        <w:tc>
          <w:tcPr>
            <w:tcW w:w="1406" w:type="dxa"/>
          </w:tcPr>
          <w:p w14:paraId="0BE9EAE8" w14:textId="3FDD67CE" w:rsidR="00A148C1" w:rsidRDefault="00A646EE" w:rsidP="00BE3F87">
            <w:pPr>
              <w:rPr>
                <w:lang w:eastAsia="ja-JP"/>
              </w:rPr>
            </w:pPr>
            <w:r>
              <w:rPr>
                <w:lang w:eastAsia="ja-JP"/>
              </w:rPr>
              <w:t>0.8-</w:t>
            </w:r>
            <w:r w:rsidR="0003085B">
              <w:rPr>
                <w:lang w:eastAsia="ja-JP"/>
              </w:rPr>
              <w:t>1.5</w:t>
            </w:r>
          </w:p>
        </w:tc>
        <w:tc>
          <w:tcPr>
            <w:tcW w:w="1278" w:type="dxa"/>
          </w:tcPr>
          <w:p w14:paraId="7CFE8ECD" w14:textId="37BF35BD" w:rsidR="00A148C1" w:rsidRDefault="00A646EE" w:rsidP="00BE3F87">
            <w:pPr>
              <w:rPr>
                <w:lang w:eastAsia="ja-JP"/>
              </w:rPr>
            </w:pPr>
            <w:r>
              <w:rPr>
                <w:lang w:eastAsia="ja-JP"/>
              </w:rPr>
              <w:t>1</w:t>
            </w:r>
            <w:r w:rsidR="005851E0">
              <w:rPr>
                <w:lang w:eastAsia="ja-JP"/>
              </w:rPr>
              <w:t>.0</w:t>
            </w:r>
          </w:p>
        </w:tc>
        <w:tc>
          <w:tcPr>
            <w:tcW w:w="2330" w:type="dxa"/>
            <w:vMerge w:val="restart"/>
          </w:tcPr>
          <w:p w14:paraId="27E58958" w14:textId="57CFC13C" w:rsidR="00A148C1" w:rsidRDefault="00A148C1" w:rsidP="00BE3F87">
            <w:pPr>
              <w:rPr>
                <w:lang w:eastAsia="ja-JP"/>
              </w:rPr>
            </w:pPr>
            <w:r>
              <w:rPr>
                <w:lang w:eastAsia="ja-JP"/>
              </w:rPr>
              <w:t>2019-2021: HD patients (renal registry)</w:t>
            </w:r>
          </w:p>
        </w:tc>
      </w:tr>
      <w:tr w:rsidR="00A148C1" w14:paraId="1566B455" w14:textId="77777777" w:rsidTr="0006774B">
        <w:trPr>
          <w:trHeight w:val="397"/>
        </w:trPr>
        <w:tc>
          <w:tcPr>
            <w:tcW w:w="2382" w:type="dxa"/>
          </w:tcPr>
          <w:p w14:paraId="1BF26E5D" w14:textId="5C5778B4" w:rsidR="00A148C1" w:rsidRPr="009217B4" w:rsidRDefault="00A148C1" w:rsidP="000F0587">
            <w:pPr>
              <w:rPr>
                <w:lang w:eastAsia="ja-JP"/>
              </w:rPr>
            </w:pPr>
            <w:r w:rsidRPr="009217B4">
              <w:rPr>
                <w:lang w:eastAsia="ja-JP"/>
              </w:rPr>
              <w:t>aHDnurse_death_k</w:t>
            </w:r>
          </w:p>
        </w:tc>
        <w:tc>
          <w:tcPr>
            <w:tcW w:w="4568" w:type="dxa"/>
          </w:tcPr>
          <w:p w14:paraId="3E80A77F" w14:textId="4334B35A" w:rsidR="00A148C1" w:rsidRDefault="0003085B" w:rsidP="000F0587">
            <w:pPr>
              <w:rPr>
                <w:lang w:eastAsia="ja-JP"/>
              </w:rPr>
            </w:pPr>
            <w:r>
              <w:rPr>
                <w:lang w:eastAsia="ja-JP"/>
              </w:rPr>
              <w:t>Factor to scale HD death rate relative to</w:t>
            </w:r>
            <w:r w:rsidR="002C6B7B">
              <w:rPr>
                <w:lang w:eastAsia="ja-JP"/>
              </w:rPr>
              <w:t xml:space="preserve"> changes in HD supply </w:t>
            </w:r>
          </w:p>
        </w:tc>
        <w:tc>
          <w:tcPr>
            <w:tcW w:w="986" w:type="dxa"/>
          </w:tcPr>
          <w:p w14:paraId="68A69870" w14:textId="3566493B" w:rsidR="00A148C1" w:rsidRDefault="0003085B" w:rsidP="000F0587">
            <w:pPr>
              <w:rPr>
                <w:lang w:eastAsia="ja-JP"/>
              </w:rPr>
            </w:pPr>
            <w:r>
              <w:rPr>
                <w:lang w:eastAsia="ja-JP"/>
              </w:rPr>
              <w:t>None</w:t>
            </w:r>
          </w:p>
        </w:tc>
        <w:tc>
          <w:tcPr>
            <w:tcW w:w="1406" w:type="dxa"/>
          </w:tcPr>
          <w:p w14:paraId="5A32F0B4" w14:textId="2654F70F" w:rsidR="00A148C1" w:rsidRDefault="0003085B" w:rsidP="000F0587">
            <w:pPr>
              <w:rPr>
                <w:lang w:eastAsia="ja-JP"/>
              </w:rPr>
            </w:pPr>
            <w:r>
              <w:rPr>
                <w:lang w:eastAsia="ja-JP"/>
              </w:rPr>
              <w:t xml:space="preserve">0 - </w:t>
            </w:r>
            <w:r w:rsidR="00BE1C33">
              <w:rPr>
                <w:lang w:eastAsia="ja-JP"/>
              </w:rPr>
              <w:t>10</w:t>
            </w:r>
          </w:p>
        </w:tc>
        <w:tc>
          <w:tcPr>
            <w:tcW w:w="1278" w:type="dxa"/>
          </w:tcPr>
          <w:p w14:paraId="6F49186F" w14:textId="48D3D2A2" w:rsidR="00A148C1" w:rsidRDefault="00BE1C33" w:rsidP="000F0587">
            <w:pPr>
              <w:rPr>
                <w:lang w:eastAsia="ja-JP"/>
              </w:rPr>
            </w:pPr>
            <w:r>
              <w:rPr>
                <w:lang w:eastAsia="ja-JP"/>
              </w:rPr>
              <w:t>4</w:t>
            </w:r>
            <w:r w:rsidR="0003085B">
              <w:rPr>
                <w:lang w:eastAsia="ja-JP"/>
              </w:rPr>
              <w:t>.5</w:t>
            </w:r>
          </w:p>
        </w:tc>
        <w:tc>
          <w:tcPr>
            <w:tcW w:w="2330" w:type="dxa"/>
            <w:vMerge/>
          </w:tcPr>
          <w:p w14:paraId="623B3B81" w14:textId="77777777" w:rsidR="00A148C1" w:rsidRDefault="00A148C1" w:rsidP="000F0587">
            <w:pPr>
              <w:rPr>
                <w:lang w:eastAsia="ja-JP"/>
              </w:rPr>
            </w:pPr>
          </w:p>
        </w:tc>
      </w:tr>
      <w:tr w:rsidR="00A148C1" w14:paraId="48341199" w14:textId="77777777" w:rsidTr="0006774B">
        <w:trPr>
          <w:trHeight w:val="397"/>
        </w:trPr>
        <w:tc>
          <w:tcPr>
            <w:tcW w:w="2382" w:type="dxa"/>
          </w:tcPr>
          <w:p w14:paraId="122B4844" w14:textId="22BE7D97" w:rsidR="00A148C1" w:rsidRPr="009217B4" w:rsidRDefault="00A148C1" w:rsidP="000F0587">
            <w:pPr>
              <w:rPr>
                <w:lang w:eastAsia="ja-JP"/>
              </w:rPr>
            </w:pPr>
            <w:r w:rsidRPr="009217B4">
              <w:rPr>
                <w:lang w:eastAsia="ja-JP"/>
              </w:rPr>
              <w:lastRenderedPageBreak/>
              <w:t>aHDstrain_death_k</w:t>
            </w:r>
          </w:p>
        </w:tc>
        <w:tc>
          <w:tcPr>
            <w:tcW w:w="4568" w:type="dxa"/>
          </w:tcPr>
          <w:p w14:paraId="21801B64" w14:textId="07B3A8FA" w:rsidR="00A148C1" w:rsidRDefault="002C6B7B" w:rsidP="000F0587">
            <w:pPr>
              <w:rPr>
                <w:lang w:eastAsia="ja-JP"/>
              </w:rPr>
            </w:pPr>
            <w:r>
              <w:rPr>
                <w:lang w:eastAsia="ja-JP"/>
              </w:rPr>
              <w:t xml:space="preserve">Factor to scale HD death rate </w:t>
            </w:r>
            <w:r w:rsidR="0022570A">
              <w:rPr>
                <w:lang w:eastAsia="ja-JP"/>
              </w:rPr>
              <w:t>due to surges in number of HD patients</w:t>
            </w:r>
          </w:p>
        </w:tc>
        <w:tc>
          <w:tcPr>
            <w:tcW w:w="986" w:type="dxa"/>
          </w:tcPr>
          <w:p w14:paraId="4AA79821" w14:textId="56AA7B9F" w:rsidR="00A148C1" w:rsidRDefault="0022570A" w:rsidP="000F0587">
            <w:pPr>
              <w:rPr>
                <w:lang w:eastAsia="ja-JP"/>
              </w:rPr>
            </w:pPr>
            <w:r>
              <w:rPr>
                <w:lang w:eastAsia="ja-JP"/>
              </w:rPr>
              <w:t>None</w:t>
            </w:r>
          </w:p>
        </w:tc>
        <w:tc>
          <w:tcPr>
            <w:tcW w:w="1406" w:type="dxa"/>
          </w:tcPr>
          <w:p w14:paraId="1A840ACC" w14:textId="361E5666" w:rsidR="00A148C1" w:rsidRDefault="0022570A" w:rsidP="000F0587">
            <w:pPr>
              <w:rPr>
                <w:lang w:eastAsia="ja-JP"/>
              </w:rPr>
            </w:pPr>
            <w:r>
              <w:rPr>
                <w:lang w:eastAsia="ja-JP"/>
              </w:rPr>
              <w:t>0 - 20</w:t>
            </w:r>
          </w:p>
        </w:tc>
        <w:tc>
          <w:tcPr>
            <w:tcW w:w="1278" w:type="dxa"/>
          </w:tcPr>
          <w:p w14:paraId="569F01A9" w14:textId="44E56311" w:rsidR="00A148C1" w:rsidRDefault="0022570A" w:rsidP="000F0587">
            <w:pPr>
              <w:rPr>
                <w:lang w:eastAsia="ja-JP"/>
              </w:rPr>
            </w:pPr>
            <w:r>
              <w:rPr>
                <w:lang w:eastAsia="ja-JP"/>
              </w:rPr>
              <w:t>1</w:t>
            </w:r>
          </w:p>
        </w:tc>
        <w:tc>
          <w:tcPr>
            <w:tcW w:w="2330" w:type="dxa"/>
            <w:vMerge/>
          </w:tcPr>
          <w:p w14:paraId="2D0F8A29" w14:textId="77777777" w:rsidR="00A148C1" w:rsidRDefault="00A148C1" w:rsidP="000F0587">
            <w:pPr>
              <w:rPr>
                <w:lang w:eastAsia="ja-JP"/>
              </w:rPr>
            </w:pPr>
          </w:p>
        </w:tc>
      </w:tr>
      <w:tr w:rsidR="00BB0ED2" w14:paraId="411E33D4" w14:textId="77777777" w:rsidTr="0006774B">
        <w:trPr>
          <w:trHeight w:val="397"/>
        </w:trPr>
        <w:tc>
          <w:tcPr>
            <w:tcW w:w="2382" w:type="dxa"/>
          </w:tcPr>
          <w:p w14:paraId="2D4ED336" w14:textId="49016823" w:rsidR="00BB0ED2" w:rsidRPr="009217B4" w:rsidRDefault="00BB0ED2" w:rsidP="000F0587">
            <w:pPr>
              <w:rPr>
                <w:lang w:eastAsia="ja-JP"/>
              </w:rPr>
            </w:pPr>
            <w:r w:rsidRPr="009217B4">
              <w:rPr>
                <w:lang w:eastAsia="ja-JP"/>
              </w:rPr>
              <w:t>aPDdeath_base</w:t>
            </w:r>
          </w:p>
        </w:tc>
        <w:tc>
          <w:tcPr>
            <w:tcW w:w="4568" w:type="dxa"/>
          </w:tcPr>
          <w:p w14:paraId="440999A8" w14:textId="21AC3893" w:rsidR="00BB0ED2" w:rsidRPr="004669F0" w:rsidRDefault="004669F0" w:rsidP="000F0587">
            <w:pPr>
              <w:rPr>
                <w:u w:val="single"/>
                <w:lang w:eastAsia="ja-JP"/>
              </w:rPr>
            </w:pPr>
            <w:r>
              <w:rPr>
                <w:lang w:eastAsia="ja-JP"/>
              </w:rPr>
              <w:t>Baseline death rate of PD patients</w:t>
            </w:r>
            <w:r w:rsidR="00E96E67">
              <w:rPr>
                <w:lang w:eastAsia="ja-JP"/>
              </w:rPr>
              <w:t>*</w:t>
            </w:r>
          </w:p>
        </w:tc>
        <w:tc>
          <w:tcPr>
            <w:tcW w:w="986" w:type="dxa"/>
          </w:tcPr>
          <w:p w14:paraId="3F58901B" w14:textId="3FD0C339" w:rsidR="00BB0ED2" w:rsidRDefault="005851E0" w:rsidP="000F0587">
            <w:pPr>
              <w:rPr>
                <w:lang w:eastAsia="ja-JP"/>
              </w:rPr>
            </w:pPr>
            <w:r>
              <w:rPr>
                <w:lang w:eastAsia="ja-JP"/>
              </w:rPr>
              <w:t>% per month</w:t>
            </w:r>
          </w:p>
        </w:tc>
        <w:tc>
          <w:tcPr>
            <w:tcW w:w="1406" w:type="dxa"/>
          </w:tcPr>
          <w:p w14:paraId="439D3FFD" w14:textId="4A6AF0DC" w:rsidR="00BB0ED2" w:rsidRDefault="005851E0" w:rsidP="000F0587">
            <w:pPr>
              <w:rPr>
                <w:lang w:eastAsia="ja-JP"/>
              </w:rPr>
            </w:pPr>
            <w:r>
              <w:rPr>
                <w:lang w:eastAsia="ja-JP"/>
              </w:rPr>
              <w:t>1.2 – 2.0</w:t>
            </w:r>
          </w:p>
        </w:tc>
        <w:tc>
          <w:tcPr>
            <w:tcW w:w="1278" w:type="dxa"/>
          </w:tcPr>
          <w:p w14:paraId="02ACA122" w14:textId="2E8FE9EA" w:rsidR="00BB0ED2" w:rsidRDefault="005851E0" w:rsidP="000F0587">
            <w:pPr>
              <w:rPr>
                <w:lang w:eastAsia="ja-JP"/>
              </w:rPr>
            </w:pPr>
            <w:r>
              <w:rPr>
                <w:lang w:eastAsia="ja-JP"/>
              </w:rPr>
              <w:t>1.</w:t>
            </w:r>
            <w:r w:rsidR="0006774B">
              <w:rPr>
                <w:lang w:eastAsia="ja-JP"/>
              </w:rPr>
              <w:t>75</w:t>
            </w:r>
          </w:p>
        </w:tc>
        <w:tc>
          <w:tcPr>
            <w:tcW w:w="2330" w:type="dxa"/>
            <w:vMerge w:val="restart"/>
          </w:tcPr>
          <w:p w14:paraId="33AE4F1F" w14:textId="12672F3A" w:rsidR="00BB0ED2" w:rsidRDefault="00BB0ED2" w:rsidP="000F0587">
            <w:pPr>
              <w:rPr>
                <w:lang w:eastAsia="ja-JP"/>
              </w:rPr>
            </w:pPr>
            <w:r>
              <w:rPr>
                <w:lang w:eastAsia="ja-JP"/>
              </w:rPr>
              <w:t>2019-2021: PD patients (renal registry)</w:t>
            </w:r>
          </w:p>
        </w:tc>
      </w:tr>
      <w:tr w:rsidR="00BB0ED2" w14:paraId="60128853" w14:textId="77777777" w:rsidTr="0006774B">
        <w:trPr>
          <w:trHeight w:val="397"/>
        </w:trPr>
        <w:tc>
          <w:tcPr>
            <w:tcW w:w="2382" w:type="dxa"/>
          </w:tcPr>
          <w:p w14:paraId="4ED96974" w14:textId="7C8A7385" w:rsidR="00BB0ED2" w:rsidRDefault="00BB0ED2" w:rsidP="000F0587">
            <w:pPr>
              <w:rPr>
                <w:lang w:eastAsia="ja-JP"/>
              </w:rPr>
            </w:pPr>
            <w:r w:rsidRPr="00F24C02">
              <w:rPr>
                <w:lang w:eastAsia="ja-JP"/>
              </w:rPr>
              <w:t>aRRnurse_scaler</w:t>
            </w:r>
          </w:p>
        </w:tc>
        <w:tc>
          <w:tcPr>
            <w:tcW w:w="4568" w:type="dxa"/>
          </w:tcPr>
          <w:p w14:paraId="05AF5692" w14:textId="17E4FA80" w:rsidR="00BB0ED2" w:rsidRDefault="00F26571" w:rsidP="000F0587">
            <w:pPr>
              <w:rPr>
                <w:lang w:eastAsia="ja-JP"/>
              </w:rPr>
            </w:pPr>
            <w:r>
              <w:rPr>
                <w:lang w:eastAsia="ja-JP"/>
              </w:rPr>
              <w:t>Factor to scale relative risk of peritonitis to changes in HD supply (due to PD nurse turnover)</w:t>
            </w:r>
          </w:p>
        </w:tc>
        <w:tc>
          <w:tcPr>
            <w:tcW w:w="986" w:type="dxa"/>
          </w:tcPr>
          <w:p w14:paraId="3298C0D5" w14:textId="704823C7" w:rsidR="00BB0ED2" w:rsidRDefault="00F26571" w:rsidP="000F0587">
            <w:pPr>
              <w:rPr>
                <w:lang w:eastAsia="ja-JP"/>
              </w:rPr>
            </w:pPr>
            <w:r>
              <w:rPr>
                <w:lang w:eastAsia="ja-JP"/>
              </w:rPr>
              <w:t>None</w:t>
            </w:r>
          </w:p>
        </w:tc>
        <w:tc>
          <w:tcPr>
            <w:tcW w:w="1406" w:type="dxa"/>
          </w:tcPr>
          <w:p w14:paraId="292A8226" w14:textId="326F0326" w:rsidR="00BB0ED2" w:rsidRDefault="00F26571" w:rsidP="000F0587">
            <w:pPr>
              <w:rPr>
                <w:lang w:eastAsia="ja-JP"/>
              </w:rPr>
            </w:pPr>
            <w:r>
              <w:rPr>
                <w:lang w:eastAsia="ja-JP"/>
              </w:rPr>
              <w:t>0 - 2</w:t>
            </w:r>
          </w:p>
        </w:tc>
        <w:tc>
          <w:tcPr>
            <w:tcW w:w="1278" w:type="dxa"/>
          </w:tcPr>
          <w:p w14:paraId="2B07DF53" w14:textId="3C1257FD" w:rsidR="00BB0ED2" w:rsidRDefault="00F26571" w:rsidP="000F0587">
            <w:pPr>
              <w:rPr>
                <w:lang w:eastAsia="ja-JP"/>
              </w:rPr>
            </w:pPr>
            <w:r>
              <w:rPr>
                <w:lang w:eastAsia="ja-JP"/>
              </w:rPr>
              <w:t>0.</w:t>
            </w:r>
            <w:r w:rsidR="0006774B">
              <w:rPr>
                <w:lang w:eastAsia="ja-JP"/>
              </w:rPr>
              <w:t>8</w:t>
            </w:r>
          </w:p>
        </w:tc>
        <w:tc>
          <w:tcPr>
            <w:tcW w:w="2330" w:type="dxa"/>
            <w:vMerge/>
          </w:tcPr>
          <w:p w14:paraId="5ECFAC51" w14:textId="487BF19D" w:rsidR="00BB0ED2" w:rsidRDefault="00BB0ED2" w:rsidP="000F0587">
            <w:pPr>
              <w:rPr>
                <w:lang w:eastAsia="ja-JP"/>
              </w:rPr>
            </w:pPr>
          </w:p>
        </w:tc>
      </w:tr>
      <w:tr w:rsidR="00F26571" w14:paraId="2B03A7BD" w14:textId="77777777" w:rsidTr="0006774B">
        <w:trPr>
          <w:trHeight w:val="397"/>
        </w:trPr>
        <w:tc>
          <w:tcPr>
            <w:tcW w:w="12950" w:type="dxa"/>
            <w:gridSpan w:val="6"/>
            <w:shd w:val="clear" w:color="auto" w:fill="F2F2F2" w:themeFill="background1" w:themeFillShade="F2"/>
            <w:vAlign w:val="center"/>
          </w:tcPr>
          <w:p w14:paraId="2BEFD679" w14:textId="4AE0C3D8" w:rsidR="00F26571" w:rsidRPr="00F26571" w:rsidRDefault="00F26571" w:rsidP="00F26571">
            <w:pPr>
              <w:rPr>
                <w:b/>
                <w:bCs/>
                <w:lang w:eastAsia="ja-JP"/>
              </w:rPr>
            </w:pPr>
            <w:r>
              <w:rPr>
                <w:b/>
                <w:bCs/>
                <w:lang w:eastAsia="ja-JP"/>
              </w:rPr>
              <w:t xml:space="preserve">Calibrated to data </w:t>
            </w:r>
            <w:r>
              <w:rPr>
                <w:b/>
                <w:bCs/>
                <w:u w:val="single"/>
                <w:lang w:eastAsia="ja-JP"/>
              </w:rPr>
              <w:t>after</w:t>
            </w:r>
            <w:r>
              <w:rPr>
                <w:b/>
                <w:bCs/>
                <w:lang w:eastAsia="ja-JP"/>
              </w:rPr>
              <w:t xml:space="preserve"> the 2022 policy change</w:t>
            </w:r>
          </w:p>
        </w:tc>
      </w:tr>
      <w:tr w:rsidR="0006774B" w14:paraId="7B9D2E61" w14:textId="77777777" w:rsidTr="0006774B">
        <w:trPr>
          <w:trHeight w:val="397"/>
        </w:trPr>
        <w:tc>
          <w:tcPr>
            <w:tcW w:w="2382" w:type="dxa"/>
          </w:tcPr>
          <w:p w14:paraId="3A2A865B" w14:textId="77777777" w:rsidR="0006774B" w:rsidRPr="009217B4" w:rsidRDefault="0006774B" w:rsidP="00113350">
            <w:pPr>
              <w:rPr>
                <w:lang w:eastAsia="ja-JP"/>
              </w:rPr>
            </w:pPr>
            <w:r w:rsidRPr="00546458">
              <w:rPr>
                <w:lang w:eastAsia="ja-JP"/>
              </w:rPr>
              <w:t>aDF_PDtoHD_k</w:t>
            </w:r>
          </w:p>
        </w:tc>
        <w:tc>
          <w:tcPr>
            <w:tcW w:w="4568" w:type="dxa"/>
          </w:tcPr>
          <w:p w14:paraId="0C712355" w14:textId="77777777" w:rsidR="0006774B" w:rsidRDefault="0006774B" w:rsidP="00113350">
            <w:pPr>
              <w:rPr>
                <w:lang w:eastAsia="ja-JP"/>
              </w:rPr>
            </w:pPr>
            <w:r>
              <w:t>Factor to scale rate of PD to HD transitions according to doctor fee</w:t>
            </w:r>
          </w:p>
        </w:tc>
        <w:tc>
          <w:tcPr>
            <w:tcW w:w="986" w:type="dxa"/>
          </w:tcPr>
          <w:p w14:paraId="6B653849" w14:textId="77777777" w:rsidR="0006774B" w:rsidRDefault="0006774B" w:rsidP="00113350">
            <w:pPr>
              <w:rPr>
                <w:lang w:eastAsia="ja-JP"/>
              </w:rPr>
            </w:pPr>
            <w:r>
              <w:rPr>
                <w:lang w:eastAsia="ja-JP"/>
              </w:rPr>
              <w:t>None</w:t>
            </w:r>
          </w:p>
        </w:tc>
        <w:tc>
          <w:tcPr>
            <w:tcW w:w="1406" w:type="dxa"/>
          </w:tcPr>
          <w:p w14:paraId="252D4281" w14:textId="77777777" w:rsidR="0006774B" w:rsidRDefault="0006774B" w:rsidP="00113350">
            <w:pPr>
              <w:rPr>
                <w:lang w:eastAsia="ja-JP"/>
              </w:rPr>
            </w:pPr>
            <w:r>
              <w:rPr>
                <w:lang w:eastAsia="ja-JP"/>
              </w:rPr>
              <w:t>0.008</w:t>
            </w:r>
          </w:p>
        </w:tc>
        <w:tc>
          <w:tcPr>
            <w:tcW w:w="1278" w:type="dxa"/>
          </w:tcPr>
          <w:p w14:paraId="545D1D9D" w14:textId="77777777" w:rsidR="0006774B" w:rsidRDefault="0006774B" w:rsidP="00113350">
            <w:pPr>
              <w:rPr>
                <w:lang w:eastAsia="ja-JP"/>
              </w:rPr>
            </w:pPr>
            <w:r>
              <w:rPr>
                <w:lang w:eastAsia="ja-JP"/>
              </w:rPr>
              <w:t>0 – 0.02</w:t>
            </w:r>
          </w:p>
        </w:tc>
        <w:tc>
          <w:tcPr>
            <w:tcW w:w="2330" w:type="dxa"/>
            <w:vMerge w:val="restart"/>
          </w:tcPr>
          <w:p w14:paraId="1345E635" w14:textId="77777777" w:rsidR="0006774B" w:rsidRDefault="0006774B" w:rsidP="00113350">
            <w:pPr>
              <w:rPr>
                <w:lang w:eastAsia="ja-JP"/>
              </w:rPr>
            </w:pPr>
            <w:r>
              <w:rPr>
                <w:lang w:eastAsia="ja-JP"/>
              </w:rPr>
              <w:t>2022: PD to HD transitions (renal registry)</w:t>
            </w:r>
          </w:p>
        </w:tc>
      </w:tr>
      <w:tr w:rsidR="0006774B" w14:paraId="56087E9C" w14:textId="77777777" w:rsidTr="0006774B">
        <w:trPr>
          <w:trHeight w:val="397"/>
        </w:trPr>
        <w:tc>
          <w:tcPr>
            <w:tcW w:w="2382" w:type="dxa"/>
          </w:tcPr>
          <w:p w14:paraId="5809491B" w14:textId="77777777" w:rsidR="0006774B" w:rsidRDefault="0006774B" w:rsidP="00113350">
            <w:pPr>
              <w:rPr>
                <w:lang w:eastAsia="ja-JP"/>
              </w:rPr>
            </w:pPr>
            <w:r w:rsidRPr="00546458">
              <w:rPr>
                <w:lang w:eastAsia="ja-JP"/>
              </w:rPr>
              <w:t>aPDtoHD_peritonitis_k</w:t>
            </w:r>
          </w:p>
        </w:tc>
        <w:tc>
          <w:tcPr>
            <w:tcW w:w="4568" w:type="dxa"/>
          </w:tcPr>
          <w:p w14:paraId="77467309" w14:textId="77777777" w:rsidR="0006774B" w:rsidRDefault="0006774B" w:rsidP="00113350">
            <w:pPr>
              <w:rPr>
                <w:lang w:eastAsia="ja-JP"/>
              </w:rPr>
            </w:pPr>
            <w:r>
              <w:t>Factor to scale rate of PD to HD transitions according to peritonitis rate</w:t>
            </w:r>
          </w:p>
        </w:tc>
        <w:tc>
          <w:tcPr>
            <w:tcW w:w="986" w:type="dxa"/>
          </w:tcPr>
          <w:p w14:paraId="64B8257D" w14:textId="77777777" w:rsidR="0006774B" w:rsidRDefault="0006774B" w:rsidP="00113350">
            <w:pPr>
              <w:rPr>
                <w:lang w:eastAsia="ja-JP"/>
              </w:rPr>
            </w:pPr>
            <w:r>
              <w:rPr>
                <w:lang w:eastAsia="ja-JP"/>
              </w:rPr>
              <w:t>None</w:t>
            </w:r>
          </w:p>
        </w:tc>
        <w:tc>
          <w:tcPr>
            <w:tcW w:w="1406" w:type="dxa"/>
          </w:tcPr>
          <w:p w14:paraId="07832B1E" w14:textId="77777777" w:rsidR="0006774B" w:rsidRDefault="0006774B" w:rsidP="00113350">
            <w:pPr>
              <w:rPr>
                <w:lang w:eastAsia="ja-JP"/>
              </w:rPr>
            </w:pPr>
            <w:r>
              <w:rPr>
                <w:lang w:eastAsia="ja-JP"/>
              </w:rPr>
              <w:t>0.1</w:t>
            </w:r>
          </w:p>
        </w:tc>
        <w:tc>
          <w:tcPr>
            <w:tcW w:w="1278" w:type="dxa"/>
          </w:tcPr>
          <w:p w14:paraId="4E19D74B" w14:textId="77777777" w:rsidR="0006774B" w:rsidRDefault="0006774B" w:rsidP="00113350">
            <w:pPr>
              <w:rPr>
                <w:lang w:eastAsia="ja-JP"/>
              </w:rPr>
            </w:pPr>
            <w:r>
              <w:rPr>
                <w:lang w:eastAsia="ja-JP"/>
              </w:rPr>
              <w:t>0-2</w:t>
            </w:r>
          </w:p>
        </w:tc>
        <w:tc>
          <w:tcPr>
            <w:tcW w:w="2330" w:type="dxa"/>
            <w:vMerge/>
          </w:tcPr>
          <w:p w14:paraId="50653754" w14:textId="77777777" w:rsidR="0006774B" w:rsidRDefault="0006774B" w:rsidP="00113350">
            <w:pPr>
              <w:rPr>
                <w:lang w:eastAsia="ja-JP"/>
              </w:rPr>
            </w:pPr>
          </w:p>
        </w:tc>
      </w:tr>
      <w:tr w:rsidR="00832E91" w14:paraId="53A3A1EE" w14:textId="77777777" w:rsidTr="0006774B">
        <w:trPr>
          <w:trHeight w:val="397"/>
        </w:trPr>
        <w:tc>
          <w:tcPr>
            <w:tcW w:w="2382" w:type="dxa"/>
          </w:tcPr>
          <w:p w14:paraId="49F0EC7B" w14:textId="02E75505" w:rsidR="00832E91" w:rsidRDefault="00832E91" w:rsidP="00F26571">
            <w:pPr>
              <w:rPr>
                <w:lang w:eastAsia="ja-JP"/>
              </w:rPr>
            </w:pPr>
            <w:r w:rsidRPr="00445CC5">
              <w:rPr>
                <w:lang w:eastAsia="ja-JP"/>
              </w:rPr>
              <w:t>aDFdeath_factor</w:t>
            </w:r>
          </w:p>
        </w:tc>
        <w:tc>
          <w:tcPr>
            <w:tcW w:w="4568" w:type="dxa"/>
          </w:tcPr>
          <w:p w14:paraId="3AACF636" w14:textId="17B65116" w:rsidR="00832E91" w:rsidRDefault="00832E91" w:rsidP="00F26571">
            <w:pPr>
              <w:rPr>
                <w:lang w:eastAsia="ja-JP"/>
              </w:rPr>
            </w:pPr>
            <w:r>
              <w:rPr>
                <w:lang w:eastAsia="ja-JP"/>
              </w:rPr>
              <w:t>Factor to scale rate of change of the doctor fee according to HD death rate</w:t>
            </w:r>
          </w:p>
        </w:tc>
        <w:tc>
          <w:tcPr>
            <w:tcW w:w="986" w:type="dxa"/>
          </w:tcPr>
          <w:p w14:paraId="186E530E" w14:textId="60C6116E" w:rsidR="00832E91" w:rsidRDefault="00832E91" w:rsidP="00F26571">
            <w:pPr>
              <w:rPr>
                <w:lang w:eastAsia="ja-JP"/>
              </w:rPr>
            </w:pPr>
            <w:r>
              <w:rPr>
                <w:lang w:eastAsia="ja-JP"/>
              </w:rPr>
              <w:t>None</w:t>
            </w:r>
          </w:p>
        </w:tc>
        <w:tc>
          <w:tcPr>
            <w:tcW w:w="1406" w:type="dxa"/>
          </w:tcPr>
          <w:p w14:paraId="5B7506F7" w14:textId="504C13A5" w:rsidR="00832E91" w:rsidRDefault="00A52E07" w:rsidP="00F26571">
            <w:pPr>
              <w:rPr>
                <w:lang w:eastAsia="ja-JP"/>
              </w:rPr>
            </w:pPr>
            <w:r>
              <w:rPr>
                <w:lang w:eastAsia="ja-JP"/>
              </w:rPr>
              <w:t>50</w:t>
            </w:r>
          </w:p>
        </w:tc>
        <w:tc>
          <w:tcPr>
            <w:tcW w:w="1278" w:type="dxa"/>
          </w:tcPr>
          <w:p w14:paraId="33992B7D" w14:textId="2CF5C580" w:rsidR="00832E91" w:rsidRDefault="00832E91" w:rsidP="00F26571">
            <w:pPr>
              <w:rPr>
                <w:lang w:eastAsia="ja-JP"/>
              </w:rPr>
            </w:pPr>
            <w:r>
              <w:rPr>
                <w:lang w:eastAsia="ja-JP"/>
              </w:rPr>
              <w:t xml:space="preserve">0 – </w:t>
            </w:r>
            <w:r w:rsidR="003969BB">
              <w:rPr>
                <w:lang w:eastAsia="ja-JP"/>
              </w:rPr>
              <w:t>150</w:t>
            </w:r>
          </w:p>
        </w:tc>
        <w:tc>
          <w:tcPr>
            <w:tcW w:w="2330" w:type="dxa"/>
            <w:vMerge w:val="restart"/>
          </w:tcPr>
          <w:p w14:paraId="16263A9F" w14:textId="041BF943" w:rsidR="00832E91" w:rsidRDefault="00832E91" w:rsidP="00F26571">
            <w:pPr>
              <w:rPr>
                <w:lang w:eastAsia="ja-JP"/>
              </w:rPr>
            </w:pPr>
            <w:r>
              <w:rPr>
                <w:lang w:eastAsia="ja-JP"/>
              </w:rPr>
              <w:t>2022: Total dialysis patients (renal registry)</w:t>
            </w:r>
          </w:p>
        </w:tc>
      </w:tr>
      <w:tr w:rsidR="00832E91" w14:paraId="2F3A6F6A" w14:textId="77777777" w:rsidTr="0006774B">
        <w:trPr>
          <w:trHeight w:val="397"/>
        </w:trPr>
        <w:tc>
          <w:tcPr>
            <w:tcW w:w="2382" w:type="dxa"/>
          </w:tcPr>
          <w:p w14:paraId="7063EB33" w14:textId="6AABF034" w:rsidR="00832E91" w:rsidRPr="009217B4" w:rsidRDefault="00832E91" w:rsidP="00F26571">
            <w:pPr>
              <w:rPr>
                <w:lang w:eastAsia="ja-JP"/>
              </w:rPr>
            </w:pPr>
            <w:r w:rsidRPr="00445CC5">
              <w:rPr>
                <w:lang w:eastAsia="ja-JP"/>
              </w:rPr>
              <w:t>aDFsupply_factor</w:t>
            </w:r>
          </w:p>
        </w:tc>
        <w:tc>
          <w:tcPr>
            <w:tcW w:w="4568" w:type="dxa"/>
          </w:tcPr>
          <w:p w14:paraId="4442F1AC" w14:textId="05C7035E" w:rsidR="00832E91" w:rsidRDefault="00832E91" w:rsidP="00F26571">
            <w:pPr>
              <w:rPr>
                <w:lang w:eastAsia="ja-JP"/>
              </w:rPr>
            </w:pPr>
            <w:r>
              <w:rPr>
                <w:lang w:eastAsia="ja-JP"/>
              </w:rPr>
              <w:t>Factor to scale rate of change of the doctor fee according to change in HD supply</w:t>
            </w:r>
          </w:p>
        </w:tc>
        <w:tc>
          <w:tcPr>
            <w:tcW w:w="986" w:type="dxa"/>
          </w:tcPr>
          <w:p w14:paraId="573E2DEC" w14:textId="7B0F475C" w:rsidR="00832E91" w:rsidRDefault="00832E91" w:rsidP="00F26571">
            <w:pPr>
              <w:rPr>
                <w:lang w:eastAsia="ja-JP"/>
              </w:rPr>
            </w:pPr>
            <w:r>
              <w:rPr>
                <w:lang w:eastAsia="ja-JP"/>
              </w:rPr>
              <w:t>None</w:t>
            </w:r>
          </w:p>
        </w:tc>
        <w:tc>
          <w:tcPr>
            <w:tcW w:w="1406" w:type="dxa"/>
          </w:tcPr>
          <w:p w14:paraId="077499CB" w14:textId="716A5989" w:rsidR="00832E91" w:rsidRDefault="00A52E07" w:rsidP="00F26571">
            <w:pPr>
              <w:rPr>
                <w:lang w:eastAsia="ja-JP"/>
              </w:rPr>
            </w:pPr>
            <w:r>
              <w:rPr>
                <w:lang w:eastAsia="ja-JP"/>
              </w:rPr>
              <w:t>7</w:t>
            </w:r>
          </w:p>
        </w:tc>
        <w:tc>
          <w:tcPr>
            <w:tcW w:w="1278" w:type="dxa"/>
          </w:tcPr>
          <w:p w14:paraId="1F3CB92B" w14:textId="2BC39666" w:rsidR="00832E91" w:rsidRDefault="00832E91" w:rsidP="00F26571">
            <w:pPr>
              <w:rPr>
                <w:lang w:eastAsia="ja-JP"/>
              </w:rPr>
            </w:pPr>
            <w:r>
              <w:rPr>
                <w:lang w:eastAsia="ja-JP"/>
              </w:rPr>
              <w:t>0 – 20</w:t>
            </w:r>
          </w:p>
        </w:tc>
        <w:tc>
          <w:tcPr>
            <w:tcW w:w="2330" w:type="dxa"/>
            <w:vMerge/>
          </w:tcPr>
          <w:p w14:paraId="779877D7" w14:textId="5FE64F1D" w:rsidR="00832E91" w:rsidRDefault="00832E91" w:rsidP="00F26571">
            <w:pPr>
              <w:rPr>
                <w:lang w:eastAsia="ja-JP"/>
              </w:rPr>
            </w:pPr>
          </w:p>
        </w:tc>
      </w:tr>
      <w:tr w:rsidR="00832E91" w14:paraId="0C9521B5" w14:textId="77777777" w:rsidTr="0006774B">
        <w:trPr>
          <w:trHeight w:val="397"/>
        </w:trPr>
        <w:tc>
          <w:tcPr>
            <w:tcW w:w="2382" w:type="dxa"/>
          </w:tcPr>
          <w:p w14:paraId="3785268F" w14:textId="6D8AB971" w:rsidR="00832E91" w:rsidRPr="009217B4" w:rsidRDefault="00832E91" w:rsidP="00832E91">
            <w:pPr>
              <w:rPr>
                <w:lang w:eastAsia="ja-JP"/>
              </w:rPr>
            </w:pPr>
            <w:r w:rsidRPr="008024E4">
              <w:rPr>
                <w:lang w:eastAsia="ja-JP"/>
              </w:rPr>
              <w:t>aDF_prem_k</w:t>
            </w:r>
          </w:p>
        </w:tc>
        <w:tc>
          <w:tcPr>
            <w:tcW w:w="4568" w:type="dxa"/>
          </w:tcPr>
          <w:p w14:paraId="0A2516D7" w14:textId="7DF91C3B" w:rsidR="00832E91" w:rsidRDefault="00832E91" w:rsidP="00832E91">
            <w:pPr>
              <w:rPr>
                <w:lang w:eastAsia="ja-JP"/>
              </w:rPr>
            </w:pPr>
            <w:r>
              <w:rPr>
                <w:lang w:eastAsia="ja-JP"/>
              </w:rPr>
              <w:t>Factor scaling rate of premature HD initiation according to the doctor fee</w:t>
            </w:r>
          </w:p>
        </w:tc>
        <w:tc>
          <w:tcPr>
            <w:tcW w:w="986" w:type="dxa"/>
          </w:tcPr>
          <w:p w14:paraId="4BE9F63E" w14:textId="58BD111F" w:rsidR="00832E91" w:rsidRDefault="00832E91" w:rsidP="00832E91">
            <w:pPr>
              <w:rPr>
                <w:lang w:eastAsia="ja-JP"/>
              </w:rPr>
            </w:pPr>
            <w:r>
              <w:rPr>
                <w:lang w:eastAsia="ja-JP"/>
              </w:rPr>
              <w:t>None</w:t>
            </w:r>
          </w:p>
        </w:tc>
        <w:tc>
          <w:tcPr>
            <w:tcW w:w="1406" w:type="dxa"/>
          </w:tcPr>
          <w:p w14:paraId="699894F1" w14:textId="6FC0E4B8" w:rsidR="00832E91" w:rsidRDefault="00832E91" w:rsidP="00832E91">
            <w:pPr>
              <w:rPr>
                <w:lang w:eastAsia="ja-JP"/>
              </w:rPr>
            </w:pPr>
            <w:r>
              <w:rPr>
                <w:lang w:eastAsia="ja-JP"/>
              </w:rPr>
              <w:t>0.002</w:t>
            </w:r>
            <w:r w:rsidR="00260CC3">
              <w:rPr>
                <w:lang w:eastAsia="ja-JP"/>
              </w:rPr>
              <w:t>5</w:t>
            </w:r>
          </w:p>
        </w:tc>
        <w:tc>
          <w:tcPr>
            <w:tcW w:w="1278" w:type="dxa"/>
          </w:tcPr>
          <w:p w14:paraId="1D96DB63" w14:textId="7D0E130A" w:rsidR="00832E91" w:rsidRDefault="00832E91" w:rsidP="00832E91">
            <w:pPr>
              <w:rPr>
                <w:lang w:eastAsia="ja-JP"/>
              </w:rPr>
            </w:pPr>
            <w:r>
              <w:rPr>
                <w:lang w:eastAsia="ja-JP"/>
              </w:rPr>
              <w:t>0-0.004</w:t>
            </w:r>
          </w:p>
        </w:tc>
        <w:tc>
          <w:tcPr>
            <w:tcW w:w="2330" w:type="dxa"/>
            <w:vMerge/>
          </w:tcPr>
          <w:p w14:paraId="3F6B25C7" w14:textId="1495EF9B" w:rsidR="00832E91" w:rsidRDefault="00832E91" w:rsidP="00832E91">
            <w:pPr>
              <w:rPr>
                <w:lang w:eastAsia="ja-JP"/>
              </w:rPr>
            </w:pPr>
          </w:p>
        </w:tc>
      </w:tr>
      <w:tr w:rsidR="00832E91" w14:paraId="58E6F602" w14:textId="77777777" w:rsidTr="0006774B">
        <w:trPr>
          <w:trHeight w:val="397"/>
        </w:trPr>
        <w:tc>
          <w:tcPr>
            <w:tcW w:w="2382" w:type="dxa"/>
          </w:tcPr>
          <w:p w14:paraId="47D30C8A" w14:textId="35399AAB" w:rsidR="00832E91" w:rsidRDefault="00832E91" w:rsidP="00832E91">
            <w:pPr>
              <w:rPr>
                <w:lang w:eastAsia="ja-JP"/>
              </w:rPr>
            </w:pPr>
            <w:r w:rsidRPr="009F1E89">
              <w:rPr>
                <w:lang w:eastAsia="ja-JP"/>
              </w:rPr>
              <w:t>aDF_PD_k</w:t>
            </w:r>
          </w:p>
        </w:tc>
        <w:tc>
          <w:tcPr>
            <w:tcW w:w="4568" w:type="dxa"/>
          </w:tcPr>
          <w:p w14:paraId="0694DDFB" w14:textId="1C2DF1B3" w:rsidR="00832E91" w:rsidRDefault="00832E91" w:rsidP="00832E91">
            <w:pPr>
              <w:rPr>
                <w:lang w:eastAsia="ja-JP"/>
              </w:rPr>
            </w:pPr>
            <w:r>
              <w:rPr>
                <w:lang w:eastAsia="ja-JP"/>
              </w:rPr>
              <w:t>Factor to scale proportion of PD-eligible patients selecting HD according to the doctor fee</w:t>
            </w:r>
          </w:p>
        </w:tc>
        <w:tc>
          <w:tcPr>
            <w:tcW w:w="986" w:type="dxa"/>
          </w:tcPr>
          <w:p w14:paraId="1814A37A" w14:textId="3B0369DB" w:rsidR="00832E91" w:rsidRDefault="00832E91" w:rsidP="00832E91">
            <w:pPr>
              <w:rPr>
                <w:lang w:eastAsia="ja-JP"/>
              </w:rPr>
            </w:pPr>
            <w:r>
              <w:rPr>
                <w:lang w:eastAsia="ja-JP"/>
              </w:rPr>
              <w:t>None</w:t>
            </w:r>
          </w:p>
        </w:tc>
        <w:tc>
          <w:tcPr>
            <w:tcW w:w="1406" w:type="dxa"/>
          </w:tcPr>
          <w:p w14:paraId="6AD0491F" w14:textId="377857EC" w:rsidR="00832E91" w:rsidRDefault="00832E91" w:rsidP="00832E91">
            <w:pPr>
              <w:rPr>
                <w:lang w:eastAsia="ja-JP"/>
              </w:rPr>
            </w:pPr>
            <w:r>
              <w:rPr>
                <w:lang w:eastAsia="ja-JP"/>
              </w:rPr>
              <w:t>0.002</w:t>
            </w:r>
          </w:p>
        </w:tc>
        <w:tc>
          <w:tcPr>
            <w:tcW w:w="1278" w:type="dxa"/>
          </w:tcPr>
          <w:p w14:paraId="5392273E" w14:textId="6F074B6C" w:rsidR="00832E91" w:rsidRDefault="00832E91" w:rsidP="00832E91">
            <w:pPr>
              <w:rPr>
                <w:lang w:eastAsia="ja-JP"/>
              </w:rPr>
            </w:pPr>
            <w:r>
              <w:rPr>
                <w:lang w:eastAsia="ja-JP"/>
              </w:rPr>
              <w:t>0-0.00</w:t>
            </w:r>
            <w:r w:rsidR="00C33BEA">
              <w:rPr>
                <w:lang w:eastAsia="ja-JP"/>
              </w:rPr>
              <w:t>5</w:t>
            </w:r>
          </w:p>
        </w:tc>
        <w:tc>
          <w:tcPr>
            <w:tcW w:w="2330" w:type="dxa"/>
            <w:vMerge w:val="restart"/>
          </w:tcPr>
          <w:p w14:paraId="28F84E77" w14:textId="515EFAA4" w:rsidR="00832E91" w:rsidRDefault="00832E91" w:rsidP="00832E91">
            <w:pPr>
              <w:rPr>
                <w:lang w:eastAsia="ja-JP"/>
              </w:rPr>
            </w:pPr>
            <w:r>
              <w:rPr>
                <w:lang w:eastAsia="ja-JP"/>
              </w:rPr>
              <w:t>2022: proportion of incident dialysis patients on PD (renal registry)</w:t>
            </w:r>
          </w:p>
        </w:tc>
      </w:tr>
      <w:tr w:rsidR="00832E91" w14:paraId="5410D583" w14:textId="77777777" w:rsidTr="0006774B">
        <w:trPr>
          <w:trHeight w:val="806"/>
        </w:trPr>
        <w:tc>
          <w:tcPr>
            <w:tcW w:w="2382" w:type="dxa"/>
          </w:tcPr>
          <w:p w14:paraId="47B23445" w14:textId="759B372D" w:rsidR="00832E91" w:rsidRDefault="00832E91" w:rsidP="00832E91">
            <w:pPr>
              <w:rPr>
                <w:lang w:eastAsia="ja-JP"/>
              </w:rPr>
            </w:pPr>
            <w:r w:rsidRPr="009F1E89">
              <w:rPr>
                <w:lang w:eastAsia="ja-JP"/>
              </w:rPr>
              <w:t>aPD_peritonitis_k</w:t>
            </w:r>
          </w:p>
        </w:tc>
        <w:tc>
          <w:tcPr>
            <w:tcW w:w="4568" w:type="dxa"/>
          </w:tcPr>
          <w:p w14:paraId="1A8C1788" w14:textId="01AE4510" w:rsidR="00832E91" w:rsidRDefault="00832E91" w:rsidP="00832E91">
            <w:pPr>
              <w:rPr>
                <w:lang w:eastAsia="ja-JP"/>
              </w:rPr>
            </w:pPr>
            <w:r>
              <w:rPr>
                <w:lang w:eastAsia="ja-JP"/>
              </w:rPr>
              <w:t>Factor to scale proportion of PD-eligible patients selecting HD according to relative risk of peritonitis</w:t>
            </w:r>
          </w:p>
        </w:tc>
        <w:tc>
          <w:tcPr>
            <w:tcW w:w="986" w:type="dxa"/>
          </w:tcPr>
          <w:p w14:paraId="0B6F756E" w14:textId="0D00B9C6" w:rsidR="00832E91" w:rsidRDefault="00832E91" w:rsidP="00832E91">
            <w:pPr>
              <w:rPr>
                <w:lang w:eastAsia="ja-JP"/>
              </w:rPr>
            </w:pPr>
            <w:r>
              <w:rPr>
                <w:lang w:eastAsia="ja-JP"/>
              </w:rPr>
              <w:t>None</w:t>
            </w:r>
          </w:p>
        </w:tc>
        <w:tc>
          <w:tcPr>
            <w:tcW w:w="1406" w:type="dxa"/>
          </w:tcPr>
          <w:p w14:paraId="4DF8B934" w14:textId="4BA5C942" w:rsidR="00832E91" w:rsidRDefault="00832E91" w:rsidP="00832E91">
            <w:pPr>
              <w:rPr>
                <w:lang w:eastAsia="ja-JP"/>
              </w:rPr>
            </w:pPr>
            <w:r>
              <w:rPr>
                <w:lang w:eastAsia="ja-JP"/>
              </w:rPr>
              <w:t>0.0</w:t>
            </w:r>
            <w:r w:rsidR="003969BB">
              <w:rPr>
                <w:lang w:eastAsia="ja-JP"/>
              </w:rPr>
              <w:t>3</w:t>
            </w:r>
          </w:p>
        </w:tc>
        <w:tc>
          <w:tcPr>
            <w:tcW w:w="1278" w:type="dxa"/>
          </w:tcPr>
          <w:p w14:paraId="59E5DB3A" w14:textId="69045CCE" w:rsidR="00832E91" w:rsidRDefault="00832E91" w:rsidP="00832E91">
            <w:pPr>
              <w:rPr>
                <w:lang w:eastAsia="ja-JP"/>
              </w:rPr>
            </w:pPr>
            <w:r>
              <w:rPr>
                <w:lang w:eastAsia="ja-JP"/>
              </w:rPr>
              <w:t>0-0.1</w:t>
            </w:r>
          </w:p>
        </w:tc>
        <w:tc>
          <w:tcPr>
            <w:tcW w:w="2330" w:type="dxa"/>
            <w:vMerge/>
          </w:tcPr>
          <w:p w14:paraId="62182A04" w14:textId="26A554DD" w:rsidR="00832E91" w:rsidRDefault="00832E91" w:rsidP="00832E91">
            <w:pPr>
              <w:rPr>
                <w:lang w:eastAsia="ja-JP"/>
              </w:rPr>
            </w:pPr>
          </w:p>
        </w:tc>
      </w:tr>
    </w:tbl>
    <w:p w14:paraId="1AF9C027" w14:textId="23B635BE" w:rsidR="00264695" w:rsidRDefault="00B52A0F" w:rsidP="00264695">
      <w:pPr>
        <w:rPr>
          <w:lang w:eastAsia="ja-JP"/>
        </w:rPr>
      </w:pPr>
      <w:r>
        <w:rPr>
          <w:lang w:eastAsia="ja-JP"/>
        </w:rPr>
        <w:t xml:space="preserve">AV – arteriovascular; </w:t>
      </w:r>
      <w:r w:rsidR="00CD4640">
        <w:rPr>
          <w:lang w:eastAsia="ja-JP"/>
        </w:rPr>
        <w:t>HD – haemosialysis; PD – peritoneal dialysis; VA – vascular access</w:t>
      </w:r>
    </w:p>
    <w:p w14:paraId="18EA35E3" w14:textId="3A314883" w:rsidR="006348D9" w:rsidRDefault="00E96E67" w:rsidP="00264695">
      <w:pPr>
        <w:rPr>
          <w:lang w:eastAsia="ja-JP"/>
        </w:rPr>
      </w:pPr>
      <w:r>
        <w:rPr>
          <w:lang w:eastAsia="ja-JP"/>
        </w:rPr>
        <w:t xml:space="preserve">* Note: </w:t>
      </w:r>
      <w:r w:rsidR="007820C8">
        <w:rPr>
          <w:lang w:eastAsia="ja-JP"/>
        </w:rPr>
        <w:t xml:space="preserve">PD death rates in Thailand are generally higher than in high-income countries, which is thought to be due to </w:t>
      </w:r>
      <w:r w:rsidR="00E140C4">
        <w:rPr>
          <w:lang w:eastAsia="ja-JP"/>
        </w:rPr>
        <w:t xml:space="preserve">a number of factors, including reluctance to initiate PD (because of the surgical procedure or burden on caregivers), </w:t>
      </w:r>
      <w:r w:rsidR="00B04C8A">
        <w:rPr>
          <w:lang w:eastAsia="ja-JP"/>
        </w:rPr>
        <w:t>low kidney transplant rates, inadequate protein in the diet, higher peritonitis rat</w:t>
      </w:r>
      <w:r w:rsidR="00692790">
        <w:rPr>
          <w:lang w:eastAsia="ja-JP"/>
        </w:rPr>
        <w:t>e</w:t>
      </w:r>
      <w:r w:rsidR="00B04C8A">
        <w:rPr>
          <w:lang w:eastAsia="ja-JP"/>
        </w:rPr>
        <w:t>s compared to high-income countries</w:t>
      </w:r>
      <w:r w:rsidR="001C5D84">
        <w:rPr>
          <w:lang w:eastAsia="ja-JP"/>
        </w:rPr>
        <w:t>, delayed transition to H</w:t>
      </w:r>
      <w:r w:rsidR="003535A4">
        <w:rPr>
          <w:lang w:eastAsia="ja-JP"/>
        </w:rPr>
        <w:t>D</w:t>
      </w:r>
      <w:r w:rsidR="001C5D84">
        <w:rPr>
          <w:lang w:eastAsia="ja-JP"/>
        </w:rPr>
        <w:t xml:space="preserve"> (fr</w:t>
      </w:r>
      <w:r w:rsidR="003E6C07">
        <w:rPr>
          <w:lang w:eastAsia="ja-JP"/>
        </w:rPr>
        <w:t>o</w:t>
      </w:r>
      <w:r w:rsidR="001C5D84">
        <w:rPr>
          <w:lang w:eastAsia="ja-JP"/>
        </w:rPr>
        <w:t>m administrative procedures or burden on caregiv</w:t>
      </w:r>
      <w:r w:rsidR="003E6C07">
        <w:rPr>
          <w:lang w:eastAsia="ja-JP"/>
        </w:rPr>
        <w:t>e</w:t>
      </w:r>
      <w:r w:rsidR="001C5D84">
        <w:rPr>
          <w:lang w:eastAsia="ja-JP"/>
        </w:rPr>
        <w:t xml:space="preserve">rs), and/or high </w:t>
      </w:r>
      <w:r w:rsidR="003E6C07">
        <w:rPr>
          <w:lang w:eastAsia="ja-JP"/>
        </w:rPr>
        <w:t xml:space="preserve">ratio of PD patients to PD nurses </w:t>
      </w:r>
      <w:r w:rsidR="00BD3C16">
        <w:rPr>
          <w:color w:val="000000"/>
          <w:lang w:eastAsia="ja-JP"/>
        </w:rPr>
        <w:t>[</w:t>
      </w:r>
      <w:r w:rsidR="00FB1D43">
        <w:rPr>
          <w:color w:val="000000"/>
          <w:lang w:eastAsia="ja-JP"/>
        </w:rPr>
        <w:t>52, 53]</w:t>
      </w:r>
      <w:r w:rsidR="003E6C07">
        <w:rPr>
          <w:lang w:eastAsia="ja-JP"/>
        </w:rPr>
        <w:t>.</w:t>
      </w:r>
    </w:p>
    <w:p w14:paraId="721B0766" w14:textId="11F7BCBC" w:rsidR="006348D9" w:rsidRDefault="006348D9">
      <w:pPr>
        <w:rPr>
          <w:lang w:eastAsia="ja-JP"/>
        </w:rPr>
      </w:pPr>
      <w:r>
        <w:rPr>
          <w:lang w:eastAsia="ja-JP"/>
        </w:rPr>
        <w:br w:type="page"/>
      </w:r>
    </w:p>
    <w:p w14:paraId="4F774D03" w14:textId="77777777" w:rsidR="00C87977" w:rsidRDefault="00C87977" w:rsidP="00264695">
      <w:pPr>
        <w:rPr>
          <w:b/>
          <w:bCs/>
          <w:lang w:eastAsia="ja-JP"/>
        </w:rPr>
        <w:sectPr w:rsidR="00C87977" w:rsidSect="003947B5">
          <w:pgSz w:w="15840" w:h="12240" w:orient="landscape"/>
          <w:pgMar w:top="1440" w:right="1440" w:bottom="1440" w:left="1440" w:header="720" w:footer="720" w:gutter="0"/>
          <w:cols w:space="720"/>
          <w:docGrid w:linePitch="360"/>
        </w:sectPr>
      </w:pPr>
    </w:p>
    <w:p w14:paraId="68102254" w14:textId="6060A0E5" w:rsidR="006348D9" w:rsidRDefault="006348D9" w:rsidP="00264695">
      <w:pPr>
        <w:rPr>
          <w:lang w:eastAsia="ja-JP"/>
        </w:rPr>
      </w:pPr>
      <w:r>
        <w:rPr>
          <w:b/>
          <w:bCs/>
          <w:lang w:eastAsia="ja-JP"/>
        </w:rPr>
        <w:lastRenderedPageBreak/>
        <w:t xml:space="preserve">Table S2d. </w:t>
      </w:r>
      <w:r>
        <w:rPr>
          <w:lang w:eastAsia="ja-JP"/>
        </w:rPr>
        <w:t>Calibration sets for structural analysis.</w:t>
      </w:r>
    </w:p>
    <w:tbl>
      <w:tblPr>
        <w:tblStyle w:val="TableGridLight"/>
        <w:tblW w:w="9493" w:type="dxa"/>
        <w:tblLook w:val="04A0" w:firstRow="1" w:lastRow="0" w:firstColumn="1" w:lastColumn="0" w:noHBand="0" w:noVBand="1"/>
      </w:tblPr>
      <w:tblGrid>
        <w:gridCol w:w="421"/>
        <w:gridCol w:w="6520"/>
        <w:gridCol w:w="2552"/>
      </w:tblGrid>
      <w:tr w:rsidR="00C87977" w14:paraId="72AB1300" w14:textId="77777777" w:rsidTr="002464C9">
        <w:trPr>
          <w:trHeight w:val="397"/>
        </w:trPr>
        <w:tc>
          <w:tcPr>
            <w:tcW w:w="421" w:type="dxa"/>
            <w:shd w:val="clear" w:color="auto" w:fill="002060"/>
          </w:tcPr>
          <w:p w14:paraId="4F3EF573" w14:textId="339CA11C" w:rsidR="00C87977" w:rsidRPr="004377AD" w:rsidRDefault="00C87977" w:rsidP="008B4B83">
            <w:pPr>
              <w:rPr>
                <w:b/>
                <w:bCs/>
                <w:lang w:eastAsia="ja-JP"/>
              </w:rPr>
            </w:pPr>
            <w:r>
              <w:rPr>
                <w:b/>
                <w:bCs/>
                <w:lang w:eastAsia="ja-JP"/>
              </w:rPr>
              <w:t>#</w:t>
            </w:r>
          </w:p>
        </w:tc>
        <w:tc>
          <w:tcPr>
            <w:tcW w:w="6520" w:type="dxa"/>
            <w:shd w:val="clear" w:color="auto" w:fill="002060"/>
          </w:tcPr>
          <w:p w14:paraId="3D5B193D" w14:textId="77777777" w:rsidR="00C87977" w:rsidRPr="004377AD" w:rsidRDefault="00C87977" w:rsidP="008B4B83">
            <w:pPr>
              <w:rPr>
                <w:b/>
                <w:bCs/>
                <w:lang w:eastAsia="ja-JP"/>
              </w:rPr>
            </w:pPr>
            <w:r w:rsidRPr="004377AD">
              <w:rPr>
                <w:b/>
                <w:bCs/>
                <w:lang w:eastAsia="ja-JP"/>
              </w:rPr>
              <w:t>Description</w:t>
            </w:r>
          </w:p>
        </w:tc>
        <w:tc>
          <w:tcPr>
            <w:tcW w:w="2552" w:type="dxa"/>
            <w:shd w:val="clear" w:color="auto" w:fill="002060"/>
          </w:tcPr>
          <w:p w14:paraId="6AE4188B" w14:textId="27161341" w:rsidR="00C87977" w:rsidRPr="004377AD" w:rsidRDefault="00CF22AB" w:rsidP="008B4B83">
            <w:pPr>
              <w:rPr>
                <w:b/>
                <w:bCs/>
                <w:lang w:eastAsia="ja-JP"/>
              </w:rPr>
            </w:pPr>
            <w:r>
              <w:rPr>
                <w:b/>
                <w:bCs/>
                <w:lang w:eastAsia="ja-JP"/>
              </w:rPr>
              <w:t>Parameter set</w:t>
            </w:r>
          </w:p>
        </w:tc>
      </w:tr>
      <w:tr w:rsidR="00C87977" w14:paraId="4F0FD04A" w14:textId="77777777" w:rsidTr="002464C9">
        <w:trPr>
          <w:trHeight w:val="397"/>
        </w:trPr>
        <w:tc>
          <w:tcPr>
            <w:tcW w:w="421" w:type="dxa"/>
          </w:tcPr>
          <w:p w14:paraId="2804E315" w14:textId="1DCB37BF" w:rsidR="00C87977" w:rsidRDefault="00483320" w:rsidP="008B4B83">
            <w:pPr>
              <w:rPr>
                <w:lang w:eastAsia="ja-JP"/>
              </w:rPr>
            </w:pPr>
            <w:r>
              <w:rPr>
                <w:lang w:eastAsia="ja-JP"/>
              </w:rPr>
              <w:t>1</w:t>
            </w:r>
          </w:p>
        </w:tc>
        <w:tc>
          <w:tcPr>
            <w:tcW w:w="6520" w:type="dxa"/>
          </w:tcPr>
          <w:p w14:paraId="5E886EAD" w14:textId="6B59482E" w:rsidR="00C87977" w:rsidRPr="00560AEE" w:rsidRDefault="004C1CA1" w:rsidP="00CF22AB">
            <w:pPr>
              <w:spacing w:line="276" w:lineRule="auto"/>
              <w:rPr>
                <w:lang w:eastAsia="ja-JP"/>
              </w:rPr>
            </w:pPr>
            <w:r>
              <w:rPr>
                <w:b/>
                <w:bCs/>
                <w:lang w:eastAsia="ja-JP"/>
              </w:rPr>
              <w:t xml:space="preserve">Lower bound of PD-refusers: </w:t>
            </w:r>
            <w:r w:rsidR="00560AEE" w:rsidRPr="00560AEE">
              <w:rPr>
                <w:lang w:eastAsia="ja-JP"/>
              </w:rPr>
              <w:t>calibrated according to the lower bound for SSO_PDrefuse</w:t>
            </w:r>
          </w:p>
        </w:tc>
        <w:tc>
          <w:tcPr>
            <w:tcW w:w="2552" w:type="dxa"/>
          </w:tcPr>
          <w:p w14:paraId="0857A6AC" w14:textId="21AC31FF" w:rsidR="002600AD" w:rsidRDefault="002600AD" w:rsidP="002464C9">
            <w:pPr>
              <w:spacing w:after="120"/>
              <w:rPr>
                <w:lang w:eastAsia="ja-JP"/>
              </w:rPr>
            </w:pPr>
            <w:r w:rsidRPr="002600AD">
              <w:rPr>
                <w:lang w:eastAsia="ja-JP"/>
              </w:rPr>
              <w:t>aDFsupply_factor</w:t>
            </w:r>
            <w:r>
              <w:rPr>
                <w:lang w:eastAsia="ja-JP"/>
              </w:rPr>
              <w:t>: 8</w:t>
            </w:r>
          </w:p>
          <w:p w14:paraId="36DAC25B" w14:textId="3821EB96" w:rsidR="00C87977" w:rsidRDefault="00510C83" w:rsidP="002464C9">
            <w:pPr>
              <w:spacing w:after="120"/>
              <w:rPr>
                <w:lang w:eastAsia="ja-JP"/>
              </w:rPr>
            </w:pPr>
            <w:r>
              <w:rPr>
                <w:lang w:eastAsia="ja-JP"/>
              </w:rPr>
              <w:t>SSO_PDrefuse: 0.02</w:t>
            </w:r>
          </w:p>
          <w:p w14:paraId="330AB8B7" w14:textId="4EB5EA19" w:rsidR="00510C83" w:rsidRDefault="00510C83" w:rsidP="002464C9">
            <w:pPr>
              <w:spacing w:after="120"/>
              <w:rPr>
                <w:lang w:eastAsia="ja-JP"/>
              </w:rPr>
            </w:pPr>
            <w:r>
              <w:rPr>
                <w:lang w:eastAsia="ja-JP"/>
              </w:rPr>
              <w:t>aDF_prem_k: 0.0028</w:t>
            </w:r>
          </w:p>
        </w:tc>
      </w:tr>
      <w:tr w:rsidR="00C87977" w14:paraId="5D73A16A" w14:textId="77777777" w:rsidTr="002464C9">
        <w:trPr>
          <w:trHeight w:val="397"/>
        </w:trPr>
        <w:tc>
          <w:tcPr>
            <w:tcW w:w="421" w:type="dxa"/>
          </w:tcPr>
          <w:p w14:paraId="2CB693D4" w14:textId="120157E4" w:rsidR="00C87977" w:rsidRDefault="00483320" w:rsidP="008B4B83">
            <w:pPr>
              <w:rPr>
                <w:lang w:eastAsia="ja-JP"/>
              </w:rPr>
            </w:pPr>
            <w:r>
              <w:rPr>
                <w:lang w:eastAsia="ja-JP"/>
              </w:rPr>
              <w:t>2</w:t>
            </w:r>
          </w:p>
        </w:tc>
        <w:tc>
          <w:tcPr>
            <w:tcW w:w="6520" w:type="dxa"/>
          </w:tcPr>
          <w:p w14:paraId="735209E6" w14:textId="2E91086A" w:rsidR="00C87977" w:rsidRPr="00510C83" w:rsidRDefault="004C1CA1" w:rsidP="00CF22AB">
            <w:pPr>
              <w:spacing w:line="276" w:lineRule="auto"/>
              <w:rPr>
                <w:b/>
                <w:bCs/>
                <w:lang w:eastAsia="ja-JP"/>
              </w:rPr>
            </w:pPr>
            <w:r w:rsidRPr="00483320">
              <w:rPr>
                <w:b/>
                <w:bCs/>
                <w:lang w:eastAsia="ja-JP"/>
              </w:rPr>
              <w:t>No premature HD initiation</w:t>
            </w:r>
            <w:r>
              <w:rPr>
                <w:lang w:eastAsia="ja-JP"/>
              </w:rPr>
              <w:t xml:space="preserve">: </w:t>
            </w:r>
            <w:r w:rsidRPr="00483320">
              <w:rPr>
                <w:lang w:eastAsia="ja-JP"/>
              </w:rPr>
              <w:t xml:space="preserve">to achieve a good fit to the data, an equivalent of 50% pre-2022 policy dialysis patients would have to be joining from other health insurance schemes or have previously refused PD, which is not consistent with the data (we estimate an upper bound of 20%, see Table S2b). </w:t>
            </w:r>
            <w:r>
              <w:rPr>
                <w:lang w:eastAsia="ja-JP"/>
              </w:rPr>
              <w:t>We therefore r</w:t>
            </w:r>
            <w:r w:rsidRPr="00483320">
              <w:rPr>
                <w:lang w:eastAsia="ja-JP"/>
              </w:rPr>
              <w:t>e-calibrat</w:t>
            </w:r>
            <w:r>
              <w:rPr>
                <w:lang w:eastAsia="ja-JP"/>
              </w:rPr>
              <w:t>ed</w:t>
            </w:r>
            <w:r w:rsidRPr="00483320">
              <w:rPr>
                <w:lang w:eastAsia="ja-JP"/>
              </w:rPr>
              <w:t xml:space="preserve"> the model with the upper bound for patients who would have self-paid or accessed care under other health insurance schemes prior to the 2022 policy</w:t>
            </w:r>
            <w:r>
              <w:rPr>
                <w:lang w:eastAsia="ja-JP"/>
              </w:rPr>
              <w:t>.</w:t>
            </w:r>
          </w:p>
        </w:tc>
        <w:tc>
          <w:tcPr>
            <w:tcW w:w="2552" w:type="dxa"/>
          </w:tcPr>
          <w:p w14:paraId="407EBFE9" w14:textId="6606BCBB" w:rsidR="00560AEE" w:rsidRDefault="00560AEE" w:rsidP="002464C9">
            <w:pPr>
              <w:spacing w:after="120"/>
              <w:rPr>
                <w:lang w:eastAsia="ja-JP"/>
              </w:rPr>
            </w:pPr>
            <w:r>
              <w:rPr>
                <w:lang w:eastAsia="ja-JP"/>
              </w:rPr>
              <w:t>SSO_PDrefuse: 0.2</w:t>
            </w:r>
          </w:p>
          <w:p w14:paraId="2D52AD40" w14:textId="2B833B82" w:rsidR="00C87977" w:rsidRDefault="00560AEE" w:rsidP="002464C9">
            <w:pPr>
              <w:spacing w:after="120"/>
              <w:rPr>
                <w:lang w:eastAsia="ja-JP"/>
              </w:rPr>
            </w:pPr>
            <w:r>
              <w:rPr>
                <w:lang w:eastAsia="ja-JP"/>
              </w:rPr>
              <w:t>aDF_prem_k: 0.002</w:t>
            </w:r>
          </w:p>
        </w:tc>
      </w:tr>
      <w:tr w:rsidR="00C87977" w14:paraId="19199BE7" w14:textId="77777777" w:rsidTr="002464C9">
        <w:trPr>
          <w:trHeight w:val="397"/>
        </w:trPr>
        <w:tc>
          <w:tcPr>
            <w:tcW w:w="421" w:type="dxa"/>
          </w:tcPr>
          <w:p w14:paraId="380451C6" w14:textId="7841C3AE" w:rsidR="00C87977" w:rsidRDefault="00483320" w:rsidP="008B4B83">
            <w:pPr>
              <w:rPr>
                <w:lang w:eastAsia="ja-JP"/>
              </w:rPr>
            </w:pPr>
            <w:r>
              <w:rPr>
                <w:lang w:eastAsia="ja-JP"/>
              </w:rPr>
              <w:t>3</w:t>
            </w:r>
          </w:p>
        </w:tc>
        <w:tc>
          <w:tcPr>
            <w:tcW w:w="6520" w:type="dxa"/>
          </w:tcPr>
          <w:p w14:paraId="18C1F2D9" w14:textId="66BFA9AC" w:rsidR="00C87977" w:rsidRPr="002600AD" w:rsidRDefault="002600AD" w:rsidP="00CF22AB">
            <w:pPr>
              <w:spacing w:line="276" w:lineRule="auto"/>
              <w:rPr>
                <w:b/>
                <w:bCs/>
                <w:lang w:eastAsia="ja-JP"/>
              </w:rPr>
            </w:pPr>
            <w:r>
              <w:rPr>
                <w:b/>
                <w:bCs/>
                <w:lang w:eastAsia="ja-JP"/>
              </w:rPr>
              <w:t>PD-eligible choice is influenced by perceived and not actual peritonitis risk</w:t>
            </w:r>
          </w:p>
        </w:tc>
        <w:tc>
          <w:tcPr>
            <w:tcW w:w="2552" w:type="dxa"/>
          </w:tcPr>
          <w:p w14:paraId="0D985AFD" w14:textId="77777777" w:rsidR="00C87977" w:rsidRDefault="00BD5C1E" w:rsidP="002464C9">
            <w:pPr>
              <w:spacing w:after="120"/>
              <w:rPr>
                <w:lang w:eastAsia="ja-JP"/>
              </w:rPr>
            </w:pPr>
            <w:r w:rsidRPr="00BD5C1E">
              <w:rPr>
                <w:lang w:eastAsia="ja-JP"/>
              </w:rPr>
              <w:t>aPD_peritonitis_k</w:t>
            </w:r>
            <w:r>
              <w:rPr>
                <w:lang w:eastAsia="ja-JP"/>
              </w:rPr>
              <w:t>: 0</w:t>
            </w:r>
          </w:p>
          <w:p w14:paraId="638E211B" w14:textId="55EE746C" w:rsidR="00BD5C1E" w:rsidRDefault="00BD5C1E" w:rsidP="002464C9">
            <w:pPr>
              <w:spacing w:after="120"/>
              <w:rPr>
                <w:lang w:eastAsia="ja-JP"/>
              </w:rPr>
            </w:pPr>
            <w:r w:rsidRPr="00BD5C1E">
              <w:rPr>
                <w:lang w:eastAsia="ja-JP"/>
              </w:rPr>
              <w:t>aDF_PD_k</w:t>
            </w:r>
            <w:r>
              <w:rPr>
                <w:lang w:eastAsia="ja-JP"/>
              </w:rPr>
              <w:t>: 0.0022</w:t>
            </w:r>
          </w:p>
        </w:tc>
      </w:tr>
    </w:tbl>
    <w:p w14:paraId="46119A5F" w14:textId="77777777" w:rsidR="0068408A" w:rsidRPr="006348D9" w:rsidRDefault="0068408A" w:rsidP="00264695">
      <w:pPr>
        <w:rPr>
          <w:lang w:eastAsia="ja-JP"/>
        </w:rPr>
      </w:pPr>
    </w:p>
    <w:p w14:paraId="2A420724" w14:textId="2A4A6001" w:rsidR="000B25A5" w:rsidRDefault="000B25A5">
      <w:pPr>
        <w:rPr>
          <w:b/>
          <w:bCs/>
          <w:lang w:eastAsia="ja-JP"/>
        </w:rPr>
      </w:pPr>
    </w:p>
    <w:sectPr w:rsidR="000B25A5" w:rsidSect="00C879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695"/>
    <w:rsid w:val="00001FD4"/>
    <w:rsid w:val="000024B3"/>
    <w:rsid w:val="0000316E"/>
    <w:rsid w:val="000035F5"/>
    <w:rsid w:val="000166C0"/>
    <w:rsid w:val="000213EA"/>
    <w:rsid w:val="0003085B"/>
    <w:rsid w:val="00053B20"/>
    <w:rsid w:val="0006774B"/>
    <w:rsid w:val="00072986"/>
    <w:rsid w:val="00074C57"/>
    <w:rsid w:val="000A45E3"/>
    <w:rsid w:val="000B25A5"/>
    <w:rsid w:val="000B2FFB"/>
    <w:rsid w:val="000B67B9"/>
    <w:rsid w:val="000C10FD"/>
    <w:rsid w:val="000C72DD"/>
    <w:rsid w:val="000D3493"/>
    <w:rsid w:val="000D6A61"/>
    <w:rsid w:val="000E20A1"/>
    <w:rsid w:val="000F0587"/>
    <w:rsid w:val="000F4E64"/>
    <w:rsid w:val="00103AE6"/>
    <w:rsid w:val="00125719"/>
    <w:rsid w:val="00145312"/>
    <w:rsid w:val="00151961"/>
    <w:rsid w:val="001A09E3"/>
    <w:rsid w:val="001C5379"/>
    <w:rsid w:val="001C58D5"/>
    <w:rsid w:val="001C5D84"/>
    <w:rsid w:val="00206BDC"/>
    <w:rsid w:val="00210B4B"/>
    <w:rsid w:val="0022570A"/>
    <w:rsid w:val="0022636C"/>
    <w:rsid w:val="0022640D"/>
    <w:rsid w:val="00240C34"/>
    <w:rsid w:val="002464C9"/>
    <w:rsid w:val="00254625"/>
    <w:rsid w:val="002600AD"/>
    <w:rsid w:val="00260CC3"/>
    <w:rsid w:val="00264695"/>
    <w:rsid w:val="00272FF8"/>
    <w:rsid w:val="00290EFF"/>
    <w:rsid w:val="002B39B9"/>
    <w:rsid w:val="002B524D"/>
    <w:rsid w:val="002C0625"/>
    <w:rsid w:val="002C6210"/>
    <w:rsid w:val="002C6B7B"/>
    <w:rsid w:val="002D4DE0"/>
    <w:rsid w:val="002E3A73"/>
    <w:rsid w:val="00336DF7"/>
    <w:rsid w:val="003446CC"/>
    <w:rsid w:val="003527B6"/>
    <w:rsid w:val="003535A4"/>
    <w:rsid w:val="00354761"/>
    <w:rsid w:val="003563E9"/>
    <w:rsid w:val="003601F1"/>
    <w:rsid w:val="00366C88"/>
    <w:rsid w:val="00366F23"/>
    <w:rsid w:val="0037718E"/>
    <w:rsid w:val="003856E5"/>
    <w:rsid w:val="003947B5"/>
    <w:rsid w:val="003969BB"/>
    <w:rsid w:val="003B31A1"/>
    <w:rsid w:val="003E6C07"/>
    <w:rsid w:val="003F4D36"/>
    <w:rsid w:val="003F6C94"/>
    <w:rsid w:val="00407327"/>
    <w:rsid w:val="004300B6"/>
    <w:rsid w:val="004377AD"/>
    <w:rsid w:val="00445CC5"/>
    <w:rsid w:val="0044773C"/>
    <w:rsid w:val="00456FA5"/>
    <w:rsid w:val="004669F0"/>
    <w:rsid w:val="0047428B"/>
    <w:rsid w:val="00483320"/>
    <w:rsid w:val="00491BA5"/>
    <w:rsid w:val="004968DD"/>
    <w:rsid w:val="004B25B4"/>
    <w:rsid w:val="004C1CA1"/>
    <w:rsid w:val="004C3F98"/>
    <w:rsid w:val="004D3785"/>
    <w:rsid w:val="004E4EE6"/>
    <w:rsid w:val="004E613E"/>
    <w:rsid w:val="00510C83"/>
    <w:rsid w:val="00546458"/>
    <w:rsid w:val="00560AEE"/>
    <w:rsid w:val="0057791B"/>
    <w:rsid w:val="005851E0"/>
    <w:rsid w:val="005C0271"/>
    <w:rsid w:val="005D1A1A"/>
    <w:rsid w:val="005D4C56"/>
    <w:rsid w:val="005F00CA"/>
    <w:rsid w:val="00601DA4"/>
    <w:rsid w:val="006024F6"/>
    <w:rsid w:val="0061009C"/>
    <w:rsid w:val="00621098"/>
    <w:rsid w:val="006348D9"/>
    <w:rsid w:val="00637BE5"/>
    <w:rsid w:val="00683092"/>
    <w:rsid w:val="0068408A"/>
    <w:rsid w:val="00692790"/>
    <w:rsid w:val="006B3F6B"/>
    <w:rsid w:val="006C5071"/>
    <w:rsid w:val="006E3ADB"/>
    <w:rsid w:val="006F08EE"/>
    <w:rsid w:val="006F1642"/>
    <w:rsid w:val="007240DC"/>
    <w:rsid w:val="007279A7"/>
    <w:rsid w:val="00730B21"/>
    <w:rsid w:val="007323A8"/>
    <w:rsid w:val="007820C8"/>
    <w:rsid w:val="00792B55"/>
    <w:rsid w:val="007A0772"/>
    <w:rsid w:val="007A4457"/>
    <w:rsid w:val="007B6C20"/>
    <w:rsid w:val="007C6037"/>
    <w:rsid w:val="007C6626"/>
    <w:rsid w:val="007E501F"/>
    <w:rsid w:val="007F4529"/>
    <w:rsid w:val="008024E4"/>
    <w:rsid w:val="00802A78"/>
    <w:rsid w:val="0080523B"/>
    <w:rsid w:val="00805C63"/>
    <w:rsid w:val="00812D6F"/>
    <w:rsid w:val="00821F7C"/>
    <w:rsid w:val="00832E91"/>
    <w:rsid w:val="00834626"/>
    <w:rsid w:val="00850F64"/>
    <w:rsid w:val="00892547"/>
    <w:rsid w:val="008A537F"/>
    <w:rsid w:val="008C7DA0"/>
    <w:rsid w:val="008D46CE"/>
    <w:rsid w:val="008D6B7D"/>
    <w:rsid w:val="008E77F3"/>
    <w:rsid w:val="009217B4"/>
    <w:rsid w:val="009310DC"/>
    <w:rsid w:val="00940BF0"/>
    <w:rsid w:val="00941C33"/>
    <w:rsid w:val="00943A28"/>
    <w:rsid w:val="00973F61"/>
    <w:rsid w:val="00992065"/>
    <w:rsid w:val="009B0FFB"/>
    <w:rsid w:val="009E03E5"/>
    <w:rsid w:val="009F1E89"/>
    <w:rsid w:val="009F274E"/>
    <w:rsid w:val="009F4AC9"/>
    <w:rsid w:val="00A148C1"/>
    <w:rsid w:val="00A215C4"/>
    <w:rsid w:val="00A50F77"/>
    <w:rsid w:val="00A52E07"/>
    <w:rsid w:val="00A55F01"/>
    <w:rsid w:val="00A60104"/>
    <w:rsid w:val="00A646EE"/>
    <w:rsid w:val="00A774AC"/>
    <w:rsid w:val="00A81AE0"/>
    <w:rsid w:val="00A87CA8"/>
    <w:rsid w:val="00AC0A4F"/>
    <w:rsid w:val="00AC5E83"/>
    <w:rsid w:val="00AE3169"/>
    <w:rsid w:val="00AE7326"/>
    <w:rsid w:val="00B04337"/>
    <w:rsid w:val="00B04C8A"/>
    <w:rsid w:val="00B27DAB"/>
    <w:rsid w:val="00B52A0F"/>
    <w:rsid w:val="00B91089"/>
    <w:rsid w:val="00B91290"/>
    <w:rsid w:val="00B9423A"/>
    <w:rsid w:val="00BA144E"/>
    <w:rsid w:val="00BB0ED2"/>
    <w:rsid w:val="00BB2C8D"/>
    <w:rsid w:val="00BB3A83"/>
    <w:rsid w:val="00BB41F5"/>
    <w:rsid w:val="00BB6DAF"/>
    <w:rsid w:val="00BD35AC"/>
    <w:rsid w:val="00BD3C16"/>
    <w:rsid w:val="00BD5C1E"/>
    <w:rsid w:val="00BE1C33"/>
    <w:rsid w:val="00BE1E4F"/>
    <w:rsid w:val="00BE7909"/>
    <w:rsid w:val="00BF4FCE"/>
    <w:rsid w:val="00C23D46"/>
    <w:rsid w:val="00C27D7B"/>
    <w:rsid w:val="00C32326"/>
    <w:rsid w:val="00C33BEA"/>
    <w:rsid w:val="00C571A3"/>
    <w:rsid w:val="00C63AC3"/>
    <w:rsid w:val="00C861B3"/>
    <w:rsid w:val="00C87977"/>
    <w:rsid w:val="00C879DF"/>
    <w:rsid w:val="00C87BA7"/>
    <w:rsid w:val="00CA71ED"/>
    <w:rsid w:val="00CB00CE"/>
    <w:rsid w:val="00CB21B8"/>
    <w:rsid w:val="00CB5913"/>
    <w:rsid w:val="00CD1443"/>
    <w:rsid w:val="00CD354C"/>
    <w:rsid w:val="00CD4640"/>
    <w:rsid w:val="00CE4D66"/>
    <w:rsid w:val="00CF22AB"/>
    <w:rsid w:val="00CF43FF"/>
    <w:rsid w:val="00D10FC4"/>
    <w:rsid w:val="00D21DAE"/>
    <w:rsid w:val="00D23061"/>
    <w:rsid w:val="00D34DCA"/>
    <w:rsid w:val="00D66F36"/>
    <w:rsid w:val="00D71DD4"/>
    <w:rsid w:val="00D72347"/>
    <w:rsid w:val="00D742D7"/>
    <w:rsid w:val="00D84993"/>
    <w:rsid w:val="00DA0086"/>
    <w:rsid w:val="00DC2C89"/>
    <w:rsid w:val="00DC4248"/>
    <w:rsid w:val="00E014C7"/>
    <w:rsid w:val="00E140C4"/>
    <w:rsid w:val="00E31C4B"/>
    <w:rsid w:val="00E31E59"/>
    <w:rsid w:val="00E6305D"/>
    <w:rsid w:val="00E65910"/>
    <w:rsid w:val="00E66840"/>
    <w:rsid w:val="00E76B0C"/>
    <w:rsid w:val="00E96E67"/>
    <w:rsid w:val="00EA51C1"/>
    <w:rsid w:val="00EA5E95"/>
    <w:rsid w:val="00EB794E"/>
    <w:rsid w:val="00EB7BE6"/>
    <w:rsid w:val="00EE599B"/>
    <w:rsid w:val="00EE7B75"/>
    <w:rsid w:val="00EE7B86"/>
    <w:rsid w:val="00EF5FCE"/>
    <w:rsid w:val="00F24C02"/>
    <w:rsid w:val="00F26571"/>
    <w:rsid w:val="00F464DC"/>
    <w:rsid w:val="00F640CE"/>
    <w:rsid w:val="00F64FD1"/>
    <w:rsid w:val="00F718AE"/>
    <w:rsid w:val="00F8127B"/>
    <w:rsid w:val="00F90239"/>
    <w:rsid w:val="00F90DC7"/>
    <w:rsid w:val="00F92818"/>
    <w:rsid w:val="00FA4F89"/>
    <w:rsid w:val="00FB1D43"/>
    <w:rsid w:val="00FB399B"/>
    <w:rsid w:val="00FB605E"/>
    <w:rsid w:val="00FC47C7"/>
    <w:rsid w:val="00FD2EE3"/>
    <w:rsid w:val="00FE05A2"/>
    <w:rsid w:val="00FF01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A9D12"/>
  <w15:chartTrackingRefBased/>
  <w15:docId w15:val="{30A2CB10-0DF0-4A5F-884A-A3A680C52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4695"/>
    <w:pPr>
      <w:spacing w:after="80" w:line="240" w:lineRule="auto"/>
      <w:contextualSpacing/>
      <w:outlineLvl w:val="0"/>
    </w:pPr>
    <w:rPr>
      <w:rFonts w:ascii="Aptos Display" w:eastAsia="Times New Roman" w:hAnsi="Aptos Display" w:cs="Times New Roman"/>
      <w:sz w:val="40"/>
      <w:szCs w:val="40"/>
      <w:lang w:eastAsia="ja-JP"/>
      <w14:ligatures w14:val="none"/>
    </w:rPr>
  </w:style>
  <w:style w:type="paragraph" w:styleId="Heading2">
    <w:name w:val="heading 2"/>
    <w:basedOn w:val="Normal"/>
    <w:next w:val="Normal"/>
    <w:link w:val="Heading2Char"/>
    <w:uiPriority w:val="9"/>
    <w:semiHidden/>
    <w:unhideWhenUsed/>
    <w:qFormat/>
    <w:rsid w:val="002646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46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46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46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46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46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46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46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4695"/>
    <w:rPr>
      <w:rFonts w:ascii="Aptos Display" w:eastAsia="Times New Roman" w:hAnsi="Aptos Display" w:cs="Times New Roman"/>
      <w:sz w:val="40"/>
      <w:szCs w:val="40"/>
      <w:lang w:eastAsia="ja-JP"/>
      <w14:ligatures w14:val="none"/>
    </w:rPr>
  </w:style>
  <w:style w:type="character" w:customStyle="1" w:styleId="Heading2Char">
    <w:name w:val="Heading 2 Char"/>
    <w:basedOn w:val="DefaultParagraphFont"/>
    <w:link w:val="Heading2"/>
    <w:uiPriority w:val="9"/>
    <w:semiHidden/>
    <w:rsid w:val="002646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46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46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46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46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46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46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4695"/>
    <w:rPr>
      <w:rFonts w:eastAsiaTheme="majorEastAsia" w:cstheme="majorBidi"/>
      <w:color w:val="272727" w:themeColor="text1" w:themeTint="D8"/>
    </w:rPr>
  </w:style>
  <w:style w:type="paragraph" w:styleId="Title">
    <w:name w:val="Title"/>
    <w:basedOn w:val="Normal"/>
    <w:next w:val="Normal"/>
    <w:link w:val="TitleChar"/>
    <w:uiPriority w:val="10"/>
    <w:qFormat/>
    <w:rsid w:val="002646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46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46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46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4695"/>
    <w:pPr>
      <w:spacing w:before="160"/>
      <w:jc w:val="center"/>
    </w:pPr>
    <w:rPr>
      <w:i/>
      <w:iCs/>
      <w:color w:val="404040" w:themeColor="text1" w:themeTint="BF"/>
    </w:rPr>
  </w:style>
  <w:style w:type="character" w:customStyle="1" w:styleId="QuoteChar">
    <w:name w:val="Quote Char"/>
    <w:basedOn w:val="DefaultParagraphFont"/>
    <w:link w:val="Quote"/>
    <w:uiPriority w:val="29"/>
    <w:rsid w:val="00264695"/>
    <w:rPr>
      <w:i/>
      <w:iCs/>
      <w:color w:val="404040" w:themeColor="text1" w:themeTint="BF"/>
    </w:rPr>
  </w:style>
  <w:style w:type="paragraph" w:styleId="ListParagraph">
    <w:name w:val="List Paragraph"/>
    <w:basedOn w:val="Normal"/>
    <w:uiPriority w:val="34"/>
    <w:qFormat/>
    <w:rsid w:val="00264695"/>
    <w:pPr>
      <w:ind w:left="720"/>
      <w:contextualSpacing/>
    </w:pPr>
  </w:style>
  <w:style w:type="character" w:styleId="IntenseEmphasis">
    <w:name w:val="Intense Emphasis"/>
    <w:basedOn w:val="DefaultParagraphFont"/>
    <w:uiPriority w:val="21"/>
    <w:qFormat/>
    <w:rsid w:val="00264695"/>
    <w:rPr>
      <w:i/>
      <w:iCs/>
      <w:color w:val="0F4761" w:themeColor="accent1" w:themeShade="BF"/>
    </w:rPr>
  </w:style>
  <w:style w:type="paragraph" w:styleId="IntenseQuote">
    <w:name w:val="Intense Quote"/>
    <w:basedOn w:val="Normal"/>
    <w:next w:val="Normal"/>
    <w:link w:val="IntenseQuoteChar"/>
    <w:uiPriority w:val="30"/>
    <w:qFormat/>
    <w:rsid w:val="002646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4695"/>
    <w:rPr>
      <w:i/>
      <w:iCs/>
      <w:color w:val="0F4761" w:themeColor="accent1" w:themeShade="BF"/>
    </w:rPr>
  </w:style>
  <w:style w:type="character" w:styleId="IntenseReference">
    <w:name w:val="Intense Reference"/>
    <w:basedOn w:val="DefaultParagraphFont"/>
    <w:uiPriority w:val="32"/>
    <w:qFormat/>
    <w:rsid w:val="00264695"/>
    <w:rPr>
      <w:b/>
      <w:bCs/>
      <w:smallCaps/>
      <w:color w:val="0F4761" w:themeColor="accent1" w:themeShade="BF"/>
      <w:spacing w:val="5"/>
    </w:rPr>
  </w:style>
  <w:style w:type="table" w:styleId="TableGrid">
    <w:name w:val="Table Grid"/>
    <w:basedOn w:val="TableNormal"/>
    <w:uiPriority w:val="39"/>
    <w:rsid w:val="00CB21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CB21B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7279A7"/>
    <w:rPr>
      <w:color w:val="666666"/>
    </w:rPr>
  </w:style>
  <w:style w:type="paragraph" w:styleId="Revision">
    <w:name w:val="Revision"/>
    <w:hidden/>
    <w:uiPriority w:val="99"/>
    <w:semiHidden/>
    <w:rsid w:val="00E96E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7529">
      <w:marLeft w:val="0"/>
      <w:marRight w:val="0"/>
      <w:marTop w:val="0"/>
      <w:marBottom w:val="0"/>
      <w:divBdr>
        <w:top w:val="none" w:sz="0" w:space="0" w:color="auto"/>
        <w:left w:val="none" w:sz="0" w:space="0" w:color="auto"/>
        <w:bottom w:val="none" w:sz="0" w:space="0" w:color="auto"/>
        <w:right w:val="none" w:sz="0" w:space="0" w:color="auto"/>
      </w:divBdr>
    </w:div>
    <w:div w:id="13269967">
      <w:marLeft w:val="0"/>
      <w:marRight w:val="0"/>
      <w:marTop w:val="0"/>
      <w:marBottom w:val="0"/>
      <w:divBdr>
        <w:top w:val="none" w:sz="0" w:space="0" w:color="auto"/>
        <w:left w:val="none" w:sz="0" w:space="0" w:color="auto"/>
        <w:bottom w:val="none" w:sz="0" w:space="0" w:color="auto"/>
        <w:right w:val="none" w:sz="0" w:space="0" w:color="auto"/>
      </w:divBdr>
    </w:div>
    <w:div w:id="14885421">
      <w:bodyDiv w:val="1"/>
      <w:marLeft w:val="0"/>
      <w:marRight w:val="0"/>
      <w:marTop w:val="0"/>
      <w:marBottom w:val="0"/>
      <w:divBdr>
        <w:top w:val="none" w:sz="0" w:space="0" w:color="auto"/>
        <w:left w:val="none" w:sz="0" w:space="0" w:color="auto"/>
        <w:bottom w:val="none" w:sz="0" w:space="0" w:color="auto"/>
        <w:right w:val="none" w:sz="0" w:space="0" w:color="auto"/>
      </w:divBdr>
      <w:divsChild>
        <w:div w:id="1120147425">
          <w:marLeft w:val="0"/>
          <w:marRight w:val="0"/>
          <w:marTop w:val="0"/>
          <w:marBottom w:val="0"/>
          <w:divBdr>
            <w:top w:val="none" w:sz="0" w:space="0" w:color="auto"/>
            <w:left w:val="none" w:sz="0" w:space="0" w:color="auto"/>
            <w:bottom w:val="none" w:sz="0" w:space="0" w:color="auto"/>
            <w:right w:val="none" w:sz="0" w:space="0" w:color="auto"/>
          </w:divBdr>
        </w:div>
        <w:div w:id="1010255808">
          <w:marLeft w:val="0"/>
          <w:marRight w:val="0"/>
          <w:marTop w:val="0"/>
          <w:marBottom w:val="0"/>
          <w:divBdr>
            <w:top w:val="none" w:sz="0" w:space="0" w:color="auto"/>
            <w:left w:val="none" w:sz="0" w:space="0" w:color="auto"/>
            <w:bottom w:val="none" w:sz="0" w:space="0" w:color="auto"/>
            <w:right w:val="none" w:sz="0" w:space="0" w:color="auto"/>
          </w:divBdr>
        </w:div>
        <w:div w:id="1223179601">
          <w:marLeft w:val="0"/>
          <w:marRight w:val="0"/>
          <w:marTop w:val="0"/>
          <w:marBottom w:val="0"/>
          <w:divBdr>
            <w:top w:val="none" w:sz="0" w:space="0" w:color="auto"/>
            <w:left w:val="none" w:sz="0" w:space="0" w:color="auto"/>
            <w:bottom w:val="none" w:sz="0" w:space="0" w:color="auto"/>
            <w:right w:val="none" w:sz="0" w:space="0" w:color="auto"/>
          </w:divBdr>
        </w:div>
        <w:div w:id="428935499">
          <w:marLeft w:val="0"/>
          <w:marRight w:val="0"/>
          <w:marTop w:val="0"/>
          <w:marBottom w:val="0"/>
          <w:divBdr>
            <w:top w:val="none" w:sz="0" w:space="0" w:color="auto"/>
            <w:left w:val="none" w:sz="0" w:space="0" w:color="auto"/>
            <w:bottom w:val="none" w:sz="0" w:space="0" w:color="auto"/>
            <w:right w:val="none" w:sz="0" w:space="0" w:color="auto"/>
          </w:divBdr>
        </w:div>
        <w:div w:id="758327186">
          <w:marLeft w:val="0"/>
          <w:marRight w:val="0"/>
          <w:marTop w:val="0"/>
          <w:marBottom w:val="0"/>
          <w:divBdr>
            <w:top w:val="none" w:sz="0" w:space="0" w:color="auto"/>
            <w:left w:val="none" w:sz="0" w:space="0" w:color="auto"/>
            <w:bottom w:val="none" w:sz="0" w:space="0" w:color="auto"/>
            <w:right w:val="none" w:sz="0" w:space="0" w:color="auto"/>
          </w:divBdr>
        </w:div>
        <w:div w:id="312296168">
          <w:marLeft w:val="0"/>
          <w:marRight w:val="0"/>
          <w:marTop w:val="0"/>
          <w:marBottom w:val="0"/>
          <w:divBdr>
            <w:top w:val="none" w:sz="0" w:space="0" w:color="auto"/>
            <w:left w:val="none" w:sz="0" w:space="0" w:color="auto"/>
            <w:bottom w:val="none" w:sz="0" w:space="0" w:color="auto"/>
            <w:right w:val="none" w:sz="0" w:space="0" w:color="auto"/>
          </w:divBdr>
        </w:div>
        <w:div w:id="1730692172">
          <w:marLeft w:val="0"/>
          <w:marRight w:val="0"/>
          <w:marTop w:val="0"/>
          <w:marBottom w:val="0"/>
          <w:divBdr>
            <w:top w:val="none" w:sz="0" w:space="0" w:color="auto"/>
            <w:left w:val="none" w:sz="0" w:space="0" w:color="auto"/>
            <w:bottom w:val="none" w:sz="0" w:space="0" w:color="auto"/>
            <w:right w:val="none" w:sz="0" w:space="0" w:color="auto"/>
          </w:divBdr>
        </w:div>
      </w:divsChild>
    </w:div>
    <w:div w:id="58595361">
      <w:marLeft w:val="0"/>
      <w:marRight w:val="0"/>
      <w:marTop w:val="0"/>
      <w:marBottom w:val="0"/>
      <w:divBdr>
        <w:top w:val="none" w:sz="0" w:space="0" w:color="auto"/>
        <w:left w:val="none" w:sz="0" w:space="0" w:color="auto"/>
        <w:bottom w:val="none" w:sz="0" w:space="0" w:color="auto"/>
        <w:right w:val="none" w:sz="0" w:space="0" w:color="auto"/>
      </w:divBdr>
    </w:div>
    <w:div w:id="169831560">
      <w:marLeft w:val="0"/>
      <w:marRight w:val="0"/>
      <w:marTop w:val="0"/>
      <w:marBottom w:val="0"/>
      <w:divBdr>
        <w:top w:val="none" w:sz="0" w:space="0" w:color="auto"/>
        <w:left w:val="none" w:sz="0" w:space="0" w:color="auto"/>
        <w:bottom w:val="none" w:sz="0" w:space="0" w:color="auto"/>
        <w:right w:val="none" w:sz="0" w:space="0" w:color="auto"/>
      </w:divBdr>
    </w:div>
    <w:div w:id="191841608">
      <w:bodyDiv w:val="1"/>
      <w:marLeft w:val="0"/>
      <w:marRight w:val="0"/>
      <w:marTop w:val="0"/>
      <w:marBottom w:val="0"/>
      <w:divBdr>
        <w:top w:val="none" w:sz="0" w:space="0" w:color="auto"/>
        <w:left w:val="none" w:sz="0" w:space="0" w:color="auto"/>
        <w:bottom w:val="none" w:sz="0" w:space="0" w:color="auto"/>
        <w:right w:val="none" w:sz="0" w:space="0" w:color="auto"/>
      </w:divBdr>
      <w:divsChild>
        <w:div w:id="539517743">
          <w:marLeft w:val="0"/>
          <w:marRight w:val="0"/>
          <w:marTop w:val="0"/>
          <w:marBottom w:val="0"/>
          <w:divBdr>
            <w:top w:val="none" w:sz="0" w:space="0" w:color="auto"/>
            <w:left w:val="none" w:sz="0" w:space="0" w:color="auto"/>
            <w:bottom w:val="none" w:sz="0" w:space="0" w:color="auto"/>
            <w:right w:val="none" w:sz="0" w:space="0" w:color="auto"/>
          </w:divBdr>
        </w:div>
        <w:div w:id="354775440">
          <w:marLeft w:val="0"/>
          <w:marRight w:val="0"/>
          <w:marTop w:val="0"/>
          <w:marBottom w:val="0"/>
          <w:divBdr>
            <w:top w:val="none" w:sz="0" w:space="0" w:color="auto"/>
            <w:left w:val="none" w:sz="0" w:space="0" w:color="auto"/>
            <w:bottom w:val="none" w:sz="0" w:space="0" w:color="auto"/>
            <w:right w:val="none" w:sz="0" w:space="0" w:color="auto"/>
          </w:divBdr>
        </w:div>
        <w:div w:id="998121350">
          <w:marLeft w:val="0"/>
          <w:marRight w:val="0"/>
          <w:marTop w:val="0"/>
          <w:marBottom w:val="0"/>
          <w:divBdr>
            <w:top w:val="none" w:sz="0" w:space="0" w:color="auto"/>
            <w:left w:val="none" w:sz="0" w:space="0" w:color="auto"/>
            <w:bottom w:val="none" w:sz="0" w:space="0" w:color="auto"/>
            <w:right w:val="none" w:sz="0" w:space="0" w:color="auto"/>
          </w:divBdr>
        </w:div>
        <w:div w:id="971325670">
          <w:marLeft w:val="0"/>
          <w:marRight w:val="0"/>
          <w:marTop w:val="0"/>
          <w:marBottom w:val="0"/>
          <w:divBdr>
            <w:top w:val="none" w:sz="0" w:space="0" w:color="auto"/>
            <w:left w:val="none" w:sz="0" w:space="0" w:color="auto"/>
            <w:bottom w:val="none" w:sz="0" w:space="0" w:color="auto"/>
            <w:right w:val="none" w:sz="0" w:space="0" w:color="auto"/>
          </w:divBdr>
        </w:div>
        <w:div w:id="1392315791">
          <w:marLeft w:val="0"/>
          <w:marRight w:val="0"/>
          <w:marTop w:val="0"/>
          <w:marBottom w:val="0"/>
          <w:divBdr>
            <w:top w:val="none" w:sz="0" w:space="0" w:color="auto"/>
            <w:left w:val="none" w:sz="0" w:space="0" w:color="auto"/>
            <w:bottom w:val="none" w:sz="0" w:space="0" w:color="auto"/>
            <w:right w:val="none" w:sz="0" w:space="0" w:color="auto"/>
          </w:divBdr>
        </w:div>
        <w:div w:id="1975864460">
          <w:marLeft w:val="0"/>
          <w:marRight w:val="0"/>
          <w:marTop w:val="0"/>
          <w:marBottom w:val="0"/>
          <w:divBdr>
            <w:top w:val="none" w:sz="0" w:space="0" w:color="auto"/>
            <w:left w:val="none" w:sz="0" w:space="0" w:color="auto"/>
            <w:bottom w:val="none" w:sz="0" w:space="0" w:color="auto"/>
            <w:right w:val="none" w:sz="0" w:space="0" w:color="auto"/>
          </w:divBdr>
        </w:div>
        <w:div w:id="1545484667">
          <w:marLeft w:val="0"/>
          <w:marRight w:val="0"/>
          <w:marTop w:val="0"/>
          <w:marBottom w:val="0"/>
          <w:divBdr>
            <w:top w:val="none" w:sz="0" w:space="0" w:color="auto"/>
            <w:left w:val="none" w:sz="0" w:space="0" w:color="auto"/>
            <w:bottom w:val="none" w:sz="0" w:space="0" w:color="auto"/>
            <w:right w:val="none" w:sz="0" w:space="0" w:color="auto"/>
          </w:divBdr>
        </w:div>
      </w:divsChild>
    </w:div>
    <w:div w:id="268661395">
      <w:marLeft w:val="0"/>
      <w:marRight w:val="0"/>
      <w:marTop w:val="0"/>
      <w:marBottom w:val="0"/>
      <w:divBdr>
        <w:top w:val="none" w:sz="0" w:space="0" w:color="auto"/>
        <w:left w:val="none" w:sz="0" w:space="0" w:color="auto"/>
        <w:bottom w:val="none" w:sz="0" w:space="0" w:color="auto"/>
        <w:right w:val="none" w:sz="0" w:space="0" w:color="auto"/>
      </w:divBdr>
    </w:div>
    <w:div w:id="286469107">
      <w:marLeft w:val="0"/>
      <w:marRight w:val="0"/>
      <w:marTop w:val="0"/>
      <w:marBottom w:val="0"/>
      <w:divBdr>
        <w:top w:val="none" w:sz="0" w:space="0" w:color="auto"/>
        <w:left w:val="none" w:sz="0" w:space="0" w:color="auto"/>
        <w:bottom w:val="none" w:sz="0" w:space="0" w:color="auto"/>
        <w:right w:val="none" w:sz="0" w:space="0" w:color="auto"/>
      </w:divBdr>
    </w:div>
    <w:div w:id="300624456">
      <w:bodyDiv w:val="1"/>
      <w:marLeft w:val="0"/>
      <w:marRight w:val="0"/>
      <w:marTop w:val="0"/>
      <w:marBottom w:val="0"/>
      <w:divBdr>
        <w:top w:val="none" w:sz="0" w:space="0" w:color="auto"/>
        <w:left w:val="none" w:sz="0" w:space="0" w:color="auto"/>
        <w:bottom w:val="none" w:sz="0" w:space="0" w:color="auto"/>
        <w:right w:val="none" w:sz="0" w:space="0" w:color="auto"/>
      </w:divBdr>
      <w:divsChild>
        <w:div w:id="354499714">
          <w:marLeft w:val="0"/>
          <w:marRight w:val="0"/>
          <w:marTop w:val="0"/>
          <w:marBottom w:val="0"/>
          <w:divBdr>
            <w:top w:val="none" w:sz="0" w:space="0" w:color="auto"/>
            <w:left w:val="none" w:sz="0" w:space="0" w:color="auto"/>
            <w:bottom w:val="none" w:sz="0" w:space="0" w:color="auto"/>
            <w:right w:val="none" w:sz="0" w:space="0" w:color="auto"/>
          </w:divBdr>
        </w:div>
        <w:div w:id="750585178">
          <w:marLeft w:val="0"/>
          <w:marRight w:val="0"/>
          <w:marTop w:val="0"/>
          <w:marBottom w:val="0"/>
          <w:divBdr>
            <w:top w:val="none" w:sz="0" w:space="0" w:color="auto"/>
            <w:left w:val="none" w:sz="0" w:space="0" w:color="auto"/>
            <w:bottom w:val="none" w:sz="0" w:space="0" w:color="auto"/>
            <w:right w:val="none" w:sz="0" w:space="0" w:color="auto"/>
          </w:divBdr>
        </w:div>
        <w:div w:id="1666860264">
          <w:marLeft w:val="0"/>
          <w:marRight w:val="0"/>
          <w:marTop w:val="0"/>
          <w:marBottom w:val="0"/>
          <w:divBdr>
            <w:top w:val="none" w:sz="0" w:space="0" w:color="auto"/>
            <w:left w:val="none" w:sz="0" w:space="0" w:color="auto"/>
            <w:bottom w:val="none" w:sz="0" w:space="0" w:color="auto"/>
            <w:right w:val="none" w:sz="0" w:space="0" w:color="auto"/>
          </w:divBdr>
        </w:div>
        <w:div w:id="963534964">
          <w:marLeft w:val="0"/>
          <w:marRight w:val="0"/>
          <w:marTop w:val="0"/>
          <w:marBottom w:val="0"/>
          <w:divBdr>
            <w:top w:val="none" w:sz="0" w:space="0" w:color="auto"/>
            <w:left w:val="none" w:sz="0" w:space="0" w:color="auto"/>
            <w:bottom w:val="none" w:sz="0" w:space="0" w:color="auto"/>
            <w:right w:val="none" w:sz="0" w:space="0" w:color="auto"/>
          </w:divBdr>
        </w:div>
        <w:div w:id="157888855">
          <w:marLeft w:val="0"/>
          <w:marRight w:val="0"/>
          <w:marTop w:val="0"/>
          <w:marBottom w:val="0"/>
          <w:divBdr>
            <w:top w:val="none" w:sz="0" w:space="0" w:color="auto"/>
            <w:left w:val="none" w:sz="0" w:space="0" w:color="auto"/>
            <w:bottom w:val="none" w:sz="0" w:space="0" w:color="auto"/>
            <w:right w:val="none" w:sz="0" w:space="0" w:color="auto"/>
          </w:divBdr>
        </w:div>
        <w:div w:id="716972791">
          <w:marLeft w:val="0"/>
          <w:marRight w:val="0"/>
          <w:marTop w:val="0"/>
          <w:marBottom w:val="0"/>
          <w:divBdr>
            <w:top w:val="none" w:sz="0" w:space="0" w:color="auto"/>
            <w:left w:val="none" w:sz="0" w:space="0" w:color="auto"/>
            <w:bottom w:val="none" w:sz="0" w:space="0" w:color="auto"/>
            <w:right w:val="none" w:sz="0" w:space="0" w:color="auto"/>
          </w:divBdr>
        </w:div>
        <w:div w:id="1707410539">
          <w:marLeft w:val="0"/>
          <w:marRight w:val="0"/>
          <w:marTop w:val="0"/>
          <w:marBottom w:val="0"/>
          <w:divBdr>
            <w:top w:val="none" w:sz="0" w:space="0" w:color="auto"/>
            <w:left w:val="none" w:sz="0" w:space="0" w:color="auto"/>
            <w:bottom w:val="none" w:sz="0" w:space="0" w:color="auto"/>
            <w:right w:val="none" w:sz="0" w:space="0" w:color="auto"/>
          </w:divBdr>
        </w:div>
      </w:divsChild>
    </w:div>
    <w:div w:id="323634061">
      <w:marLeft w:val="0"/>
      <w:marRight w:val="0"/>
      <w:marTop w:val="0"/>
      <w:marBottom w:val="0"/>
      <w:divBdr>
        <w:top w:val="none" w:sz="0" w:space="0" w:color="auto"/>
        <w:left w:val="none" w:sz="0" w:space="0" w:color="auto"/>
        <w:bottom w:val="none" w:sz="0" w:space="0" w:color="auto"/>
        <w:right w:val="none" w:sz="0" w:space="0" w:color="auto"/>
      </w:divBdr>
    </w:div>
    <w:div w:id="367603372">
      <w:marLeft w:val="0"/>
      <w:marRight w:val="0"/>
      <w:marTop w:val="0"/>
      <w:marBottom w:val="0"/>
      <w:divBdr>
        <w:top w:val="none" w:sz="0" w:space="0" w:color="auto"/>
        <w:left w:val="none" w:sz="0" w:space="0" w:color="auto"/>
        <w:bottom w:val="none" w:sz="0" w:space="0" w:color="auto"/>
        <w:right w:val="none" w:sz="0" w:space="0" w:color="auto"/>
      </w:divBdr>
    </w:div>
    <w:div w:id="380251910">
      <w:marLeft w:val="0"/>
      <w:marRight w:val="0"/>
      <w:marTop w:val="0"/>
      <w:marBottom w:val="0"/>
      <w:divBdr>
        <w:top w:val="none" w:sz="0" w:space="0" w:color="auto"/>
        <w:left w:val="none" w:sz="0" w:space="0" w:color="auto"/>
        <w:bottom w:val="none" w:sz="0" w:space="0" w:color="auto"/>
        <w:right w:val="none" w:sz="0" w:space="0" w:color="auto"/>
      </w:divBdr>
    </w:div>
    <w:div w:id="386271482">
      <w:bodyDiv w:val="1"/>
      <w:marLeft w:val="0"/>
      <w:marRight w:val="0"/>
      <w:marTop w:val="0"/>
      <w:marBottom w:val="0"/>
      <w:divBdr>
        <w:top w:val="none" w:sz="0" w:space="0" w:color="auto"/>
        <w:left w:val="none" w:sz="0" w:space="0" w:color="auto"/>
        <w:bottom w:val="none" w:sz="0" w:space="0" w:color="auto"/>
        <w:right w:val="none" w:sz="0" w:space="0" w:color="auto"/>
      </w:divBdr>
      <w:divsChild>
        <w:div w:id="1386677592">
          <w:marLeft w:val="0"/>
          <w:marRight w:val="0"/>
          <w:marTop w:val="0"/>
          <w:marBottom w:val="0"/>
          <w:divBdr>
            <w:top w:val="none" w:sz="0" w:space="0" w:color="auto"/>
            <w:left w:val="none" w:sz="0" w:space="0" w:color="auto"/>
            <w:bottom w:val="none" w:sz="0" w:space="0" w:color="auto"/>
            <w:right w:val="none" w:sz="0" w:space="0" w:color="auto"/>
          </w:divBdr>
        </w:div>
        <w:div w:id="1975141352">
          <w:marLeft w:val="0"/>
          <w:marRight w:val="0"/>
          <w:marTop w:val="0"/>
          <w:marBottom w:val="0"/>
          <w:divBdr>
            <w:top w:val="none" w:sz="0" w:space="0" w:color="auto"/>
            <w:left w:val="none" w:sz="0" w:space="0" w:color="auto"/>
            <w:bottom w:val="none" w:sz="0" w:space="0" w:color="auto"/>
            <w:right w:val="none" w:sz="0" w:space="0" w:color="auto"/>
          </w:divBdr>
        </w:div>
        <w:div w:id="184566294">
          <w:marLeft w:val="0"/>
          <w:marRight w:val="0"/>
          <w:marTop w:val="0"/>
          <w:marBottom w:val="0"/>
          <w:divBdr>
            <w:top w:val="none" w:sz="0" w:space="0" w:color="auto"/>
            <w:left w:val="none" w:sz="0" w:space="0" w:color="auto"/>
            <w:bottom w:val="none" w:sz="0" w:space="0" w:color="auto"/>
            <w:right w:val="none" w:sz="0" w:space="0" w:color="auto"/>
          </w:divBdr>
        </w:div>
        <w:div w:id="902759448">
          <w:marLeft w:val="0"/>
          <w:marRight w:val="0"/>
          <w:marTop w:val="0"/>
          <w:marBottom w:val="0"/>
          <w:divBdr>
            <w:top w:val="none" w:sz="0" w:space="0" w:color="auto"/>
            <w:left w:val="none" w:sz="0" w:space="0" w:color="auto"/>
            <w:bottom w:val="none" w:sz="0" w:space="0" w:color="auto"/>
            <w:right w:val="none" w:sz="0" w:space="0" w:color="auto"/>
          </w:divBdr>
        </w:div>
        <w:div w:id="1786732840">
          <w:marLeft w:val="0"/>
          <w:marRight w:val="0"/>
          <w:marTop w:val="0"/>
          <w:marBottom w:val="0"/>
          <w:divBdr>
            <w:top w:val="none" w:sz="0" w:space="0" w:color="auto"/>
            <w:left w:val="none" w:sz="0" w:space="0" w:color="auto"/>
            <w:bottom w:val="none" w:sz="0" w:space="0" w:color="auto"/>
            <w:right w:val="none" w:sz="0" w:space="0" w:color="auto"/>
          </w:divBdr>
        </w:div>
        <w:div w:id="744843935">
          <w:marLeft w:val="0"/>
          <w:marRight w:val="0"/>
          <w:marTop w:val="0"/>
          <w:marBottom w:val="0"/>
          <w:divBdr>
            <w:top w:val="none" w:sz="0" w:space="0" w:color="auto"/>
            <w:left w:val="none" w:sz="0" w:space="0" w:color="auto"/>
            <w:bottom w:val="none" w:sz="0" w:space="0" w:color="auto"/>
            <w:right w:val="none" w:sz="0" w:space="0" w:color="auto"/>
          </w:divBdr>
        </w:div>
      </w:divsChild>
    </w:div>
    <w:div w:id="416370969">
      <w:marLeft w:val="0"/>
      <w:marRight w:val="0"/>
      <w:marTop w:val="0"/>
      <w:marBottom w:val="0"/>
      <w:divBdr>
        <w:top w:val="none" w:sz="0" w:space="0" w:color="auto"/>
        <w:left w:val="none" w:sz="0" w:space="0" w:color="auto"/>
        <w:bottom w:val="none" w:sz="0" w:space="0" w:color="auto"/>
        <w:right w:val="none" w:sz="0" w:space="0" w:color="auto"/>
      </w:divBdr>
    </w:div>
    <w:div w:id="439645346">
      <w:marLeft w:val="0"/>
      <w:marRight w:val="0"/>
      <w:marTop w:val="0"/>
      <w:marBottom w:val="0"/>
      <w:divBdr>
        <w:top w:val="none" w:sz="0" w:space="0" w:color="auto"/>
        <w:left w:val="none" w:sz="0" w:space="0" w:color="auto"/>
        <w:bottom w:val="none" w:sz="0" w:space="0" w:color="auto"/>
        <w:right w:val="none" w:sz="0" w:space="0" w:color="auto"/>
      </w:divBdr>
    </w:div>
    <w:div w:id="477382118">
      <w:marLeft w:val="0"/>
      <w:marRight w:val="0"/>
      <w:marTop w:val="0"/>
      <w:marBottom w:val="0"/>
      <w:divBdr>
        <w:top w:val="none" w:sz="0" w:space="0" w:color="auto"/>
        <w:left w:val="none" w:sz="0" w:space="0" w:color="auto"/>
        <w:bottom w:val="none" w:sz="0" w:space="0" w:color="auto"/>
        <w:right w:val="none" w:sz="0" w:space="0" w:color="auto"/>
      </w:divBdr>
    </w:div>
    <w:div w:id="508956939">
      <w:marLeft w:val="0"/>
      <w:marRight w:val="0"/>
      <w:marTop w:val="0"/>
      <w:marBottom w:val="0"/>
      <w:divBdr>
        <w:top w:val="none" w:sz="0" w:space="0" w:color="auto"/>
        <w:left w:val="none" w:sz="0" w:space="0" w:color="auto"/>
        <w:bottom w:val="none" w:sz="0" w:space="0" w:color="auto"/>
        <w:right w:val="none" w:sz="0" w:space="0" w:color="auto"/>
      </w:divBdr>
    </w:div>
    <w:div w:id="734201721">
      <w:bodyDiv w:val="1"/>
      <w:marLeft w:val="0"/>
      <w:marRight w:val="0"/>
      <w:marTop w:val="0"/>
      <w:marBottom w:val="0"/>
      <w:divBdr>
        <w:top w:val="none" w:sz="0" w:space="0" w:color="auto"/>
        <w:left w:val="none" w:sz="0" w:space="0" w:color="auto"/>
        <w:bottom w:val="none" w:sz="0" w:space="0" w:color="auto"/>
        <w:right w:val="none" w:sz="0" w:space="0" w:color="auto"/>
      </w:divBdr>
      <w:divsChild>
        <w:div w:id="79064652">
          <w:marLeft w:val="0"/>
          <w:marRight w:val="0"/>
          <w:marTop w:val="0"/>
          <w:marBottom w:val="0"/>
          <w:divBdr>
            <w:top w:val="none" w:sz="0" w:space="0" w:color="auto"/>
            <w:left w:val="none" w:sz="0" w:space="0" w:color="auto"/>
            <w:bottom w:val="none" w:sz="0" w:space="0" w:color="auto"/>
            <w:right w:val="none" w:sz="0" w:space="0" w:color="auto"/>
          </w:divBdr>
        </w:div>
        <w:div w:id="1309557586">
          <w:marLeft w:val="0"/>
          <w:marRight w:val="0"/>
          <w:marTop w:val="0"/>
          <w:marBottom w:val="0"/>
          <w:divBdr>
            <w:top w:val="none" w:sz="0" w:space="0" w:color="auto"/>
            <w:left w:val="none" w:sz="0" w:space="0" w:color="auto"/>
            <w:bottom w:val="none" w:sz="0" w:space="0" w:color="auto"/>
            <w:right w:val="none" w:sz="0" w:space="0" w:color="auto"/>
          </w:divBdr>
        </w:div>
        <w:div w:id="98914247">
          <w:marLeft w:val="0"/>
          <w:marRight w:val="0"/>
          <w:marTop w:val="0"/>
          <w:marBottom w:val="0"/>
          <w:divBdr>
            <w:top w:val="none" w:sz="0" w:space="0" w:color="auto"/>
            <w:left w:val="none" w:sz="0" w:space="0" w:color="auto"/>
            <w:bottom w:val="none" w:sz="0" w:space="0" w:color="auto"/>
            <w:right w:val="none" w:sz="0" w:space="0" w:color="auto"/>
          </w:divBdr>
        </w:div>
        <w:div w:id="1323006086">
          <w:marLeft w:val="0"/>
          <w:marRight w:val="0"/>
          <w:marTop w:val="0"/>
          <w:marBottom w:val="0"/>
          <w:divBdr>
            <w:top w:val="none" w:sz="0" w:space="0" w:color="auto"/>
            <w:left w:val="none" w:sz="0" w:space="0" w:color="auto"/>
            <w:bottom w:val="none" w:sz="0" w:space="0" w:color="auto"/>
            <w:right w:val="none" w:sz="0" w:space="0" w:color="auto"/>
          </w:divBdr>
        </w:div>
        <w:div w:id="1679506421">
          <w:marLeft w:val="0"/>
          <w:marRight w:val="0"/>
          <w:marTop w:val="0"/>
          <w:marBottom w:val="0"/>
          <w:divBdr>
            <w:top w:val="none" w:sz="0" w:space="0" w:color="auto"/>
            <w:left w:val="none" w:sz="0" w:space="0" w:color="auto"/>
            <w:bottom w:val="none" w:sz="0" w:space="0" w:color="auto"/>
            <w:right w:val="none" w:sz="0" w:space="0" w:color="auto"/>
          </w:divBdr>
        </w:div>
        <w:div w:id="1590040768">
          <w:marLeft w:val="0"/>
          <w:marRight w:val="0"/>
          <w:marTop w:val="0"/>
          <w:marBottom w:val="0"/>
          <w:divBdr>
            <w:top w:val="none" w:sz="0" w:space="0" w:color="auto"/>
            <w:left w:val="none" w:sz="0" w:space="0" w:color="auto"/>
            <w:bottom w:val="none" w:sz="0" w:space="0" w:color="auto"/>
            <w:right w:val="none" w:sz="0" w:space="0" w:color="auto"/>
          </w:divBdr>
        </w:div>
        <w:div w:id="1874732670">
          <w:marLeft w:val="0"/>
          <w:marRight w:val="0"/>
          <w:marTop w:val="0"/>
          <w:marBottom w:val="0"/>
          <w:divBdr>
            <w:top w:val="none" w:sz="0" w:space="0" w:color="auto"/>
            <w:left w:val="none" w:sz="0" w:space="0" w:color="auto"/>
            <w:bottom w:val="none" w:sz="0" w:space="0" w:color="auto"/>
            <w:right w:val="none" w:sz="0" w:space="0" w:color="auto"/>
          </w:divBdr>
        </w:div>
      </w:divsChild>
    </w:div>
    <w:div w:id="762148179">
      <w:marLeft w:val="0"/>
      <w:marRight w:val="0"/>
      <w:marTop w:val="0"/>
      <w:marBottom w:val="0"/>
      <w:divBdr>
        <w:top w:val="none" w:sz="0" w:space="0" w:color="auto"/>
        <w:left w:val="none" w:sz="0" w:space="0" w:color="auto"/>
        <w:bottom w:val="none" w:sz="0" w:space="0" w:color="auto"/>
        <w:right w:val="none" w:sz="0" w:space="0" w:color="auto"/>
      </w:divBdr>
    </w:div>
    <w:div w:id="774402142">
      <w:bodyDiv w:val="1"/>
      <w:marLeft w:val="0"/>
      <w:marRight w:val="0"/>
      <w:marTop w:val="0"/>
      <w:marBottom w:val="0"/>
      <w:divBdr>
        <w:top w:val="none" w:sz="0" w:space="0" w:color="auto"/>
        <w:left w:val="none" w:sz="0" w:space="0" w:color="auto"/>
        <w:bottom w:val="none" w:sz="0" w:space="0" w:color="auto"/>
        <w:right w:val="none" w:sz="0" w:space="0" w:color="auto"/>
      </w:divBdr>
      <w:divsChild>
        <w:div w:id="1972204184">
          <w:marLeft w:val="0"/>
          <w:marRight w:val="0"/>
          <w:marTop w:val="0"/>
          <w:marBottom w:val="0"/>
          <w:divBdr>
            <w:top w:val="none" w:sz="0" w:space="0" w:color="auto"/>
            <w:left w:val="none" w:sz="0" w:space="0" w:color="auto"/>
            <w:bottom w:val="none" w:sz="0" w:space="0" w:color="auto"/>
            <w:right w:val="none" w:sz="0" w:space="0" w:color="auto"/>
          </w:divBdr>
        </w:div>
        <w:div w:id="574625951">
          <w:marLeft w:val="0"/>
          <w:marRight w:val="0"/>
          <w:marTop w:val="0"/>
          <w:marBottom w:val="0"/>
          <w:divBdr>
            <w:top w:val="none" w:sz="0" w:space="0" w:color="auto"/>
            <w:left w:val="none" w:sz="0" w:space="0" w:color="auto"/>
            <w:bottom w:val="none" w:sz="0" w:space="0" w:color="auto"/>
            <w:right w:val="none" w:sz="0" w:space="0" w:color="auto"/>
          </w:divBdr>
        </w:div>
        <w:div w:id="1373767389">
          <w:marLeft w:val="0"/>
          <w:marRight w:val="0"/>
          <w:marTop w:val="0"/>
          <w:marBottom w:val="0"/>
          <w:divBdr>
            <w:top w:val="none" w:sz="0" w:space="0" w:color="auto"/>
            <w:left w:val="none" w:sz="0" w:space="0" w:color="auto"/>
            <w:bottom w:val="none" w:sz="0" w:space="0" w:color="auto"/>
            <w:right w:val="none" w:sz="0" w:space="0" w:color="auto"/>
          </w:divBdr>
        </w:div>
        <w:div w:id="1407337822">
          <w:marLeft w:val="0"/>
          <w:marRight w:val="0"/>
          <w:marTop w:val="0"/>
          <w:marBottom w:val="0"/>
          <w:divBdr>
            <w:top w:val="none" w:sz="0" w:space="0" w:color="auto"/>
            <w:left w:val="none" w:sz="0" w:space="0" w:color="auto"/>
            <w:bottom w:val="none" w:sz="0" w:space="0" w:color="auto"/>
            <w:right w:val="none" w:sz="0" w:space="0" w:color="auto"/>
          </w:divBdr>
        </w:div>
        <w:div w:id="989139145">
          <w:marLeft w:val="0"/>
          <w:marRight w:val="0"/>
          <w:marTop w:val="0"/>
          <w:marBottom w:val="0"/>
          <w:divBdr>
            <w:top w:val="none" w:sz="0" w:space="0" w:color="auto"/>
            <w:left w:val="none" w:sz="0" w:space="0" w:color="auto"/>
            <w:bottom w:val="none" w:sz="0" w:space="0" w:color="auto"/>
            <w:right w:val="none" w:sz="0" w:space="0" w:color="auto"/>
          </w:divBdr>
        </w:div>
        <w:div w:id="378558986">
          <w:marLeft w:val="0"/>
          <w:marRight w:val="0"/>
          <w:marTop w:val="0"/>
          <w:marBottom w:val="0"/>
          <w:divBdr>
            <w:top w:val="none" w:sz="0" w:space="0" w:color="auto"/>
            <w:left w:val="none" w:sz="0" w:space="0" w:color="auto"/>
            <w:bottom w:val="none" w:sz="0" w:space="0" w:color="auto"/>
            <w:right w:val="none" w:sz="0" w:space="0" w:color="auto"/>
          </w:divBdr>
        </w:div>
        <w:div w:id="1028947725">
          <w:marLeft w:val="0"/>
          <w:marRight w:val="0"/>
          <w:marTop w:val="0"/>
          <w:marBottom w:val="0"/>
          <w:divBdr>
            <w:top w:val="none" w:sz="0" w:space="0" w:color="auto"/>
            <w:left w:val="none" w:sz="0" w:space="0" w:color="auto"/>
            <w:bottom w:val="none" w:sz="0" w:space="0" w:color="auto"/>
            <w:right w:val="none" w:sz="0" w:space="0" w:color="auto"/>
          </w:divBdr>
        </w:div>
      </w:divsChild>
    </w:div>
    <w:div w:id="796991588">
      <w:marLeft w:val="0"/>
      <w:marRight w:val="0"/>
      <w:marTop w:val="0"/>
      <w:marBottom w:val="0"/>
      <w:divBdr>
        <w:top w:val="none" w:sz="0" w:space="0" w:color="auto"/>
        <w:left w:val="none" w:sz="0" w:space="0" w:color="auto"/>
        <w:bottom w:val="none" w:sz="0" w:space="0" w:color="auto"/>
        <w:right w:val="none" w:sz="0" w:space="0" w:color="auto"/>
      </w:divBdr>
    </w:div>
    <w:div w:id="816411804">
      <w:marLeft w:val="0"/>
      <w:marRight w:val="0"/>
      <w:marTop w:val="0"/>
      <w:marBottom w:val="0"/>
      <w:divBdr>
        <w:top w:val="none" w:sz="0" w:space="0" w:color="auto"/>
        <w:left w:val="none" w:sz="0" w:space="0" w:color="auto"/>
        <w:bottom w:val="none" w:sz="0" w:space="0" w:color="auto"/>
        <w:right w:val="none" w:sz="0" w:space="0" w:color="auto"/>
      </w:divBdr>
    </w:div>
    <w:div w:id="820149172">
      <w:marLeft w:val="0"/>
      <w:marRight w:val="0"/>
      <w:marTop w:val="0"/>
      <w:marBottom w:val="0"/>
      <w:divBdr>
        <w:top w:val="none" w:sz="0" w:space="0" w:color="auto"/>
        <w:left w:val="none" w:sz="0" w:space="0" w:color="auto"/>
        <w:bottom w:val="none" w:sz="0" w:space="0" w:color="auto"/>
        <w:right w:val="none" w:sz="0" w:space="0" w:color="auto"/>
      </w:divBdr>
    </w:div>
    <w:div w:id="840198348">
      <w:marLeft w:val="0"/>
      <w:marRight w:val="0"/>
      <w:marTop w:val="0"/>
      <w:marBottom w:val="0"/>
      <w:divBdr>
        <w:top w:val="none" w:sz="0" w:space="0" w:color="auto"/>
        <w:left w:val="none" w:sz="0" w:space="0" w:color="auto"/>
        <w:bottom w:val="none" w:sz="0" w:space="0" w:color="auto"/>
        <w:right w:val="none" w:sz="0" w:space="0" w:color="auto"/>
      </w:divBdr>
    </w:div>
    <w:div w:id="889343496">
      <w:marLeft w:val="0"/>
      <w:marRight w:val="0"/>
      <w:marTop w:val="0"/>
      <w:marBottom w:val="0"/>
      <w:divBdr>
        <w:top w:val="none" w:sz="0" w:space="0" w:color="auto"/>
        <w:left w:val="none" w:sz="0" w:space="0" w:color="auto"/>
        <w:bottom w:val="none" w:sz="0" w:space="0" w:color="auto"/>
        <w:right w:val="none" w:sz="0" w:space="0" w:color="auto"/>
      </w:divBdr>
    </w:div>
    <w:div w:id="906064105">
      <w:marLeft w:val="0"/>
      <w:marRight w:val="0"/>
      <w:marTop w:val="0"/>
      <w:marBottom w:val="0"/>
      <w:divBdr>
        <w:top w:val="none" w:sz="0" w:space="0" w:color="auto"/>
        <w:left w:val="none" w:sz="0" w:space="0" w:color="auto"/>
        <w:bottom w:val="none" w:sz="0" w:space="0" w:color="auto"/>
        <w:right w:val="none" w:sz="0" w:space="0" w:color="auto"/>
      </w:divBdr>
    </w:div>
    <w:div w:id="937174591">
      <w:marLeft w:val="0"/>
      <w:marRight w:val="0"/>
      <w:marTop w:val="0"/>
      <w:marBottom w:val="0"/>
      <w:divBdr>
        <w:top w:val="none" w:sz="0" w:space="0" w:color="auto"/>
        <w:left w:val="none" w:sz="0" w:space="0" w:color="auto"/>
        <w:bottom w:val="none" w:sz="0" w:space="0" w:color="auto"/>
        <w:right w:val="none" w:sz="0" w:space="0" w:color="auto"/>
      </w:divBdr>
    </w:div>
    <w:div w:id="943654826">
      <w:bodyDiv w:val="1"/>
      <w:marLeft w:val="0"/>
      <w:marRight w:val="0"/>
      <w:marTop w:val="0"/>
      <w:marBottom w:val="0"/>
      <w:divBdr>
        <w:top w:val="none" w:sz="0" w:space="0" w:color="auto"/>
        <w:left w:val="none" w:sz="0" w:space="0" w:color="auto"/>
        <w:bottom w:val="none" w:sz="0" w:space="0" w:color="auto"/>
        <w:right w:val="none" w:sz="0" w:space="0" w:color="auto"/>
      </w:divBdr>
      <w:divsChild>
        <w:div w:id="1506749613">
          <w:marLeft w:val="0"/>
          <w:marRight w:val="0"/>
          <w:marTop w:val="0"/>
          <w:marBottom w:val="0"/>
          <w:divBdr>
            <w:top w:val="none" w:sz="0" w:space="0" w:color="auto"/>
            <w:left w:val="none" w:sz="0" w:space="0" w:color="auto"/>
            <w:bottom w:val="none" w:sz="0" w:space="0" w:color="auto"/>
            <w:right w:val="none" w:sz="0" w:space="0" w:color="auto"/>
          </w:divBdr>
        </w:div>
        <w:div w:id="1615792642">
          <w:marLeft w:val="0"/>
          <w:marRight w:val="0"/>
          <w:marTop w:val="0"/>
          <w:marBottom w:val="0"/>
          <w:divBdr>
            <w:top w:val="none" w:sz="0" w:space="0" w:color="auto"/>
            <w:left w:val="none" w:sz="0" w:space="0" w:color="auto"/>
            <w:bottom w:val="none" w:sz="0" w:space="0" w:color="auto"/>
            <w:right w:val="none" w:sz="0" w:space="0" w:color="auto"/>
          </w:divBdr>
        </w:div>
        <w:div w:id="1443185737">
          <w:marLeft w:val="0"/>
          <w:marRight w:val="0"/>
          <w:marTop w:val="0"/>
          <w:marBottom w:val="0"/>
          <w:divBdr>
            <w:top w:val="none" w:sz="0" w:space="0" w:color="auto"/>
            <w:left w:val="none" w:sz="0" w:space="0" w:color="auto"/>
            <w:bottom w:val="none" w:sz="0" w:space="0" w:color="auto"/>
            <w:right w:val="none" w:sz="0" w:space="0" w:color="auto"/>
          </w:divBdr>
        </w:div>
        <w:div w:id="962535598">
          <w:marLeft w:val="0"/>
          <w:marRight w:val="0"/>
          <w:marTop w:val="0"/>
          <w:marBottom w:val="0"/>
          <w:divBdr>
            <w:top w:val="none" w:sz="0" w:space="0" w:color="auto"/>
            <w:left w:val="none" w:sz="0" w:space="0" w:color="auto"/>
            <w:bottom w:val="none" w:sz="0" w:space="0" w:color="auto"/>
            <w:right w:val="none" w:sz="0" w:space="0" w:color="auto"/>
          </w:divBdr>
        </w:div>
        <w:div w:id="1044791260">
          <w:marLeft w:val="0"/>
          <w:marRight w:val="0"/>
          <w:marTop w:val="0"/>
          <w:marBottom w:val="0"/>
          <w:divBdr>
            <w:top w:val="none" w:sz="0" w:space="0" w:color="auto"/>
            <w:left w:val="none" w:sz="0" w:space="0" w:color="auto"/>
            <w:bottom w:val="none" w:sz="0" w:space="0" w:color="auto"/>
            <w:right w:val="none" w:sz="0" w:space="0" w:color="auto"/>
          </w:divBdr>
        </w:div>
        <w:div w:id="1606621213">
          <w:marLeft w:val="0"/>
          <w:marRight w:val="0"/>
          <w:marTop w:val="0"/>
          <w:marBottom w:val="0"/>
          <w:divBdr>
            <w:top w:val="none" w:sz="0" w:space="0" w:color="auto"/>
            <w:left w:val="none" w:sz="0" w:space="0" w:color="auto"/>
            <w:bottom w:val="none" w:sz="0" w:space="0" w:color="auto"/>
            <w:right w:val="none" w:sz="0" w:space="0" w:color="auto"/>
          </w:divBdr>
        </w:div>
        <w:div w:id="440803209">
          <w:marLeft w:val="0"/>
          <w:marRight w:val="0"/>
          <w:marTop w:val="0"/>
          <w:marBottom w:val="0"/>
          <w:divBdr>
            <w:top w:val="none" w:sz="0" w:space="0" w:color="auto"/>
            <w:left w:val="none" w:sz="0" w:space="0" w:color="auto"/>
            <w:bottom w:val="none" w:sz="0" w:space="0" w:color="auto"/>
            <w:right w:val="none" w:sz="0" w:space="0" w:color="auto"/>
          </w:divBdr>
        </w:div>
      </w:divsChild>
    </w:div>
    <w:div w:id="958609779">
      <w:marLeft w:val="0"/>
      <w:marRight w:val="0"/>
      <w:marTop w:val="0"/>
      <w:marBottom w:val="0"/>
      <w:divBdr>
        <w:top w:val="none" w:sz="0" w:space="0" w:color="auto"/>
        <w:left w:val="none" w:sz="0" w:space="0" w:color="auto"/>
        <w:bottom w:val="none" w:sz="0" w:space="0" w:color="auto"/>
        <w:right w:val="none" w:sz="0" w:space="0" w:color="auto"/>
      </w:divBdr>
    </w:div>
    <w:div w:id="979458053">
      <w:marLeft w:val="0"/>
      <w:marRight w:val="0"/>
      <w:marTop w:val="0"/>
      <w:marBottom w:val="0"/>
      <w:divBdr>
        <w:top w:val="none" w:sz="0" w:space="0" w:color="auto"/>
        <w:left w:val="none" w:sz="0" w:space="0" w:color="auto"/>
        <w:bottom w:val="none" w:sz="0" w:space="0" w:color="auto"/>
        <w:right w:val="none" w:sz="0" w:space="0" w:color="auto"/>
      </w:divBdr>
    </w:div>
    <w:div w:id="1043407406">
      <w:marLeft w:val="0"/>
      <w:marRight w:val="0"/>
      <w:marTop w:val="0"/>
      <w:marBottom w:val="0"/>
      <w:divBdr>
        <w:top w:val="none" w:sz="0" w:space="0" w:color="auto"/>
        <w:left w:val="none" w:sz="0" w:space="0" w:color="auto"/>
        <w:bottom w:val="none" w:sz="0" w:space="0" w:color="auto"/>
        <w:right w:val="none" w:sz="0" w:space="0" w:color="auto"/>
      </w:divBdr>
    </w:div>
    <w:div w:id="1126048409">
      <w:bodyDiv w:val="1"/>
      <w:marLeft w:val="0"/>
      <w:marRight w:val="0"/>
      <w:marTop w:val="0"/>
      <w:marBottom w:val="0"/>
      <w:divBdr>
        <w:top w:val="none" w:sz="0" w:space="0" w:color="auto"/>
        <w:left w:val="none" w:sz="0" w:space="0" w:color="auto"/>
        <w:bottom w:val="none" w:sz="0" w:space="0" w:color="auto"/>
        <w:right w:val="none" w:sz="0" w:space="0" w:color="auto"/>
      </w:divBdr>
      <w:divsChild>
        <w:div w:id="831526792">
          <w:marLeft w:val="0"/>
          <w:marRight w:val="0"/>
          <w:marTop w:val="0"/>
          <w:marBottom w:val="0"/>
          <w:divBdr>
            <w:top w:val="none" w:sz="0" w:space="0" w:color="auto"/>
            <w:left w:val="none" w:sz="0" w:space="0" w:color="auto"/>
            <w:bottom w:val="none" w:sz="0" w:space="0" w:color="auto"/>
            <w:right w:val="none" w:sz="0" w:space="0" w:color="auto"/>
          </w:divBdr>
        </w:div>
        <w:div w:id="1517697603">
          <w:marLeft w:val="0"/>
          <w:marRight w:val="0"/>
          <w:marTop w:val="0"/>
          <w:marBottom w:val="0"/>
          <w:divBdr>
            <w:top w:val="none" w:sz="0" w:space="0" w:color="auto"/>
            <w:left w:val="none" w:sz="0" w:space="0" w:color="auto"/>
            <w:bottom w:val="none" w:sz="0" w:space="0" w:color="auto"/>
            <w:right w:val="none" w:sz="0" w:space="0" w:color="auto"/>
          </w:divBdr>
        </w:div>
        <w:div w:id="1695303985">
          <w:marLeft w:val="0"/>
          <w:marRight w:val="0"/>
          <w:marTop w:val="0"/>
          <w:marBottom w:val="0"/>
          <w:divBdr>
            <w:top w:val="none" w:sz="0" w:space="0" w:color="auto"/>
            <w:left w:val="none" w:sz="0" w:space="0" w:color="auto"/>
            <w:bottom w:val="none" w:sz="0" w:space="0" w:color="auto"/>
            <w:right w:val="none" w:sz="0" w:space="0" w:color="auto"/>
          </w:divBdr>
        </w:div>
        <w:div w:id="1007515837">
          <w:marLeft w:val="0"/>
          <w:marRight w:val="0"/>
          <w:marTop w:val="0"/>
          <w:marBottom w:val="0"/>
          <w:divBdr>
            <w:top w:val="none" w:sz="0" w:space="0" w:color="auto"/>
            <w:left w:val="none" w:sz="0" w:space="0" w:color="auto"/>
            <w:bottom w:val="none" w:sz="0" w:space="0" w:color="auto"/>
            <w:right w:val="none" w:sz="0" w:space="0" w:color="auto"/>
          </w:divBdr>
        </w:div>
        <w:div w:id="1778138193">
          <w:marLeft w:val="0"/>
          <w:marRight w:val="0"/>
          <w:marTop w:val="0"/>
          <w:marBottom w:val="0"/>
          <w:divBdr>
            <w:top w:val="none" w:sz="0" w:space="0" w:color="auto"/>
            <w:left w:val="none" w:sz="0" w:space="0" w:color="auto"/>
            <w:bottom w:val="none" w:sz="0" w:space="0" w:color="auto"/>
            <w:right w:val="none" w:sz="0" w:space="0" w:color="auto"/>
          </w:divBdr>
        </w:div>
        <w:div w:id="552235025">
          <w:marLeft w:val="0"/>
          <w:marRight w:val="0"/>
          <w:marTop w:val="0"/>
          <w:marBottom w:val="0"/>
          <w:divBdr>
            <w:top w:val="none" w:sz="0" w:space="0" w:color="auto"/>
            <w:left w:val="none" w:sz="0" w:space="0" w:color="auto"/>
            <w:bottom w:val="none" w:sz="0" w:space="0" w:color="auto"/>
            <w:right w:val="none" w:sz="0" w:space="0" w:color="auto"/>
          </w:divBdr>
        </w:div>
        <w:div w:id="1809778784">
          <w:marLeft w:val="0"/>
          <w:marRight w:val="0"/>
          <w:marTop w:val="0"/>
          <w:marBottom w:val="0"/>
          <w:divBdr>
            <w:top w:val="none" w:sz="0" w:space="0" w:color="auto"/>
            <w:left w:val="none" w:sz="0" w:space="0" w:color="auto"/>
            <w:bottom w:val="none" w:sz="0" w:space="0" w:color="auto"/>
            <w:right w:val="none" w:sz="0" w:space="0" w:color="auto"/>
          </w:divBdr>
        </w:div>
        <w:div w:id="1294291313">
          <w:marLeft w:val="0"/>
          <w:marRight w:val="0"/>
          <w:marTop w:val="0"/>
          <w:marBottom w:val="0"/>
          <w:divBdr>
            <w:top w:val="none" w:sz="0" w:space="0" w:color="auto"/>
            <w:left w:val="none" w:sz="0" w:space="0" w:color="auto"/>
            <w:bottom w:val="none" w:sz="0" w:space="0" w:color="auto"/>
            <w:right w:val="none" w:sz="0" w:space="0" w:color="auto"/>
          </w:divBdr>
        </w:div>
      </w:divsChild>
    </w:div>
    <w:div w:id="1188173510">
      <w:bodyDiv w:val="1"/>
      <w:marLeft w:val="0"/>
      <w:marRight w:val="0"/>
      <w:marTop w:val="0"/>
      <w:marBottom w:val="0"/>
      <w:divBdr>
        <w:top w:val="none" w:sz="0" w:space="0" w:color="auto"/>
        <w:left w:val="none" w:sz="0" w:space="0" w:color="auto"/>
        <w:bottom w:val="none" w:sz="0" w:space="0" w:color="auto"/>
        <w:right w:val="none" w:sz="0" w:space="0" w:color="auto"/>
      </w:divBdr>
      <w:divsChild>
        <w:div w:id="1237325317">
          <w:marLeft w:val="0"/>
          <w:marRight w:val="0"/>
          <w:marTop w:val="0"/>
          <w:marBottom w:val="0"/>
          <w:divBdr>
            <w:top w:val="none" w:sz="0" w:space="0" w:color="auto"/>
            <w:left w:val="none" w:sz="0" w:space="0" w:color="auto"/>
            <w:bottom w:val="none" w:sz="0" w:space="0" w:color="auto"/>
            <w:right w:val="none" w:sz="0" w:space="0" w:color="auto"/>
          </w:divBdr>
        </w:div>
        <w:div w:id="1509636975">
          <w:marLeft w:val="0"/>
          <w:marRight w:val="0"/>
          <w:marTop w:val="0"/>
          <w:marBottom w:val="0"/>
          <w:divBdr>
            <w:top w:val="none" w:sz="0" w:space="0" w:color="auto"/>
            <w:left w:val="none" w:sz="0" w:space="0" w:color="auto"/>
            <w:bottom w:val="none" w:sz="0" w:space="0" w:color="auto"/>
            <w:right w:val="none" w:sz="0" w:space="0" w:color="auto"/>
          </w:divBdr>
        </w:div>
        <w:div w:id="1215390509">
          <w:marLeft w:val="0"/>
          <w:marRight w:val="0"/>
          <w:marTop w:val="0"/>
          <w:marBottom w:val="0"/>
          <w:divBdr>
            <w:top w:val="none" w:sz="0" w:space="0" w:color="auto"/>
            <w:left w:val="none" w:sz="0" w:space="0" w:color="auto"/>
            <w:bottom w:val="none" w:sz="0" w:space="0" w:color="auto"/>
            <w:right w:val="none" w:sz="0" w:space="0" w:color="auto"/>
          </w:divBdr>
        </w:div>
        <w:div w:id="2092459096">
          <w:marLeft w:val="0"/>
          <w:marRight w:val="0"/>
          <w:marTop w:val="0"/>
          <w:marBottom w:val="0"/>
          <w:divBdr>
            <w:top w:val="none" w:sz="0" w:space="0" w:color="auto"/>
            <w:left w:val="none" w:sz="0" w:space="0" w:color="auto"/>
            <w:bottom w:val="none" w:sz="0" w:space="0" w:color="auto"/>
            <w:right w:val="none" w:sz="0" w:space="0" w:color="auto"/>
          </w:divBdr>
        </w:div>
      </w:divsChild>
    </w:div>
    <w:div w:id="1248810045">
      <w:bodyDiv w:val="1"/>
      <w:marLeft w:val="0"/>
      <w:marRight w:val="0"/>
      <w:marTop w:val="0"/>
      <w:marBottom w:val="0"/>
      <w:divBdr>
        <w:top w:val="none" w:sz="0" w:space="0" w:color="auto"/>
        <w:left w:val="none" w:sz="0" w:space="0" w:color="auto"/>
        <w:bottom w:val="none" w:sz="0" w:space="0" w:color="auto"/>
        <w:right w:val="none" w:sz="0" w:space="0" w:color="auto"/>
      </w:divBdr>
      <w:divsChild>
        <w:div w:id="1002317947">
          <w:marLeft w:val="0"/>
          <w:marRight w:val="0"/>
          <w:marTop w:val="0"/>
          <w:marBottom w:val="0"/>
          <w:divBdr>
            <w:top w:val="none" w:sz="0" w:space="0" w:color="auto"/>
            <w:left w:val="none" w:sz="0" w:space="0" w:color="auto"/>
            <w:bottom w:val="none" w:sz="0" w:space="0" w:color="auto"/>
            <w:right w:val="none" w:sz="0" w:space="0" w:color="auto"/>
          </w:divBdr>
        </w:div>
        <w:div w:id="1602645247">
          <w:marLeft w:val="0"/>
          <w:marRight w:val="0"/>
          <w:marTop w:val="0"/>
          <w:marBottom w:val="0"/>
          <w:divBdr>
            <w:top w:val="none" w:sz="0" w:space="0" w:color="auto"/>
            <w:left w:val="none" w:sz="0" w:space="0" w:color="auto"/>
            <w:bottom w:val="none" w:sz="0" w:space="0" w:color="auto"/>
            <w:right w:val="none" w:sz="0" w:space="0" w:color="auto"/>
          </w:divBdr>
        </w:div>
        <w:div w:id="235943251">
          <w:marLeft w:val="0"/>
          <w:marRight w:val="0"/>
          <w:marTop w:val="0"/>
          <w:marBottom w:val="0"/>
          <w:divBdr>
            <w:top w:val="none" w:sz="0" w:space="0" w:color="auto"/>
            <w:left w:val="none" w:sz="0" w:space="0" w:color="auto"/>
            <w:bottom w:val="none" w:sz="0" w:space="0" w:color="auto"/>
            <w:right w:val="none" w:sz="0" w:space="0" w:color="auto"/>
          </w:divBdr>
        </w:div>
      </w:divsChild>
    </w:div>
    <w:div w:id="1254314617">
      <w:bodyDiv w:val="1"/>
      <w:marLeft w:val="0"/>
      <w:marRight w:val="0"/>
      <w:marTop w:val="0"/>
      <w:marBottom w:val="0"/>
      <w:divBdr>
        <w:top w:val="none" w:sz="0" w:space="0" w:color="auto"/>
        <w:left w:val="none" w:sz="0" w:space="0" w:color="auto"/>
        <w:bottom w:val="none" w:sz="0" w:space="0" w:color="auto"/>
        <w:right w:val="none" w:sz="0" w:space="0" w:color="auto"/>
      </w:divBdr>
      <w:divsChild>
        <w:div w:id="2088964999">
          <w:marLeft w:val="480"/>
          <w:marRight w:val="0"/>
          <w:marTop w:val="0"/>
          <w:marBottom w:val="0"/>
          <w:divBdr>
            <w:top w:val="none" w:sz="0" w:space="0" w:color="auto"/>
            <w:left w:val="none" w:sz="0" w:space="0" w:color="auto"/>
            <w:bottom w:val="none" w:sz="0" w:space="0" w:color="auto"/>
            <w:right w:val="none" w:sz="0" w:space="0" w:color="auto"/>
          </w:divBdr>
        </w:div>
        <w:div w:id="2096632135">
          <w:marLeft w:val="480"/>
          <w:marRight w:val="0"/>
          <w:marTop w:val="0"/>
          <w:marBottom w:val="0"/>
          <w:divBdr>
            <w:top w:val="none" w:sz="0" w:space="0" w:color="auto"/>
            <w:left w:val="none" w:sz="0" w:space="0" w:color="auto"/>
            <w:bottom w:val="none" w:sz="0" w:space="0" w:color="auto"/>
            <w:right w:val="none" w:sz="0" w:space="0" w:color="auto"/>
          </w:divBdr>
        </w:div>
        <w:div w:id="1404835889">
          <w:marLeft w:val="480"/>
          <w:marRight w:val="0"/>
          <w:marTop w:val="0"/>
          <w:marBottom w:val="0"/>
          <w:divBdr>
            <w:top w:val="none" w:sz="0" w:space="0" w:color="auto"/>
            <w:left w:val="none" w:sz="0" w:space="0" w:color="auto"/>
            <w:bottom w:val="none" w:sz="0" w:space="0" w:color="auto"/>
            <w:right w:val="none" w:sz="0" w:space="0" w:color="auto"/>
          </w:divBdr>
        </w:div>
      </w:divsChild>
    </w:div>
    <w:div w:id="1256552277">
      <w:marLeft w:val="0"/>
      <w:marRight w:val="0"/>
      <w:marTop w:val="0"/>
      <w:marBottom w:val="0"/>
      <w:divBdr>
        <w:top w:val="none" w:sz="0" w:space="0" w:color="auto"/>
        <w:left w:val="none" w:sz="0" w:space="0" w:color="auto"/>
        <w:bottom w:val="none" w:sz="0" w:space="0" w:color="auto"/>
        <w:right w:val="none" w:sz="0" w:space="0" w:color="auto"/>
      </w:divBdr>
    </w:div>
    <w:div w:id="1277525753">
      <w:marLeft w:val="0"/>
      <w:marRight w:val="0"/>
      <w:marTop w:val="0"/>
      <w:marBottom w:val="0"/>
      <w:divBdr>
        <w:top w:val="none" w:sz="0" w:space="0" w:color="auto"/>
        <w:left w:val="none" w:sz="0" w:space="0" w:color="auto"/>
        <w:bottom w:val="none" w:sz="0" w:space="0" w:color="auto"/>
        <w:right w:val="none" w:sz="0" w:space="0" w:color="auto"/>
      </w:divBdr>
    </w:div>
    <w:div w:id="1323393808">
      <w:marLeft w:val="0"/>
      <w:marRight w:val="0"/>
      <w:marTop w:val="0"/>
      <w:marBottom w:val="0"/>
      <w:divBdr>
        <w:top w:val="none" w:sz="0" w:space="0" w:color="auto"/>
        <w:left w:val="none" w:sz="0" w:space="0" w:color="auto"/>
        <w:bottom w:val="none" w:sz="0" w:space="0" w:color="auto"/>
        <w:right w:val="none" w:sz="0" w:space="0" w:color="auto"/>
      </w:divBdr>
    </w:div>
    <w:div w:id="1418091976">
      <w:bodyDiv w:val="1"/>
      <w:marLeft w:val="0"/>
      <w:marRight w:val="0"/>
      <w:marTop w:val="0"/>
      <w:marBottom w:val="0"/>
      <w:divBdr>
        <w:top w:val="none" w:sz="0" w:space="0" w:color="auto"/>
        <w:left w:val="none" w:sz="0" w:space="0" w:color="auto"/>
        <w:bottom w:val="none" w:sz="0" w:space="0" w:color="auto"/>
        <w:right w:val="none" w:sz="0" w:space="0" w:color="auto"/>
      </w:divBdr>
      <w:divsChild>
        <w:div w:id="1400980037">
          <w:marLeft w:val="0"/>
          <w:marRight w:val="0"/>
          <w:marTop w:val="0"/>
          <w:marBottom w:val="0"/>
          <w:divBdr>
            <w:top w:val="none" w:sz="0" w:space="0" w:color="auto"/>
            <w:left w:val="none" w:sz="0" w:space="0" w:color="auto"/>
            <w:bottom w:val="none" w:sz="0" w:space="0" w:color="auto"/>
            <w:right w:val="none" w:sz="0" w:space="0" w:color="auto"/>
          </w:divBdr>
        </w:div>
        <w:div w:id="1069888633">
          <w:marLeft w:val="0"/>
          <w:marRight w:val="0"/>
          <w:marTop w:val="0"/>
          <w:marBottom w:val="0"/>
          <w:divBdr>
            <w:top w:val="none" w:sz="0" w:space="0" w:color="auto"/>
            <w:left w:val="none" w:sz="0" w:space="0" w:color="auto"/>
            <w:bottom w:val="none" w:sz="0" w:space="0" w:color="auto"/>
            <w:right w:val="none" w:sz="0" w:space="0" w:color="auto"/>
          </w:divBdr>
        </w:div>
        <w:div w:id="1523664370">
          <w:marLeft w:val="0"/>
          <w:marRight w:val="0"/>
          <w:marTop w:val="0"/>
          <w:marBottom w:val="0"/>
          <w:divBdr>
            <w:top w:val="none" w:sz="0" w:space="0" w:color="auto"/>
            <w:left w:val="none" w:sz="0" w:space="0" w:color="auto"/>
            <w:bottom w:val="none" w:sz="0" w:space="0" w:color="auto"/>
            <w:right w:val="none" w:sz="0" w:space="0" w:color="auto"/>
          </w:divBdr>
        </w:div>
        <w:div w:id="1353917012">
          <w:marLeft w:val="0"/>
          <w:marRight w:val="0"/>
          <w:marTop w:val="0"/>
          <w:marBottom w:val="0"/>
          <w:divBdr>
            <w:top w:val="none" w:sz="0" w:space="0" w:color="auto"/>
            <w:left w:val="none" w:sz="0" w:space="0" w:color="auto"/>
            <w:bottom w:val="none" w:sz="0" w:space="0" w:color="auto"/>
            <w:right w:val="none" w:sz="0" w:space="0" w:color="auto"/>
          </w:divBdr>
        </w:div>
        <w:div w:id="2116363642">
          <w:marLeft w:val="0"/>
          <w:marRight w:val="0"/>
          <w:marTop w:val="0"/>
          <w:marBottom w:val="0"/>
          <w:divBdr>
            <w:top w:val="none" w:sz="0" w:space="0" w:color="auto"/>
            <w:left w:val="none" w:sz="0" w:space="0" w:color="auto"/>
            <w:bottom w:val="none" w:sz="0" w:space="0" w:color="auto"/>
            <w:right w:val="none" w:sz="0" w:space="0" w:color="auto"/>
          </w:divBdr>
        </w:div>
        <w:div w:id="1226642574">
          <w:marLeft w:val="0"/>
          <w:marRight w:val="0"/>
          <w:marTop w:val="0"/>
          <w:marBottom w:val="0"/>
          <w:divBdr>
            <w:top w:val="none" w:sz="0" w:space="0" w:color="auto"/>
            <w:left w:val="none" w:sz="0" w:space="0" w:color="auto"/>
            <w:bottom w:val="none" w:sz="0" w:space="0" w:color="auto"/>
            <w:right w:val="none" w:sz="0" w:space="0" w:color="auto"/>
          </w:divBdr>
        </w:div>
        <w:div w:id="1870483622">
          <w:marLeft w:val="0"/>
          <w:marRight w:val="0"/>
          <w:marTop w:val="0"/>
          <w:marBottom w:val="0"/>
          <w:divBdr>
            <w:top w:val="none" w:sz="0" w:space="0" w:color="auto"/>
            <w:left w:val="none" w:sz="0" w:space="0" w:color="auto"/>
            <w:bottom w:val="none" w:sz="0" w:space="0" w:color="auto"/>
            <w:right w:val="none" w:sz="0" w:space="0" w:color="auto"/>
          </w:divBdr>
        </w:div>
      </w:divsChild>
    </w:div>
    <w:div w:id="1430463670">
      <w:bodyDiv w:val="1"/>
      <w:marLeft w:val="0"/>
      <w:marRight w:val="0"/>
      <w:marTop w:val="0"/>
      <w:marBottom w:val="0"/>
      <w:divBdr>
        <w:top w:val="none" w:sz="0" w:space="0" w:color="auto"/>
        <w:left w:val="none" w:sz="0" w:space="0" w:color="auto"/>
        <w:bottom w:val="none" w:sz="0" w:space="0" w:color="auto"/>
        <w:right w:val="none" w:sz="0" w:space="0" w:color="auto"/>
      </w:divBdr>
      <w:divsChild>
        <w:div w:id="131218197">
          <w:marLeft w:val="0"/>
          <w:marRight w:val="0"/>
          <w:marTop w:val="0"/>
          <w:marBottom w:val="0"/>
          <w:divBdr>
            <w:top w:val="none" w:sz="0" w:space="0" w:color="auto"/>
            <w:left w:val="none" w:sz="0" w:space="0" w:color="auto"/>
            <w:bottom w:val="none" w:sz="0" w:space="0" w:color="auto"/>
            <w:right w:val="none" w:sz="0" w:space="0" w:color="auto"/>
          </w:divBdr>
        </w:div>
        <w:div w:id="832524883">
          <w:marLeft w:val="0"/>
          <w:marRight w:val="0"/>
          <w:marTop w:val="0"/>
          <w:marBottom w:val="0"/>
          <w:divBdr>
            <w:top w:val="none" w:sz="0" w:space="0" w:color="auto"/>
            <w:left w:val="none" w:sz="0" w:space="0" w:color="auto"/>
            <w:bottom w:val="none" w:sz="0" w:space="0" w:color="auto"/>
            <w:right w:val="none" w:sz="0" w:space="0" w:color="auto"/>
          </w:divBdr>
        </w:div>
        <w:div w:id="1740978388">
          <w:marLeft w:val="0"/>
          <w:marRight w:val="0"/>
          <w:marTop w:val="0"/>
          <w:marBottom w:val="0"/>
          <w:divBdr>
            <w:top w:val="none" w:sz="0" w:space="0" w:color="auto"/>
            <w:left w:val="none" w:sz="0" w:space="0" w:color="auto"/>
            <w:bottom w:val="none" w:sz="0" w:space="0" w:color="auto"/>
            <w:right w:val="none" w:sz="0" w:space="0" w:color="auto"/>
          </w:divBdr>
        </w:div>
        <w:div w:id="620651608">
          <w:marLeft w:val="0"/>
          <w:marRight w:val="0"/>
          <w:marTop w:val="0"/>
          <w:marBottom w:val="0"/>
          <w:divBdr>
            <w:top w:val="none" w:sz="0" w:space="0" w:color="auto"/>
            <w:left w:val="none" w:sz="0" w:space="0" w:color="auto"/>
            <w:bottom w:val="none" w:sz="0" w:space="0" w:color="auto"/>
            <w:right w:val="none" w:sz="0" w:space="0" w:color="auto"/>
          </w:divBdr>
        </w:div>
        <w:div w:id="591203988">
          <w:marLeft w:val="0"/>
          <w:marRight w:val="0"/>
          <w:marTop w:val="0"/>
          <w:marBottom w:val="0"/>
          <w:divBdr>
            <w:top w:val="none" w:sz="0" w:space="0" w:color="auto"/>
            <w:left w:val="none" w:sz="0" w:space="0" w:color="auto"/>
            <w:bottom w:val="none" w:sz="0" w:space="0" w:color="auto"/>
            <w:right w:val="none" w:sz="0" w:space="0" w:color="auto"/>
          </w:divBdr>
        </w:div>
      </w:divsChild>
    </w:div>
    <w:div w:id="1561789578">
      <w:bodyDiv w:val="1"/>
      <w:marLeft w:val="0"/>
      <w:marRight w:val="0"/>
      <w:marTop w:val="0"/>
      <w:marBottom w:val="0"/>
      <w:divBdr>
        <w:top w:val="none" w:sz="0" w:space="0" w:color="auto"/>
        <w:left w:val="none" w:sz="0" w:space="0" w:color="auto"/>
        <w:bottom w:val="none" w:sz="0" w:space="0" w:color="auto"/>
        <w:right w:val="none" w:sz="0" w:space="0" w:color="auto"/>
      </w:divBdr>
    </w:div>
    <w:div w:id="1567913082">
      <w:bodyDiv w:val="1"/>
      <w:marLeft w:val="0"/>
      <w:marRight w:val="0"/>
      <w:marTop w:val="0"/>
      <w:marBottom w:val="0"/>
      <w:divBdr>
        <w:top w:val="none" w:sz="0" w:space="0" w:color="auto"/>
        <w:left w:val="none" w:sz="0" w:space="0" w:color="auto"/>
        <w:bottom w:val="none" w:sz="0" w:space="0" w:color="auto"/>
        <w:right w:val="none" w:sz="0" w:space="0" w:color="auto"/>
      </w:divBdr>
      <w:divsChild>
        <w:div w:id="1988632814">
          <w:marLeft w:val="0"/>
          <w:marRight w:val="0"/>
          <w:marTop w:val="0"/>
          <w:marBottom w:val="0"/>
          <w:divBdr>
            <w:top w:val="none" w:sz="0" w:space="0" w:color="auto"/>
            <w:left w:val="none" w:sz="0" w:space="0" w:color="auto"/>
            <w:bottom w:val="none" w:sz="0" w:space="0" w:color="auto"/>
            <w:right w:val="none" w:sz="0" w:space="0" w:color="auto"/>
          </w:divBdr>
        </w:div>
        <w:div w:id="944120879">
          <w:marLeft w:val="0"/>
          <w:marRight w:val="0"/>
          <w:marTop w:val="0"/>
          <w:marBottom w:val="0"/>
          <w:divBdr>
            <w:top w:val="none" w:sz="0" w:space="0" w:color="auto"/>
            <w:left w:val="none" w:sz="0" w:space="0" w:color="auto"/>
            <w:bottom w:val="none" w:sz="0" w:space="0" w:color="auto"/>
            <w:right w:val="none" w:sz="0" w:space="0" w:color="auto"/>
          </w:divBdr>
        </w:div>
        <w:div w:id="525212061">
          <w:marLeft w:val="0"/>
          <w:marRight w:val="0"/>
          <w:marTop w:val="0"/>
          <w:marBottom w:val="0"/>
          <w:divBdr>
            <w:top w:val="none" w:sz="0" w:space="0" w:color="auto"/>
            <w:left w:val="none" w:sz="0" w:space="0" w:color="auto"/>
            <w:bottom w:val="none" w:sz="0" w:space="0" w:color="auto"/>
            <w:right w:val="none" w:sz="0" w:space="0" w:color="auto"/>
          </w:divBdr>
        </w:div>
        <w:div w:id="1472357942">
          <w:marLeft w:val="0"/>
          <w:marRight w:val="0"/>
          <w:marTop w:val="0"/>
          <w:marBottom w:val="0"/>
          <w:divBdr>
            <w:top w:val="none" w:sz="0" w:space="0" w:color="auto"/>
            <w:left w:val="none" w:sz="0" w:space="0" w:color="auto"/>
            <w:bottom w:val="none" w:sz="0" w:space="0" w:color="auto"/>
            <w:right w:val="none" w:sz="0" w:space="0" w:color="auto"/>
          </w:divBdr>
        </w:div>
        <w:div w:id="280383304">
          <w:marLeft w:val="0"/>
          <w:marRight w:val="0"/>
          <w:marTop w:val="0"/>
          <w:marBottom w:val="0"/>
          <w:divBdr>
            <w:top w:val="none" w:sz="0" w:space="0" w:color="auto"/>
            <w:left w:val="none" w:sz="0" w:space="0" w:color="auto"/>
            <w:bottom w:val="none" w:sz="0" w:space="0" w:color="auto"/>
            <w:right w:val="none" w:sz="0" w:space="0" w:color="auto"/>
          </w:divBdr>
        </w:div>
        <w:div w:id="1567644271">
          <w:marLeft w:val="0"/>
          <w:marRight w:val="0"/>
          <w:marTop w:val="0"/>
          <w:marBottom w:val="0"/>
          <w:divBdr>
            <w:top w:val="none" w:sz="0" w:space="0" w:color="auto"/>
            <w:left w:val="none" w:sz="0" w:space="0" w:color="auto"/>
            <w:bottom w:val="none" w:sz="0" w:space="0" w:color="auto"/>
            <w:right w:val="none" w:sz="0" w:space="0" w:color="auto"/>
          </w:divBdr>
        </w:div>
      </w:divsChild>
    </w:div>
    <w:div w:id="1582830960">
      <w:bodyDiv w:val="1"/>
      <w:marLeft w:val="0"/>
      <w:marRight w:val="0"/>
      <w:marTop w:val="0"/>
      <w:marBottom w:val="0"/>
      <w:divBdr>
        <w:top w:val="none" w:sz="0" w:space="0" w:color="auto"/>
        <w:left w:val="none" w:sz="0" w:space="0" w:color="auto"/>
        <w:bottom w:val="none" w:sz="0" w:space="0" w:color="auto"/>
        <w:right w:val="none" w:sz="0" w:space="0" w:color="auto"/>
      </w:divBdr>
      <w:divsChild>
        <w:div w:id="1097557316">
          <w:marLeft w:val="0"/>
          <w:marRight w:val="0"/>
          <w:marTop w:val="0"/>
          <w:marBottom w:val="0"/>
          <w:divBdr>
            <w:top w:val="none" w:sz="0" w:space="0" w:color="auto"/>
            <w:left w:val="none" w:sz="0" w:space="0" w:color="auto"/>
            <w:bottom w:val="none" w:sz="0" w:space="0" w:color="auto"/>
            <w:right w:val="none" w:sz="0" w:space="0" w:color="auto"/>
          </w:divBdr>
        </w:div>
        <w:div w:id="1194270273">
          <w:marLeft w:val="0"/>
          <w:marRight w:val="0"/>
          <w:marTop w:val="0"/>
          <w:marBottom w:val="0"/>
          <w:divBdr>
            <w:top w:val="none" w:sz="0" w:space="0" w:color="auto"/>
            <w:left w:val="none" w:sz="0" w:space="0" w:color="auto"/>
            <w:bottom w:val="none" w:sz="0" w:space="0" w:color="auto"/>
            <w:right w:val="none" w:sz="0" w:space="0" w:color="auto"/>
          </w:divBdr>
        </w:div>
        <w:div w:id="1596092531">
          <w:marLeft w:val="0"/>
          <w:marRight w:val="0"/>
          <w:marTop w:val="0"/>
          <w:marBottom w:val="0"/>
          <w:divBdr>
            <w:top w:val="none" w:sz="0" w:space="0" w:color="auto"/>
            <w:left w:val="none" w:sz="0" w:space="0" w:color="auto"/>
            <w:bottom w:val="none" w:sz="0" w:space="0" w:color="auto"/>
            <w:right w:val="none" w:sz="0" w:space="0" w:color="auto"/>
          </w:divBdr>
        </w:div>
        <w:div w:id="419838124">
          <w:marLeft w:val="0"/>
          <w:marRight w:val="0"/>
          <w:marTop w:val="0"/>
          <w:marBottom w:val="0"/>
          <w:divBdr>
            <w:top w:val="none" w:sz="0" w:space="0" w:color="auto"/>
            <w:left w:val="none" w:sz="0" w:space="0" w:color="auto"/>
            <w:bottom w:val="none" w:sz="0" w:space="0" w:color="auto"/>
            <w:right w:val="none" w:sz="0" w:space="0" w:color="auto"/>
          </w:divBdr>
        </w:div>
        <w:div w:id="168637989">
          <w:marLeft w:val="0"/>
          <w:marRight w:val="0"/>
          <w:marTop w:val="0"/>
          <w:marBottom w:val="0"/>
          <w:divBdr>
            <w:top w:val="none" w:sz="0" w:space="0" w:color="auto"/>
            <w:left w:val="none" w:sz="0" w:space="0" w:color="auto"/>
            <w:bottom w:val="none" w:sz="0" w:space="0" w:color="auto"/>
            <w:right w:val="none" w:sz="0" w:space="0" w:color="auto"/>
          </w:divBdr>
        </w:div>
        <w:div w:id="83038897">
          <w:marLeft w:val="0"/>
          <w:marRight w:val="0"/>
          <w:marTop w:val="0"/>
          <w:marBottom w:val="0"/>
          <w:divBdr>
            <w:top w:val="none" w:sz="0" w:space="0" w:color="auto"/>
            <w:left w:val="none" w:sz="0" w:space="0" w:color="auto"/>
            <w:bottom w:val="none" w:sz="0" w:space="0" w:color="auto"/>
            <w:right w:val="none" w:sz="0" w:space="0" w:color="auto"/>
          </w:divBdr>
        </w:div>
        <w:div w:id="1642729922">
          <w:marLeft w:val="0"/>
          <w:marRight w:val="0"/>
          <w:marTop w:val="0"/>
          <w:marBottom w:val="0"/>
          <w:divBdr>
            <w:top w:val="none" w:sz="0" w:space="0" w:color="auto"/>
            <w:left w:val="none" w:sz="0" w:space="0" w:color="auto"/>
            <w:bottom w:val="none" w:sz="0" w:space="0" w:color="auto"/>
            <w:right w:val="none" w:sz="0" w:space="0" w:color="auto"/>
          </w:divBdr>
        </w:div>
      </w:divsChild>
    </w:div>
    <w:div w:id="1590120205">
      <w:marLeft w:val="0"/>
      <w:marRight w:val="0"/>
      <w:marTop w:val="0"/>
      <w:marBottom w:val="0"/>
      <w:divBdr>
        <w:top w:val="none" w:sz="0" w:space="0" w:color="auto"/>
        <w:left w:val="none" w:sz="0" w:space="0" w:color="auto"/>
        <w:bottom w:val="none" w:sz="0" w:space="0" w:color="auto"/>
        <w:right w:val="none" w:sz="0" w:space="0" w:color="auto"/>
      </w:divBdr>
    </w:div>
    <w:div w:id="1622493919">
      <w:marLeft w:val="0"/>
      <w:marRight w:val="0"/>
      <w:marTop w:val="0"/>
      <w:marBottom w:val="0"/>
      <w:divBdr>
        <w:top w:val="none" w:sz="0" w:space="0" w:color="auto"/>
        <w:left w:val="none" w:sz="0" w:space="0" w:color="auto"/>
        <w:bottom w:val="none" w:sz="0" w:space="0" w:color="auto"/>
        <w:right w:val="none" w:sz="0" w:space="0" w:color="auto"/>
      </w:divBdr>
    </w:div>
    <w:div w:id="1646737156">
      <w:marLeft w:val="0"/>
      <w:marRight w:val="0"/>
      <w:marTop w:val="0"/>
      <w:marBottom w:val="0"/>
      <w:divBdr>
        <w:top w:val="none" w:sz="0" w:space="0" w:color="auto"/>
        <w:left w:val="none" w:sz="0" w:space="0" w:color="auto"/>
        <w:bottom w:val="none" w:sz="0" w:space="0" w:color="auto"/>
        <w:right w:val="none" w:sz="0" w:space="0" w:color="auto"/>
      </w:divBdr>
    </w:div>
    <w:div w:id="1697922146">
      <w:bodyDiv w:val="1"/>
      <w:marLeft w:val="0"/>
      <w:marRight w:val="0"/>
      <w:marTop w:val="0"/>
      <w:marBottom w:val="0"/>
      <w:divBdr>
        <w:top w:val="none" w:sz="0" w:space="0" w:color="auto"/>
        <w:left w:val="none" w:sz="0" w:space="0" w:color="auto"/>
        <w:bottom w:val="none" w:sz="0" w:space="0" w:color="auto"/>
        <w:right w:val="none" w:sz="0" w:space="0" w:color="auto"/>
      </w:divBdr>
      <w:divsChild>
        <w:div w:id="1676805227">
          <w:marLeft w:val="0"/>
          <w:marRight w:val="0"/>
          <w:marTop w:val="0"/>
          <w:marBottom w:val="0"/>
          <w:divBdr>
            <w:top w:val="none" w:sz="0" w:space="0" w:color="auto"/>
            <w:left w:val="none" w:sz="0" w:space="0" w:color="auto"/>
            <w:bottom w:val="none" w:sz="0" w:space="0" w:color="auto"/>
            <w:right w:val="none" w:sz="0" w:space="0" w:color="auto"/>
          </w:divBdr>
        </w:div>
        <w:div w:id="483082810">
          <w:marLeft w:val="0"/>
          <w:marRight w:val="0"/>
          <w:marTop w:val="0"/>
          <w:marBottom w:val="0"/>
          <w:divBdr>
            <w:top w:val="none" w:sz="0" w:space="0" w:color="auto"/>
            <w:left w:val="none" w:sz="0" w:space="0" w:color="auto"/>
            <w:bottom w:val="none" w:sz="0" w:space="0" w:color="auto"/>
            <w:right w:val="none" w:sz="0" w:space="0" w:color="auto"/>
          </w:divBdr>
        </w:div>
        <w:div w:id="1996376326">
          <w:marLeft w:val="0"/>
          <w:marRight w:val="0"/>
          <w:marTop w:val="0"/>
          <w:marBottom w:val="0"/>
          <w:divBdr>
            <w:top w:val="none" w:sz="0" w:space="0" w:color="auto"/>
            <w:left w:val="none" w:sz="0" w:space="0" w:color="auto"/>
            <w:bottom w:val="none" w:sz="0" w:space="0" w:color="auto"/>
            <w:right w:val="none" w:sz="0" w:space="0" w:color="auto"/>
          </w:divBdr>
        </w:div>
        <w:div w:id="1333753193">
          <w:marLeft w:val="0"/>
          <w:marRight w:val="0"/>
          <w:marTop w:val="0"/>
          <w:marBottom w:val="0"/>
          <w:divBdr>
            <w:top w:val="none" w:sz="0" w:space="0" w:color="auto"/>
            <w:left w:val="none" w:sz="0" w:space="0" w:color="auto"/>
            <w:bottom w:val="none" w:sz="0" w:space="0" w:color="auto"/>
            <w:right w:val="none" w:sz="0" w:space="0" w:color="auto"/>
          </w:divBdr>
        </w:div>
        <w:div w:id="1258439720">
          <w:marLeft w:val="0"/>
          <w:marRight w:val="0"/>
          <w:marTop w:val="0"/>
          <w:marBottom w:val="0"/>
          <w:divBdr>
            <w:top w:val="none" w:sz="0" w:space="0" w:color="auto"/>
            <w:left w:val="none" w:sz="0" w:space="0" w:color="auto"/>
            <w:bottom w:val="none" w:sz="0" w:space="0" w:color="auto"/>
            <w:right w:val="none" w:sz="0" w:space="0" w:color="auto"/>
          </w:divBdr>
        </w:div>
        <w:div w:id="162667997">
          <w:marLeft w:val="0"/>
          <w:marRight w:val="0"/>
          <w:marTop w:val="0"/>
          <w:marBottom w:val="0"/>
          <w:divBdr>
            <w:top w:val="none" w:sz="0" w:space="0" w:color="auto"/>
            <w:left w:val="none" w:sz="0" w:space="0" w:color="auto"/>
            <w:bottom w:val="none" w:sz="0" w:space="0" w:color="auto"/>
            <w:right w:val="none" w:sz="0" w:space="0" w:color="auto"/>
          </w:divBdr>
        </w:div>
        <w:div w:id="739714724">
          <w:marLeft w:val="0"/>
          <w:marRight w:val="0"/>
          <w:marTop w:val="0"/>
          <w:marBottom w:val="0"/>
          <w:divBdr>
            <w:top w:val="none" w:sz="0" w:space="0" w:color="auto"/>
            <w:left w:val="none" w:sz="0" w:space="0" w:color="auto"/>
            <w:bottom w:val="none" w:sz="0" w:space="0" w:color="auto"/>
            <w:right w:val="none" w:sz="0" w:space="0" w:color="auto"/>
          </w:divBdr>
        </w:div>
      </w:divsChild>
    </w:div>
    <w:div w:id="1731683658">
      <w:marLeft w:val="0"/>
      <w:marRight w:val="0"/>
      <w:marTop w:val="0"/>
      <w:marBottom w:val="0"/>
      <w:divBdr>
        <w:top w:val="none" w:sz="0" w:space="0" w:color="auto"/>
        <w:left w:val="none" w:sz="0" w:space="0" w:color="auto"/>
        <w:bottom w:val="none" w:sz="0" w:space="0" w:color="auto"/>
        <w:right w:val="none" w:sz="0" w:space="0" w:color="auto"/>
      </w:divBdr>
    </w:div>
    <w:div w:id="1742561158">
      <w:marLeft w:val="0"/>
      <w:marRight w:val="0"/>
      <w:marTop w:val="0"/>
      <w:marBottom w:val="0"/>
      <w:divBdr>
        <w:top w:val="none" w:sz="0" w:space="0" w:color="auto"/>
        <w:left w:val="none" w:sz="0" w:space="0" w:color="auto"/>
        <w:bottom w:val="none" w:sz="0" w:space="0" w:color="auto"/>
        <w:right w:val="none" w:sz="0" w:space="0" w:color="auto"/>
      </w:divBdr>
    </w:div>
    <w:div w:id="1833911629">
      <w:marLeft w:val="0"/>
      <w:marRight w:val="0"/>
      <w:marTop w:val="0"/>
      <w:marBottom w:val="0"/>
      <w:divBdr>
        <w:top w:val="none" w:sz="0" w:space="0" w:color="auto"/>
        <w:left w:val="none" w:sz="0" w:space="0" w:color="auto"/>
        <w:bottom w:val="none" w:sz="0" w:space="0" w:color="auto"/>
        <w:right w:val="none" w:sz="0" w:space="0" w:color="auto"/>
      </w:divBdr>
    </w:div>
    <w:div w:id="1854297676">
      <w:marLeft w:val="0"/>
      <w:marRight w:val="0"/>
      <w:marTop w:val="0"/>
      <w:marBottom w:val="0"/>
      <w:divBdr>
        <w:top w:val="none" w:sz="0" w:space="0" w:color="auto"/>
        <w:left w:val="none" w:sz="0" w:space="0" w:color="auto"/>
        <w:bottom w:val="none" w:sz="0" w:space="0" w:color="auto"/>
        <w:right w:val="none" w:sz="0" w:space="0" w:color="auto"/>
      </w:divBdr>
    </w:div>
    <w:div w:id="1899778952">
      <w:marLeft w:val="0"/>
      <w:marRight w:val="0"/>
      <w:marTop w:val="0"/>
      <w:marBottom w:val="0"/>
      <w:divBdr>
        <w:top w:val="none" w:sz="0" w:space="0" w:color="auto"/>
        <w:left w:val="none" w:sz="0" w:space="0" w:color="auto"/>
        <w:bottom w:val="none" w:sz="0" w:space="0" w:color="auto"/>
        <w:right w:val="none" w:sz="0" w:space="0" w:color="auto"/>
      </w:divBdr>
    </w:div>
    <w:div w:id="1908832761">
      <w:marLeft w:val="0"/>
      <w:marRight w:val="0"/>
      <w:marTop w:val="0"/>
      <w:marBottom w:val="0"/>
      <w:divBdr>
        <w:top w:val="none" w:sz="0" w:space="0" w:color="auto"/>
        <w:left w:val="none" w:sz="0" w:space="0" w:color="auto"/>
        <w:bottom w:val="none" w:sz="0" w:space="0" w:color="auto"/>
        <w:right w:val="none" w:sz="0" w:space="0" w:color="auto"/>
      </w:divBdr>
    </w:div>
    <w:div w:id="1975603619">
      <w:marLeft w:val="0"/>
      <w:marRight w:val="0"/>
      <w:marTop w:val="0"/>
      <w:marBottom w:val="0"/>
      <w:divBdr>
        <w:top w:val="none" w:sz="0" w:space="0" w:color="auto"/>
        <w:left w:val="none" w:sz="0" w:space="0" w:color="auto"/>
        <w:bottom w:val="none" w:sz="0" w:space="0" w:color="auto"/>
        <w:right w:val="none" w:sz="0" w:space="0" w:color="auto"/>
      </w:divBdr>
    </w:div>
    <w:div w:id="1984308493">
      <w:marLeft w:val="0"/>
      <w:marRight w:val="0"/>
      <w:marTop w:val="0"/>
      <w:marBottom w:val="0"/>
      <w:divBdr>
        <w:top w:val="none" w:sz="0" w:space="0" w:color="auto"/>
        <w:left w:val="none" w:sz="0" w:space="0" w:color="auto"/>
        <w:bottom w:val="none" w:sz="0" w:space="0" w:color="auto"/>
        <w:right w:val="none" w:sz="0" w:space="0" w:color="auto"/>
      </w:divBdr>
    </w:div>
    <w:div w:id="1986809919">
      <w:marLeft w:val="0"/>
      <w:marRight w:val="0"/>
      <w:marTop w:val="0"/>
      <w:marBottom w:val="0"/>
      <w:divBdr>
        <w:top w:val="none" w:sz="0" w:space="0" w:color="auto"/>
        <w:left w:val="none" w:sz="0" w:space="0" w:color="auto"/>
        <w:bottom w:val="none" w:sz="0" w:space="0" w:color="auto"/>
        <w:right w:val="none" w:sz="0" w:space="0" w:color="auto"/>
      </w:divBdr>
    </w:div>
    <w:div w:id="2017265247">
      <w:marLeft w:val="0"/>
      <w:marRight w:val="0"/>
      <w:marTop w:val="0"/>
      <w:marBottom w:val="0"/>
      <w:divBdr>
        <w:top w:val="none" w:sz="0" w:space="0" w:color="auto"/>
        <w:left w:val="none" w:sz="0" w:space="0" w:color="auto"/>
        <w:bottom w:val="none" w:sz="0" w:space="0" w:color="auto"/>
        <w:right w:val="none" w:sz="0" w:space="0" w:color="auto"/>
      </w:divBdr>
    </w:div>
    <w:div w:id="2080665010">
      <w:marLeft w:val="0"/>
      <w:marRight w:val="0"/>
      <w:marTop w:val="0"/>
      <w:marBottom w:val="0"/>
      <w:divBdr>
        <w:top w:val="none" w:sz="0" w:space="0" w:color="auto"/>
        <w:left w:val="none" w:sz="0" w:space="0" w:color="auto"/>
        <w:bottom w:val="none" w:sz="0" w:space="0" w:color="auto"/>
        <w:right w:val="none" w:sz="0" w:space="0" w:color="auto"/>
      </w:divBdr>
    </w:div>
    <w:div w:id="211413216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3B0931B-0528-4295-9E18-6F65426B6586}">
  <we:reference id="f78a3046-9e99-4300-aa2b-5814002b01a2" version="1.55.1.0" store="EXCatalog" storeType="EXCatalog"/>
  <we:alternateReferences>
    <we:reference id="WA104382081" version="1.55.1.0" store="th-TH" storeType="OMEX"/>
  </we:alternateReferences>
  <we:properties>
    <we:property name="MENDELEY_CITATIONS" value="[{&quot;citationID&quot;:&quot;MENDELEY_CITATION_28b9df2c-018e-4c66-bdbe-2bb92d4168fc&quot;,&quot;properties&quot;:{&quot;noteIndex&quot;:0},&quot;isEdited&quot;:false,&quot;manualOverride&quot;:{&quot;isManuallyOverridden&quot;:false,&quot;citeprocText&quot;:&quot;[1]&quot;,&quot;manualOverrideText&quot;:&quot;&quot;},&quot;citationTag&quot;:&quot;MENDELEY_CITATION_v3_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&quot;,&quot;citationItems&quot;:[{&quot;id&quot;:&quot;4e26630f-fc25-37eb-a87d-f0bd736acdfb&quot;,&quot;itemData&quot;:{&quot;type&quot;:&quot;article-journal&quot;,&quot;id&quot;:&quot;4e26630f-fc25-37eb-a87d-f0bd736acdfb&quot;,&quot;title&quot;:&quot;One-Year Mortality After Dialysis Initiation Among Older Adults&quot;,&quot;author&quot;:[{&quot;family&quot;:&quot;Wachterman&quot;,&quot;given&quot;:&quot;Melissa W.&quot;,&quot;parse-names&quot;:false,&quot;dropping-particle&quot;:&quot;&quot;,&quot;non-dropping-particle&quot;:&quot;&quot;},{&quot;family&quot;:&quot;O’Hare&quot;,&quot;given&quot;:&quot;Ann M.&quot;,&quot;parse-names&quot;:false,&quot;dropping-particle&quot;:&quot;&quot;,&quot;non-dropping-particle&quot;:&quot;&quot;},{&quot;family&quot;:&quot;Rahman&quot;,&quot;given&quot;:&quot;Omari-Khalid&quot;,&quot;parse-names&quot;:false,&quot;dropping-particle&quot;:&quot;&quot;,&quot;non-dropping-particle&quot;:&quot;&quot;},{&quot;family&quot;:&quot;Lorenz&quot;,&quot;given&quot;:&quot;Karl A.&quot;,&quot;parse-names&quot;:false,&quot;dropping-particle&quot;:&quot;&quot;,&quot;non-dropping-particle&quot;:&quot;&quot;},{&quot;family&quot;:&quot;Marcantonio&quot;,&quot;given&quot;:&quot;Edward R.&quot;,&quot;parse-names&quot;:false,&quot;dropping-particle&quot;:&quot;&quot;,&quot;non-dropping-particle&quot;:&quot;&quot;},{&quot;family&quot;:&quot;Alicante&quot;,&quot;given&quot;:&quot;Gabrielle K.&quot;,&quot;parse-names&quot;:false,&quot;dropping-particle&quot;:&quot;&quot;,&quot;non-dropping-particle&quot;:&quot;&quot;},{&quot;family&quot;:&quot;Kelley&quot;,&quot;given&quot;:&quot;Amy S.&quot;,&quot;parse-names&quot;:false,&quot;dropping-particle&quot;:&quot;&quot;,&quot;non-dropping-particle&quot;:&quot;&quot;}],&quot;container-title&quot;:&quot;JAMA Internal Medicine&quot;,&quot;container-title-short&quot;:&quot;JAMA Intern Med&quot;,&quot;DOI&quot;:&quot;10.1001/jamainternmed.2019.0125&quot;,&quot;ISSN&quot;:&quot;2168-6106&quot;,&quot;issued&quot;:{&quot;date-parts&quot;:[[2019,7,1]]},&quot;page&quot;:&quot;987&quot;,&quot;issue&quot;:&quot;7&quot;,&quot;volume&quot;:&quot;179&quot;},&quot;isTemporary&quot;:false}]},{&quot;citationID&quot;:&quot;MENDELEY_CITATION_d9bdbd3b-ed66-422e-89a5-605fcbfcf21b&quot;,&quot;properties&quot;:{&quot;noteIndex&quot;:0},&quot;isEdited&quot;:false,&quot;manualOverride&quot;:{&quot;isManuallyOverridden&quot;:false,&quot;citeprocText&quot;:&quot;[2]&quot;,&quot;manualOverrideText&quot;:&quot;&quot;},&quot;citationTag&quot;:&quot;MENDELEY_CITATION_v3_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&quot;,&quot;citationItems&quot;:[{&quot;id&quot;:&quot;8e1b5365-9526-321c-b919-7da097435369&quot;,&quot;itemData&quot;:{&quot;type&quot;:&quot;article-journal&quot;,&quot;id&quot;:&quot;8e1b5365-9526-321c-b919-7da097435369&quot;,&quot;title&quot;:&quot;Impact of peritonitis on long-term survival of peritoneal dialysis patients.&quot;,&quot;author&quot;:[{&quot;family&quot;:&quot;Muñoz de Bustillo&quot;,&quot;given&quot;:&quot;E&quot;,&quot;parse-names&quot;:false,&quot;dropping-particle&quot;:&quot;&quot;,&quot;non-dropping-particle&quot;:&quot;&quot;},{&quot;family&quot;:&quot;Borrás&quot;,&quot;given&quot;:&quot;F&quot;,&quot;parse-names&quot;:false,&quot;dropping-particle&quot;:&quot;&quot;,&quot;non-dropping-particle&quot;:&quot;&quot;},{&quot;family&quot;:&quot;Gómez-Roldán&quot;,&quot;given&quot;:&quot;C&quot;,&quot;parse-names&quot;:false,&quot;dropping-particle&quot;:&quot;&quot;,&quot;non-dropping-particle&quot;:&quot;&quot;},{&quot;family&quot;:&quot;Pérez-Contreras&quot;,&quot;given&quot;:&quot;F J&quot;,&quot;parse-names&quot;:false,&quot;dropping-particle&quot;:&quot;&quot;,&quot;non-dropping-particle&quot;:&quot;&quot;},{&quot;family&quot;:&quot;Olivares&quot;,&quot;given&quot;:&quot;J&quot;,&quot;parse-names&quot;:false,&quot;dropping-particle&quot;:&quot;&quot;,&quot;non-dropping-particle&quot;:&quot;&quot;},{&quot;family&quot;:&quot;García&quot;,&quot;given&quot;:&quot;R&quot;,&quot;parse-names&quot;:false,&quot;dropping-particle&quot;:&quot;&quot;,&quot;non-dropping-particle&quot;:&quot;&quot;},{&quot;family&quot;:&quot;Miguel&quot;,&quot;given&quot;:&quot;A&quot;,&quot;parse-names&quot;:false,&quot;dropping-particle&quot;:&quot;&quot;,&quot;non-dropping-particle&quot;:&quot;&quot;},{&quot;family&quot;:&quot;Grupo Levante de Diálisis Peritoneal&quot;,&quot;given&quot;:&quot;&quot;,&quot;parse-names&quot;:false,&quot;dropping-particle&quot;:&quot;&quot;,&quot;non-dropping-particle&quot;:&quot;&quot;}],&quot;container-title&quot;:&quot;Nefrologia : publicacion oficial de la Sociedad Espanola Nefrologia&quot;,&quot;DOI&quot;:&quot;10.3265/Nefrologia.pre2011.Oct.10987&quot;,&quot;ISSN&quot;:&quot;1989-2284&quot;,&quot;PMID&quot;:&quot;22130289&quot;,&quot;issued&quot;:{&quot;date-parts&quot;:[[2011]]},&quot;page&quot;:&quot;723-32&quot;,&quot;abstract&quot;:&quot;UNLABELLED The impact of each episode of peritonitis on long-term survival of peritoneal dialysis (PD) patients has yet to be defined. OBJECTIVES To determine the risk that each episode of peritonitis poses for patient survival and for the PD technique. PATIENTS 1515 patients included in the Levante registry from 1 January 1993 to 31 December 2005. METHODS Retrospective analysis of a multicentre registry using Cox regression for time-dependent variables. RESULTS We analysed 1609 episodes of peritonitis in 716 patients (47.2%). In the univariate analysis, each case of peritonitis treated in the outpatient unit was associated with an increase in mortality (hazard ratio [HR] 1.99, P&lt;.001), which was greater for episodes that required hospitalisation (HR 3.62, P&lt;.001). Mortality increased with each successive episode in the same patient. Multivariate analysis confirmed the association of each case of peritonitis with lower long-term survival (HR 2.01, P&lt;.001), with a different risk for episodes due to gram-positive and gram-negative bacteria and fungi (HR 1.73, 2.43 and 5.71, respectively; P&lt;.001). Other variables associated with mortality were age, low residual renal function, absence of vascular access and comorbidity. Peritonitis was the only independent variable associated with technique failure (HR 1.29, P&lt;.001), with a different risk for episodes due to gram-positive and gram-negative bacteria and fungi (HR 1.73, 2.43 and 5.71, respectively; P&lt;.001). CONCLUSIONS Episodes of peritonitis negatively influence long-term survival of patients on PD.&quot;,&quot;issue&quot;:&quot;6&quot;,&quot;volume&quot;:&quot;31&quot;,&quot;container-title-short&quot;:&quot;Nefrologia&quot;},&quot;isTemporary&quot;:false}]},{&quot;citationID&quot;:&quot;MENDELEY_CITATION_0e503978-1c88-4b77-9ad0-eb9d0e8b03e6&quot;,&quot;properties&quot;:{&quot;noteIndex&quot;:0},&quot;isEdited&quot;:false,&quot;manualOverride&quot;:{&quot;isManuallyOverridden&quot;:false,&quot;citeprocText&quot;:&quot;[3]&quot;,&quot;manualOverrideText&quot;:&quot;&quot;},&quot;citationTag&quot;:&quot;MENDELEY_CITATION_v3_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&quot;,&quot;citationItems&quot;:[{&quot;id&quot;:&quot;de88585c-7556-3cb9-abc1-7d10ac666c7d&quot;,&quot;itemData&quot;:{&quot;type&quot;:&quot;article-journal&quot;,&quot;id&quot;:&quot;de88585c-7556-3cb9-abc1-7d10ac666c7d&quot;,&quot;title&quot;:&quot;Hemodialysis vascular access and clinical outcomes: an observational multicenter study&quot;,&quot;author&quot;:[{&quot;family&quot;:&quot;Soleymanian&quot;,&quot;given&quot;:&quot;Tayebeh&quot;,&quot;parse-names&quot;:false,&quot;dropping-particle&quot;:&quot;&quot;,&quot;non-dropping-particle&quot;:&quot;&quot;},{&quot;family&quot;:&quot;Sheikh&quot;,&quot;given&quot;:&quot;Vida&quot;,&quot;parse-names&quot;:false,&quot;dropping-particle&quot;:&quot;&quot;,&quot;non-dropping-particle&quot;:&quot;&quot;},{&quot;family&quot;:&quot;Tareh&quot;,&quot;given&quot;:&quot;Faezeh&quot;,&quot;parse-names&quot;:false,&quot;dropping-particle&quot;:&quot;&quot;,&quot;non-dropping-particle&quot;:&quot;&quot;},{&quot;family&quot;:&quot;Argani&quot;,&quot;given&quot;:&quot;Hassan&quot;,&quot;parse-names&quot;:false,&quot;dropping-particle&quot;:&quot;&quot;,&quot;non-dropping-particle&quot;:&quot;&quot;},{&quot;family&quot;:&quot;Ossareh&quot;,&quot;given&quot;:&quot;Shahrzad&quot;,&quot;parse-names&quot;:false,&quot;dropping-particle&quot;:&quot;&quot;,&quot;non-dropping-particle&quot;:&quot;&quot;}],&quot;container-title&quot;:&quot;The Journal of Vascular Access&quot;,&quot;DOI&quot;:&quot;10.5301/jva.5000610&quot;,&quot;ISSN&quot;:&quot;1129-7298&quot;,&quot;issued&quot;:{&quot;date-parts&quot;:[[2017,1,26]]},&quot;page&quot;:&quot;35-42&quot;,&quot;issue&quot;:&quot;1&quot;,&quot;volume&quot;:&quot;18&quot;,&quot;container-title-short&quot;:&quot;J Vasc Access&quot;},&quot;isTemporary&quot;:false}]},{&quot;citationID&quot;:&quot;MENDELEY_CITATION_6f98acfe-f6a1-4f60-ae28-51f5e237d569&quot;,&quot;properties&quot;:{&quot;noteIndex&quot;:0},&quot;isEdited&quot;:false,&quot;manualOverride&quot;:{&quot;isManuallyOverridden&quot;:false,&quot;citeprocText&quot;:&quot;[4]&quot;,&quot;manualOverrideText&quot;:&quot;&quot;},&quot;citationTag&quot;:&quot;MENDELEY_CITATION_v3_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&quot;,&quot;citationItems&quot;:[{&quot;id&quot;:&quot;2e68ae4a-cb6a-3170-89b5-d5a3ea823395&quot;,&quot;itemData&quot;:{&quot;type&quot;:&quot;article-journal&quot;,&quot;id&quot;:&quot;2e68ae4a-cb6a-3170-89b5-d5a3ea823395&quot;,&quot;title&quot;:&quot;Vascular access mortality and hospitalization among hemodialysis patients in Palestine&quot;,&quot;author&quot;:[{&quot;family&quot;:&quot;Hamadneh&quot;,&quot;given&quot;:&quot;SondusA&quot;,&quot;parse-names&quot;:false,&quot;dropping-particle&quot;:&quot;&quot;,&quot;non-dropping-particle&quot;:&quot;&quot;},{&quot;family&quot;:&quot;Nueirat&quot;,&quot;given&quot;:&quot;SajaA&quot;,&quot;parse-names&quot;:false,&quot;dropping-particle&quot;:&quot;&quot;,&quot;non-dropping-particle&quot;:&quot;&quot;},{&quot;family&quot;:&quot;Qadoomi&quot;,&quot;given&quot;:&quot;Jamal&quot;,&quot;parse-names&quot;:false,&quot;dropping-particle&quot;:&quot;&quot;,&quot;non-dropping-particle&quot;:&quot;&quot;},{&quot;family&quot;:&quot;Shurrab&quot;,&quot;given&quot;:&quot;Mohammed&quot;,&quot;parse-names&quot;:false,&quot;dropping-particle&quot;:&quot;&quot;,&quot;non-dropping-particle&quot;:&quot;&quot;},{&quot;family&quot;:&quot;Qunibi&quot;,&quot;given&quot;:&quot;WajehY&quot;,&quot;parse-names&quot;:false,&quot;dropping-particle&quot;:&quot;&quot;,&quot;non-dropping-particle&quot;:&quot;&quot;},{&quot;family&quot;:&quot;Hamdan&quot;,&quot;given&quot;:&quot;Zakaria&quot;,&quot;parse-names&quot;:false,&quot;dropping-particle&quot;:&quot;&quot;,&quot;non-dropping-particle&quot;:&quot;&quot;}],&quot;container-title&quot;:&quot;Saudi Journal of Kidney Diseases and Transplantation&quot;,&quot;DOI&quot;:&quot;10.4103/1319-2442.225184&quot;,&quot;ISSN&quot;:&quot;1319-2442&quot;,&quot;issued&quot;:{&quot;date-parts&quot;:[[2018]]},&quot;page&quot;:&quot;120&quot;,&quot;issue&quot;:&quot;1&quot;,&quot;volume&quot;:&quot;29&quot;,&quot;container-title-short&quot;:&quot;&quot;},&quot;isTemporary&quot;:false}]},{&quot;citationID&quot;:&quot;MENDELEY_CITATION_ab58766a-e460-4f91-9c1e-9fcd97f20469&quot;,&quot;properties&quot;:{&quot;noteIndex&quot;:0},&quot;isEdited&quot;:false,&quot;manualOverride&quot;:{&quot;isManuallyOverridden&quot;:false,&quot;citeprocText&quot;:&quot;[5]&quot;,&quot;manualOverrideText&quot;:&quot;&quot;},&quot;citationTag&quot;:&quot;MENDELEY_CITATION_v3_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&quot;,&quot;citationItems&quot;:[{&quot;id&quot;:&quot;e85b36e0-822d-3388-9412-ede1147be719&quot;,&quot;itemData&quot;:{&quot;type&quot;:&quot;article-journal&quot;,&quot;id&quot;:&quot;e85b36e0-822d-3388-9412-ede1147be719&quot;,&quot;title&quot;:&quot;Five-year survival analysis and predictors of mortality of adult hemodialysis patients in Indonesia: a nationwide database analysis&quot;,&quot;author&quot;:[{&quot;family&quot;:&quot;Puspitasari&quot;,&quot;given&quot;:&quot;Metalia&quot;,&quot;parse-names&quot;:false,&quot;dropping-particle&quot;:&quot;&quot;,&quot;non-dropping-particle&quot;:&quot;&quot;},{&quot;family&quot;:&quot;Afiatin&quot;,&quot;given&quot;:&quot;&quot;,&quot;parse-names&quot;:false,&quot;dropping-particle&quot;:&quot;&quot;,&quot;non-dropping-particle&quot;:&quot;&quot;},{&quot;family&quot;:&quot;Oktaria&quot;,&quot;given&quot;:&quot;Vicka&quot;,&quot;parse-names&quot;:false,&quot;dropping-particle&quot;:&quot;&quot;,&quot;non-dropping-particle&quot;:&quot;&quot;},{&quot;family&quot;:&quot;Wardhani&quot;,&quot;given&quot;:&quot;Yulia&quot;,&quot;parse-names&quot;:false,&quot;dropping-particle&quot;:&quot;&quot;,&quot;non-dropping-particle&quot;:&quot;&quot;},{&quot;family&quot;:&quot;Wijaya&quot;,&quot;given&quot;:&quot;Wynne&quot;,&quot;parse-names&quot;:false,&quot;dropping-particle&quot;:&quot;&quot;,&quot;non-dropping-particle&quot;:&quot;&quot;}],&quot;container-title&quot;:&quot;International Urology and Nephrology&quot;,&quot;container-title-short&quot;:&quot;Int Urol Nephrol&quot;,&quot;DOI&quot;:&quot;10.1007/s11255-024-04118-1&quot;,&quot;ISSN&quot;:&quot;1573-2584&quot;,&quot;issued&quot;:{&quot;date-parts&quot;:[[2024,6,19]]},&quot;page&quot;:&quot;3657-3664&quot;,&quot;issue&quot;:&quot;11&quot;,&quot;volume&quot;:&quot;56&quot;},&quot;isTemporary&quot;:false}]},{&quot;citationID&quot;:&quot;MENDELEY_CITATION_dd99ceee-fa4e-4fd7-9d86-3b2fb23ba798&quot;,&quot;properties&quot;:{&quot;noteIndex&quot;:0},&quot;isEdited&quot;:false,&quot;manualOverride&quot;:{&quot;isManuallyOverridden&quot;:false,&quot;citeprocText&quot;:&quot;[6]&quot;,&quot;manualOverrideText&quot;:&quot;&quot;},&quot;citationTag&quot;:&quot;MENDELEY_CITATION_v3_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&quot;,&quot;citationItems&quot;:[{&quot;id&quot;:&quot;75203360-d9a5-3639-8395-41320d000bdb&quot;,&quot;itemData&quot;:{&quot;type&quot;:&quot;article-journal&quot;,&quot;id&quot;:&quot;75203360-d9a5-3639-8395-41320d000bdb&quot;,&quot;title&quot;:&quot;Trends in Incident Hemodialysis Access and Mortality&quot;,&quot;author&quot;:[{&quot;family&quot;:&quot;Malas&quot;,&quot;given&quot;:&quot;Mahmoud B.&quot;,&quot;parse-names&quot;:false,&quot;dropping-particle&quot;:&quot;&quot;,&quot;non-dropping-particle&quot;:&quot;&quot;},{&quot;family&quot;:&quot;Canner&quot;,&quot;given&quot;:&quot;Joseph K.&quot;,&quot;parse-names&quot;:false,&quot;dropping-particle&quot;:&quot;&quot;,&quot;non-dropping-particle&quot;:&quot;&quot;},{&quot;family&quot;:&quot;Hicks&quot;,&quot;given&quot;:&quot;Caitlin W.&quot;,&quot;parse-names&quot;:false,&quot;dropping-particle&quot;:&quot;&quot;,&quot;non-dropping-particle&quot;:&quot;&quot;},{&quot;family&quot;:&quot;Arhuidese&quot;,&quot;given&quot;:&quot;Isibor J.&quot;,&quot;parse-names&quot;:false,&quot;dropping-particle&quot;:&quot;&quot;,&quot;non-dropping-particle&quot;:&quot;&quot;},{&quot;family&quot;:&quot;Zarkowsky&quot;,&quot;given&quot;:&quot;Devin S.&quot;,&quot;parse-names&quot;:false,&quot;dropping-particle&quot;:&quot;&quot;,&quot;non-dropping-particle&quot;:&quot;&quot;},{&quot;family&quot;:&quot;Qazi&quot;,&quot;given&quot;:&quot;Umair&quot;,&quot;parse-names&quot;:false,&quot;dropping-particle&quot;:&quot;&quot;,&quot;non-dropping-particle&quot;:&quot;&quot;},{&quot;family&quot;:&quot;Schneider&quot;,&quot;given&quot;:&quot;Eric B.&quot;,&quot;parse-names&quot;:false,&quot;dropping-particle&quot;:&quot;&quot;,&quot;non-dropping-particle&quot;:&quot;&quot;},{&quot;family&quot;:&quot;Black&quot;,&quot;given&quot;:&quot;James H.&quot;,&quot;parse-names&quot;:false,&quot;dropping-particle&quot;:&quot;&quot;,&quot;non-dropping-particle&quot;:&quot;&quot;},{&quot;family&quot;:&quot;Segev&quot;,&quot;given&quot;:&quot;Dorry L.&quot;,&quot;parse-names&quot;:false,&quot;dropping-particle&quot;:&quot;&quot;,&quot;non-dropping-particle&quot;:&quot;&quot;},{&quot;family&quot;:&quot;Freischlag&quot;,&quot;given&quot;:&quot;Julie A.&quot;,&quot;parse-names&quot;:false,&quot;dropping-particle&quot;:&quot;&quot;,&quot;non-dropping-particle&quot;:&quot;&quot;}],&quot;container-title&quot;:&quot;JAMA Surgery&quot;,&quot;container-title-short&quot;:&quot;JAMA Surg&quot;,&quot;DOI&quot;:&quot;10.1001/jamasurg.2014.3484&quot;,&quot;ISSN&quot;:&quot;2168-6254&quot;,&quot;issued&quot;:{&quot;date-parts&quot;:[[2015,5,1]]},&quot;page&quot;:&quot;441&quot;,&quot;issue&quot;:&quot;5&quot;,&quot;volume&quot;:&quot;150&quot;},&quot;isTemporary&quot;:false}]},{&quot;citationID&quot;:&quot;MENDELEY_CITATION_0e998d18-eecc-4ed2-ab0f-8a32b10e3f82&quot;,&quot;properties&quot;:{&quot;noteIndex&quot;:0},&quot;isEdited&quot;:false,&quot;manualOverride&quot;:{&quot;isManuallyOverridden&quot;:false,&quot;citeprocText&quot;:&quot;[3]&quot;,&quot;manualOverrideText&quot;:&quot;&quot;},&quot;citationTag&quot;:&quot;MENDELEY_CITATION_v3_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&quot;,&quot;citationItems&quot;:[{&quot;id&quot;:&quot;de88585c-7556-3cb9-abc1-7d10ac666c7d&quot;,&quot;itemData&quot;:{&quot;type&quot;:&quot;article-journal&quot;,&quot;id&quot;:&quot;de88585c-7556-3cb9-abc1-7d10ac666c7d&quot;,&quot;title&quot;:&quot;Hemodialysis vascular access and clinical outcomes: an observational multicenter study&quot;,&quot;author&quot;:[{&quot;family&quot;:&quot;Soleymanian&quot;,&quot;given&quot;:&quot;Tayebeh&quot;,&quot;parse-names&quot;:false,&quot;dropping-particle&quot;:&quot;&quot;,&quot;non-dropping-particle&quot;:&quot;&quot;},{&quot;family&quot;:&quot;Sheikh&quot;,&quot;given&quot;:&quot;Vida&quot;,&quot;parse-names&quot;:false,&quot;dropping-particle&quot;:&quot;&quot;,&quot;non-dropping-particle&quot;:&quot;&quot;},{&quot;family&quot;:&quot;Tareh&quot;,&quot;given&quot;:&quot;Faezeh&quot;,&quot;parse-names&quot;:false,&quot;dropping-particle&quot;:&quot;&quot;,&quot;non-dropping-particle&quot;:&quot;&quot;},{&quot;family&quot;:&quot;Argani&quot;,&quot;given&quot;:&quot;Hassan&quot;,&quot;parse-names&quot;:false,&quot;dropping-particle&quot;:&quot;&quot;,&quot;non-dropping-particle&quot;:&quot;&quot;},{&quot;family&quot;:&quot;Ossareh&quot;,&quot;given&quot;:&quot;Shahrzad&quot;,&quot;parse-names&quot;:false,&quot;dropping-particle&quot;:&quot;&quot;,&quot;non-dropping-particle&quot;:&quot;&quot;}],&quot;container-title&quot;:&quot;The Journal of Vascular Access&quot;,&quot;container-title-short&quot;:&quot;J Vasc Access&quot;,&quot;DOI&quot;:&quot;10.5301/jva.5000610&quot;,&quot;ISSN&quot;:&quot;1129-7298&quot;,&quot;issued&quot;:{&quot;date-parts&quot;:[[2017,1,26]]},&quot;page&quot;:&quot;35-42&quot;,&quot;issue&quot;:&quot;1&quot;,&quot;volume&quot;:&quot;18&quot;},&quot;isTemporary&quot;:false}]},{&quot;citationID&quot;:&quot;MENDELEY_CITATION_ba59181d-2ba5-445b-8e1e-f294757a20e2&quot;,&quot;properties&quot;:{&quot;noteIndex&quot;:0},&quot;isEdited&quot;:false,&quot;manualOverride&quot;:{&quot;isManuallyOverridden&quot;:false,&quot;citeprocText&quot;:&quot;[7]&quot;,&quot;manualOverrideText&quot;:&quot;&quot;},&quot;citationTag&quot;:&quot;MENDELEY_CITATION_v3_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&quot;,&quot;citationItems&quot;:[{&quot;id&quot;:&quot;2901656d-0fea-31c3-972d-f078a0f31289&quot;,&quot;itemData&quot;:{&quot;type&quot;:&quot;webpage&quot;,&quot;id&quot;:&quot;2901656d-0fea-31c3-972d-f078a0f31289&quot;,&quot;title&quot;:&quot;TRT System Version 3&quot;,&quot;author&quot;:[{&quot;family&quot;:&quot;The Nephrology Society of Thailand&quot;,&quot;given&quot;:&quot;&quot;,&quot;parse-names&quot;:false,&quot;dropping-particle&quot;:&quot;&quot;,&quot;non-dropping-particle&quot;:&quot;&quot;}],&quot;accessed&quot;:{&quot;date-parts&quot;:[[2024,10,29]]},&quot;URL&quot;:&quot;https://www.trtregistry.org/&quot;,&quot;issued&quot;:{&quot;date-parts&quot;:[[2024]]},&quot;container-title-short&quot;:&quot;&quot;},&quot;isTemporary&quot;:false}]},{&quot;citationID&quot;:&quot;MENDELEY_CITATION_1fede1b4-9578-4467-bcad-516d04ad8ff0&quot;,&quot;properties&quot;:{&quot;noteIndex&quot;:0},&quot;isEdited&quot;:false,&quot;manualOverride&quot;:{&quot;isManuallyOverridden&quot;:false,&quot;citeprocText&quot;:&quot;[7]&quot;,&quot;manualOverrideText&quot;:&quot;&quot;},&quot;citationTag&quot;:&quot;MENDELEY_CITATION_v3_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&quot;,&quot;citationItems&quot;:[{&quot;id&quot;:&quot;2901656d-0fea-31c3-972d-f078a0f31289&quot;,&quot;itemData&quot;:{&quot;type&quot;:&quot;webpage&quot;,&quot;id&quot;:&quot;2901656d-0fea-31c3-972d-f078a0f31289&quot;,&quot;title&quot;:&quot;TRT System Version 3&quot;,&quot;author&quot;:[{&quot;family&quot;:&quot;The Nephrology Society of Thailand&quot;,&quot;given&quot;:&quot;&quot;,&quot;parse-names&quot;:false,&quot;dropping-particle&quot;:&quot;&quot;,&quot;non-dropping-particle&quot;:&quot;&quot;}],&quot;accessed&quot;:{&quot;date-parts&quot;:[[2024,10,29]]},&quot;URL&quot;:&quot;https://www.trtregistry.org/&quot;,&quot;issued&quot;:{&quot;date-parts&quot;:[[2024]]},&quot;container-title-short&quot;:&quot;&quot;},&quot;isTemporary&quot;:false}]},{&quot;citationID&quot;:&quot;MENDELEY_CITATION_20906d8d-ddce-430d-8552-6d415ab52d35&quot;,&quot;properties&quot;:{&quot;noteIndex&quot;:0},&quot;isEdited&quot;:false,&quot;manualOverride&quot;:{&quot;isManuallyOverridden&quot;:false,&quot;citeprocText&quot;:&quot;[8]&quot;,&quot;manualOverrideText&quot;:&quot;&quot;},&quot;citationTag&quot;:&quot;MENDELEY_CITATION_v3_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&quot;,&quot;citationItems&quot;:[{&quot;id&quot;:&quot;f3776fa9-7616-3d77-bc24-4ce62f7aee15&quot;,&quot;itemData&quot;:{&quot;type&quot;:&quot;article&quot;,&quot;id&quot;:&quot;f3776fa9-7616-3d77-bc24-4ce62f7aee15&quot;,&quot;title&quot;:&quot;CKD-Disease Management Information System (CKD-DMIS)&quot;,&quot;issued&quot;:{&quot;date-parts&quot;:[[2024]]},&quot;publisher-place&quot;:&quot;Bangkok&quot;,&quot;publisher&quot;:&quot;National Health Security Office (NHSO)&quot;,&quot;container-title-short&quot;:&quot;&quot;},&quot;isTemporary&quot;:false}]},{&quot;citationID&quot;:&quot;MENDELEY_CITATION_447ee2ac-89e9-4e57-b66b-193687d58cfd&quot;,&quot;properties&quot;:{&quot;noteIndex&quot;:0},&quot;isEdited&quot;:false,&quot;manualOverride&quot;:{&quot;isManuallyOverridden&quot;:false,&quot;citeprocText&quot;:&quot;[7]&quot;,&quot;manualOverrideText&quot;:&quot;&quot;},&quot;citationTag&quot;:&quot;MENDELEY_CITATION_v3_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&quot;,&quot;citationItems&quot;:[{&quot;id&quot;:&quot;2901656d-0fea-31c3-972d-f078a0f31289&quot;,&quot;itemData&quot;:{&quot;type&quot;:&quot;webpage&quot;,&quot;id&quot;:&quot;2901656d-0fea-31c3-972d-f078a0f31289&quot;,&quot;title&quot;:&quot;TRT System Version 3&quot;,&quot;author&quot;:[{&quot;family&quot;:&quot;The Nephrology Society of Thailand&quot;,&quot;given&quot;:&quot;&quot;,&quot;parse-names&quot;:false,&quot;dropping-particle&quot;:&quot;&quot;,&quot;non-dropping-particle&quot;:&quot;&quot;}],&quot;accessed&quot;:{&quot;date-parts&quot;:[[2024,10,29]]},&quot;URL&quot;:&quot;https://www.trtregistry.org/&quot;,&quot;issued&quot;:{&quot;date-parts&quot;:[[2024]]},&quot;container-title-short&quot;:&quot;&quot;},&quot;isTemporary&quot;:false}]},{&quot;citationID&quot;:&quot;MENDELEY_CITATION_6061b6d8-bbb8-44c7-b252-d050e1c08711&quot;,&quot;properties&quot;:{&quot;noteIndex&quot;:0},&quot;isEdited&quot;:false,&quot;manualOverride&quot;:{&quot;isManuallyOverridden&quot;:false,&quot;citeprocText&quot;:&quot;[9, 10]&quot;,&quot;manualOverrideText&quot;:&quot;&quot;},&quot;citationTag&quot;:&quot;MENDELEY_CITATION_v3_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&quot;,&quot;citationItems&quot;:[{&quot;id&quot;:&quot;b7222e87-7727-3e09-8581-063cc93e59f6&quot;,&quot;itemData&quot;:{&quot;type&quot;:&quot;article-journal&quot;,&quot;id&quot;:&quot;b7222e87-7727-3e09-8581-063cc93e59f6&quot;,&quot;title&quot;:&quot;Variation in Peritoneal Dialysis Time on Therapy by Country&quot;,&quot;author&quot;:[{&quot;family&quot;:&quot;Lambie&quot;,&quot;given&quot;:&quot;Mark&quot;,&quot;parse-names&quot;:false,&quot;dropping-particle&quot;:&quot;&quot;,&quot;non-dropping-particle&quot;:&quot;&quot;},{&quot;family&quot;:&quot;Zhao&quot;,&quot;given&quot;:&quot;Junhui&quot;,&quot;parse-names&quot;:false,&quot;dropping-particle&quot;:&quot;&quot;,&quot;non-dropping-particle&quot;:&quot;&quot;},{&quot;family&quot;:&quot;McCullough&quot;,&quot;given&quot;:&quot;Keith&quot;,&quot;parse-names&quot;:false,&quot;dropping-particle&quot;:&quot;&quot;,&quot;non-dropping-particle&quot;:&quot;&quot;},{&quot;family&quot;:&quot;Davies&quot;,&quot;given&quot;:&quot;Simon J.&quot;,&quot;parse-names&quot;:false,&quot;dropping-particle&quot;:&quot;&quot;,&quot;non-dropping-particle&quot;:&quot;&quot;},{&quot;family&quot;:&quot;Kawanishi&quot;,&quot;given&quot;:&quot;Hideki&quot;,&quot;parse-names&quot;:false,&quot;dropping-particle&quot;:&quot;&quot;,&quot;non-dropping-particle&quot;:&quot;&quot;},{&quot;family&quot;:&quot;Johnson&quot;,&quot;given&quot;:&quot;David W.&quot;,&quot;parse-names&quot;:false,&quot;dropping-particle&quot;:&quot;&quot;,&quot;non-dropping-particle&quot;:&quot;&quot;},{&quot;family&quot;:&quot;Sloand&quot;,&quot;given&quot;:&quot;James A.&quot;,&quot;parse-names&quot;:false,&quot;dropping-particle&quot;:&quot;&quot;,&quot;non-dropping-particle&quot;:&quot;&quot;},{&quot;family&quot;:&quot;Sanabria&quot;,&quot;given&quot;:&quot;Mauricio&quot;,&quot;parse-names&quot;:false,&quot;dropping-particle&quot;:&quot;&quot;,&quot;non-dropping-particle&quot;:&quot;&quot;},{&quot;family&quot;:&quot;Kanjanabuch&quot;,&quot;given&quot;:&quot;Talerngsak&quot;,&quot;parse-names&quot;:false,&quot;dropping-particle&quot;:&quot;&quot;,&quot;non-dropping-particle&quot;:&quot;&quot;},{&quot;family&quot;:&quot;Kim&quot;,&quot;given&quot;:&quot;Yong-Lim&quot;,&quot;parse-names&quot;:false,&quot;dropping-particle&quot;:&quot;&quot;,&quot;non-dropping-particle&quot;:&quot;&quot;},{&quot;family&quot;:&quot;Shen&quot;,&quot;given&quot;:&quot;Jenny I.&quot;,&quot;parse-names&quot;:false,&quot;dropping-particle&quot;:&quot;&quot;,&quot;non-dropping-particle&quot;:&quot;&quot;},{&quot;family&quot;:&quot;Pisoni&quot;,&quot;given&quot;:&quot;Ronald L.&quot;,&quot;parse-names&quot;:false,&quot;dropping-particle&quot;:&quot;&quot;,&quot;non-dropping-particle&quot;:&quot;&quot;},{&quot;family&quot;:&quot;Robinson&quot;,&quot;given&quot;:&quot;Bruce M.&quot;,&quot;parse-names&quot;:false,&quot;dropping-particle&quot;:&quot;&quot;,&quot;non-dropping-particle&quot;:&quot;&quot;},{&quot;family&quot;:&quot;Perl&quot;,&quot;given&quot;:&quot;Jeffrey&quot;,&quot;parse-names&quot;:false,&quot;dropping-particle&quot;:&quot;&quot;,&quot;non-dropping-particle&quot;:&quot;&quot;}],&quot;container-title&quot;:&quot;Clinical Journal of the American Society of Nephrology&quot;,&quot;DOI&quot;:&quot;10.2215/CJN.16341221&quot;,&quot;ISSN&quot;:&quot;1555-9041&quot;,&quot;issued&quot;:{&quot;date-parts&quot;:[[2022,6]]},&quot;page&quot;:&quot;861-871&quot;,&quot;issue&quot;:&quot;6&quot;,&quot;volume&quot;:&quot;17&quot;,&quot;container-title-short&quot;:&quot;&quot;},&quot;isTemporary&quot;:false},{&quot;id&quot;:&quot;12b474e1-9d77-3563-a506-84aef5a58bca&quot;,&quot;itemData&quot;:{&quot;type&quot;:&quot;paper-conference&quot;,&quot;id&quot;:&quot;12b474e1-9d77-3563-a506-84aef5a58bca&quot;,&quot;title&quot;:&quot;Unplanned peritoneal dialysis (PD) and patient survival under Thailand “PD first” policy&quot;,&quot;author&quot;:[{&quot;family&quot;:&quot;Phannajit&quot;,&quot;given&quot;:&quot;J&quot;,&quot;parse-names&quot;:false,&quot;dropping-particle&quot;:&quot;&quot;,&quot;non-dropping-particle&quot;:&quot;&quot;},{&quot;family&quot;:&quot;Kanjanabuch&quot;,&quot;given&quot;:&quot;T&quot;,&quot;parse-names&quot;:false,&quot;dropping-particle&quot;:&quot;&quot;,&quot;non-dropping-particle&quot;:&quot;&quot;},{&quot;family&quot;:&quot;Ponpirul&quot;,&quot;given&quot;:&quot;K&quot;,&quot;parse-names&quot;:false,&quot;dropping-particle&quot;:&quot;&quot;,&quot;non-dropping-particle&quot;:&quot;&quot;},{&quot;family&quot;:&quot;Narenpitak&quot;,&quot;given&quot;:&quot;S&quot;,&quot;parse-names&quot;:false,&quot;dropping-particle&quot;:&quot;&quot;,&quot;non-dropping-particle&quot;:&quot;&quot;},{&quot;family&quot;:&quot;Puapatanakul&quot;,&quot;given&quot;:&quot;P&quot;,&quot;parse-names&quot;:false,&quot;dropping-particle&quot;:&quot;&quot;,&quot;non-dropping-particle&quot;:&quot;&quot;},{&quot;family&quot;:&quot;Johnson&quot;,&quot;given&quot;:&quot;D&quot;,&quot;parse-names&quot;:false,&quot;dropping-particle&quot;:&quot;&quot;,&quot;non-dropping-particle&quot;:&quot;&quot;}],&quot;container-title&quot;:&quot;19th Asian Pacific Congress of Nephrology, Virtual Congress&quot;,&quot;accessed&quot;:{&quot;date-parts&quot;:[[2025,9,2]]},&quot;URL&quot;:&quot;https://keele-repository.worktribe.com/output/510338&quot;,&quot;issued&quot;:{&quot;date-parts&quot;:[[2021]]},&quot;container-title-short&quot;:&quot;&quot;},&quot;isTemporary&quot;:false}]}]"/>
    <we:property name="MENDELEY_CITATIONS_LOCALE_CODE" value="&quot;en-US&quot;"/>
    <we:property name="MENDELEY_CITATIONS_STYLE" value="{&quot;id&quot;:&quot;https://www.zotero.org/styles/bmc-medicine&quot;,&quot;title&quot;:&quot;BMC Medicine&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90CB8-F10F-49AF-9E7A-C6534DF0D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6</Pages>
  <Words>1444</Words>
  <Characters>8233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Siobhan Botwright</dc:creator>
  <cp:keywords/>
  <dc:description/>
  <cp:lastModifiedBy>Siobhan Botwright</cp:lastModifiedBy>
  <cp:revision>11</cp:revision>
  <dcterms:created xsi:type="dcterms:W3CDTF">2025-11-11T07:01:00Z</dcterms:created>
  <dcterms:modified xsi:type="dcterms:W3CDTF">2025-11-12T03:28:00Z</dcterms:modified>
</cp:coreProperties>
</file>