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0534" w14:textId="7E650891" w:rsidR="00264695" w:rsidRPr="00FF0F71" w:rsidRDefault="00360D17" w:rsidP="00264695">
      <w:pPr>
        <w:pStyle w:val="Heading1"/>
      </w:pPr>
      <w:r>
        <w:t xml:space="preserve">Additional File </w:t>
      </w:r>
      <w:r w:rsidR="00AA5B76">
        <w:t>3</w:t>
      </w:r>
      <w:r w:rsidR="00264695" w:rsidRPr="00FF0F71">
        <w:t xml:space="preserve">: </w:t>
      </w:r>
      <w:r w:rsidR="00A35BE2" w:rsidRPr="00FF0F71">
        <w:t>policy analysis</w:t>
      </w:r>
    </w:p>
    <w:p w14:paraId="610F087C" w14:textId="77777777" w:rsidR="00264695" w:rsidRPr="00FF0F71" w:rsidRDefault="00264695" w:rsidP="00264695">
      <w:pPr>
        <w:rPr>
          <w:lang w:eastAsia="ja-JP"/>
        </w:rPr>
      </w:pPr>
    </w:p>
    <w:p w14:paraId="335D6777" w14:textId="368FD1D3" w:rsidR="007635E3" w:rsidRPr="00FF0F71" w:rsidRDefault="00A35BE2" w:rsidP="00264695">
      <w:pPr>
        <w:rPr>
          <w:lang w:eastAsia="ja-JP"/>
        </w:rPr>
      </w:pPr>
      <w:r w:rsidRPr="00FF0F71">
        <w:rPr>
          <w:b/>
          <w:bCs/>
          <w:lang w:eastAsia="ja-JP"/>
        </w:rPr>
        <w:t>Table S</w:t>
      </w:r>
      <w:r w:rsidR="00AA5B76">
        <w:rPr>
          <w:b/>
          <w:bCs/>
          <w:lang w:eastAsia="ja-JP"/>
        </w:rPr>
        <w:t>3</w:t>
      </w:r>
      <w:r w:rsidR="00264695" w:rsidRPr="00FF0F71">
        <w:rPr>
          <w:b/>
          <w:bCs/>
          <w:lang w:eastAsia="ja-JP"/>
        </w:rPr>
        <w:t xml:space="preserve">. </w:t>
      </w:r>
      <w:r w:rsidRPr="00FF0F71">
        <w:rPr>
          <w:lang w:eastAsia="ja-JP"/>
        </w:rPr>
        <w:t>List of policies proposed for consideration and rationale for their inclusion/exclusion from the system dynamics model projections</w:t>
      </w:r>
      <w:r w:rsidR="00073F2C" w:rsidRPr="00FF0F71">
        <w:rPr>
          <w:lang w:eastAsia="ja-JP"/>
        </w:rPr>
        <w:t>.</w:t>
      </w:r>
      <w:r w:rsidR="00DA5421">
        <w:rPr>
          <w:lang w:eastAsia="ja-JP"/>
        </w:rPr>
        <w:t xml:space="preserve"> </w:t>
      </w:r>
      <w:r w:rsidR="00B03DC4">
        <w:rPr>
          <w:lang w:eastAsia="ja-JP"/>
        </w:rPr>
        <w:t xml:space="preserve">Policies were either identified directly from </w:t>
      </w:r>
      <w:r w:rsidR="0096677C">
        <w:rPr>
          <w:lang w:eastAsia="ja-JP"/>
        </w:rPr>
        <w:t xml:space="preserve">other research informing the policy process or proposed by policy working group members to address specific challenges </w:t>
      </w:r>
      <w:r w:rsidR="004D4A8C">
        <w:rPr>
          <w:lang w:eastAsia="ja-JP"/>
        </w:rPr>
        <w:t xml:space="preserve">associated with the 2022 policy change in Thailand. </w:t>
      </w:r>
      <w:r w:rsidR="00DA5421">
        <w:rPr>
          <w:lang w:eastAsia="ja-JP"/>
        </w:rPr>
        <w:t xml:space="preserve">Further details are available in other publications </w:t>
      </w:r>
      <w:r w:rsidR="004D4A8C">
        <w:rPr>
          <w:lang w:eastAsia="ja-JP"/>
        </w:rPr>
        <w:t>describing</w:t>
      </w:r>
      <w:r w:rsidR="00DA5421">
        <w:rPr>
          <w:lang w:eastAsia="ja-JP"/>
        </w:rPr>
        <w:t xml:space="preserve"> policies </w:t>
      </w:r>
      <w:r w:rsidR="00ED1F8A">
        <w:rPr>
          <w:lang w:eastAsia="ja-JP"/>
        </w:rPr>
        <w:t>identified from the causal loop diagram (CLD)</w:t>
      </w:r>
      <w:r w:rsidR="00E972D5">
        <w:rPr>
          <w:lang w:eastAsia="ja-JP"/>
        </w:rPr>
        <w:t xml:space="preserve"> </w:t>
      </w:r>
      <w:r w:rsidR="00BF3380">
        <w:rPr>
          <w:color w:val="000000"/>
          <w:lang w:eastAsia="ja-JP"/>
        </w:rPr>
        <w:t>[36]</w:t>
      </w:r>
      <w:r w:rsidR="00ED1F8A">
        <w:rPr>
          <w:lang w:eastAsia="ja-JP"/>
        </w:rPr>
        <w:t>, literature review</w:t>
      </w:r>
      <w:r w:rsidR="004D4A8C">
        <w:rPr>
          <w:lang w:eastAsia="ja-JP"/>
        </w:rPr>
        <w:t xml:space="preserve"> </w:t>
      </w:r>
      <w:r w:rsidR="00D80A0E">
        <w:rPr>
          <w:color w:val="000000"/>
          <w:lang w:eastAsia="ja-JP"/>
        </w:rPr>
        <w:t>[15, 58]</w:t>
      </w:r>
      <w:r w:rsidR="004D4A8C">
        <w:rPr>
          <w:lang w:eastAsia="ja-JP"/>
        </w:rPr>
        <w:t>,</w:t>
      </w:r>
      <w:r w:rsidR="0019758A">
        <w:rPr>
          <w:lang w:eastAsia="ja-JP"/>
        </w:rPr>
        <w:t xml:space="preserve"> or </w:t>
      </w:r>
      <w:r w:rsidR="00E972D5">
        <w:rPr>
          <w:lang w:eastAsia="ja-JP"/>
        </w:rPr>
        <w:t xml:space="preserve">National Health </w:t>
      </w:r>
      <w:r w:rsidR="00D80A0E">
        <w:rPr>
          <w:lang w:eastAsia="ja-JP"/>
        </w:rPr>
        <w:t>Security</w:t>
      </w:r>
      <w:r w:rsidR="00E972D5">
        <w:rPr>
          <w:lang w:eastAsia="ja-JP"/>
        </w:rPr>
        <w:t xml:space="preserve"> Office (NHSO) </w:t>
      </w:r>
      <w:r w:rsidR="0019758A">
        <w:rPr>
          <w:lang w:eastAsia="ja-JP"/>
        </w:rPr>
        <w:t xml:space="preserve">policy working group (WG) </w:t>
      </w:r>
      <w:r w:rsidR="00D80A0E">
        <w:rPr>
          <w:color w:val="000000"/>
          <w:lang w:eastAsia="ja-JP"/>
        </w:rPr>
        <w:t>[21]</w:t>
      </w:r>
      <w:r w:rsidR="0019758A">
        <w:rPr>
          <w:lang w:eastAsia="ja-JP"/>
        </w:rPr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93"/>
        <w:gridCol w:w="2043"/>
        <w:gridCol w:w="4826"/>
        <w:gridCol w:w="1140"/>
        <w:gridCol w:w="1274"/>
        <w:gridCol w:w="3174"/>
      </w:tblGrid>
      <w:tr w:rsidR="00735EC4" w:rsidRPr="00FF0F71" w14:paraId="38AE3DDB" w14:textId="18731E20" w:rsidTr="00B619CA">
        <w:trPr>
          <w:trHeight w:val="397"/>
        </w:trPr>
        <w:tc>
          <w:tcPr>
            <w:tcW w:w="493" w:type="dxa"/>
            <w:shd w:val="clear" w:color="auto" w:fill="002060"/>
            <w:vAlign w:val="center"/>
          </w:tcPr>
          <w:p w14:paraId="28015388" w14:textId="5453F269" w:rsidR="00735EC4" w:rsidRPr="00FF0F71" w:rsidRDefault="00735EC4" w:rsidP="00085B2A">
            <w:pPr>
              <w:rPr>
                <w:b/>
                <w:bCs/>
                <w:lang w:eastAsia="ja-JP"/>
              </w:rPr>
            </w:pPr>
            <w:r w:rsidRPr="00FF0F71">
              <w:rPr>
                <w:b/>
                <w:bCs/>
                <w:lang w:eastAsia="ja-JP"/>
              </w:rPr>
              <w:t>#</w:t>
            </w:r>
          </w:p>
        </w:tc>
        <w:tc>
          <w:tcPr>
            <w:tcW w:w="2043" w:type="dxa"/>
            <w:shd w:val="clear" w:color="auto" w:fill="002060"/>
            <w:vAlign w:val="center"/>
          </w:tcPr>
          <w:p w14:paraId="55EE52F5" w14:textId="2091E0A6" w:rsidR="00735EC4" w:rsidRPr="00FF0F71" w:rsidRDefault="00735EC4" w:rsidP="00085B2A">
            <w:pPr>
              <w:rPr>
                <w:b/>
                <w:bCs/>
                <w:lang w:eastAsia="ja-JP"/>
              </w:rPr>
            </w:pPr>
            <w:r w:rsidRPr="00FF0F71">
              <w:rPr>
                <w:b/>
                <w:bCs/>
                <w:lang w:eastAsia="ja-JP"/>
              </w:rPr>
              <w:t>Policy</w:t>
            </w:r>
          </w:p>
        </w:tc>
        <w:tc>
          <w:tcPr>
            <w:tcW w:w="4826" w:type="dxa"/>
            <w:shd w:val="clear" w:color="auto" w:fill="002060"/>
            <w:vAlign w:val="center"/>
          </w:tcPr>
          <w:p w14:paraId="32F176F1" w14:textId="49760E7F" w:rsidR="00735EC4" w:rsidRPr="00FF0F71" w:rsidRDefault="00735EC4" w:rsidP="00085B2A">
            <w:pPr>
              <w:rPr>
                <w:b/>
                <w:bCs/>
                <w:lang w:eastAsia="ja-JP"/>
              </w:rPr>
            </w:pPr>
            <w:r w:rsidRPr="00FF0F71">
              <w:rPr>
                <w:b/>
                <w:bCs/>
                <w:lang w:eastAsia="ja-JP"/>
              </w:rPr>
              <w:t>Description</w:t>
            </w:r>
          </w:p>
        </w:tc>
        <w:tc>
          <w:tcPr>
            <w:tcW w:w="1140" w:type="dxa"/>
            <w:shd w:val="clear" w:color="auto" w:fill="002060"/>
            <w:vAlign w:val="center"/>
          </w:tcPr>
          <w:p w14:paraId="746CD1A4" w14:textId="7C26BC6B" w:rsidR="00735EC4" w:rsidRPr="00FF0F71" w:rsidRDefault="00735EC4" w:rsidP="00085B2A">
            <w:pPr>
              <w:rPr>
                <w:b/>
                <w:bCs/>
                <w:lang w:eastAsia="ja-JP"/>
              </w:rPr>
            </w:pPr>
            <w:r w:rsidRPr="00FF0F71">
              <w:rPr>
                <w:b/>
                <w:bCs/>
                <w:lang w:eastAsia="ja-JP"/>
              </w:rPr>
              <w:t>Source</w:t>
            </w:r>
          </w:p>
        </w:tc>
        <w:tc>
          <w:tcPr>
            <w:tcW w:w="1274" w:type="dxa"/>
            <w:shd w:val="clear" w:color="auto" w:fill="002060"/>
            <w:vAlign w:val="center"/>
          </w:tcPr>
          <w:p w14:paraId="0DB37578" w14:textId="6AAD0CE6" w:rsidR="00735EC4" w:rsidRPr="00FF0F71" w:rsidRDefault="00085B2A" w:rsidP="00085B2A">
            <w:pPr>
              <w:rPr>
                <w:b/>
                <w:bCs/>
                <w:lang w:eastAsia="ja-JP"/>
              </w:rPr>
            </w:pPr>
            <w:r w:rsidRPr="00FF0F71">
              <w:rPr>
                <w:b/>
                <w:bCs/>
                <w:lang w:eastAsia="ja-JP"/>
              </w:rPr>
              <w:t>SD model</w:t>
            </w:r>
          </w:p>
        </w:tc>
        <w:tc>
          <w:tcPr>
            <w:tcW w:w="3174" w:type="dxa"/>
            <w:shd w:val="clear" w:color="auto" w:fill="002060"/>
            <w:vAlign w:val="center"/>
          </w:tcPr>
          <w:p w14:paraId="13577ECE" w14:textId="2339856A" w:rsidR="00735EC4" w:rsidRPr="00FF0F71" w:rsidRDefault="00085B2A" w:rsidP="00085B2A">
            <w:pPr>
              <w:rPr>
                <w:b/>
                <w:bCs/>
                <w:lang w:eastAsia="ja-JP"/>
              </w:rPr>
            </w:pPr>
            <w:r w:rsidRPr="00FF0F71">
              <w:rPr>
                <w:b/>
                <w:bCs/>
                <w:lang w:eastAsia="ja-JP"/>
              </w:rPr>
              <w:t>Rationale</w:t>
            </w:r>
          </w:p>
        </w:tc>
      </w:tr>
      <w:tr w:rsidR="00735EC4" w:rsidRPr="00FF0F71" w14:paraId="04287694" w14:textId="758BFAA7" w:rsidTr="004F7A52">
        <w:trPr>
          <w:trHeight w:val="1531"/>
        </w:trPr>
        <w:tc>
          <w:tcPr>
            <w:tcW w:w="493" w:type="dxa"/>
          </w:tcPr>
          <w:p w14:paraId="0F87DC6B" w14:textId="33879A82" w:rsidR="00735EC4" w:rsidRPr="00FF0F71" w:rsidRDefault="00735EC4" w:rsidP="00264695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1</w:t>
            </w:r>
          </w:p>
        </w:tc>
        <w:tc>
          <w:tcPr>
            <w:tcW w:w="2043" w:type="dxa"/>
          </w:tcPr>
          <w:p w14:paraId="6A1FB0E3" w14:textId="55507797" w:rsidR="00735EC4" w:rsidRPr="00FF0F71" w:rsidRDefault="000656D3" w:rsidP="00264695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Pre-authorisation</w:t>
            </w:r>
          </w:p>
        </w:tc>
        <w:tc>
          <w:tcPr>
            <w:tcW w:w="4826" w:type="dxa"/>
          </w:tcPr>
          <w:p w14:paraId="06690F38" w14:textId="07797C70" w:rsidR="00735EC4" w:rsidRDefault="00FF0F71" w:rsidP="00264695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HD patients require pre-authorisation prior to</w:t>
            </w:r>
            <w:r>
              <w:rPr>
                <w:lang w:eastAsia="ja-JP"/>
              </w:rPr>
              <w:t xml:space="preserve"> initiating dialysis, to ensure that</w:t>
            </w:r>
            <w:r w:rsidR="00A26D5C">
              <w:rPr>
                <w:lang w:eastAsia="ja-JP"/>
              </w:rPr>
              <w:t>: (1) timing of HD initiation is appropriate,</w:t>
            </w:r>
          </w:p>
          <w:p w14:paraId="0B44205D" w14:textId="77777777" w:rsidR="00A26D5C" w:rsidRDefault="00A26D5C" w:rsidP="00264695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(2) </w:t>
            </w:r>
            <w:r w:rsidR="00F45ED6">
              <w:rPr>
                <w:lang w:eastAsia="ja-JP"/>
              </w:rPr>
              <w:t>patient quality of life is best on HD, and</w:t>
            </w:r>
          </w:p>
          <w:p w14:paraId="5CD1E142" w14:textId="77868946" w:rsidR="00F45ED6" w:rsidRPr="00FF0F71" w:rsidRDefault="00F45ED6" w:rsidP="006D7763">
            <w:pPr>
              <w:rPr>
                <w:lang w:eastAsia="ja-JP"/>
              </w:rPr>
            </w:pPr>
            <w:r>
              <w:rPr>
                <w:lang w:eastAsia="ja-JP"/>
              </w:rPr>
              <w:t>(3) there is available HD supply</w:t>
            </w:r>
            <w:r w:rsidR="00A93BA2">
              <w:rPr>
                <w:lang w:eastAsia="ja-JP"/>
              </w:rPr>
              <w:t>.</w:t>
            </w:r>
          </w:p>
        </w:tc>
        <w:tc>
          <w:tcPr>
            <w:tcW w:w="1140" w:type="dxa"/>
          </w:tcPr>
          <w:p w14:paraId="7ABB9749" w14:textId="0FDBE279" w:rsidR="00735EC4" w:rsidRPr="00FF0F71" w:rsidRDefault="00503512" w:rsidP="00264695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WG + CLD</w:t>
            </w:r>
          </w:p>
        </w:tc>
        <w:tc>
          <w:tcPr>
            <w:tcW w:w="1274" w:type="dxa"/>
          </w:tcPr>
          <w:p w14:paraId="09A7C475" w14:textId="31E810F2" w:rsidR="00735EC4" w:rsidRPr="00D71D68" w:rsidRDefault="001C0F1C" w:rsidP="00264695">
            <w:pPr>
              <w:rPr>
                <w:b/>
                <w:bCs/>
                <w:lang w:eastAsia="ja-JP"/>
              </w:rPr>
            </w:pPr>
            <w:r w:rsidRPr="00D71D68">
              <w:rPr>
                <w:b/>
                <w:bCs/>
                <w:lang w:eastAsia="ja-JP"/>
              </w:rPr>
              <w:t>Yes</w:t>
            </w:r>
          </w:p>
        </w:tc>
        <w:tc>
          <w:tcPr>
            <w:tcW w:w="3174" w:type="dxa"/>
          </w:tcPr>
          <w:p w14:paraId="161BDE7E" w14:textId="78C0C6F2" w:rsidR="00735EC4" w:rsidRPr="00FF0F71" w:rsidRDefault="00575A79" w:rsidP="00264695">
            <w:pPr>
              <w:rPr>
                <w:lang w:eastAsia="ja-JP"/>
              </w:rPr>
            </w:pPr>
            <w:r>
              <w:rPr>
                <w:lang w:eastAsia="ja-JP"/>
              </w:rPr>
              <w:t>Prevents premature HD initiation</w:t>
            </w:r>
          </w:p>
        </w:tc>
      </w:tr>
      <w:tr w:rsidR="00735EC4" w:rsidRPr="00FF0F71" w14:paraId="6F4AF559" w14:textId="0DDC02F3" w:rsidTr="006D7763">
        <w:trPr>
          <w:trHeight w:val="964"/>
        </w:trPr>
        <w:tc>
          <w:tcPr>
            <w:tcW w:w="493" w:type="dxa"/>
          </w:tcPr>
          <w:p w14:paraId="1F59B67A" w14:textId="100A8361" w:rsidR="00735EC4" w:rsidRPr="00FF0F71" w:rsidRDefault="00735EC4" w:rsidP="00264695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2</w:t>
            </w:r>
          </w:p>
        </w:tc>
        <w:tc>
          <w:tcPr>
            <w:tcW w:w="2043" w:type="dxa"/>
          </w:tcPr>
          <w:p w14:paraId="4FBA2E53" w14:textId="58502619" w:rsidR="00735EC4" w:rsidRPr="00FF0F71" w:rsidRDefault="00F52FD4" w:rsidP="00264695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KPI for regulatory capacity</w:t>
            </w:r>
          </w:p>
        </w:tc>
        <w:tc>
          <w:tcPr>
            <w:tcW w:w="4826" w:type="dxa"/>
          </w:tcPr>
          <w:p w14:paraId="34901559" w14:textId="324898F7" w:rsidR="00735EC4" w:rsidRPr="00FF0F71" w:rsidRDefault="00AE5571" w:rsidP="00264695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Key performance indicator that measures quality assurance staff for regulation of dialysis services relative to </w:t>
            </w:r>
            <w:r w:rsidR="00DA5421">
              <w:rPr>
                <w:lang w:eastAsia="ja-JP"/>
              </w:rPr>
              <w:t>supply.</w:t>
            </w:r>
          </w:p>
        </w:tc>
        <w:tc>
          <w:tcPr>
            <w:tcW w:w="1140" w:type="dxa"/>
          </w:tcPr>
          <w:p w14:paraId="168FC017" w14:textId="6181E1B7" w:rsidR="00735EC4" w:rsidRPr="00FF0F71" w:rsidRDefault="00F52FD4" w:rsidP="00264695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CLD</w:t>
            </w:r>
          </w:p>
        </w:tc>
        <w:tc>
          <w:tcPr>
            <w:tcW w:w="1274" w:type="dxa"/>
          </w:tcPr>
          <w:p w14:paraId="23C8F425" w14:textId="39CBBE2D" w:rsidR="00735EC4" w:rsidRPr="00FF0F71" w:rsidRDefault="001C0F1C" w:rsidP="00264695">
            <w:pPr>
              <w:rPr>
                <w:lang w:eastAsia="ja-JP"/>
              </w:rPr>
            </w:pPr>
            <w:r>
              <w:rPr>
                <w:lang w:eastAsia="ja-JP"/>
              </w:rPr>
              <w:t>No</w:t>
            </w:r>
          </w:p>
        </w:tc>
        <w:tc>
          <w:tcPr>
            <w:tcW w:w="3174" w:type="dxa"/>
          </w:tcPr>
          <w:p w14:paraId="4C69CED6" w14:textId="2975E919" w:rsidR="00735EC4" w:rsidRPr="00FF0F71" w:rsidRDefault="004E1303" w:rsidP="00264695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Impact relates to </w:t>
            </w:r>
            <w:r w:rsidR="00E13B1F">
              <w:rPr>
                <w:lang w:eastAsia="ja-JP"/>
              </w:rPr>
              <w:t xml:space="preserve">HD </w:t>
            </w:r>
            <w:r>
              <w:rPr>
                <w:lang w:eastAsia="ja-JP"/>
              </w:rPr>
              <w:t>death rate only</w:t>
            </w:r>
            <w:r w:rsidR="00F62AB6">
              <w:rPr>
                <w:lang w:eastAsia="ja-JP"/>
              </w:rPr>
              <w:t xml:space="preserve"> </w:t>
            </w:r>
          </w:p>
        </w:tc>
      </w:tr>
      <w:tr w:rsidR="00735EC4" w:rsidRPr="00FF0F71" w14:paraId="5089C731" w14:textId="5C66F23D" w:rsidTr="00AB5368">
        <w:trPr>
          <w:trHeight w:val="1191"/>
        </w:trPr>
        <w:tc>
          <w:tcPr>
            <w:tcW w:w="493" w:type="dxa"/>
          </w:tcPr>
          <w:p w14:paraId="29B3433B" w14:textId="7E5EDFED" w:rsidR="00735EC4" w:rsidRPr="00FF0F71" w:rsidRDefault="00735EC4" w:rsidP="00264695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3</w:t>
            </w:r>
          </w:p>
        </w:tc>
        <w:tc>
          <w:tcPr>
            <w:tcW w:w="2043" w:type="dxa"/>
          </w:tcPr>
          <w:p w14:paraId="5D26F77D" w14:textId="72021142" w:rsidR="00735EC4" w:rsidRPr="00FF0F71" w:rsidRDefault="006508F5" w:rsidP="00264695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Quality-based payment for HD</w:t>
            </w:r>
          </w:p>
        </w:tc>
        <w:tc>
          <w:tcPr>
            <w:tcW w:w="4826" w:type="dxa"/>
          </w:tcPr>
          <w:p w14:paraId="3AF15412" w14:textId="2056D7D0" w:rsidR="00735EC4" w:rsidRPr="00FF0F71" w:rsidRDefault="001162D6" w:rsidP="00264695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HD service provider payments are </w:t>
            </w:r>
            <w:r w:rsidR="007026AD">
              <w:rPr>
                <w:lang w:eastAsia="ja-JP"/>
              </w:rPr>
              <w:t xml:space="preserve">provided per patient, contingent upon </w:t>
            </w:r>
            <w:r w:rsidR="00E660EF">
              <w:rPr>
                <w:lang w:eastAsia="ja-JP"/>
              </w:rPr>
              <w:t>performance against a set of quality indicators.</w:t>
            </w:r>
          </w:p>
        </w:tc>
        <w:tc>
          <w:tcPr>
            <w:tcW w:w="1140" w:type="dxa"/>
          </w:tcPr>
          <w:p w14:paraId="57331253" w14:textId="043E4025" w:rsidR="00735EC4" w:rsidRPr="00FF0F71" w:rsidRDefault="006508F5" w:rsidP="00264695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CLD</w:t>
            </w:r>
          </w:p>
        </w:tc>
        <w:tc>
          <w:tcPr>
            <w:tcW w:w="1274" w:type="dxa"/>
          </w:tcPr>
          <w:p w14:paraId="5D52E78C" w14:textId="3C4E1629" w:rsidR="00735EC4" w:rsidRPr="00D71D68" w:rsidRDefault="00A1186C" w:rsidP="00264695">
            <w:pPr>
              <w:rPr>
                <w:b/>
                <w:bCs/>
                <w:lang w:eastAsia="ja-JP"/>
              </w:rPr>
            </w:pPr>
            <w:r w:rsidRPr="00D71D68">
              <w:rPr>
                <w:b/>
                <w:bCs/>
                <w:lang w:eastAsia="ja-JP"/>
              </w:rPr>
              <w:t>Yes</w:t>
            </w:r>
          </w:p>
        </w:tc>
        <w:tc>
          <w:tcPr>
            <w:tcW w:w="3174" w:type="dxa"/>
          </w:tcPr>
          <w:p w14:paraId="7467FD6D" w14:textId="6C6BF21C" w:rsidR="00735EC4" w:rsidRPr="00FF0F71" w:rsidRDefault="00A1186C" w:rsidP="00264695">
            <w:pPr>
              <w:rPr>
                <w:lang w:eastAsia="ja-JP"/>
              </w:rPr>
            </w:pPr>
            <w:r>
              <w:rPr>
                <w:lang w:eastAsia="ja-JP"/>
              </w:rPr>
              <w:t>Potential to reduce the doctor fee</w:t>
            </w:r>
            <w:r w:rsidR="004673C2">
              <w:rPr>
                <w:lang w:eastAsia="ja-JP"/>
              </w:rPr>
              <w:t xml:space="preserve"> (and therefore </w:t>
            </w:r>
            <w:r w:rsidR="00417608">
              <w:rPr>
                <w:lang w:eastAsia="ja-JP"/>
              </w:rPr>
              <w:t>PD-eligible, CCC-suitable, and premature HD)</w:t>
            </w:r>
          </w:p>
        </w:tc>
      </w:tr>
      <w:tr w:rsidR="00E13B1F" w:rsidRPr="00FF0F71" w14:paraId="45224052" w14:textId="30B65D98" w:rsidTr="006D7763">
        <w:trPr>
          <w:trHeight w:val="1171"/>
        </w:trPr>
        <w:tc>
          <w:tcPr>
            <w:tcW w:w="493" w:type="dxa"/>
          </w:tcPr>
          <w:p w14:paraId="50AB7AC4" w14:textId="18C17013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4</w:t>
            </w:r>
          </w:p>
        </w:tc>
        <w:tc>
          <w:tcPr>
            <w:tcW w:w="2043" w:type="dxa"/>
          </w:tcPr>
          <w:p w14:paraId="5D91947B" w14:textId="6674C2B0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KPI for HD nurse to patient ratio</w:t>
            </w:r>
          </w:p>
        </w:tc>
        <w:tc>
          <w:tcPr>
            <w:tcW w:w="4826" w:type="dxa"/>
          </w:tcPr>
          <w:p w14:paraId="34FA2660" w14:textId="432B12F1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Key performance indicator that measures number of registered HD nurses in service relative to registered number of HD patients.</w:t>
            </w:r>
          </w:p>
        </w:tc>
        <w:tc>
          <w:tcPr>
            <w:tcW w:w="1140" w:type="dxa"/>
          </w:tcPr>
          <w:p w14:paraId="7B9EF5BB" w14:textId="454131B8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CLD</w:t>
            </w:r>
          </w:p>
        </w:tc>
        <w:tc>
          <w:tcPr>
            <w:tcW w:w="1274" w:type="dxa"/>
          </w:tcPr>
          <w:p w14:paraId="1C46045E" w14:textId="3683C3B9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No</w:t>
            </w:r>
          </w:p>
        </w:tc>
        <w:tc>
          <w:tcPr>
            <w:tcW w:w="3174" w:type="dxa"/>
          </w:tcPr>
          <w:p w14:paraId="5F31523B" w14:textId="15AD3A4F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Affects loops removed from model structure (as there are sufficient HD nurses according to the data)</w:t>
            </w:r>
          </w:p>
        </w:tc>
      </w:tr>
      <w:tr w:rsidR="00E13B1F" w:rsidRPr="00FF0F71" w14:paraId="13014E8C" w14:textId="5291656A" w:rsidTr="006D7763">
        <w:trPr>
          <w:trHeight w:val="680"/>
        </w:trPr>
        <w:tc>
          <w:tcPr>
            <w:tcW w:w="493" w:type="dxa"/>
          </w:tcPr>
          <w:p w14:paraId="4E0A7024" w14:textId="4FF54ECF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5</w:t>
            </w:r>
          </w:p>
        </w:tc>
        <w:tc>
          <w:tcPr>
            <w:tcW w:w="2043" w:type="dxa"/>
          </w:tcPr>
          <w:p w14:paraId="017CF391" w14:textId="49942236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HD nurse regulations</w:t>
            </w:r>
          </w:p>
        </w:tc>
        <w:tc>
          <w:tcPr>
            <w:tcW w:w="4826" w:type="dxa"/>
          </w:tcPr>
          <w:p w14:paraId="3198B707" w14:textId="6A681C15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Enforceable regulations determining maximum number and length of shifts for HD nurses.</w:t>
            </w:r>
          </w:p>
        </w:tc>
        <w:tc>
          <w:tcPr>
            <w:tcW w:w="1140" w:type="dxa"/>
          </w:tcPr>
          <w:p w14:paraId="4AB2479C" w14:textId="278E7F60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CLD</w:t>
            </w:r>
          </w:p>
        </w:tc>
        <w:tc>
          <w:tcPr>
            <w:tcW w:w="1274" w:type="dxa"/>
          </w:tcPr>
          <w:p w14:paraId="3471F644" w14:textId="78AE1218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No</w:t>
            </w:r>
          </w:p>
        </w:tc>
        <w:tc>
          <w:tcPr>
            <w:tcW w:w="3174" w:type="dxa"/>
          </w:tcPr>
          <w:p w14:paraId="2EEC7DAF" w14:textId="48F909AC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Impact relates to HD death rate only </w:t>
            </w:r>
          </w:p>
        </w:tc>
      </w:tr>
      <w:tr w:rsidR="00E13B1F" w:rsidRPr="00FF0F71" w14:paraId="47121493" w14:textId="1190328B" w:rsidTr="006D7763">
        <w:trPr>
          <w:trHeight w:val="680"/>
        </w:trPr>
        <w:tc>
          <w:tcPr>
            <w:tcW w:w="493" w:type="dxa"/>
          </w:tcPr>
          <w:p w14:paraId="2C2D4396" w14:textId="75175FEF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6</w:t>
            </w:r>
          </w:p>
        </w:tc>
        <w:tc>
          <w:tcPr>
            <w:tcW w:w="2043" w:type="dxa"/>
          </w:tcPr>
          <w:p w14:paraId="5F86A556" w14:textId="3351A59C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PD investment planning</w:t>
            </w:r>
          </w:p>
        </w:tc>
        <w:tc>
          <w:tcPr>
            <w:tcW w:w="4826" w:type="dxa"/>
          </w:tcPr>
          <w:p w14:paraId="4B81B7E5" w14:textId="104B5EFF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Demand projections for PD determine investment in PD nurse training and PD centres.</w:t>
            </w:r>
          </w:p>
        </w:tc>
        <w:tc>
          <w:tcPr>
            <w:tcW w:w="1140" w:type="dxa"/>
          </w:tcPr>
          <w:p w14:paraId="4A78BC5C" w14:textId="53C49E93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CLD</w:t>
            </w:r>
          </w:p>
        </w:tc>
        <w:tc>
          <w:tcPr>
            <w:tcW w:w="1274" w:type="dxa"/>
          </w:tcPr>
          <w:p w14:paraId="14DEEC0B" w14:textId="1A253D1E" w:rsidR="00E13B1F" w:rsidRPr="00FF0F71" w:rsidRDefault="003F6359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No</w:t>
            </w:r>
          </w:p>
        </w:tc>
        <w:tc>
          <w:tcPr>
            <w:tcW w:w="3174" w:type="dxa"/>
          </w:tcPr>
          <w:p w14:paraId="63EFC9F2" w14:textId="24D6E84E" w:rsidR="00E13B1F" w:rsidRPr="00FF0F71" w:rsidRDefault="003F6359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Only modified PD-eligible patients selecting HD</w:t>
            </w:r>
          </w:p>
        </w:tc>
      </w:tr>
      <w:tr w:rsidR="00E13B1F" w:rsidRPr="00FF0F71" w14:paraId="1CED6F36" w14:textId="08857E5B" w:rsidTr="00AB5368">
        <w:trPr>
          <w:trHeight w:val="964"/>
        </w:trPr>
        <w:tc>
          <w:tcPr>
            <w:tcW w:w="493" w:type="dxa"/>
          </w:tcPr>
          <w:p w14:paraId="1BAC162F" w14:textId="1CC858D3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lastRenderedPageBreak/>
              <w:t>7</w:t>
            </w:r>
          </w:p>
        </w:tc>
        <w:tc>
          <w:tcPr>
            <w:tcW w:w="2043" w:type="dxa"/>
          </w:tcPr>
          <w:p w14:paraId="33DBC731" w14:textId="430BF15B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Doctor fee restrictions</w:t>
            </w:r>
          </w:p>
        </w:tc>
        <w:tc>
          <w:tcPr>
            <w:tcW w:w="4826" w:type="dxa"/>
          </w:tcPr>
          <w:p w14:paraId="11756C89" w14:textId="75AA29F0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Regulation to allow payment of the doctor fee only when the nephrologist attends the full dialysis session of the patient.</w:t>
            </w:r>
          </w:p>
        </w:tc>
        <w:tc>
          <w:tcPr>
            <w:tcW w:w="1140" w:type="dxa"/>
          </w:tcPr>
          <w:p w14:paraId="60D16D0E" w14:textId="262A723D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WG</w:t>
            </w:r>
          </w:p>
        </w:tc>
        <w:tc>
          <w:tcPr>
            <w:tcW w:w="1274" w:type="dxa"/>
          </w:tcPr>
          <w:p w14:paraId="5D518F25" w14:textId="6A1B9D8A" w:rsidR="00E13B1F" w:rsidRPr="00D71D68" w:rsidRDefault="001B7F7C" w:rsidP="00E13B1F">
            <w:pPr>
              <w:rPr>
                <w:b/>
                <w:bCs/>
                <w:lang w:eastAsia="ja-JP"/>
              </w:rPr>
            </w:pPr>
            <w:r w:rsidRPr="00D71D68">
              <w:rPr>
                <w:b/>
                <w:bCs/>
                <w:lang w:eastAsia="ja-JP"/>
              </w:rPr>
              <w:t>Yes</w:t>
            </w:r>
          </w:p>
        </w:tc>
        <w:tc>
          <w:tcPr>
            <w:tcW w:w="3174" w:type="dxa"/>
          </w:tcPr>
          <w:p w14:paraId="044D0B88" w14:textId="0F38C019" w:rsidR="00E13B1F" w:rsidRPr="00FF0F71" w:rsidRDefault="001B7F7C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Decreases the doctor fee</w:t>
            </w:r>
            <w:r w:rsidR="003A088B">
              <w:rPr>
                <w:lang w:eastAsia="ja-JP"/>
              </w:rPr>
              <w:t xml:space="preserve"> (and therefore PD-eligible, CCC-suitable, and premature HD)</w:t>
            </w:r>
          </w:p>
        </w:tc>
      </w:tr>
      <w:tr w:rsidR="00E13B1F" w:rsidRPr="00FF0F71" w14:paraId="32B5DFD2" w14:textId="2E39B440" w:rsidTr="00AB5368">
        <w:trPr>
          <w:trHeight w:val="1531"/>
        </w:trPr>
        <w:tc>
          <w:tcPr>
            <w:tcW w:w="493" w:type="dxa"/>
          </w:tcPr>
          <w:p w14:paraId="00A5A4D1" w14:textId="0A8980EF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8</w:t>
            </w:r>
          </w:p>
        </w:tc>
        <w:tc>
          <w:tcPr>
            <w:tcW w:w="2043" w:type="dxa"/>
          </w:tcPr>
          <w:p w14:paraId="6DB08851" w14:textId="122BA3BC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Education by multi-disciplinary team</w:t>
            </w:r>
          </w:p>
        </w:tc>
        <w:tc>
          <w:tcPr>
            <w:tcW w:w="4826" w:type="dxa"/>
          </w:tcPr>
          <w:p w14:paraId="286A7394" w14:textId="3890FF70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Patients with stage 4 chronic kidney disease are provided with multiple education sessions from multi-disciplinary teams of healthcare professionals prior to making a choice between HD, PD, and CCC. </w:t>
            </w:r>
          </w:p>
        </w:tc>
        <w:tc>
          <w:tcPr>
            <w:tcW w:w="1140" w:type="dxa"/>
          </w:tcPr>
          <w:p w14:paraId="16E0C637" w14:textId="7922ECEF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Literature review</w:t>
            </w:r>
          </w:p>
        </w:tc>
        <w:tc>
          <w:tcPr>
            <w:tcW w:w="1274" w:type="dxa"/>
          </w:tcPr>
          <w:p w14:paraId="4820F077" w14:textId="27E5D13F" w:rsidR="00E13B1F" w:rsidRPr="00D71D68" w:rsidRDefault="001B7F7C" w:rsidP="00E13B1F">
            <w:pPr>
              <w:rPr>
                <w:b/>
                <w:bCs/>
                <w:lang w:eastAsia="ja-JP"/>
              </w:rPr>
            </w:pPr>
            <w:r w:rsidRPr="00D71D68">
              <w:rPr>
                <w:b/>
                <w:bCs/>
                <w:lang w:eastAsia="ja-JP"/>
              </w:rPr>
              <w:t>Yes</w:t>
            </w:r>
          </w:p>
        </w:tc>
        <w:tc>
          <w:tcPr>
            <w:tcW w:w="3174" w:type="dxa"/>
          </w:tcPr>
          <w:p w14:paraId="76C4C0C8" w14:textId="655EBFB7" w:rsidR="00E13B1F" w:rsidRPr="00FF0F71" w:rsidRDefault="001B7F7C" w:rsidP="00E13B1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Potential </w:t>
            </w:r>
            <w:r w:rsidR="00F83B4F">
              <w:rPr>
                <w:lang w:eastAsia="ja-JP"/>
              </w:rPr>
              <w:t>to reduce</w:t>
            </w:r>
            <w:r w:rsidR="00B05C6A">
              <w:rPr>
                <w:lang w:eastAsia="ja-JP"/>
              </w:rPr>
              <w:t xml:space="preserve"> HD initiation among PD-eligible, </w:t>
            </w:r>
            <w:r w:rsidR="00BF3422">
              <w:rPr>
                <w:lang w:eastAsia="ja-JP"/>
              </w:rPr>
              <w:t>CCC-suitable, and premature initiation</w:t>
            </w:r>
            <w:r w:rsidR="00B05C6A">
              <w:rPr>
                <w:lang w:eastAsia="ja-JP"/>
              </w:rPr>
              <w:t xml:space="preserve"> </w:t>
            </w:r>
          </w:p>
        </w:tc>
      </w:tr>
      <w:tr w:rsidR="00E13B1F" w:rsidRPr="00FF0F71" w14:paraId="6FFDF28C" w14:textId="26AE560C" w:rsidTr="00AB5368">
        <w:trPr>
          <w:trHeight w:val="1191"/>
        </w:trPr>
        <w:tc>
          <w:tcPr>
            <w:tcW w:w="493" w:type="dxa"/>
          </w:tcPr>
          <w:p w14:paraId="065845EC" w14:textId="58240A98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9</w:t>
            </w:r>
          </w:p>
        </w:tc>
        <w:tc>
          <w:tcPr>
            <w:tcW w:w="2043" w:type="dxa"/>
          </w:tcPr>
          <w:p w14:paraId="037F1EEB" w14:textId="24855A39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CCC protocols</w:t>
            </w:r>
          </w:p>
        </w:tc>
        <w:tc>
          <w:tcPr>
            <w:tcW w:w="4826" w:type="dxa"/>
          </w:tcPr>
          <w:p w14:paraId="3ED1C8FB" w14:textId="26A1FA61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Prior to dialysis initiation, doctors are provided with prompting questions and/or protocols to identify patients with short life expectancy who may have better quality of life on CCC.</w:t>
            </w:r>
          </w:p>
        </w:tc>
        <w:tc>
          <w:tcPr>
            <w:tcW w:w="1140" w:type="dxa"/>
          </w:tcPr>
          <w:p w14:paraId="11181416" w14:textId="7A79A15F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Literature review</w:t>
            </w:r>
          </w:p>
        </w:tc>
        <w:tc>
          <w:tcPr>
            <w:tcW w:w="1274" w:type="dxa"/>
          </w:tcPr>
          <w:p w14:paraId="63C74DBB" w14:textId="43004F35" w:rsidR="00E13B1F" w:rsidRPr="00FF0F71" w:rsidRDefault="00223877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No</w:t>
            </w:r>
          </w:p>
        </w:tc>
        <w:tc>
          <w:tcPr>
            <w:tcW w:w="3174" w:type="dxa"/>
          </w:tcPr>
          <w:p w14:paraId="0927D43E" w14:textId="7730F79D" w:rsidR="00E13B1F" w:rsidRPr="00FF0F71" w:rsidRDefault="00223877" w:rsidP="00E13B1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Only changes CCC-suitable HD incident patients </w:t>
            </w:r>
          </w:p>
        </w:tc>
      </w:tr>
      <w:tr w:rsidR="00E13B1F" w:rsidRPr="00FF0F71" w14:paraId="2552B18D" w14:textId="69C6CD68" w:rsidTr="006D7763">
        <w:trPr>
          <w:trHeight w:val="680"/>
        </w:trPr>
        <w:tc>
          <w:tcPr>
            <w:tcW w:w="493" w:type="dxa"/>
          </w:tcPr>
          <w:p w14:paraId="7C4EC91C" w14:textId="06D68526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10</w:t>
            </w:r>
          </w:p>
        </w:tc>
        <w:tc>
          <w:tcPr>
            <w:tcW w:w="2043" w:type="dxa"/>
          </w:tcPr>
          <w:p w14:paraId="758638DF" w14:textId="65644931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CQI for dialysis services</w:t>
            </w:r>
          </w:p>
        </w:tc>
        <w:tc>
          <w:tcPr>
            <w:tcW w:w="4826" w:type="dxa"/>
          </w:tcPr>
          <w:p w14:paraId="3940AD09" w14:textId="6A3B854D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Establishment of a working group to monitor and resolve issues with dialysis quality of care.</w:t>
            </w:r>
          </w:p>
        </w:tc>
        <w:tc>
          <w:tcPr>
            <w:tcW w:w="1140" w:type="dxa"/>
          </w:tcPr>
          <w:p w14:paraId="013B0D03" w14:textId="27FC71D9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WG</w:t>
            </w:r>
          </w:p>
        </w:tc>
        <w:tc>
          <w:tcPr>
            <w:tcW w:w="1274" w:type="dxa"/>
          </w:tcPr>
          <w:p w14:paraId="516EDE4B" w14:textId="6AE1CBC8" w:rsidR="00E13B1F" w:rsidRPr="00FF0F71" w:rsidRDefault="009B5D5C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No</w:t>
            </w:r>
          </w:p>
        </w:tc>
        <w:tc>
          <w:tcPr>
            <w:tcW w:w="3174" w:type="dxa"/>
          </w:tcPr>
          <w:p w14:paraId="0AC2EFD1" w14:textId="3D8625E4" w:rsidR="00E13B1F" w:rsidRPr="00FF0F71" w:rsidRDefault="009B5D5C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Only changes HD and PD complications and death rates</w:t>
            </w:r>
          </w:p>
        </w:tc>
      </w:tr>
      <w:tr w:rsidR="00E13B1F" w:rsidRPr="00FF0F71" w14:paraId="0999DB4D" w14:textId="3D63123F" w:rsidTr="00AB5368">
        <w:trPr>
          <w:trHeight w:val="1191"/>
        </w:trPr>
        <w:tc>
          <w:tcPr>
            <w:tcW w:w="493" w:type="dxa"/>
          </w:tcPr>
          <w:p w14:paraId="7072260B" w14:textId="2860576E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11</w:t>
            </w:r>
          </w:p>
        </w:tc>
        <w:tc>
          <w:tcPr>
            <w:tcW w:w="2043" w:type="dxa"/>
          </w:tcPr>
          <w:p w14:paraId="662A5A32" w14:textId="5D0D48A7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Global budget for dialysis</w:t>
            </w:r>
          </w:p>
        </w:tc>
        <w:tc>
          <w:tcPr>
            <w:tcW w:w="4826" w:type="dxa"/>
          </w:tcPr>
          <w:p w14:paraId="01D32714" w14:textId="664BBFC2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Service provider payments are allocated according to a fixed budget per year (therefore payments per patient are lower with more patients).</w:t>
            </w:r>
          </w:p>
        </w:tc>
        <w:tc>
          <w:tcPr>
            <w:tcW w:w="1140" w:type="dxa"/>
          </w:tcPr>
          <w:p w14:paraId="1C8EE7DC" w14:textId="0C54273B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Literature review</w:t>
            </w:r>
          </w:p>
        </w:tc>
        <w:tc>
          <w:tcPr>
            <w:tcW w:w="1274" w:type="dxa"/>
          </w:tcPr>
          <w:p w14:paraId="3161A23D" w14:textId="32412CCC" w:rsidR="00E13B1F" w:rsidRPr="00D71D68" w:rsidRDefault="009B5D5C" w:rsidP="00E13B1F">
            <w:pPr>
              <w:rPr>
                <w:b/>
                <w:bCs/>
                <w:lang w:eastAsia="ja-JP"/>
              </w:rPr>
            </w:pPr>
            <w:r w:rsidRPr="00D71D68">
              <w:rPr>
                <w:b/>
                <w:bCs/>
                <w:lang w:eastAsia="ja-JP"/>
              </w:rPr>
              <w:t>Yes</w:t>
            </w:r>
          </w:p>
        </w:tc>
        <w:tc>
          <w:tcPr>
            <w:tcW w:w="3174" w:type="dxa"/>
          </w:tcPr>
          <w:p w14:paraId="1CBFD4CE" w14:textId="4DB03BBE" w:rsidR="00E13B1F" w:rsidRPr="00FF0F71" w:rsidRDefault="00D15CE6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Changes across all categories of HD incident patients</w:t>
            </w:r>
          </w:p>
        </w:tc>
      </w:tr>
      <w:tr w:rsidR="00E13B1F" w:rsidRPr="00FF0F71" w14:paraId="7E36773E" w14:textId="54B8036F" w:rsidTr="00AB5368">
        <w:trPr>
          <w:trHeight w:val="1191"/>
        </w:trPr>
        <w:tc>
          <w:tcPr>
            <w:tcW w:w="493" w:type="dxa"/>
          </w:tcPr>
          <w:p w14:paraId="6E7EC3FB" w14:textId="741F06DB" w:rsidR="00E13B1F" w:rsidRPr="00FF0F71" w:rsidRDefault="00E13B1F" w:rsidP="00E13B1F">
            <w:pPr>
              <w:rPr>
                <w:lang w:eastAsia="ja-JP"/>
              </w:rPr>
            </w:pPr>
            <w:r w:rsidRPr="00FF0F71">
              <w:rPr>
                <w:lang w:eastAsia="ja-JP"/>
              </w:rPr>
              <w:t>12</w:t>
            </w:r>
          </w:p>
        </w:tc>
        <w:tc>
          <w:tcPr>
            <w:tcW w:w="2043" w:type="dxa"/>
          </w:tcPr>
          <w:p w14:paraId="10315811" w14:textId="5E8005E8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Bundle payments for dialysis</w:t>
            </w:r>
          </w:p>
        </w:tc>
        <w:tc>
          <w:tcPr>
            <w:tcW w:w="4826" w:type="dxa"/>
          </w:tcPr>
          <w:p w14:paraId="500C3C99" w14:textId="4080A0B5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Service provider payments are provided per kidney failure patient, with adjustment to make CCC, PD, and HD equally profitable, with adjustment for case mix of patients.</w:t>
            </w:r>
          </w:p>
        </w:tc>
        <w:tc>
          <w:tcPr>
            <w:tcW w:w="1140" w:type="dxa"/>
          </w:tcPr>
          <w:p w14:paraId="007D8ACF" w14:textId="10D0DC95" w:rsidR="00E13B1F" w:rsidRPr="00FF0F71" w:rsidRDefault="00E13B1F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Literature review</w:t>
            </w:r>
          </w:p>
        </w:tc>
        <w:tc>
          <w:tcPr>
            <w:tcW w:w="1274" w:type="dxa"/>
          </w:tcPr>
          <w:p w14:paraId="6B42D6C7" w14:textId="41FE8967" w:rsidR="00E13B1F" w:rsidRPr="00FF0F71" w:rsidRDefault="002C3385" w:rsidP="00E13B1F">
            <w:pPr>
              <w:rPr>
                <w:lang w:eastAsia="ja-JP"/>
              </w:rPr>
            </w:pPr>
            <w:r>
              <w:rPr>
                <w:lang w:eastAsia="ja-JP"/>
              </w:rPr>
              <w:t>No</w:t>
            </w:r>
          </w:p>
        </w:tc>
        <w:tc>
          <w:tcPr>
            <w:tcW w:w="3174" w:type="dxa"/>
          </w:tcPr>
          <w:p w14:paraId="3268A7EB" w14:textId="3EF55923" w:rsidR="00E13B1F" w:rsidRPr="00FF0F71" w:rsidRDefault="002C3385" w:rsidP="00E13B1F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Changes only affect CCC-suitable and </w:t>
            </w:r>
            <w:r w:rsidR="002220D6">
              <w:rPr>
                <w:lang w:eastAsia="ja-JP"/>
              </w:rPr>
              <w:t>PD-eligible patients</w:t>
            </w:r>
          </w:p>
        </w:tc>
      </w:tr>
    </w:tbl>
    <w:p w14:paraId="26A90E23" w14:textId="6BC7CAB7" w:rsidR="00B05CAF" w:rsidRDefault="00FA1582" w:rsidP="00020B35">
      <w:pPr>
        <w:spacing w:before="240"/>
        <w:rPr>
          <w:sz w:val="20"/>
          <w:szCs w:val="20"/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="00E426FB" w:rsidRPr="00FF0F71">
        <w:rPr>
          <w:b/>
          <w:bCs/>
          <w:sz w:val="20"/>
          <w:szCs w:val="20"/>
          <w:lang w:eastAsia="ja-JP"/>
        </w:rPr>
        <w:t xml:space="preserve">CLD </w:t>
      </w:r>
      <w:r w:rsidR="00972A96" w:rsidRPr="00FF0F71">
        <w:rPr>
          <w:b/>
          <w:bCs/>
          <w:sz w:val="20"/>
          <w:szCs w:val="20"/>
          <w:lang w:eastAsia="ja-JP"/>
        </w:rPr>
        <w:t>–</w:t>
      </w:r>
      <w:r w:rsidR="00E426FB" w:rsidRPr="00FF0F71">
        <w:rPr>
          <w:sz w:val="20"/>
          <w:szCs w:val="20"/>
          <w:lang w:eastAsia="ja-JP"/>
        </w:rPr>
        <w:t xml:space="preserve"> causal loop diagram; </w:t>
      </w:r>
      <w:r w:rsidR="006508F5" w:rsidRPr="00FF0F71">
        <w:rPr>
          <w:b/>
          <w:bCs/>
          <w:sz w:val="20"/>
          <w:szCs w:val="20"/>
          <w:lang w:eastAsia="ja-JP"/>
        </w:rPr>
        <w:t xml:space="preserve">HD </w:t>
      </w:r>
      <w:r w:rsidR="006508F5" w:rsidRPr="00FF0F71">
        <w:rPr>
          <w:sz w:val="20"/>
          <w:szCs w:val="20"/>
          <w:lang w:eastAsia="ja-JP"/>
        </w:rPr>
        <w:t>– haemodialysis;</w:t>
      </w:r>
      <w:r w:rsidR="006508F5" w:rsidRPr="00FF0F71">
        <w:rPr>
          <w:b/>
          <w:bCs/>
          <w:sz w:val="20"/>
          <w:szCs w:val="20"/>
          <w:lang w:eastAsia="ja-JP"/>
        </w:rPr>
        <w:t xml:space="preserve"> </w:t>
      </w:r>
      <w:r w:rsidR="00E426FB" w:rsidRPr="00FF0F71">
        <w:rPr>
          <w:b/>
          <w:bCs/>
          <w:sz w:val="20"/>
          <w:szCs w:val="20"/>
          <w:lang w:eastAsia="ja-JP"/>
        </w:rPr>
        <w:t xml:space="preserve">KPI </w:t>
      </w:r>
      <w:r w:rsidR="00E426FB" w:rsidRPr="00FF0F71">
        <w:rPr>
          <w:sz w:val="20"/>
          <w:szCs w:val="20"/>
          <w:lang w:eastAsia="ja-JP"/>
        </w:rPr>
        <w:t xml:space="preserve">– key performance indicator; </w:t>
      </w:r>
      <w:r w:rsidR="006508F5" w:rsidRPr="00FF0F71">
        <w:rPr>
          <w:b/>
          <w:bCs/>
          <w:sz w:val="20"/>
          <w:szCs w:val="20"/>
          <w:lang w:eastAsia="ja-JP"/>
        </w:rPr>
        <w:t xml:space="preserve">PD </w:t>
      </w:r>
      <w:r w:rsidR="006508F5" w:rsidRPr="00FF0F71">
        <w:rPr>
          <w:sz w:val="20"/>
          <w:szCs w:val="20"/>
          <w:lang w:eastAsia="ja-JP"/>
        </w:rPr>
        <w:t xml:space="preserve">– peritoneal dialysis; </w:t>
      </w:r>
      <w:r w:rsidR="00E426FB" w:rsidRPr="00FF0F71">
        <w:rPr>
          <w:b/>
          <w:bCs/>
          <w:sz w:val="20"/>
          <w:szCs w:val="20"/>
          <w:lang w:eastAsia="ja-JP"/>
        </w:rPr>
        <w:t>SD</w:t>
      </w:r>
      <w:r w:rsidR="00E426FB" w:rsidRPr="00FF0F71">
        <w:rPr>
          <w:sz w:val="20"/>
          <w:szCs w:val="20"/>
          <w:lang w:eastAsia="ja-JP"/>
        </w:rPr>
        <w:t xml:space="preserve"> – system dynamics</w:t>
      </w:r>
      <w:r w:rsidR="00503512" w:rsidRPr="00FF0F71">
        <w:rPr>
          <w:sz w:val="20"/>
          <w:szCs w:val="20"/>
          <w:lang w:eastAsia="ja-JP"/>
        </w:rPr>
        <w:t xml:space="preserve">; </w:t>
      </w:r>
      <w:r w:rsidR="00503512" w:rsidRPr="00FF0F71">
        <w:rPr>
          <w:b/>
          <w:bCs/>
          <w:sz w:val="20"/>
          <w:szCs w:val="20"/>
          <w:lang w:eastAsia="ja-JP"/>
        </w:rPr>
        <w:t>WG</w:t>
      </w:r>
      <w:r w:rsidR="00503512" w:rsidRPr="00FF0F71">
        <w:rPr>
          <w:sz w:val="20"/>
          <w:szCs w:val="20"/>
          <w:lang w:eastAsia="ja-JP"/>
        </w:rPr>
        <w:t xml:space="preserve"> –</w:t>
      </w:r>
      <w:r w:rsidR="006508F5" w:rsidRPr="00FF0F71">
        <w:rPr>
          <w:b/>
          <w:bCs/>
          <w:sz w:val="20"/>
          <w:szCs w:val="20"/>
          <w:lang w:eastAsia="ja-JP"/>
        </w:rPr>
        <w:t xml:space="preserve"> </w:t>
      </w:r>
      <w:r w:rsidR="00503512" w:rsidRPr="00FF0F71">
        <w:rPr>
          <w:sz w:val="20"/>
          <w:szCs w:val="20"/>
          <w:lang w:eastAsia="ja-JP"/>
        </w:rPr>
        <w:t>ad-hoc working group on kidney replacement therapy</w:t>
      </w:r>
      <w:r w:rsidR="00DE0057" w:rsidRPr="00FF0F71">
        <w:rPr>
          <w:sz w:val="20"/>
          <w:szCs w:val="20"/>
          <w:lang w:eastAsia="ja-JP"/>
        </w:rPr>
        <w:t xml:space="preserve"> under the National Health Security Office (NHSO) Board</w:t>
      </w:r>
    </w:p>
    <w:p w14:paraId="63DE48FE" w14:textId="77777777" w:rsidR="00B619CA" w:rsidRDefault="00B619CA" w:rsidP="00020B35">
      <w:pPr>
        <w:spacing w:before="240"/>
        <w:rPr>
          <w:sz w:val="20"/>
          <w:szCs w:val="20"/>
          <w:lang w:eastAsia="ja-JP"/>
        </w:rPr>
      </w:pPr>
    </w:p>
    <w:p w14:paraId="395471EB" w14:textId="34C88B48" w:rsidR="00B05CAF" w:rsidRDefault="00B05CAF">
      <w:pPr>
        <w:rPr>
          <w:lang w:eastAsia="ja-JP"/>
        </w:rPr>
      </w:pPr>
      <w:r>
        <w:rPr>
          <w:lang w:eastAsia="ja-JP"/>
        </w:rPr>
        <w:br w:type="page"/>
      </w:r>
    </w:p>
    <w:p w14:paraId="40042A59" w14:textId="7A3A75F6" w:rsidR="00E36010" w:rsidRDefault="00E36010" w:rsidP="00020B35">
      <w:pPr>
        <w:spacing w:before="240"/>
        <w:rPr>
          <w:lang w:eastAsia="ja-JP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58240" behindDoc="0" locked="0" layoutInCell="1" allowOverlap="1" wp14:anchorId="37B57CA5" wp14:editId="3C171049">
            <wp:simplePos x="0" y="0"/>
            <wp:positionH relativeFrom="page">
              <wp:align>right</wp:align>
            </wp:positionH>
            <wp:positionV relativeFrom="paragraph">
              <wp:posOffset>586105</wp:posOffset>
            </wp:positionV>
            <wp:extent cx="10050145" cy="5066665"/>
            <wp:effectExtent l="0" t="0" r="8255" b="635"/>
            <wp:wrapTopAndBottom/>
            <wp:docPr id="1947514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0145" cy="506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CAF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B05CAF">
        <w:rPr>
          <w:b/>
          <w:bCs/>
          <w:lang w:eastAsia="ja-JP"/>
        </w:rPr>
        <w:t xml:space="preserve">a. </w:t>
      </w:r>
      <w:r w:rsidR="00B05CAF">
        <w:rPr>
          <w:lang w:eastAsia="ja-JP"/>
        </w:rPr>
        <w:t>Model diagram for</w:t>
      </w:r>
      <w:r>
        <w:rPr>
          <w:lang w:eastAsia="ja-JP"/>
        </w:rPr>
        <w:t xml:space="preserve"> the pre-authorisation policy. Following policy implementation, the light grey lines represent parts of the model structure that are switched off and the pink lines those that are switched on. </w:t>
      </w:r>
    </w:p>
    <w:p w14:paraId="46831E08" w14:textId="29C202B1" w:rsidR="00B05CAF" w:rsidRDefault="00E36010" w:rsidP="00E36010">
      <w:pPr>
        <w:spacing w:before="360" w:after="0"/>
        <w:rPr>
          <w:sz w:val="20"/>
          <w:szCs w:val="20"/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p w14:paraId="197D34FD" w14:textId="4F129040" w:rsidR="00E36010" w:rsidRDefault="009E1503" w:rsidP="00E36010">
      <w:pPr>
        <w:spacing w:before="240"/>
        <w:rPr>
          <w:lang w:eastAsia="ja-JP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59264" behindDoc="0" locked="0" layoutInCell="1" allowOverlap="1" wp14:anchorId="5376C17B" wp14:editId="26B49764">
            <wp:simplePos x="0" y="0"/>
            <wp:positionH relativeFrom="page">
              <wp:align>right</wp:align>
            </wp:positionH>
            <wp:positionV relativeFrom="paragraph">
              <wp:posOffset>518160</wp:posOffset>
            </wp:positionV>
            <wp:extent cx="10053320" cy="4919980"/>
            <wp:effectExtent l="0" t="0" r="5080" b="0"/>
            <wp:wrapTopAndBottom/>
            <wp:docPr id="252516310" name="Picture 3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516310" name="Picture 3" descr="A diagram of a diagram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3320" cy="4919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10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E36010">
        <w:rPr>
          <w:b/>
          <w:bCs/>
          <w:lang w:eastAsia="ja-JP"/>
        </w:rPr>
        <w:t xml:space="preserve">b. </w:t>
      </w:r>
      <w:r w:rsidR="00E36010">
        <w:rPr>
          <w:lang w:eastAsia="ja-JP"/>
        </w:rPr>
        <w:t>Model diagram for a key performance indicator (KPI)</w:t>
      </w:r>
      <w:r w:rsidR="00376407">
        <w:rPr>
          <w:lang w:eastAsia="ja-JP"/>
        </w:rPr>
        <w:t xml:space="preserve"> to ensure adequate quality assurance capacity </w:t>
      </w:r>
      <w:r w:rsidR="00DD17DE">
        <w:rPr>
          <w:lang w:eastAsia="ja-JP"/>
        </w:rPr>
        <w:t>to open new centres</w:t>
      </w:r>
      <w:r w:rsidR="00E36010">
        <w:rPr>
          <w:lang w:eastAsia="ja-JP"/>
        </w:rPr>
        <w:t xml:space="preserve">. Following policy implementation, the pink lines are switched on. </w:t>
      </w:r>
    </w:p>
    <w:p w14:paraId="73669D8E" w14:textId="77777777" w:rsidR="00E36010" w:rsidRPr="00B05CAF" w:rsidRDefault="00E36010" w:rsidP="00E36010">
      <w:pPr>
        <w:spacing w:before="360" w:after="0"/>
        <w:rPr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p w14:paraId="4CF7A684" w14:textId="01563BBB" w:rsidR="00E36010" w:rsidRDefault="00F201F3" w:rsidP="00E36010">
      <w:pPr>
        <w:spacing w:before="240"/>
        <w:rPr>
          <w:lang w:eastAsia="ja-JP"/>
        </w:rPr>
      </w:pPr>
      <w:r>
        <w:rPr>
          <w:b/>
          <w:bCs/>
          <w:noProof/>
          <w:sz w:val="20"/>
          <w:szCs w:val="20"/>
          <w:lang w:eastAsia="ja-JP"/>
        </w:rPr>
        <w:lastRenderedPageBreak/>
        <w:drawing>
          <wp:anchor distT="0" distB="0" distL="114300" distR="114300" simplePos="0" relativeHeight="251671552" behindDoc="0" locked="0" layoutInCell="1" allowOverlap="1" wp14:anchorId="068E47A4" wp14:editId="75DDCBA7">
            <wp:simplePos x="0" y="0"/>
            <wp:positionH relativeFrom="column">
              <wp:posOffset>-914400</wp:posOffset>
            </wp:positionH>
            <wp:positionV relativeFrom="paragraph">
              <wp:posOffset>427868</wp:posOffset>
            </wp:positionV>
            <wp:extent cx="10083165" cy="4973320"/>
            <wp:effectExtent l="0" t="0" r="635" b="5080"/>
            <wp:wrapSquare wrapText="bothSides"/>
            <wp:docPr id="1894615274" name="Picture 1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615274" name="Picture 1" descr="A diagram of a diagram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3165" cy="4973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010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E36010">
        <w:rPr>
          <w:b/>
          <w:bCs/>
          <w:lang w:eastAsia="ja-JP"/>
        </w:rPr>
        <w:t xml:space="preserve">c. </w:t>
      </w:r>
      <w:r w:rsidR="00E36010">
        <w:rPr>
          <w:lang w:eastAsia="ja-JP"/>
        </w:rPr>
        <w:t>Model diagram for</w:t>
      </w:r>
      <w:r w:rsidR="00F04935">
        <w:rPr>
          <w:lang w:eastAsia="ja-JP"/>
        </w:rPr>
        <w:t xml:space="preserve"> </w:t>
      </w:r>
      <w:r w:rsidR="00BB23CE">
        <w:rPr>
          <w:lang w:eastAsia="ja-JP"/>
        </w:rPr>
        <w:t xml:space="preserve">changing service provider payments from fee-for-service to </w:t>
      </w:r>
      <w:r w:rsidR="00F04935">
        <w:rPr>
          <w:lang w:eastAsia="ja-JP"/>
        </w:rPr>
        <w:t>quality-based</w:t>
      </w:r>
      <w:r w:rsidR="00BB23CE">
        <w:rPr>
          <w:lang w:eastAsia="ja-JP"/>
        </w:rPr>
        <w:t xml:space="preserve"> fee-per-patient</w:t>
      </w:r>
      <w:r w:rsidR="00E36010">
        <w:rPr>
          <w:lang w:eastAsia="ja-JP"/>
        </w:rPr>
        <w:t xml:space="preserve">. </w:t>
      </w:r>
      <w:r w:rsidR="00676D74">
        <w:rPr>
          <w:lang w:eastAsia="ja-JP"/>
        </w:rPr>
        <w:t>The structures highlighted in pink are switched on following policy implementation</w:t>
      </w:r>
      <w:r w:rsidR="00E36010">
        <w:rPr>
          <w:lang w:eastAsia="ja-JP"/>
        </w:rPr>
        <w:t xml:space="preserve">. </w:t>
      </w:r>
    </w:p>
    <w:p w14:paraId="53BBEC0B" w14:textId="6921CC9E" w:rsidR="00E36010" w:rsidRPr="00B05CAF" w:rsidRDefault="00E36010" w:rsidP="00676D74">
      <w:pPr>
        <w:spacing w:before="240"/>
        <w:rPr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p w14:paraId="35B68FDA" w14:textId="3D3CD15D" w:rsidR="00E36010" w:rsidRDefault="00C73F93" w:rsidP="00E36010">
      <w:pPr>
        <w:spacing w:before="240"/>
        <w:rPr>
          <w:lang w:eastAsia="ja-JP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61312" behindDoc="0" locked="0" layoutInCell="1" allowOverlap="1" wp14:anchorId="5A72634F" wp14:editId="2B9E2E8C">
            <wp:simplePos x="0" y="0"/>
            <wp:positionH relativeFrom="page">
              <wp:align>right</wp:align>
            </wp:positionH>
            <wp:positionV relativeFrom="paragraph">
              <wp:posOffset>247015</wp:posOffset>
            </wp:positionV>
            <wp:extent cx="10058400" cy="5010785"/>
            <wp:effectExtent l="0" t="0" r="0" b="0"/>
            <wp:wrapTopAndBottom/>
            <wp:docPr id="962660453" name="Picture 5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660453" name="Picture 5" descr="A diagram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501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10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E36010">
        <w:rPr>
          <w:b/>
          <w:bCs/>
          <w:lang w:eastAsia="ja-JP"/>
        </w:rPr>
        <w:t xml:space="preserve">d. </w:t>
      </w:r>
      <w:r w:rsidR="00E36010">
        <w:rPr>
          <w:lang w:eastAsia="ja-JP"/>
        </w:rPr>
        <w:t xml:space="preserve">Model diagram for </w:t>
      </w:r>
      <w:r w:rsidR="002003B6">
        <w:rPr>
          <w:lang w:eastAsia="ja-JP"/>
        </w:rPr>
        <w:t>regulations around HD nurse shifts</w:t>
      </w:r>
      <w:r w:rsidR="00E36010">
        <w:rPr>
          <w:lang w:eastAsia="ja-JP"/>
        </w:rPr>
        <w:t xml:space="preserve">. </w:t>
      </w:r>
      <w:r>
        <w:rPr>
          <w:lang w:eastAsia="ja-JP"/>
        </w:rPr>
        <w:t>The pink line is modified after policy implementation</w:t>
      </w:r>
      <w:r w:rsidR="00E36010">
        <w:rPr>
          <w:lang w:eastAsia="ja-JP"/>
        </w:rPr>
        <w:t xml:space="preserve">. </w:t>
      </w:r>
    </w:p>
    <w:p w14:paraId="37B96082" w14:textId="5A81283A" w:rsidR="00E36010" w:rsidRPr="00B05CAF" w:rsidRDefault="00E36010" w:rsidP="002003B6">
      <w:pPr>
        <w:spacing w:before="240"/>
        <w:rPr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p w14:paraId="7A62C354" w14:textId="58BA1EAC" w:rsidR="00E36010" w:rsidRDefault="00411773" w:rsidP="00E36010">
      <w:pPr>
        <w:spacing w:before="240"/>
        <w:rPr>
          <w:lang w:eastAsia="ja-JP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62336" behindDoc="0" locked="0" layoutInCell="1" allowOverlap="1" wp14:anchorId="00889987" wp14:editId="120E12A9">
            <wp:simplePos x="0" y="0"/>
            <wp:positionH relativeFrom="page">
              <wp:align>right</wp:align>
            </wp:positionH>
            <wp:positionV relativeFrom="paragraph">
              <wp:posOffset>523240</wp:posOffset>
            </wp:positionV>
            <wp:extent cx="10058400" cy="4999355"/>
            <wp:effectExtent l="0" t="0" r="0" b="0"/>
            <wp:wrapTopAndBottom/>
            <wp:docPr id="553785719" name="Picture 6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785719" name="Picture 6" descr="A diagram of a flowchar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499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10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E36010">
        <w:rPr>
          <w:b/>
          <w:bCs/>
          <w:lang w:eastAsia="ja-JP"/>
        </w:rPr>
        <w:t xml:space="preserve">e. </w:t>
      </w:r>
      <w:r w:rsidR="00E36010">
        <w:rPr>
          <w:lang w:eastAsia="ja-JP"/>
        </w:rPr>
        <w:t xml:space="preserve">Model diagram for </w:t>
      </w:r>
      <w:r>
        <w:rPr>
          <w:lang w:eastAsia="ja-JP"/>
        </w:rPr>
        <w:t>PD demand forecasting to determine investment in capacity</w:t>
      </w:r>
      <w:r w:rsidR="00E36010">
        <w:rPr>
          <w:lang w:eastAsia="ja-JP"/>
        </w:rPr>
        <w:t xml:space="preserve">. </w:t>
      </w:r>
      <w:r>
        <w:rPr>
          <w:lang w:eastAsia="ja-JP"/>
        </w:rPr>
        <w:t xml:space="preserve">Pink text represents </w:t>
      </w:r>
      <w:r w:rsidR="00737C36">
        <w:rPr>
          <w:lang w:eastAsia="ja-JP"/>
        </w:rPr>
        <w:t>changes to the model following policy implementation</w:t>
      </w:r>
      <w:r w:rsidR="00E36010">
        <w:rPr>
          <w:lang w:eastAsia="ja-JP"/>
        </w:rPr>
        <w:t xml:space="preserve">. </w:t>
      </w:r>
    </w:p>
    <w:p w14:paraId="39EC6075" w14:textId="77777777" w:rsidR="00E36010" w:rsidRPr="00B05CAF" w:rsidRDefault="00E36010" w:rsidP="00E36010">
      <w:pPr>
        <w:spacing w:before="360" w:after="0"/>
        <w:rPr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p w14:paraId="50F48016" w14:textId="2C78BE2A" w:rsidR="00E36010" w:rsidRDefault="00737C36" w:rsidP="00E36010">
      <w:pPr>
        <w:spacing w:before="240"/>
        <w:rPr>
          <w:lang w:eastAsia="ja-JP"/>
        </w:rPr>
      </w:pPr>
      <w:r>
        <w:rPr>
          <w:noProof/>
          <w:lang w:eastAsia="ja-JP"/>
        </w:rPr>
        <w:lastRenderedPageBreak/>
        <w:drawing>
          <wp:anchor distT="0" distB="0" distL="114300" distR="114300" simplePos="0" relativeHeight="251663360" behindDoc="0" locked="0" layoutInCell="1" allowOverlap="1" wp14:anchorId="42CBE188" wp14:editId="5646A1E4">
            <wp:simplePos x="0" y="0"/>
            <wp:positionH relativeFrom="page">
              <wp:align>right</wp:align>
            </wp:positionH>
            <wp:positionV relativeFrom="paragraph">
              <wp:posOffset>371475</wp:posOffset>
            </wp:positionV>
            <wp:extent cx="10041255" cy="4991100"/>
            <wp:effectExtent l="0" t="0" r="0" b="0"/>
            <wp:wrapTopAndBottom/>
            <wp:docPr id="293364078" name="Picture 7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364078" name="Picture 7" descr="A diagram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1255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10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E36010">
        <w:rPr>
          <w:b/>
          <w:bCs/>
          <w:lang w:eastAsia="ja-JP"/>
        </w:rPr>
        <w:t xml:space="preserve">f. </w:t>
      </w:r>
      <w:r w:rsidR="00E36010">
        <w:rPr>
          <w:lang w:eastAsia="ja-JP"/>
        </w:rPr>
        <w:t xml:space="preserve">Model diagram for </w:t>
      </w:r>
      <w:r>
        <w:rPr>
          <w:lang w:eastAsia="ja-JP"/>
        </w:rPr>
        <w:t>a policy to restrict payment of the doctor fee</w:t>
      </w:r>
      <w:r w:rsidR="00E36010">
        <w:rPr>
          <w:lang w:eastAsia="ja-JP"/>
        </w:rPr>
        <w:t xml:space="preserve">. </w:t>
      </w:r>
      <w:r w:rsidR="00CE6BE3">
        <w:rPr>
          <w:lang w:eastAsia="ja-JP"/>
        </w:rPr>
        <w:t>Parts in pink are switched on following policy change</w:t>
      </w:r>
      <w:r w:rsidR="00E36010">
        <w:rPr>
          <w:lang w:eastAsia="ja-JP"/>
        </w:rPr>
        <w:t xml:space="preserve">. </w:t>
      </w:r>
    </w:p>
    <w:p w14:paraId="4EE2A202" w14:textId="77777777" w:rsidR="00E36010" w:rsidRPr="00B05CAF" w:rsidRDefault="00E36010" w:rsidP="00E36010">
      <w:pPr>
        <w:spacing w:before="360" w:after="0"/>
        <w:rPr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p w14:paraId="032B7CC7" w14:textId="181AC0D4" w:rsidR="00E36010" w:rsidRDefault="005B7BE5" w:rsidP="00E36010">
      <w:pPr>
        <w:spacing w:before="240"/>
        <w:rPr>
          <w:lang w:eastAsia="ja-JP"/>
        </w:rPr>
      </w:pPr>
      <w:r>
        <w:rPr>
          <w:b/>
          <w:bCs/>
          <w:noProof/>
          <w:sz w:val="20"/>
          <w:szCs w:val="20"/>
          <w:lang w:eastAsia="ja-JP"/>
        </w:rPr>
        <w:lastRenderedPageBreak/>
        <w:drawing>
          <wp:anchor distT="0" distB="0" distL="114300" distR="114300" simplePos="0" relativeHeight="251669504" behindDoc="0" locked="0" layoutInCell="1" allowOverlap="1" wp14:anchorId="362FC3DB" wp14:editId="5DA30C5D">
            <wp:simplePos x="0" y="0"/>
            <wp:positionH relativeFrom="column">
              <wp:posOffset>-906780</wp:posOffset>
            </wp:positionH>
            <wp:positionV relativeFrom="paragraph">
              <wp:posOffset>594360</wp:posOffset>
            </wp:positionV>
            <wp:extent cx="10034905" cy="4883150"/>
            <wp:effectExtent l="0" t="0" r="4445" b="0"/>
            <wp:wrapTopAndBottom/>
            <wp:docPr id="1320309635" name="Picture 1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09635" name="Picture 1" descr="A diagram of a diagram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490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10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E36010">
        <w:rPr>
          <w:b/>
          <w:bCs/>
          <w:lang w:eastAsia="ja-JP"/>
        </w:rPr>
        <w:t xml:space="preserve">g. </w:t>
      </w:r>
      <w:r w:rsidR="00E36010">
        <w:rPr>
          <w:lang w:eastAsia="ja-JP"/>
        </w:rPr>
        <w:t xml:space="preserve">Model diagram for </w:t>
      </w:r>
      <w:r w:rsidR="00CE6BE3">
        <w:rPr>
          <w:lang w:eastAsia="ja-JP"/>
        </w:rPr>
        <w:t>patient education by a multi-disciplinary team</w:t>
      </w:r>
      <w:r w:rsidR="00770685">
        <w:rPr>
          <w:lang w:eastAsia="ja-JP"/>
        </w:rPr>
        <w:t xml:space="preserve">. Parts of the model in pink are changed following implementation of the base policy, the parts in blue </w:t>
      </w:r>
      <w:r w:rsidR="00F40ED1">
        <w:rPr>
          <w:lang w:eastAsia="ja-JP"/>
        </w:rPr>
        <w:t>an orange are changed in sensitivity analysis (see grey box for details)</w:t>
      </w:r>
      <w:r w:rsidR="00E36010">
        <w:rPr>
          <w:lang w:eastAsia="ja-JP"/>
        </w:rPr>
        <w:t xml:space="preserve">. </w:t>
      </w:r>
    </w:p>
    <w:p w14:paraId="365E92F8" w14:textId="2B6D6CCD" w:rsidR="00E36010" w:rsidRPr="00B05CAF" w:rsidRDefault="00E36010" w:rsidP="00F40ED1">
      <w:pPr>
        <w:spacing w:before="360" w:after="0"/>
        <w:rPr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p w14:paraId="4BCE05DE" w14:textId="01CF4054" w:rsidR="00E36010" w:rsidRDefault="00CA6B95" w:rsidP="00E36010">
      <w:pPr>
        <w:spacing w:before="240"/>
        <w:rPr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390701B4" wp14:editId="0A13A6DB">
            <wp:simplePos x="0" y="0"/>
            <wp:positionH relativeFrom="page">
              <wp:align>left</wp:align>
            </wp:positionH>
            <wp:positionV relativeFrom="paragraph">
              <wp:posOffset>523240</wp:posOffset>
            </wp:positionV>
            <wp:extent cx="10048875" cy="4941570"/>
            <wp:effectExtent l="0" t="0" r="9525" b="0"/>
            <wp:wrapTopAndBottom/>
            <wp:docPr id="1510863577" name="Picture 9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863577" name="Picture 9" descr="A diagram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8875" cy="494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10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E36010">
        <w:rPr>
          <w:b/>
          <w:bCs/>
          <w:lang w:eastAsia="ja-JP"/>
        </w:rPr>
        <w:t xml:space="preserve">h. </w:t>
      </w:r>
      <w:r w:rsidR="00E36010">
        <w:rPr>
          <w:lang w:eastAsia="ja-JP"/>
        </w:rPr>
        <w:t>Model diagram for</w:t>
      </w:r>
      <w:r>
        <w:rPr>
          <w:lang w:eastAsia="ja-JP"/>
        </w:rPr>
        <w:t xml:space="preserve"> comprehensive conservative care (CCC) protocols</w:t>
      </w:r>
      <w:r w:rsidR="00E36010">
        <w:rPr>
          <w:lang w:eastAsia="ja-JP"/>
        </w:rPr>
        <w:t xml:space="preserve">. </w:t>
      </w:r>
      <w:r>
        <w:rPr>
          <w:lang w:eastAsia="ja-JP"/>
        </w:rPr>
        <w:t>Changes to the base model structure following policy implementation are highlighted in pink</w:t>
      </w:r>
      <w:r w:rsidR="00E36010">
        <w:rPr>
          <w:lang w:eastAsia="ja-JP"/>
        </w:rPr>
        <w:t xml:space="preserve">. </w:t>
      </w:r>
    </w:p>
    <w:p w14:paraId="39C3F123" w14:textId="0AF6D8EB" w:rsidR="00E36010" w:rsidRPr="00B05CAF" w:rsidRDefault="00E36010" w:rsidP="00CA6B95">
      <w:pPr>
        <w:spacing w:before="360" w:after="0"/>
        <w:rPr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p w14:paraId="7865F768" w14:textId="60C1B780" w:rsidR="00E36010" w:rsidRDefault="006B49B2" w:rsidP="00E36010">
      <w:pPr>
        <w:spacing w:before="240"/>
        <w:rPr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311E63BB" wp14:editId="32F2366D">
            <wp:simplePos x="0" y="0"/>
            <wp:positionH relativeFrom="page">
              <wp:align>right</wp:align>
            </wp:positionH>
            <wp:positionV relativeFrom="paragraph">
              <wp:posOffset>523875</wp:posOffset>
            </wp:positionV>
            <wp:extent cx="10053320" cy="4924425"/>
            <wp:effectExtent l="0" t="0" r="5080" b="9525"/>
            <wp:wrapTopAndBottom/>
            <wp:docPr id="725175121" name="Picture 10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175121" name="Picture 10" descr="A diagram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332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10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E36010">
        <w:rPr>
          <w:b/>
          <w:bCs/>
          <w:lang w:eastAsia="ja-JP"/>
        </w:rPr>
        <w:t xml:space="preserve">i. </w:t>
      </w:r>
      <w:r w:rsidR="00E36010">
        <w:rPr>
          <w:lang w:eastAsia="ja-JP"/>
        </w:rPr>
        <w:t xml:space="preserve">Model diagram for </w:t>
      </w:r>
      <w:r>
        <w:rPr>
          <w:lang w:eastAsia="ja-JP"/>
        </w:rPr>
        <w:t>a continuous quality improvement (CQI) scheme</w:t>
      </w:r>
      <w:r w:rsidR="00E36010">
        <w:rPr>
          <w:lang w:eastAsia="ja-JP"/>
        </w:rPr>
        <w:t xml:space="preserve">. </w:t>
      </w:r>
      <w:r>
        <w:rPr>
          <w:lang w:eastAsia="ja-JP"/>
        </w:rPr>
        <w:t>Changes to model structure following policy implementation are shown in pink</w:t>
      </w:r>
      <w:r w:rsidR="00E36010">
        <w:rPr>
          <w:lang w:eastAsia="ja-JP"/>
        </w:rPr>
        <w:t xml:space="preserve">. </w:t>
      </w:r>
    </w:p>
    <w:p w14:paraId="7AD152A1" w14:textId="77777777" w:rsidR="00E36010" w:rsidRPr="00B05CAF" w:rsidRDefault="00E36010" w:rsidP="00E36010">
      <w:pPr>
        <w:spacing w:before="360" w:after="0"/>
        <w:rPr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p w14:paraId="5DB20CA4" w14:textId="3E115FE4" w:rsidR="00E36010" w:rsidRDefault="00C83E20" w:rsidP="00E36010">
      <w:pPr>
        <w:spacing w:before="240"/>
        <w:rPr>
          <w:lang w:eastAsia="ja-JP"/>
        </w:rPr>
      </w:pPr>
      <w:r>
        <w:rPr>
          <w:b/>
          <w:bCs/>
          <w:noProof/>
          <w:sz w:val="20"/>
          <w:szCs w:val="20"/>
          <w:lang w:eastAsia="ja-JP"/>
        </w:rPr>
        <w:lastRenderedPageBreak/>
        <w:drawing>
          <wp:anchor distT="0" distB="0" distL="114300" distR="114300" simplePos="0" relativeHeight="251672576" behindDoc="0" locked="0" layoutInCell="1" allowOverlap="1" wp14:anchorId="14BF88F0" wp14:editId="4BA37521">
            <wp:simplePos x="0" y="0"/>
            <wp:positionH relativeFrom="column">
              <wp:posOffset>-914400</wp:posOffset>
            </wp:positionH>
            <wp:positionV relativeFrom="paragraph">
              <wp:posOffset>699770</wp:posOffset>
            </wp:positionV>
            <wp:extent cx="10048240" cy="5034280"/>
            <wp:effectExtent l="0" t="0" r="0" b="0"/>
            <wp:wrapSquare wrapText="bothSides"/>
            <wp:docPr id="1805398327" name="Picture 2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398327" name="Picture 2" descr="A diagram of a diagram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8240" cy="503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010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E36010">
        <w:rPr>
          <w:b/>
          <w:bCs/>
          <w:lang w:eastAsia="ja-JP"/>
        </w:rPr>
        <w:t xml:space="preserve">j. </w:t>
      </w:r>
      <w:r w:rsidR="00E36010">
        <w:rPr>
          <w:lang w:eastAsia="ja-JP"/>
        </w:rPr>
        <w:t xml:space="preserve">Model diagram for the </w:t>
      </w:r>
      <w:r w:rsidR="006B49B2">
        <w:rPr>
          <w:lang w:eastAsia="ja-JP"/>
        </w:rPr>
        <w:t>global budget</w:t>
      </w:r>
      <w:r w:rsidR="00E36010">
        <w:rPr>
          <w:lang w:eastAsia="ja-JP"/>
        </w:rPr>
        <w:t xml:space="preserve"> policy. Following policy implementation, the light grey lines represent parts of the model structure that are switched off</w:t>
      </w:r>
      <w:r w:rsidR="006B49B2">
        <w:rPr>
          <w:lang w:eastAsia="ja-JP"/>
        </w:rPr>
        <w:t xml:space="preserve">, </w:t>
      </w:r>
      <w:r w:rsidR="0092465F">
        <w:rPr>
          <w:lang w:eastAsia="ja-JP"/>
        </w:rPr>
        <w:t xml:space="preserve">parts of the model </w:t>
      </w:r>
      <w:r w:rsidR="00E36010">
        <w:rPr>
          <w:lang w:eastAsia="ja-JP"/>
        </w:rPr>
        <w:t>that are switched on</w:t>
      </w:r>
      <w:r w:rsidR="0092465F">
        <w:rPr>
          <w:lang w:eastAsia="ja-JP"/>
        </w:rPr>
        <w:t xml:space="preserve"> are shown in pink, and parts in</w:t>
      </w:r>
      <w:r w:rsidR="007B1D0B">
        <w:rPr>
          <w:lang w:eastAsia="ja-JP"/>
        </w:rPr>
        <w:t xml:space="preserve"> orange, blue, or purple</w:t>
      </w:r>
      <w:r w:rsidR="0092465F">
        <w:rPr>
          <w:lang w:eastAsia="ja-JP"/>
        </w:rPr>
        <w:t xml:space="preserve"> are switched on/off dependent on the scenario (details in the grey box)</w:t>
      </w:r>
      <w:r w:rsidR="00E36010">
        <w:rPr>
          <w:lang w:eastAsia="ja-JP"/>
        </w:rPr>
        <w:t xml:space="preserve">. </w:t>
      </w:r>
    </w:p>
    <w:p w14:paraId="129BE5D1" w14:textId="1F6188E7" w:rsidR="00E36010" w:rsidRPr="00B05CAF" w:rsidRDefault="00E36010" w:rsidP="0092465F">
      <w:pPr>
        <w:spacing w:before="240"/>
        <w:rPr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p w14:paraId="51BF7F8A" w14:textId="679C1CA5" w:rsidR="00E36010" w:rsidRDefault="0092465F" w:rsidP="00E36010">
      <w:pPr>
        <w:spacing w:before="240"/>
        <w:rPr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1511BD8" wp14:editId="0DFF0C71">
            <wp:simplePos x="0" y="0"/>
            <wp:positionH relativeFrom="page">
              <wp:align>right</wp:align>
            </wp:positionH>
            <wp:positionV relativeFrom="paragraph">
              <wp:posOffset>523875</wp:posOffset>
            </wp:positionV>
            <wp:extent cx="10058400" cy="5001260"/>
            <wp:effectExtent l="0" t="0" r="0" b="8890"/>
            <wp:wrapTopAndBottom/>
            <wp:docPr id="892848053" name="Picture 12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848053" name="Picture 12" descr="A diagram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500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10">
        <w:rPr>
          <w:b/>
          <w:bCs/>
          <w:lang w:eastAsia="ja-JP"/>
        </w:rPr>
        <w:t>FigS</w:t>
      </w:r>
      <w:r w:rsidR="00AA5B76">
        <w:rPr>
          <w:b/>
          <w:bCs/>
          <w:lang w:eastAsia="ja-JP"/>
        </w:rPr>
        <w:t>3</w:t>
      </w:r>
      <w:r w:rsidR="00E36010">
        <w:rPr>
          <w:b/>
          <w:bCs/>
          <w:lang w:eastAsia="ja-JP"/>
        </w:rPr>
        <w:t xml:space="preserve">k. </w:t>
      </w:r>
      <w:r w:rsidR="00E36010">
        <w:rPr>
          <w:lang w:eastAsia="ja-JP"/>
        </w:rPr>
        <w:t>Model diagram for</w:t>
      </w:r>
      <w:r>
        <w:rPr>
          <w:lang w:eastAsia="ja-JP"/>
        </w:rPr>
        <w:t xml:space="preserve"> bundle payments</w:t>
      </w:r>
      <w:r w:rsidR="00E36010">
        <w:rPr>
          <w:lang w:eastAsia="ja-JP"/>
        </w:rPr>
        <w:t xml:space="preserve">. Following policy implementation, </w:t>
      </w:r>
      <w:r>
        <w:rPr>
          <w:lang w:eastAsia="ja-JP"/>
        </w:rPr>
        <w:t xml:space="preserve">the scalers associated with the parts of the </w:t>
      </w:r>
      <w:r w:rsidR="002C33FB">
        <w:rPr>
          <w:lang w:eastAsia="ja-JP"/>
        </w:rPr>
        <w:t>model</w:t>
      </w:r>
      <w:r>
        <w:rPr>
          <w:lang w:eastAsia="ja-JP"/>
        </w:rPr>
        <w:t xml:space="preserve"> highlighted in pink are modified</w:t>
      </w:r>
      <w:r w:rsidR="00E36010">
        <w:rPr>
          <w:lang w:eastAsia="ja-JP"/>
        </w:rPr>
        <w:t xml:space="preserve">. </w:t>
      </w:r>
    </w:p>
    <w:p w14:paraId="3A8CBBE8" w14:textId="557DBD64" w:rsidR="00E36010" w:rsidRPr="00B05CAF" w:rsidRDefault="00E36010" w:rsidP="0092465F">
      <w:pPr>
        <w:spacing w:before="360" w:after="0"/>
        <w:rPr>
          <w:lang w:eastAsia="ja-JP"/>
        </w:rPr>
      </w:pPr>
      <w:r>
        <w:rPr>
          <w:b/>
          <w:bCs/>
          <w:sz w:val="20"/>
          <w:szCs w:val="20"/>
          <w:lang w:eastAsia="ja-JP"/>
        </w:rPr>
        <w:t xml:space="preserve">CCC </w:t>
      </w:r>
      <w:r>
        <w:rPr>
          <w:sz w:val="20"/>
          <w:szCs w:val="20"/>
          <w:lang w:eastAsia="ja-JP"/>
        </w:rPr>
        <w:t xml:space="preserve">– comprehensive conservative care; </w:t>
      </w:r>
      <w:r w:rsidRPr="00FF0F71">
        <w:rPr>
          <w:b/>
          <w:bCs/>
          <w:sz w:val="20"/>
          <w:szCs w:val="20"/>
          <w:lang w:eastAsia="ja-JP"/>
        </w:rPr>
        <w:t xml:space="preserve">HD </w:t>
      </w:r>
      <w:r w:rsidRPr="00FF0F71">
        <w:rPr>
          <w:sz w:val="20"/>
          <w:szCs w:val="20"/>
          <w:lang w:eastAsia="ja-JP"/>
        </w:rPr>
        <w:t>– haemodialysis;</w:t>
      </w:r>
      <w:r w:rsidRPr="00FF0F71">
        <w:rPr>
          <w:b/>
          <w:bCs/>
          <w:sz w:val="20"/>
          <w:szCs w:val="20"/>
          <w:lang w:eastAsia="ja-JP"/>
        </w:rPr>
        <w:t xml:space="preserve"> PD </w:t>
      </w:r>
      <w:r w:rsidRPr="00FF0F71">
        <w:rPr>
          <w:sz w:val="20"/>
          <w:szCs w:val="20"/>
          <w:lang w:eastAsia="ja-JP"/>
        </w:rPr>
        <w:t xml:space="preserve">– peritoneal dialysis; </w:t>
      </w:r>
      <w:r>
        <w:rPr>
          <w:b/>
          <w:bCs/>
          <w:sz w:val="20"/>
          <w:szCs w:val="20"/>
          <w:lang w:eastAsia="ja-JP"/>
        </w:rPr>
        <w:t>NHSO</w:t>
      </w:r>
      <w:r w:rsidRPr="00FF0F71">
        <w:rPr>
          <w:sz w:val="20"/>
          <w:szCs w:val="20"/>
          <w:lang w:eastAsia="ja-JP"/>
        </w:rPr>
        <w:t xml:space="preserve"> –</w:t>
      </w:r>
      <w:r>
        <w:rPr>
          <w:sz w:val="20"/>
          <w:szCs w:val="20"/>
          <w:lang w:eastAsia="ja-JP"/>
        </w:rPr>
        <w:t xml:space="preserve"> </w:t>
      </w:r>
      <w:r w:rsidRPr="00FF0F71">
        <w:rPr>
          <w:sz w:val="20"/>
          <w:szCs w:val="20"/>
          <w:lang w:eastAsia="ja-JP"/>
        </w:rPr>
        <w:t>National Health Security Office (NHSO) Board</w:t>
      </w:r>
    </w:p>
    <w:sectPr w:rsidR="00E36010" w:rsidRPr="00B05CAF" w:rsidSect="00735EC4">
      <w:footerReference w:type="default" r:id="rId1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69805" w14:textId="77777777" w:rsidR="00EB75EB" w:rsidRDefault="00EB75EB" w:rsidP="00E36010">
      <w:pPr>
        <w:spacing w:after="0" w:line="240" w:lineRule="auto"/>
      </w:pPr>
      <w:r>
        <w:separator/>
      </w:r>
    </w:p>
  </w:endnote>
  <w:endnote w:type="continuationSeparator" w:id="0">
    <w:p w14:paraId="72FD5C87" w14:textId="77777777" w:rsidR="00EB75EB" w:rsidRDefault="00EB75EB" w:rsidP="00E36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8100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84FCDA" w14:textId="42E20F33" w:rsidR="00E36010" w:rsidRDefault="00E36010" w:rsidP="00E360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3EE37" w14:textId="77777777" w:rsidR="00EB75EB" w:rsidRDefault="00EB75EB" w:rsidP="00E36010">
      <w:pPr>
        <w:spacing w:after="0" w:line="240" w:lineRule="auto"/>
      </w:pPr>
      <w:r>
        <w:separator/>
      </w:r>
    </w:p>
  </w:footnote>
  <w:footnote w:type="continuationSeparator" w:id="0">
    <w:p w14:paraId="7D65C78B" w14:textId="77777777" w:rsidR="00EB75EB" w:rsidRDefault="00EB75EB" w:rsidP="00E360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695"/>
    <w:rsid w:val="0000484C"/>
    <w:rsid w:val="00020B35"/>
    <w:rsid w:val="00034840"/>
    <w:rsid w:val="00052E09"/>
    <w:rsid w:val="000656D3"/>
    <w:rsid w:val="00073F2C"/>
    <w:rsid w:val="00085B2A"/>
    <w:rsid w:val="000F4086"/>
    <w:rsid w:val="001162D6"/>
    <w:rsid w:val="00134FF8"/>
    <w:rsid w:val="00150251"/>
    <w:rsid w:val="00162716"/>
    <w:rsid w:val="00165867"/>
    <w:rsid w:val="00187F50"/>
    <w:rsid w:val="00190615"/>
    <w:rsid w:val="001943DF"/>
    <w:rsid w:val="0019758A"/>
    <w:rsid w:val="001B02DD"/>
    <w:rsid w:val="001B1217"/>
    <w:rsid w:val="001B7F7C"/>
    <w:rsid w:val="001C0F1C"/>
    <w:rsid w:val="001C58D5"/>
    <w:rsid w:val="001E172E"/>
    <w:rsid w:val="002003B6"/>
    <w:rsid w:val="002172A5"/>
    <w:rsid w:val="002220D6"/>
    <w:rsid w:val="00223877"/>
    <w:rsid w:val="00226824"/>
    <w:rsid w:val="00261D1B"/>
    <w:rsid w:val="00264695"/>
    <w:rsid w:val="00267B1C"/>
    <w:rsid w:val="00296D4A"/>
    <w:rsid w:val="002977D3"/>
    <w:rsid w:val="002B1D93"/>
    <w:rsid w:val="002B2E78"/>
    <w:rsid w:val="002B4AC9"/>
    <w:rsid w:val="002C3385"/>
    <w:rsid w:val="002C33FB"/>
    <w:rsid w:val="002D4DF3"/>
    <w:rsid w:val="003067E0"/>
    <w:rsid w:val="00311C73"/>
    <w:rsid w:val="00336801"/>
    <w:rsid w:val="00337087"/>
    <w:rsid w:val="003446CC"/>
    <w:rsid w:val="003540DE"/>
    <w:rsid w:val="00360D17"/>
    <w:rsid w:val="00376407"/>
    <w:rsid w:val="00380254"/>
    <w:rsid w:val="003A088B"/>
    <w:rsid w:val="003B1E56"/>
    <w:rsid w:val="003D592B"/>
    <w:rsid w:val="003E049F"/>
    <w:rsid w:val="003F6359"/>
    <w:rsid w:val="00411773"/>
    <w:rsid w:val="00417608"/>
    <w:rsid w:val="00422912"/>
    <w:rsid w:val="00431BA1"/>
    <w:rsid w:val="004673C2"/>
    <w:rsid w:val="004D430F"/>
    <w:rsid w:val="004D4A8C"/>
    <w:rsid w:val="004E1303"/>
    <w:rsid w:val="004F4525"/>
    <w:rsid w:val="004F7A52"/>
    <w:rsid w:val="00503512"/>
    <w:rsid w:val="00527A89"/>
    <w:rsid w:val="005352C4"/>
    <w:rsid w:val="005429DE"/>
    <w:rsid w:val="00575A79"/>
    <w:rsid w:val="005A3841"/>
    <w:rsid w:val="005B7BE5"/>
    <w:rsid w:val="005E4FBC"/>
    <w:rsid w:val="00601DA4"/>
    <w:rsid w:val="006508F5"/>
    <w:rsid w:val="00666457"/>
    <w:rsid w:val="0067124F"/>
    <w:rsid w:val="00676D74"/>
    <w:rsid w:val="00683092"/>
    <w:rsid w:val="00693A82"/>
    <w:rsid w:val="006B49B2"/>
    <w:rsid w:val="006B541D"/>
    <w:rsid w:val="006B7FB2"/>
    <w:rsid w:val="006C15B7"/>
    <w:rsid w:val="006C2202"/>
    <w:rsid w:val="006D7763"/>
    <w:rsid w:val="006D7836"/>
    <w:rsid w:val="007026AD"/>
    <w:rsid w:val="007240DC"/>
    <w:rsid w:val="00735267"/>
    <w:rsid w:val="00735EC4"/>
    <w:rsid w:val="00737C36"/>
    <w:rsid w:val="00741AF6"/>
    <w:rsid w:val="0074596D"/>
    <w:rsid w:val="007635E3"/>
    <w:rsid w:val="007660D8"/>
    <w:rsid w:val="00770685"/>
    <w:rsid w:val="00793357"/>
    <w:rsid w:val="007B1D0B"/>
    <w:rsid w:val="007B3DE5"/>
    <w:rsid w:val="007F04C1"/>
    <w:rsid w:val="00834626"/>
    <w:rsid w:val="0084120A"/>
    <w:rsid w:val="00864A38"/>
    <w:rsid w:val="008736DB"/>
    <w:rsid w:val="0087595D"/>
    <w:rsid w:val="00892526"/>
    <w:rsid w:val="008D22A9"/>
    <w:rsid w:val="008D27D7"/>
    <w:rsid w:val="008E039C"/>
    <w:rsid w:val="008F5DF9"/>
    <w:rsid w:val="00905A82"/>
    <w:rsid w:val="0092465F"/>
    <w:rsid w:val="00943523"/>
    <w:rsid w:val="0096677C"/>
    <w:rsid w:val="00972A96"/>
    <w:rsid w:val="00976D4D"/>
    <w:rsid w:val="00996741"/>
    <w:rsid w:val="009B5D5C"/>
    <w:rsid w:val="009C330F"/>
    <w:rsid w:val="009E1503"/>
    <w:rsid w:val="009F52F7"/>
    <w:rsid w:val="00A00ECF"/>
    <w:rsid w:val="00A1186C"/>
    <w:rsid w:val="00A26D5C"/>
    <w:rsid w:val="00A35BE2"/>
    <w:rsid w:val="00A774AC"/>
    <w:rsid w:val="00A93BA2"/>
    <w:rsid w:val="00AA5B76"/>
    <w:rsid w:val="00AB5368"/>
    <w:rsid w:val="00AE5571"/>
    <w:rsid w:val="00AE7326"/>
    <w:rsid w:val="00B0143D"/>
    <w:rsid w:val="00B03DC4"/>
    <w:rsid w:val="00B05C6A"/>
    <w:rsid w:val="00B05CAF"/>
    <w:rsid w:val="00B13BAC"/>
    <w:rsid w:val="00B24AD6"/>
    <w:rsid w:val="00B26EE9"/>
    <w:rsid w:val="00B619CA"/>
    <w:rsid w:val="00B830B4"/>
    <w:rsid w:val="00B9423A"/>
    <w:rsid w:val="00BB23CE"/>
    <w:rsid w:val="00BD7D6C"/>
    <w:rsid w:val="00BF3380"/>
    <w:rsid w:val="00BF3422"/>
    <w:rsid w:val="00C308BF"/>
    <w:rsid w:val="00C360C7"/>
    <w:rsid w:val="00C458E2"/>
    <w:rsid w:val="00C56589"/>
    <w:rsid w:val="00C73F93"/>
    <w:rsid w:val="00C83AD2"/>
    <w:rsid w:val="00C83E20"/>
    <w:rsid w:val="00C8562E"/>
    <w:rsid w:val="00C856DE"/>
    <w:rsid w:val="00CA6B95"/>
    <w:rsid w:val="00CD3320"/>
    <w:rsid w:val="00CE507F"/>
    <w:rsid w:val="00CE6BE3"/>
    <w:rsid w:val="00D13BBB"/>
    <w:rsid w:val="00D15CE6"/>
    <w:rsid w:val="00D60E4D"/>
    <w:rsid w:val="00D67C99"/>
    <w:rsid w:val="00D71D68"/>
    <w:rsid w:val="00D74855"/>
    <w:rsid w:val="00D80A0E"/>
    <w:rsid w:val="00DA26CE"/>
    <w:rsid w:val="00DA5421"/>
    <w:rsid w:val="00DD17DE"/>
    <w:rsid w:val="00DD6022"/>
    <w:rsid w:val="00DE0057"/>
    <w:rsid w:val="00E13B1F"/>
    <w:rsid w:val="00E36010"/>
    <w:rsid w:val="00E426FB"/>
    <w:rsid w:val="00E51AA7"/>
    <w:rsid w:val="00E660EF"/>
    <w:rsid w:val="00E72E91"/>
    <w:rsid w:val="00E972D5"/>
    <w:rsid w:val="00EB75EB"/>
    <w:rsid w:val="00EB7AD2"/>
    <w:rsid w:val="00ED1F8A"/>
    <w:rsid w:val="00ED7CDD"/>
    <w:rsid w:val="00EE04AB"/>
    <w:rsid w:val="00EE6717"/>
    <w:rsid w:val="00F040DE"/>
    <w:rsid w:val="00F04935"/>
    <w:rsid w:val="00F10EAD"/>
    <w:rsid w:val="00F201F3"/>
    <w:rsid w:val="00F40ED1"/>
    <w:rsid w:val="00F45ED6"/>
    <w:rsid w:val="00F52FD4"/>
    <w:rsid w:val="00F62AB6"/>
    <w:rsid w:val="00F64FD1"/>
    <w:rsid w:val="00F83B4F"/>
    <w:rsid w:val="00F90239"/>
    <w:rsid w:val="00FA1582"/>
    <w:rsid w:val="00FA3C74"/>
    <w:rsid w:val="00FA418D"/>
    <w:rsid w:val="00FB286B"/>
    <w:rsid w:val="00FB605E"/>
    <w:rsid w:val="00FC2290"/>
    <w:rsid w:val="00FF0BF6"/>
    <w:rsid w:val="00FF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A9D12"/>
  <w15:chartTrackingRefBased/>
  <w15:docId w15:val="{30A2CB10-0DF0-4A5F-884A-A3A680C5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695"/>
    <w:pPr>
      <w:spacing w:after="80" w:line="240" w:lineRule="auto"/>
      <w:contextualSpacing/>
      <w:outlineLvl w:val="0"/>
    </w:pPr>
    <w:rPr>
      <w:rFonts w:ascii="Aptos Display" w:eastAsia="Times New Roman" w:hAnsi="Aptos Display" w:cs="Times New Roman"/>
      <w:sz w:val="40"/>
      <w:szCs w:val="40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695"/>
    <w:rPr>
      <w:rFonts w:ascii="Aptos Display" w:eastAsia="Times New Roman" w:hAnsi="Aptos Display" w:cs="Times New Roman"/>
      <w:sz w:val="40"/>
      <w:szCs w:val="40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6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6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6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6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6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6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5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35B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DA26CE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E36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010"/>
  </w:style>
  <w:style w:type="paragraph" w:styleId="Footer">
    <w:name w:val="footer"/>
    <w:basedOn w:val="Normal"/>
    <w:link w:val="FooterChar"/>
    <w:uiPriority w:val="99"/>
    <w:unhideWhenUsed/>
    <w:rsid w:val="00E36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0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137104A-7E1E-4D07-B4B5-3761CA8F4643}">
  <we:reference id="f78a3046-9e99-4300-aa2b-5814002b01a2" version="1.55.1.0" store="EXCatalog" storeType="EXCatalog"/>
  <we:alternateReferences>
    <we:reference id="WA104382081" version="1.55.1.0" store="th-TH" storeType="OMEX"/>
  </we:alternateReferences>
  <we:properties>
    <we:property name="MENDELEY_CITATIONS" value="[{&quot;citationID&quot;:&quot;MENDELEY_CITATION_de45b875-be8d-41cd-a9dc-5f7c49da7760&quot;,&quot;properties&quot;:{&quot;noteIndex&quot;:0},&quot;isEdited&quot;:false,&quot;manualOverride&quot;:{&quot;isManuallyOverridden&quot;:false,&quot;citeprocText&quot;:&quot;[1]&quot;,&quot;manualOverrideText&quot;:&quot;&quot;},&quot;citationTag&quot;:&quot;MENDELEY_CITATION_v3_eyJjaXRhdGlvbklEIjoiTUVOREVMRVlfQ0lUQVRJT05fZGU0NWI4NzUtYmU4ZC00MWNkLWE5ZGMtNWY3YzQ5ZGE3NzYwIiwicHJvcGVydGllcyI6eyJub3RlSW5kZXgiOjB9LCJpc0VkaXRlZCI6ZmFsc2UsIm1hbnVhbE92ZXJyaWRlIjp7ImlzTWFudWFsbHlPdmVycmlkZGVuIjpmYWxzZSwiY2l0ZXByb2NUZXh0IjoiWzFdIiwibWFudWFsT3ZlcnJpZGVUZXh0IjoiIn0sImNpdGF0aW9uSXRlbXMiOlt7ImlkIjoiNmY4Y2EzMWQtMzBmNi0zMGVjLTgwMzktNmI5NjA4NjA4MWFlIiwiaXRlbURhdGEiOnsidHlwZSI6ImFydGljbGUtam91cm5hbCIsImlkIjoiNmY4Y2EzMWQtMzBmNi0zMGVjLTgwMzktNmI5NjA4NjA4MWFlIiwidGl0bGUiOiJVbmRlcnN0YW5kaW5nIEhlYWx0aGNhcmUgRGVtYW5kIGFuZCBTdXBwbHkgdGhyb3VnaCBDYXVzYWwgTG9vcCBEaWFncmFtcyBhbmQgU3lzdGVtIEFyY2hldHlwZXM6IFBvbGljeSBJbXBsaWNhdGlvbnMgZm9yIEtpZG5leSBSZXBsYWNlbWVudCBUaGVyYXB5IGluIFRoYWlsYW5kIiwiYXV0aG9yIjpbeyJmYW1pbHkiOiJCb3R3cmlnaHQiLCJnaXZlbiI6IlNpb2JoYW4iLCJwYXJzZS1uYW1lcyI6ZmFsc2UsImRyb3BwaW5nLXBhcnRpY2xlIjoiIiwibm9uLWRyb3BwaW5nLXBhcnRpY2xlIjoiIn0seyJmYW1pbHkiOiJUZWVyYXdhdHRhbmFub24iLCJnaXZlbiI6IllvdCIsInBhcnNlLW5hbWVzIjpmYWxzZSwiZHJvcHBpbmctcGFydGljbGUiOiIiLCJub24tZHJvcHBpbmctcGFydGljbGUiOiIifSx7ImZhbWlseSI6IllvbmdwaGlwaGF0d29uZyIsImdpdmVuIjoiTmF0Y2hhIiwicGFyc2UtbmFtZXMiOmZhbHNlLCJkcm9wcGluZy1wYXJ0aWNsZSI6IiIsIm5vbi1kcm9wcGluZy1wYXJ0aWNsZSI6IiJ9LHsiZmFtaWx5IjoiUGhhbm5haml0IiwiZ2l2ZW4iOiJKZWVyYXRoIiwicGFyc2UtbmFtZXMiOmZhbHNlLCJkcm9wcGluZy1wYXJ0aWNsZSI6IiIsIm5vbi1kcm9wcGluZy1wYXJ0aWNsZSI6IiJ9LHsiZmFtaWx5IjoiQ2hhdmFyaW5hIiwiZ2l2ZW4iOiJLaW5hbnRpIEtoYW5zYSIsInBhcnNlLW5hbWVzIjpmYWxzZSwiZHJvcHBpbmctcGFydGljbGUiOiIiLCJub24tZHJvcHBpbmctcGFydGljbGUiOiIifSx7ImZhbWlseSI6IlN1dGF3b25nIiwiZ2l2ZW4iOiJKaXJhdG9ybiIsInBhcnNlLW5hbWVzIjpmYWxzZSwiZHJvcHBpbmctcGFydGljbGUiOiIiLCJub24tZHJvcHBpbmctcGFydGljbGUiOiIifSx7ImZhbWlseSI6Ik5ndXllbiIsImdpdmVuIjoiTGUgS2hhbmggTmdhbiIsInBhcnNlLW5hbWVzIjpmYWxzZSwiZHJvcHBpbmctcGFydGljbGUiOiIiLCJub24tZHJvcHBpbmctcGFydGljbGUiOiIifV0sImlzc3VlZCI6eyJkYXRlLXBhcnRzIjpbWzIwMjVdXX19LCJpc1RlbXBvcmFyeSI6ZmFsc2V9XX0=&quot;,&quot;citationItems&quot;:[{&quot;id&quot;:&quot;6f8ca31d-30f6-30ec-8039-6b96086081ae&quot;,&quot;itemData&quot;:{&quot;type&quot;:&quot;article-journal&quot;,&quot;id&quot;:&quot;6f8ca31d-30f6-30ec-8039-6b96086081ae&quot;,&quot;title&quot;:&quot;Understanding Healthcare Demand and Supply through Causal Loop Diagrams and System Archetypes: Policy Implications for Kidney Replacement Therapy in Thailand&quot;,&quot;author&quot;:[{&quot;family&quot;:&quot;Botwright&quot;,&quot;given&quot;:&quot;Siobhan&quot;,&quot;parse-names&quot;:false,&quot;dropping-particle&quot;:&quot;&quot;,&quot;non-dropping-particle&quot;:&quot;&quot;},{&quot;family&quot;:&quot;Teerawattananon&quot;,&quot;given&quot;:&quot;Yot&quot;,&quot;parse-names&quot;:false,&quot;dropping-particle&quot;:&quot;&quot;,&quot;non-dropping-particle&quot;:&quot;&quot;},{&quot;family&quot;:&quot;Yongphiphatwong&quot;,&quot;given&quot;:&quot;Natcha&quot;,&quot;parse-names&quot;:false,&quot;dropping-particle&quot;:&quot;&quot;,&quot;non-dropping-particle&quot;:&quot;&quot;},{&quot;family&quot;:&quot;Phannajit&quot;,&quot;given&quot;:&quot;Jeerath&quot;,&quot;parse-names&quot;:false,&quot;dropping-particle&quot;:&quot;&quot;,&quot;non-dropping-particle&quot;:&quot;&quot;},{&quot;family&quot;:&quot;Chavarina&quot;,&quot;given&quot;:&quot;Kinanti Khansa&quot;,&quot;parse-names&quot;:false,&quot;dropping-particle&quot;:&quot;&quot;,&quot;non-dropping-particle&quot;:&quot;&quot;},{&quot;family&quot;:&quot;Sutawong&quot;,&quot;given&quot;:&quot;Jiratorn&quot;,&quot;parse-names&quot;:false,&quot;dropping-particle&quot;:&quot;&quot;,&quot;non-dropping-particle&quot;:&quot;&quot;},{&quot;family&quot;:&quot;Nguyen&quot;,&quot;given&quot;:&quot;Le Khanh Ngan&quot;,&quot;parse-names&quot;:false,&quot;dropping-particle&quot;:&quot;&quot;,&quot;non-dropping-particle&quot;:&quot;&quot;}],&quot;issued&quot;:{&quot;date-parts&quot;:[[2025]]}},&quot;isTemporary&quot;:false}]},{&quot;citationID&quot;:&quot;MENDELEY_CITATION_1ae8d373-b5ba-4bf5-8e0c-9be7e0eb61ad&quot;,&quot;properties&quot;:{&quot;noteIndex&quot;:0},&quot;isEdited&quot;:false,&quot;manualOverride&quot;:{&quot;isManuallyOverridden&quot;:false,&quot;citeprocText&quot;:&quot;[2, 3]&quot;,&quot;manualOverrideText&quot;:&quot;&quot;},&quot;citationTag&quot;:&quot;MENDELEY_CITATION_v3_eyJjaXRhdGlvbklEIjoiTUVOREVMRVlfQ0lUQVRJT05fMWFlOGQzNzMtYjViYS00YmY1LThlMGMtOWJlN2UwZWI2MWFkIiwicHJvcGVydGllcyI6eyJub3RlSW5kZXgiOjB9LCJpc0VkaXRlZCI6ZmFsc2UsIm1hbnVhbE92ZXJyaWRlIjp7ImlzTWFudWFsbHlPdmVycmlkZGVuIjpmYWxzZSwiY2l0ZXByb2NUZXh0IjoiWzIsIDNdIiwibWFudWFsT3ZlcnJpZGVUZXh0IjoiIn0sImNpdGF0aW9uSXRlbXMiOlt7ImlkIjoiMzFiNDFhYWYtMDkzYi0zYjVjLWEwMjQtN2NkMmZjMjg5ZWZiIiwiaXRlbURhdGEiOnsidHlwZSI6ImFydGljbGUtam91cm5hbCIsImlkIjoiMzFiNDFhYWYtMDkzYi0zYjVjLWEwMjQtN2NkMmZjMjg5ZWZiIiwidGl0bGUiOiJUaGUgV2F5IEhvbWU6IEEgU2NvcGluZyBSZXZpZXcgb2YgUHVibGljIEhlYWx0aCBTdHJhdGVnaWVzIHRvIEluY3JlYXNlIHRoZSBVdGlsaXphdGlvbiBvZiBIb21lIERpYWx5c2lzIGluIENocm9uaWMgS2lkbmV5IERpc2Vhc2UgUGF0aWVudHMiLCJhdXRob3IiOlt7ImZhbWlseSI6IllvbmdwaGlwaGF0d29uZyIsImdpdmVuIjoiTmF0Y2hhIiwicGFyc2UtbmFtZXMiOmZhbHNlLCJkcm9wcGluZy1wYXJ0aWNsZSI6IiIsIm5vbi1kcm9wcGluZy1wYXJ0aWNsZSI6IiJ9XSwiY29udGFpbmVyLXRpdGxlIjoiQ29tbXVuaWNhdGlvbnMgTWVkaWNpbmUiLCJpc3N1ZWQiOnsiZGF0ZS1wYXJ0cyI6W1syMDI1XV19LCJjb250YWluZXItdGl0bGUtc2hvcnQiOiIifSwiaXNUZW1wb3JhcnkiOmZhbHNlfSx7ImlkIjoiOWVlYWE0NTUtM2NiMC0zNjE4LTllYjItMTEyNjZiMjRiMjczIiwiaXRlbURhdGEiOnsidHlwZSI6ImFydGljbGUtam91cm5hbCIsImlkIjoiOWVlYWE0NTUtM2NiMC0zNjE4LTllYjItMTEyNjZiMjRiMjczIiwidGl0bGUiOiJQb2xpY3kgU3RyYXRlZ2llcyB0byBFbmhhbmNlIFVwdGFrZSBvZiBDb21wcmVoZW5zaXZlIENvbnNlcnZhdGl2ZSBDYXJlIGluIEFkdmFuY2VkIENocm9uaWMgS2lkbmV5IERpc2Vhc2U6IEEgU3lzdGVtYXRpYyBSZXZpZXcgYW5kIG1ldGEtYW5hbHlzaXMiLCJhdXRob3IiOlt7ImZhbWlseSI6IkNoYXdsYSIsImdpdmVuIjoiTmF0YXNoYSIsInBhcnNlLW5hbWVzIjpmYWxzZSwiZHJvcHBpbmctcGFydGljbGUiOiIiLCJub24tZHJvcHBpbmctcGFydGljbGUiOiIifSx7ImZhbWlseSI6IlRlZXJhd2F0dGFuYW5vbiIsImdpdmVuIjoiWW90IiwicGFyc2UtbmFtZXMiOmZhbHNlLCJkcm9wcGluZy1wYXJ0aWNsZSI6IiIsIm5vbi1kcm9wcGluZy1wYXJ0aWNsZSI6IiJ9LHsiZmFtaWx5IjoiWW9uZ3BoaXBoYXR3b25nIiwiZ2l2ZW4iOiJOYXRjaGEiLCJwYXJzZS1uYW1lcyI6ZmFsc2UsImRyb3BwaW5nLXBhcnRpY2xlIjoiIiwibm9uLWRyb3BwaW5nLXBhcnRpY2xlIjoiIn1dLCJjb250YWluZXItdGl0bGUiOiJOYXR1cmUgQ29tbXVuaWNhdGlvbnMiLCJjb250YWluZXItdGl0bGUtc2hvcnQiOiJOYXQgQ29tbXVuIiwiaXNzdWVkIjp7ImRhdGUtcGFydHMiOltbMjAyNV1dfX0sImlzVGVtcG9yYXJ5IjpmYWxzZX1dfQ==&quot;,&quot;citationItems&quot;:[{&quot;id&quot;:&quot;31b41aaf-093b-3b5c-a024-7cd2fc289efb&quot;,&quot;itemData&quot;:{&quot;type&quot;:&quot;article-journal&quot;,&quot;id&quot;:&quot;31b41aaf-093b-3b5c-a024-7cd2fc289efb&quot;,&quot;title&quot;:&quot;The Way Home: A Scoping Review of Public Health Strategies to Increase the Utilization of Home Dialysis in Chronic Kidney Disease Patients&quot;,&quot;author&quot;:[{&quot;family&quot;:&quot;Yongphiphatwong&quot;,&quot;given&quot;:&quot;Natcha&quot;,&quot;parse-names&quot;:false,&quot;dropping-particle&quot;:&quot;&quot;,&quot;non-dropping-particle&quot;:&quot;&quot;}],&quot;container-title&quot;:&quot;Communications Medicine&quot;,&quot;issued&quot;:{&quot;date-parts&quot;:[[2025]]},&quot;container-title-short&quot;:&quot;&quot;},&quot;isTemporary&quot;:false},{&quot;id&quot;:&quot;9eeaa455-3cb0-3618-9eb2-11266b24b273&quot;,&quot;itemData&quot;:{&quot;type&quot;:&quot;article-journal&quot;,&quot;id&quot;:&quot;9eeaa455-3cb0-3618-9eb2-11266b24b273&quot;,&quot;title&quot;:&quot;Policy Strategies to Enhance Uptake of Comprehensive Conservative Care in Advanced Chronic Kidney Disease: A Systematic Review and meta-analysis&quot;,&quot;author&quot;:[{&quot;family&quot;:&quot;Chawla&quot;,&quot;given&quot;:&quot;Natasha&quot;,&quot;parse-names&quot;:false,&quot;dropping-particle&quot;:&quot;&quot;,&quot;non-dropping-particle&quot;:&quot;&quot;},{&quot;family&quot;:&quot;Teerawattananon&quot;,&quot;given&quot;:&quot;Yot&quot;,&quot;parse-names&quot;:false,&quot;dropping-particle&quot;:&quot;&quot;,&quot;non-dropping-particle&quot;:&quot;&quot;},{&quot;family&quot;:&quot;Yongphiphatwong&quot;,&quot;given&quot;:&quot;Natcha&quot;,&quot;parse-names&quot;:false,&quot;dropping-particle&quot;:&quot;&quot;,&quot;non-dropping-particle&quot;:&quot;&quot;}],&quot;container-title&quot;:&quot;Nature Communications&quot;,&quot;container-title-short&quot;:&quot;Nat Commun&quot;,&quot;issued&quot;:{&quot;date-parts&quot;:[[2025]]}},&quot;isTemporary&quot;:false}]},{&quot;citationID&quot;:&quot;MENDELEY_CITATION_7e7bde6d-5d25-40b3-9a8a-b89e4a51fbcf&quot;,&quot;properties&quot;:{&quot;noteIndex&quot;:0},&quot;isEdited&quot;:false,&quot;manualOverride&quot;:{&quot;isManuallyOverridden&quot;:false,&quot;citeprocText&quot;:&quot;[4]&quot;,&quot;manualOverrideText&quot;:&quot;&quot;},&quot;citationTag&quot;:&quot;MENDELEY_CITATION_v3_eyJjaXRhdGlvbklEIjoiTUVOREVMRVlfQ0lUQVRJT05fN2U3YmRlNmQtNWQyNS00MGIzLTlhOGEtYjg5ZTRhNTFmYmNmIiwicHJvcGVydGllcyI6eyJub3RlSW5kZXgiOjB9LCJpc0VkaXRlZCI6ZmFsc2UsIm1hbnVhbE92ZXJyaWRlIjp7ImlzTWFudWFsbHlPdmVycmlkZGVuIjpmYWxzZSwiY2l0ZXByb2NUZXh0IjoiWzRdIiwibWFudWFsT3ZlcnJpZGVUZXh0IjoiIn0sImNpdGF0aW9uSXRlbXMiOlt7ImlkIjoiZTM1NWFiZTgtZTVjYy0zNmY4LTgxNDAtNmIzYmFhMjgzZjQ3IiwiaXRlbURhdGEiOnsidHlwZSI6ImFydGljbGUtam91cm5hbCIsImlkIjoiZTM1NWFiZTgtZTVjYy0zNmY4LTgxNDAtNmIzYmFhMjgzZjQ3IiwidGl0bGUiOiJOYXR1cmUgTWVkaWNpbmUgQ29tbWlzc2lvbiBvbiBEaWFseXNpcyBQb2xpY3kgaW4gTG93LSBhbmQgTWlkZGxlLUluY29tZSBDb3VudHJpZXMuIEZyb20gUG9saWN5IHRvIFBpdm90YWwgSW1wYWN0OiBUaGFpbGFuZOKAmXMgRGlhbHlzaXMgUmVmb3JtIEpvdXJuZXkgYW5kIEl0cyBVbmV4cGVjdGVkIENvbnNlcXVlbmNlcyIsImF1dGhvciI6W3siZmFtaWx5IjoiVGVlcmF3YXR0YW5hbm9uIiwiZ2l2ZW4iOiJZb3QiLCJwYXJzZS1uYW1lcyI6ZmFsc2UsImRyb3BwaW5nLXBhcnRpY2xlIjoiIiwibm9uLWRyb3BwaW5nLXBhcnRpY2xlIjoiIn0seyJmYW1pbHkiOiJDaGF2YXJpbmEiLCJnaXZlbiI6IktpbmFudGkgS2hhbnNhIiwicGFyc2UtbmFtZXMiOmZhbHNlLCJkcm9wcGluZy1wYXJ0aWNsZSI6IiIsIm5vbi1kcm9wcGluZy1wYXJ0aWNsZSI6IiJ9LHsiZmFtaWx5IjoiUGhhbm5haml0IiwiZ2l2ZW4iOiJKZWVyYXRoIiwicGFyc2UtbmFtZXMiOmZhbHNlLCJkcm9wcGluZy1wYXJ0aWNsZSI6IiIsIm5vbi1kcm9wcGluZy1wYXJ0aWNsZSI6IiJ9XSwiY29udGFpbmVyLXRpdGxlIjoiTmF0dXJlIE1lZGljaW5lIiwiY29udGFpbmVyLXRpdGxlLXNob3J0IjoiTmF0IE1lZCIsImlzc3VlZCI6eyJkYXRlLXBhcnRzIjpbWzIwMjVdXX19LCJpc1RlbXBvcmFyeSI6ZmFsc2V9XX0=&quot;,&quot;citationItems&quot;:[{&quot;id&quot;:&quot;e355abe8-e5cc-36f8-8140-6b3baa283f47&quot;,&quot;itemData&quot;:{&quot;type&quot;:&quot;article-journal&quot;,&quot;id&quot;:&quot;e355abe8-e5cc-36f8-8140-6b3baa283f47&quot;,&quot;title&quot;:&quot;Nature Medicine Commission on Dialysis Policy in Low- and Middle-Income Countries. From Policy to Pivotal Impact: Thailand’s Dialysis Reform Journey and Its Unexpected Consequences&quot;,&quot;author&quot;:[{&quot;family&quot;:&quot;Teerawattananon&quot;,&quot;given&quot;:&quot;Yot&quot;,&quot;parse-names&quot;:false,&quot;dropping-particle&quot;:&quot;&quot;,&quot;non-dropping-particle&quot;:&quot;&quot;},{&quot;family&quot;:&quot;Chavarina&quot;,&quot;given&quot;:&quot;Kinanti Khansa&quot;,&quot;parse-names&quot;:false,&quot;dropping-particle&quot;:&quot;&quot;,&quot;non-dropping-particle&quot;:&quot;&quot;},{&quot;family&quot;:&quot;Phannajit&quot;,&quot;given&quot;:&quot;Jeerath&quot;,&quot;parse-names&quot;:false,&quot;dropping-particle&quot;:&quot;&quot;,&quot;non-dropping-particle&quot;:&quot;&quot;}],&quot;container-title&quot;:&quot;Nature Medicine&quot;,&quot;container-title-short&quot;:&quot;Nat Med&quot;,&quot;issued&quot;:{&quot;date-parts&quot;:[[2025]]}},&quot;isTemporary&quot;:false}]}]"/>
    <we:property name="MENDELEY_CITATIONS_LOCALE_CODE" value="&quot;en-US&quot;"/>
    <we:property name="MENDELEY_CITATIONS_STYLE" value="{&quot;id&quot;:&quot;https://www.zotero.org/styles/bmc-medicine&quot;,&quot;title&quot;:&quot;BMC Medicine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736F1-E7D7-426B-9E25-7A77D5424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1113</Words>
  <Characters>6349</Characters>
  <Application>Microsoft Office Word</Application>
  <DocSecurity>0</DocSecurity>
  <Lines>52</Lines>
  <Paragraphs>14</Paragraphs>
  <ScaleCrop>false</ScaleCrop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Botwright</dc:creator>
  <cp:keywords/>
  <dc:description/>
  <cp:lastModifiedBy>Siobhan Botwright</cp:lastModifiedBy>
  <cp:revision>6</cp:revision>
  <dcterms:created xsi:type="dcterms:W3CDTF">2025-11-12T02:23:00Z</dcterms:created>
  <dcterms:modified xsi:type="dcterms:W3CDTF">2025-11-12T03:32:00Z</dcterms:modified>
</cp:coreProperties>
</file>