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D0534" w14:textId="012395C2" w:rsidR="00264695" w:rsidRDefault="00610115" w:rsidP="00264695">
      <w:pPr>
        <w:pStyle w:val="Heading1"/>
      </w:pPr>
      <w:r>
        <w:t xml:space="preserve">Additional File </w:t>
      </w:r>
      <w:r w:rsidR="00AA7531">
        <w:t>4</w:t>
      </w:r>
      <w:r w:rsidR="00264695">
        <w:t xml:space="preserve">: </w:t>
      </w:r>
      <w:r w:rsidR="004A69EF">
        <w:t>base case</w:t>
      </w:r>
      <w:r w:rsidR="002B2E78">
        <w:t xml:space="preserve"> analysis</w:t>
      </w:r>
      <w:r w:rsidR="004A69EF">
        <w:t xml:space="preserve"> (2022 policy)</w:t>
      </w:r>
    </w:p>
    <w:p w14:paraId="610F087C" w14:textId="77777777" w:rsidR="00264695" w:rsidRDefault="00264695" w:rsidP="00264695">
      <w:pPr>
        <w:rPr>
          <w:lang w:eastAsia="ja-JP"/>
        </w:rPr>
      </w:pPr>
    </w:p>
    <w:p w14:paraId="288E5425" w14:textId="60290FC4" w:rsidR="004A69EF" w:rsidRPr="003B18CB" w:rsidRDefault="004A69EF" w:rsidP="00264695">
      <w:pPr>
        <w:rPr>
          <w:lang w:eastAsia="ja-JP"/>
        </w:rPr>
      </w:pPr>
      <w:r>
        <w:rPr>
          <w:b/>
          <w:bCs/>
          <w:lang w:eastAsia="ja-JP"/>
        </w:rPr>
        <w:t>Figure S</w:t>
      </w:r>
      <w:r w:rsidR="00AA7531">
        <w:rPr>
          <w:b/>
          <w:bCs/>
          <w:lang w:eastAsia="ja-JP"/>
        </w:rPr>
        <w:t>4</w:t>
      </w:r>
      <w:r>
        <w:rPr>
          <w:b/>
          <w:bCs/>
          <w:lang w:eastAsia="ja-JP"/>
        </w:rPr>
        <w:t xml:space="preserve">a. </w:t>
      </w:r>
      <w:r w:rsidR="003B18CB">
        <w:rPr>
          <w:lang w:eastAsia="ja-JP"/>
        </w:rPr>
        <w:t xml:space="preserve">Base case projection of number of dialysis patients registered under </w:t>
      </w:r>
      <w:r w:rsidR="00B830A5">
        <w:rPr>
          <w:lang w:eastAsia="ja-JP"/>
        </w:rPr>
        <w:t>the Universal Coverage Scheme (</w:t>
      </w:r>
      <w:r w:rsidR="003B18CB">
        <w:rPr>
          <w:lang w:eastAsia="ja-JP"/>
        </w:rPr>
        <w:t>UCS</w:t>
      </w:r>
      <w:r w:rsidR="00B830A5">
        <w:rPr>
          <w:lang w:eastAsia="ja-JP"/>
        </w:rPr>
        <w:t>)</w:t>
      </w:r>
      <w:r w:rsidR="003B18CB">
        <w:rPr>
          <w:lang w:eastAsia="ja-JP"/>
        </w:rPr>
        <w:t xml:space="preserve"> per year, from 2025-2029</w:t>
      </w:r>
      <w:r w:rsidR="00B830A5">
        <w:rPr>
          <w:lang w:eastAsia="ja-JP"/>
        </w:rPr>
        <w:t>, showing a decreasing proportion of patients on peritoneal dialysis (PD) and an increasing proportion of patients on haemodialysis (HD) over time.</w:t>
      </w:r>
    </w:p>
    <w:p w14:paraId="16A11E9F" w14:textId="77777777" w:rsidR="00575A19" w:rsidRDefault="003B18CB" w:rsidP="00575A19">
      <w:pPr>
        <w:rPr>
          <w:b/>
          <w:bCs/>
          <w:sz w:val="24"/>
          <w:szCs w:val="24"/>
          <w:lang w:eastAsia="ja-JP"/>
        </w:rPr>
      </w:pPr>
      <w:r>
        <w:rPr>
          <w:noProof/>
        </w:rPr>
        <w:drawing>
          <wp:inline distT="0" distB="0" distL="0" distR="0" wp14:anchorId="1B740DDE" wp14:editId="29477136">
            <wp:extent cx="6028055" cy="3250916"/>
            <wp:effectExtent l="0" t="0" r="0" b="6985"/>
            <wp:docPr id="980296470" name="Picture 3" descr="A graph of numbers and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296470" name="Picture 3" descr="A graph of numbers and a bar&#10;&#10;AI-generated content may be incorrect."/>
                    <pic:cNvPicPr>
                      <a:picLocks noChangeAspect="1" noChangeArrowheads="1"/>
                    </pic:cNvPicPr>
                  </pic:nvPicPr>
                  <pic:blipFill rotWithShape="1">
                    <a:blip r:embed="rId5">
                      <a:extLst>
                        <a:ext uri="{28A0092B-C50C-407E-A947-70E740481C1C}">
                          <a14:useLocalDpi xmlns:a14="http://schemas.microsoft.com/office/drawing/2010/main" val="0"/>
                        </a:ext>
                      </a:extLst>
                    </a:blip>
                    <a:srcRect t="1158"/>
                    <a:stretch/>
                  </pic:blipFill>
                  <pic:spPr bwMode="auto">
                    <a:xfrm>
                      <a:off x="0" y="0"/>
                      <a:ext cx="6031191" cy="3252607"/>
                    </a:xfrm>
                    <a:prstGeom prst="rect">
                      <a:avLst/>
                    </a:prstGeom>
                    <a:noFill/>
                    <a:ln>
                      <a:noFill/>
                    </a:ln>
                    <a:extLst>
                      <a:ext uri="{53640926-AAD7-44D8-BBD7-CCE9431645EC}">
                        <a14:shadowObscured xmlns:a14="http://schemas.microsoft.com/office/drawing/2010/main"/>
                      </a:ext>
                    </a:extLst>
                  </pic:spPr>
                </pic:pic>
              </a:graphicData>
            </a:graphic>
          </wp:inline>
        </w:drawing>
      </w:r>
      <w:r w:rsidRPr="00575A19">
        <w:t>HD – haemodialysis; PD – peritoneal dialysis</w:t>
      </w:r>
    </w:p>
    <w:p w14:paraId="32E76F57" w14:textId="77777777" w:rsidR="00575A19" w:rsidRDefault="00575A19" w:rsidP="00575A19">
      <w:pPr>
        <w:rPr>
          <w:b/>
          <w:bCs/>
        </w:rPr>
      </w:pPr>
    </w:p>
    <w:p w14:paraId="68EC6690" w14:textId="77777777" w:rsidR="002729A7" w:rsidRDefault="002729A7">
      <w:pPr>
        <w:rPr>
          <w:b/>
          <w:bCs/>
        </w:rPr>
      </w:pPr>
      <w:r>
        <w:rPr>
          <w:b/>
          <w:bCs/>
        </w:rPr>
        <w:br w:type="page"/>
      </w:r>
    </w:p>
    <w:p w14:paraId="25CCBCBC" w14:textId="44103B48" w:rsidR="00575A19" w:rsidRPr="00575A19" w:rsidRDefault="00575A19" w:rsidP="00575A19">
      <w:pPr>
        <w:rPr>
          <w:b/>
          <w:bCs/>
          <w:sz w:val="24"/>
          <w:szCs w:val="24"/>
          <w:lang w:eastAsia="ja-JP"/>
        </w:rPr>
      </w:pPr>
      <w:r>
        <w:rPr>
          <w:b/>
          <w:bCs/>
        </w:rPr>
        <w:lastRenderedPageBreak/>
        <w:t>Figure S</w:t>
      </w:r>
      <w:r w:rsidR="00AA7531">
        <w:rPr>
          <w:b/>
          <w:bCs/>
        </w:rPr>
        <w:t>4</w:t>
      </w:r>
      <w:r>
        <w:rPr>
          <w:b/>
          <w:bCs/>
        </w:rPr>
        <w:t xml:space="preserve">b. </w:t>
      </w:r>
      <w:r>
        <w:t>Profile of new dialysis patients under the base case scenario, from 2025-2029.</w:t>
      </w:r>
      <w:r w:rsidRPr="00FC7324">
        <w:rPr>
          <w:noProof/>
        </w:rPr>
        <w:t xml:space="preserve"> </w:t>
      </w:r>
      <w:r>
        <w:rPr>
          <w:noProof/>
        </w:rPr>
        <w:drawing>
          <wp:inline distT="0" distB="0" distL="0" distR="0" wp14:anchorId="25BCB92B" wp14:editId="622D1CFF">
            <wp:extent cx="5967730" cy="2971785"/>
            <wp:effectExtent l="0" t="0" r="0" b="635"/>
            <wp:docPr id="781036416" name="Picture 1" descr="A pie chart with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036416" name="Picture 1" descr="A pie chart with different colored circles&#10;&#10;AI-generated content may be incorrect."/>
                    <pic:cNvPicPr>
                      <a:picLocks noChangeAspect="1" noChangeArrowheads="1"/>
                    </pic:cNvPicPr>
                  </pic:nvPicPr>
                  <pic:blipFill rotWithShape="1">
                    <a:blip r:embed="rId6">
                      <a:extLst>
                        <a:ext uri="{28A0092B-C50C-407E-A947-70E740481C1C}">
                          <a14:useLocalDpi xmlns:a14="http://schemas.microsoft.com/office/drawing/2010/main" val="0"/>
                        </a:ext>
                      </a:extLst>
                    </a:blip>
                    <a:srcRect t="3353" b="8282"/>
                    <a:stretch/>
                  </pic:blipFill>
                  <pic:spPr bwMode="auto">
                    <a:xfrm>
                      <a:off x="0" y="0"/>
                      <a:ext cx="5976327" cy="2976066"/>
                    </a:xfrm>
                    <a:prstGeom prst="rect">
                      <a:avLst/>
                    </a:prstGeom>
                    <a:noFill/>
                    <a:ln>
                      <a:noFill/>
                    </a:ln>
                    <a:extLst>
                      <a:ext uri="{53640926-AAD7-44D8-BBD7-CCE9431645EC}">
                        <a14:shadowObscured xmlns:a14="http://schemas.microsoft.com/office/drawing/2010/main"/>
                      </a:ext>
                    </a:extLst>
                  </pic:spPr>
                </pic:pic>
              </a:graphicData>
            </a:graphic>
          </wp:inline>
        </w:drawing>
      </w:r>
    </w:p>
    <w:p w14:paraId="3A71404E" w14:textId="77777777" w:rsidR="00575A19" w:rsidRPr="00D902F8" w:rsidRDefault="00575A19" w:rsidP="00575A19">
      <w:pPr>
        <w:spacing w:line="360" w:lineRule="auto"/>
        <w:rPr>
          <w:sz w:val="20"/>
          <w:szCs w:val="20"/>
        </w:rPr>
      </w:pPr>
      <w:r>
        <w:rPr>
          <w:b/>
          <w:bCs/>
          <w:sz w:val="20"/>
          <w:szCs w:val="20"/>
        </w:rPr>
        <w:t xml:space="preserve">HDalways </w:t>
      </w:r>
      <w:r>
        <w:rPr>
          <w:sz w:val="20"/>
          <w:szCs w:val="20"/>
        </w:rPr>
        <w:t xml:space="preserve">– haemodialysis (HD) patients that are best suited to HD; </w:t>
      </w:r>
      <w:r>
        <w:rPr>
          <w:b/>
          <w:bCs/>
          <w:sz w:val="20"/>
          <w:szCs w:val="20"/>
        </w:rPr>
        <w:t xml:space="preserve">HDfromCCC </w:t>
      </w:r>
      <w:r>
        <w:rPr>
          <w:sz w:val="20"/>
          <w:szCs w:val="20"/>
        </w:rPr>
        <w:t xml:space="preserve">– haemodialysis (HD) patients that would be best suited to comprehensive conservative care; </w:t>
      </w:r>
      <w:r>
        <w:rPr>
          <w:b/>
          <w:bCs/>
          <w:sz w:val="20"/>
          <w:szCs w:val="20"/>
        </w:rPr>
        <w:t xml:space="preserve">HDfromPD </w:t>
      </w:r>
      <w:r>
        <w:rPr>
          <w:sz w:val="20"/>
          <w:szCs w:val="20"/>
        </w:rPr>
        <w:t xml:space="preserve">– haemodialysis (HD) patients that are eligible for peritoneal dialysis (PD); </w:t>
      </w:r>
      <w:r>
        <w:rPr>
          <w:b/>
          <w:bCs/>
          <w:sz w:val="20"/>
          <w:szCs w:val="20"/>
        </w:rPr>
        <w:t xml:space="preserve">HDother </w:t>
      </w:r>
      <w:r>
        <w:rPr>
          <w:sz w:val="20"/>
          <w:szCs w:val="20"/>
        </w:rPr>
        <w:t xml:space="preserve">– haemodialysis (HD) patients that would not have registered for dialysis services under NHSO prior to the 2022 policy change, either because they preferred to self-pay for HD under the PD-first policy or because they were registered under another health insurance scheme (administered by the Social Security Office, SSO) prior to initiating dialysis; </w:t>
      </w:r>
      <w:r>
        <w:rPr>
          <w:b/>
          <w:bCs/>
          <w:sz w:val="20"/>
          <w:szCs w:val="20"/>
        </w:rPr>
        <w:t xml:space="preserve">HD premature </w:t>
      </w:r>
      <w:r w:rsidRPr="00BF34D4">
        <w:rPr>
          <w:sz w:val="20"/>
          <w:szCs w:val="20"/>
        </w:rPr>
        <w:t>– haemodialysis</w:t>
      </w:r>
      <w:r>
        <w:rPr>
          <w:sz w:val="20"/>
          <w:szCs w:val="20"/>
        </w:rPr>
        <w:t xml:space="preserve"> (HD) patients that have residual kidney function and have initiated HD prematurely; </w:t>
      </w:r>
      <w:r w:rsidRPr="00145188">
        <w:rPr>
          <w:b/>
          <w:bCs/>
          <w:sz w:val="20"/>
          <w:szCs w:val="20"/>
        </w:rPr>
        <w:t>KRT</w:t>
      </w:r>
      <w:r>
        <w:rPr>
          <w:sz w:val="20"/>
          <w:szCs w:val="20"/>
        </w:rPr>
        <w:t xml:space="preserve"> – kidney replacement therapy; </w:t>
      </w:r>
      <w:r w:rsidRPr="00F578B8">
        <w:rPr>
          <w:b/>
          <w:bCs/>
          <w:sz w:val="20"/>
          <w:szCs w:val="20"/>
        </w:rPr>
        <w:t>PD</w:t>
      </w:r>
      <w:r>
        <w:rPr>
          <w:sz w:val="20"/>
          <w:szCs w:val="20"/>
        </w:rPr>
        <w:t xml:space="preserve"> – peritoneal dialysis.</w:t>
      </w:r>
    </w:p>
    <w:p w14:paraId="66CA8BB2" w14:textId="77777777" w:rsidR="00575A19" w:rsidRDefault="00575A19" w:rsidP="00264695">
      <w:pPr>
        <w:rPr>
          <w:lang w:eastAsia="ja-JP"/>
        </w:rPr>
      </w:pPr>
    </w:p>
    <w:p w14:paraId="4AB80402" w14:textId="77777777" w:rsidR="00575A19" w:rsidRPr="004A69EF" w:rsidRDefault="00575A19" w:rsidP="00264695">
      <w:pPr>
        <w:rPr>
          <w:lang w:eastAsia="ja-JP"/>
        </w:rPr>
      </w:pPr>
    </w:p>
    <w:p w14:paraId="19B54919" w14:textId="77777777" w:rsidR="002729A7" w:rsidRDefault="002729A7">
      <w:pPr>
        <w:rPr>
          <w:b/>
          <w:bCs/>
          <w:lang w:eastAsia="ja-JP"/>
        </w:rPr>
      </w:pPr>
      <w:r>
        <w:rPr>
          <w:b/>
          <w:bCs/>
          <w:lang w:eastAsia="ja-JP"/>
        </w:rPr>
        <w:br w:type="page"/>
      </w:r>
    </w:p>
    <w:p w14:paraId="335D6777" w14:textId="6728C838" w:rsidR="007635E3" w:rsidRDefault="002B2E78" w:rsidP="00264695">
      <w:pPr>
        <w:rPr>
          <w:lang w:eastAsia="ja-JP"/>
        </w:rPr>
      </w:pPr>
      <w:r>
        <w:rPr>
          <w:b/>
          <w:bCs/>
          <w:lang w:eastAsia="ja-JP"/>
        </w:rPr>
        <w:lastRenderedPageBreak/>
        <w:t>Figure S</w:t>
      </w:r>
      <w:r w:rsidR="00AA7531">
        <w:rPr>
          <w:b/>
          <w:bCs/>
          <w:lang w:eastAsia="ja-JP"/>
        </w:rPr>
        <w:t>4</w:t>
      </w:r>
      <w:r w:rsidR="00AC366C">
        <w:rPr>
          <w:b/>
          <w:bCs/>
          <w:lang w:eastAsia="ja-JP"/>
        </w:rPr>
        <w:t>c</w:t>
      </w:r>
      <w:r w:rsidR="00264695">
        <w:rPr>
          <w:b/>
          <w:bCs/>
          <w:lang w:eastAsia="ja-JP"/>
        </w:rPr>
        <w:t xml:space="preserve">. </w:t>
      </w:r>
      <w:r>
        <w:rPr>
          <w:lang w:eastAsia="ja-JP"/>
        </w:rPr>
        <w:t xml:space="preserve">Deterministic sensitivity analysis of </w:t>
      </w:r>
      <w:r w:rsidR="00B0143D">
        <w:rPr>
          <w:lang w:eastAsia="ja-JP"/>
        </w:rPr>
        <w:t>parameters in the base case model projection</w:t>
      </w:r>
      <w:r w:rsidR="00264695">
        <w:rPr>
          <w:lang w:eastAsia="ja-JP"/>
        </w:rPr>
        <w:t>.</w:t>
      </w:r>
      <w:r w:rsidR="00B0143D">
        <w:rPr>
          <w:lang w:eastAsia="ja-JP"/>
        </w:rPr>
        <w:t xml:space="preserve"> The </w:t>
      </w:r>
      <w:r w:rsidR="00741AF6">
        <w:rPr>
          <w:lang w:eastAsia="ja-JP"/>
        </w:rPr>
        <w:t xml:space="preserve">chart shows the </w:t>
      </w:r>
      <w:r w:rsidR="00B0143D">
        <w:rPr>
          <w:lang w:eastAsia="ja-JP"/>
        </w:rPr>
        <w:t xml:space="preserve">five parameters with the greatest influence on </w:t>
      </w:r>
      <w:r w:rsidR="007660D8" w:rsidRPr="00073F2C">
        <w:rPr>
          <w:u w:val="single"/>
          <w:lang w:eastAsia="ja-JP"/>
        </w:rPr>
        <w:t>total dialysis patients</w:t>
      </w:r>
      <w:r w:rsidR="007660D8">
        <w:rPr>
          <w:lang w:eastAsia="ja-JP"/>
        </w:rPr>
        <w:t>.</w:t>
      </w:r>
      <w:r w:rsidR="00741AF6">
        <w:rPr>
          <w:lang w:eastAsia="ja-JP"/>
        </w:rPr>
        <w:t xml:space="preserve"> </w:t>
      </w:r>
      <w:r w:rsidR="00C83AD2">
        <w:rPr>
          <w:lang w:eastAsia="ja-JP"/>
        </w:rPr>
        <w:t xml:space="preserve">The grey dotted line shows the total dialysis patients at the end of the projection period (December 2029) under the base case. For each of the five parameters listed on the </w:t>
      </w:r>
      <w:r w:rsidR="00073F2C">
        <w:rPr>
          <w:lang w:eastAsia="ja-JP"/>
        </w:rPr>
        <w:t>left-hand</w:t>
      </w:r>
      <w:r w:rsidR="00C83AD2">
        <w:rPr>
          <w:lang w:eastAsia="ja-JP"/>
        </w:rPr>
        <w:t xml:space="preserve"> side, the </w:t>
      </w:r>
      <w:r w:rsidR="00E72E91">
        <w:rPr>
          <w:lang w:eastAsia="ja-JP"/>
        </w:rPr>
        <w:t>red bar shows the difference in number of dialysis patients using the parameter lower bound</w:t>
      </w:r>
      <w:r w:rsidR="00073F2C">
        <w:rPr>
          <w:lang w:eastAsia="ja-JP"/>
        </w:rPr>
        <w:t xml:space="preserve"> and the blue-grey bar shows the difference using the parameter upper bound.</w:t>
      </w:r>
    </w:p>
    <w:p w14:paraId="43D2ADE0" w14:textId="1AC52EBB" w:rsidR="00073F2C" w:rsidRDefault="00D136BC" w:rsidP="00264695">
      <w:pPr>
        <w:rPr>
          <w:lang w:eastAsia="ja-JP"/>
        </w:rPr>
      </w:pPr>
      <w:r>
        <w:rPr>
          <w:noProof/>
          <w:lang w:eastAsia="ja-JP"/>
        </w:rPr>
        <w:drawing>
          <wp:inline distT="0" distB="0" distL="0" distR="0" wp14:anchorId="7121C035" wp14:editId="5B0084AC">
            <wp:extent cx="6043372" cy="3421380"/>
            <wp:effectExtent l="0" t="0" r="0" b="7620"/>
            <wp:docPr id="15306855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l="2952"/>
                    <a:stretch/>
                  </pic:blipFill>
                  <pic:spPr bwMode="auto">
                    <a:xfrm>
                      <a:off x="0" y="0"/>
                      <a:ext cx="6049294" cy="3424733"/>
                    </a:xfrm>
                    <a:prstGeom prst="rect">
                      <a:avLst/>
                    </a:prstGeom>
                    <a:noFill/>
                    <a:ln>
                      <a:noFill/>
                    </a:ln>
                    <a:extLst>
                      <a:ext uri="{53640926-AAD7-44D8-BBD7-CCE9431645EC}">
                        <a14:shadowObscured xmlns:a14="http://schemas.microsoft.com/office/drawing/2010/main"/>
                      </a:ext>
                    </a:extLst>
                  </pic:spPr>
                </pic:pic>
              </a:graphicData>
            </a:graphic>
          </wp:inline>
        </w:drawing>
      </w:r>
    </w:p>
    <w:p w14:paraId="3E44994E" w14:textId="5410F32E" w:rsidR="00264695" w:rsidRPr="00B24AD6" w:rsidRDefault="00972A96" w:rsidP="00264695">
      <w:pPr>
        <w:rPr>
          <w:sz w:val="20"/>
          <w:szCs w:val="20"/>
          <w:lang w:eastAsia="ja-JP"/>
        </w:rPr>
      </w:pPr>
      <w:r>
        <w:rPr>
          <w:b/>
          <w:bCs/>
          <w:sz w:val="20"/>
          <w:szCs w:val="20"/>
          <w:lang w:eastAsia="ja-JP"/>
        </w:rPr>
        <w:t xml:space="preserve">aDF_prem_k – </w:t>
      </w:r>
      <w:r>
        <w:rPr>
          <w:sz w:val="20"/>
          <w:szCs w:val="20"/>
          <w:lang w:eastAsia="ja-JP"/>
        </w:rPr>
        <w:t xml:space="preserve">factor scaling the doctor fee to number of new patients initiating HD prematurely; </w:t>
      </w:r>
      <w:r w:rsidR="003E049F">
        <w:rPr>
          <w:b/>
          <w:bCs/>
          <w:sz w:val="20"/>
          <w:szCs w:val="20"/>
          <w:lang w:eastAsia="ja-JP"/>
        </w:rPr>
        <w:t>aVAtemp_redo</w:t>
      </w:r>
      <w:r w:rsidR="003E049F">
        <w:rPr>
          <w:sz w:val="20"/>
          <w:szCs w:val="20"/>
          <w:lang w:eastAsia="ja-JP"/>
        </w:rPr>
        <w:t xml:space="preserve"> – average length of time before an HD patient with temporary access requires a subsequent vascular access operation; </w:t>
      </w:r>
      <w:r>
        <w:rPr>
          <w:b/>
          <w:bCs/>
          <w:sz w:val="20"/>
          <w:szCs w:val="20"/>
          <w:lang w:eastAsia="ja-JP"/>
        </w:rPr>
        <w:t>a</w:t>
      </w:r>
      <w:r w:rsidR="00EC0D3B">
        <w:rPr>
          <w:b/>
          <w:bCs/>
          <w:sz w:val="20"/>
          <w:szCs w:val="20"/>
          <w:lang w:eastAsia="ja-JP"/>
        </w:rPr>
        <w:t>HD</w:t>
      </w:r>
      <w:r>
        <w:rPr>
          <w:b/>
          <w:bCs/>
          <w:sz w:val="20"/>
          <w:szCs w:val="20"/>
          <w:lang w:eastAsia="ja-JP"/>
        </w:rPr>
        <w:t>death_</w:t>
      </w:r>
      <w:r w:rsidR="00EC0D3B">
        <w:rPr>
          <w:b/>
          <w:bCs/>
          <w:sz w:val="20"/>
          <w:szCs w:val="20"/>
          <w:lang w:eastAsia="ja-JP"/>
        </w:rPr>
        <w:t>base</w:t>
      </w:r>
      <w:r>
        <w:rPr>
          <w:b/>
          <w:bCs/>
          <w:sz w:val="20"/>
          <w:szCs w:val="20"/>
          <w:lang w:eastAsia="ja-JP"/>
        </w:rPr>
        <w:t xml:space="preserve"> –</w:t>
      </w:r>
      <w:r>
        <w:rPr>
          <w:sz w:val="20"/>
          <w:szCs w:val="20"/>
          <w:lang w:eastAsia="ja-JP"/>
        </w:rPr>
        <w:t xml:space="preserve"> </w:t>
      </w:r>
      <w:r w:rsidR="00EC0D3B">
        <w:rPr>
          <w:sz w:val="20"/>
          <w:szCs w:val="20"/>
          <w:lang w:eastAsia="ja-JP"/>
        </w:rPr>
        <w:t>base death rate among HD patients (i.e. with optimal standard of care)</w:t>
      </w:r>
      <w:r>
        <w:rPr>
          <w:sz w:val="20"/>
          <w:szCs w:val="20"/>
          <w:lang w:eastAsia="ja-JP"/>
        </w:rPr>
        <w:t xml:space="preserve">; </w:t>
      </w:r>
      <w:r w:rsidR="00176089">
        <w:rPr>
          <w:b/>
          <w:bCs/>
          <w:sz w:val="20"/>
          <w:szCs w:val="20"/>
          <w:lang w:eastAsia="ja-JP"/>
        </w:rPr>
        <w:t xml:space="preserve">aDFsupply_factor – </w:t>
      </w:r>
      <w:r w:rsidR="00176089">
        <w:rPr>
          <w:sz w:val="20"/>
          <w:szCs w:val="20"/>
          <w:lang w:eastAsia="ja-JP"/>
        </w:rPr>
        <w:t>factor scaling the rate of increase in the doctor fee to the rate of change in HD supply</w:t>
      </w:r>
      <w:r>
        <w:rPr>
          <w:sz w:val="20"/>
          <w:szCs w:val="20"/>
          <w:lang w:eastAsia="ja-JP"/>
        </w:rPr>
        <w:t>;</w:t>
      </w:r>
      <w:r w:rsidRPr="003E049F">
        <w:rPr>
          <w:b/>
          <w:bCs/>
          <w:sz w:val="20"/>
          <w:szCs w:val="20"/>
          <w:lang w:eastAsia="ja-JP"/>
        </w:rPr>
        <w:t xml:space="preserve"> </w:t>
      </w:r>
      <w:r>
        <w:rPr>
          <w:b/>
          <w:bCs/>
          <w:sz w:val="20"/>
          <w:szCs w:val="20"/>
          <w:lang w:eastAsia="ja-JP"/>
        </w:rPr>
        <w:t>aDF_start</w:t>
      </w:r>
      <w:r w:rsidR="003E049F">
        <w:rPr>
          <w:sz w:val="20"/>
          <w:szCs w:val="20"/>
          <w:lang w:eastAsia="ja-JP"/>
        </w:rPr>
        <w:t xml:space="preserve"> </w:t>
      </w:r>
      <w:r w:rsidR="00296D4A">
        <w:rPr>
          <w:sz w:val="20"/>
          <w:szCs w:val="20"/>
          <w:lang w:eastAsia="ja-JP"/>
        </w:rPr>
        <w:t>–</w:t>
      </w:r>
      <w:r w:rsidR="003E049F">
        <w:rPr>
          <w:sz w:val="20"/>
          <w:szCs w:val="20"/>
          <w:lang w:eastAsia="ja-JP"/>
        </w:rPr>
        <w:t xml:space="preserve"> </w:t>
      </w:r>
      <w:r w:rsidR="00052E09">
        <w:rPr>
          <w:sz w:val="20"/>
          <w:szCs w:val="20"/>
          <w:lang w:eastAsia="ja-JP"/>
        </w:rPr>
        <w:t>average doctor fee paid by private HD centres to doctors for patient referrals, per patient per session, at the start of model projections (January 2018)</w:t>
      </w:r>
      <w:r w:rsidR="00162716">
        <w:rPr>
          <w:sz w:val="20"/>
          <w:szCs w:val="20"/>
          <w:lang w:eastAsia="ja-JP"/>
        </w:rPr>
        <w:t>.</w:t>
      </w:r>
    </w:p>
    <w:p w14:paraId="4761D1FC" w14:textId="77777777" w:rsidR="00264695" w:rsidRDefault="00264695" w:rsidP="00264695">
      <w:pPr>
        <w:rPr>
          <w:lang w:eastAsia="ja-JP"/>
        </w:rPr>
      </w:pPr>
    </w:p>
    <w:p w14:paraId="4BC8F5CF" w14:textId="77777777" w:rsidR="00162716" w:rsidRDefault="00162716">
      <w:pPr>
        <w:rPr>
          <w:b/>
          <w:bCs/>
          <w:lang w:eastAsia="ja-JP"/>
        </w:rPr>
      </w:pPr>
      <w:r>
        <w:rPr>
          <w:b/>
          <w:bCs/>
          <w:lang w:eastAsia="ja-JP"/>
        </w:rPr>
        <w:br w:type="page"/>
      </w:r>
    </w:p>
    <w:p w14:paraId="7379AA82" w14:textId="6F2D4265" w:rsidR="00073F2C" w:rsidRDefault="00073F2C" w:rsidP="00073F2C">
      <w:pPr>
        <w:rPr>
          <w:lang w:eastAsia="ja-JP"/>
        </w:rPr>
      </w:pPr>
      <w:r>
        <w:rPr>
          <w:b/>
          <w:bCs/>
          <w:lang w:eastAsia="ja-JP"/>
        </w:rPr>
        <w:lastRenderedPageBreak/>
        <w:t>Figure S</w:t>
      </w:r>
      <w:r w:rsidR="00AA7531">
        <w:rPr>
          <w:b/>
          <w:bCs/>
          <w:lang w:eastAsia="ja-JP"/>
        </w:rPr>
        <w:t>4</w:t>
      </w:r>
      <w:r w:rsidR="00AC366C">
        <w:rPr>
          <w:b/>
          <w:bCs/>
          <w:lang w:eastAsia="ja-JP"/>
        </w:rPr>
        <w:t>d</w:t>
      </w:r>
      <w:r>
        <w:rPr>
          <w:b/>
          <w:bCs/>
          <w:lang w:eastAsia="ja-JP"/>
        </w:rPr>
        <w:t xml:space="preserve">. </w:t>
      </w:r>
      <w:r>
        <w:rPr>
          <w:lang w:eastAsia="ja-JP"/>
        </w:rPr>
        <w:t xml:space="preserve">Deterministic sensitivity analysis of parameters in the base case model projection. The chart shows the five parameters with the greatest influence on </w:t>
      </w:r>
      <w:r>
        <w:rPr>
          <w:u w:val="single"/>
          <w:lang w:eastAsia="ja-JP"/>
        </w:rPr>
        <w:t>proportion of new patients selecting PD</w:t>
      </w:r>
      <w:r>
        <w:rPr>
          <w:lang w:eastAsia="ja-JP"/>
        </w:rPr>
        <w:t xml:space="preserve">. The grey dotted line shows the average proportion of new dialysis patients </w:t>
      </w:r>
      <w:r w:rsidR="00134FF8">
        <w:rPr>
          <w:lang w:eastAsia="ja-JP"/>
        </w:rPr>
        <w:t xml:space="preserve">selecting PD over the projection period (2025-2029) </w:t>
      </w:r>
      <w:r>
        <w:rPr>
          <w:lang w:eastAsia="ja-JP"/>
        </w:rPr>
        <w:t>under the base case. For each of the five parameters listed on the left-hand side, the red bar shows the difference using the lower bound and the blue-grey bar shows the difference using the upper bound.</w:t>
      </w:r>
    </w:p>
    <w:p w14:paraId="7EF317A1" w14:textId="3BB89EFE" w:rsidR="00793357" w:rsidRDefault="00340209" w:rsidP="00073F2C">
      <w:pPr>
        <w:rPr>
          <w:lang w:eastAsia="ja-JP"/>
        </w:rPr>
      </w:pPr>
      <w:r>
        <w:rPr>
          <w:noProof/>
          <w:lang w:eastAsia="ja-JP"/>
        </w:rPr>
        <w:drawing>
          <wp:inline distT="0" distB="0" distL="0" distR="0" wp14:anchorId="483C2685" wp14:editId="79BA11A7">
            <wp:extent cx="5958840" cy="3063113"/>
            <wp:effectExtent l="0" t="0" r="3810" b="4445"/>
            <wp:docPr id="2042065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2857"/>
                    <a:stretch/>
                  </pic:blipFill>
                  <pic:spPr bwMode="auto">
                    <a:xfrm>
                      <a:off x="0" y="0"/>
                      <a:ext cx="5959951" cy="3063684"/>
                    </a:xfrm>
                    <a:prstGeom prst="rect">
                      <a:avLst/>
                    </a:prstGeom>
                    <a:noFill/>
                    <a:ln>
                      <a:noFill/>
                    </a:ln>
                    <a:extLst>
                      <a:ext uri="{53640926-AAD7-44D8-BBD7-CCE9431645EC}">
                        <a14:shadowObscured xmlns:a14="http://schemas.microsoft.com/office/drawing/2010/main"/>
                      </a:ext>
                    </a:extLst>
                  </pic:spPr>
                </pic:pic>
              </a:graphicData>
            </a:graphic>
          </wp:inline>
        </w:drawing>
      </w:r>
    </w:p>
    <w:p w14:paraId="18DE919C" w14:textId="55805B83" w:rsidR="00073F2C" w:rsidRDefault="00FB2165" w:rsidP="00073F2C">
      <w:pPr>
        <w:rPr>
          <w:sz w:val="20"/>
          <w:szCs w:val="20"/>
          <w:lang w:eastAsia="ja-JP"/>
        </w:rPr>
      </w:pPr>
      <w:r>
        <w:rPr>
          <w:b/>
          <w:bCs/>
          <w:sz w:val="20"/>
          <w:szCs w:val="20"/>
          <w:lang w:eastAsia="ja-JP"/>
        </w:rPr>
        <w:t xml:space="preserve">aPDprefHD – </w:t>
      </w:r>
      <w:r>
        <w:rPr>
          <w:sz w:val="20"/>
          <w:szCs w:val="20"/>
          <w:lang w:eastAsia="ja-JP"/>
        </w:rPr>
        <w:t xml:space="preserve">proportion of PD patients with a preference for HD that is not modified by peritonitis rates or the doctor fee (for example, patient education, healthcare worker training, etc); </w:t>
      </w:r>
      <w:r w:rsidRPr="00BD7D6C">
        <w:rPr>
          <w:b/>
          <w:bCs/>
          <w:sz w:val="20"/>
          <w:szCs w:val="20"/>
          <w:lang w:eastAsia="ja-JP"/>
        </w:rPr>
        <w:t>aDF_start</w:t>
      </w:r>
      <w:r>
        <w:rPr>
          <w:sz w:val="20"/>
          <w:szCs w:val="20"/>
          <w:lang w:eastAsia="ja-JP"/>
        </w:rPr>
        <w:t xml:space="preserve"> – starting value of the doctor fee in the model (January 2018); </w:t>
      </w:r>
      <w:r>
        <w:rPr>
          <w:b/>
          <w:bCs/>
          <w:sz w:val="20"/>
          <w:szCs w:val="20"/>
          <w:lang w:eastAsia="ja-JP"/>
        </w:rPr>
        <w:t xml:space="preserve">aDFsupply_factor – </w:t>
      </w:r>
      <w:r>
        <w:rPr>
          <w:sz w:val="20"/>
          <w:szCs w:val="20"/>
          <w:lang w:eastAsia="ja-JP"/>
        </w:rPr>
        <w:t xml:space="preserve">factor scaling the rate of increase in the doctor fee to the rate of change in HD supply; </w:t>
      </w:r>
      <w:r>
        <w:rPr>
          <w:b/>
          <w:bCs/>
          <w:sz w:val="20"/>
          <w:szCs w:val="20"/>
          <w:lang w:eastAsia="ja-JP"/>
        </w:rPr>
        <w:t xml:space="preserve">aDF_prem_k – </w:t>
      </w:r>
      <w:r>
        <w:rPr>
          <w:sz w:val="20"/>
          <w:szCs w:val="20"/>
          <w:lang w:eastAsia="ja-JP"/>
        </w:rPr>
        <w:t>factor scaling the doctor fee to number of new patients initiating HD prematurely;</w:t>
      </w:r>
      <w:r>
        <w:rPr>
          <w:b/>
          <w:bCs/>
          <w:sz w:val="20"/>
          <w:szCs w:val="20"/>
          <w:lang w:eastAsia="ja-JP"/>
        </w:rPr>
        <w:t xml:space="preserve"> aHDinfo_lag</w:t>
      </w:r>
      <w:r w:rsidR="00EE6717">
        <w:rPr>
          <w:b/>
          <w:bCs/>
          <w:sz w:val="20"/>
          <w:szCs w:val="20"/>
          <w:lang w:eastAsia="ja-JP"/>
        </w:rPr>
        <w:t xml:space="preserve"> </w:t>
      </w:r>
      <w:r w:rsidR="00976D4D">
        <w:rPr>
          <w:b/>
          <w:bCs/>
          <w:sz w:val="20"/>
          <w:szCs w:val="20"/>
          <w:lang w:eastAsia="ja-JP"/>
        </w:rPr>
        <w:t>–</w:t>
      </w:r>
      <w:r w:rsidR="00976D4D">
        <w:rPr>
          <w:sz w:val="20"/>
          <w:szCs w:val="20"/>
          <w:lang w:eastAsia="ja-JP"/>
        </w:rPr>
        <w:t xml:space="preserve"> </w:t>
      </w:r>
      <w:r w:rsidR="00606AD3">
        <w:rPr>
          <w:sz w:val="20"/>
          <w:szCs w:val="20"/>
          <w:lang w:eastAsia="ja-JP"/>
        </w:rPr>
        <w:t>reference time point in the past used to make decisions around opening new HD centres (affects HD supply).</w:t>
      </w:r>
    </w:p>
    <w:p w14:paraId="1BA33482" w14:textId="77777777" w:rsidR="00F040DE" w:rsidRDefault="00F040DE" w:rsidP="00073F2C">
      <w:pPr>
        <w:rPr>
          <w:sz w:val="20"/>
          <w:szCs w:val="20"/>
          <w:lang w:eastAsia="ja-JP"/>
        </w:rPr>
      </w:pPr>
    </w:p>
    <w:p w14:paraId="3859DEE4" w14:textId="6AC8B082" w:rsidR="00F040DE" w:rsidRDefault="00F040DE">
      <w:pPr>
        <w:rPr>
          <w:sz w:val="20"/>
          <w:szCs w:val="20"/>
          <w:lang w:eastAsia="ja-JP"/>
        </w:rPr>
      </w:pPr>
      <w:r>
        <w:rPr>
          <w:sz w:val="20"/>
          <w:szCs w:val="20"/>
          <w:lang w:eastAsia="ja-JP"/>
        </w:rPr>
        <w:br w:type="page"/>
      </w:r>
    </w:p>
    <w:p w14:paraId="7B644266" w14:textId="77777777" w:rsidR="00034840" w:rsidRDefault="00034840" w:rsidP="00073F2C">
      <w:pPr>
        <w:rPr>
          <w:b/>
          <w:bCs/>
          <w:lang w:eastAsia="ja-JP"/>
        </w:rPr>
        <w:sectPr w:rsidR="00034840" w:rsidSect="00AE7326">
          <w:pgSz w:w="12240" w:h="15840"/>
          <w:pgMar w:top="1440" w:right="1440" w:bottom="1440" w:left="1440" w:header="720" w:footer="720" w:gutter="0"/>
          <w:cols w:space="720"/>
          <w:docGrid w:linePitch="360"/>
        </w:sectPr>
      </w:pPr>
    </w:p>
    <w:p w14:paraId="302869B5" w14:textId="10AE31DC" w:rsidR="00F040DE" w:rsidRDefault="00F040DE" w:rsidP="00073F2C">
      <w:pPr>
        <w:rPr>
          <w:lang w:eastAsia="ja-JP"/>
        </w:rPr>
      </w:pPr>
      <w:r>
        <w:rPr>
          <w:b/>
          <w:bCs/>
          <w:lang w:eastAsia="ja-JP"/>
        </w:rPr>
        <w:lastRenderedPageBreak/>
        <w:t>Figure S</w:t>
      </w:r>
      <w:r w:rsidR="00AA7531">
        <w:rPr>
          <w:b/>
          <w:bCs/>
          <w:lang w:eastAsia="ja-JP"/>
        </w:rPr>
        <w:t>4</w:t>
      </w:r>
      <w:r w:rsidR="00AC366C">
        <w:rPr>
          <w:b/>
          <w:bCs/>
          <w:lang w:eastAsia="ja-JP"/>
        </w:rPr>
        <w:t>e</w:t>
      </w:r>
      <w:r>
        <w:rPr>
          <w:b/>
          <w:bCs/>
          <w:lang w:eastAsia="ja-JP"/>
        </w:rPr>
        <w:t xml:space="preserve">. </w:t>
      </w:r>
      <w:r>
        <w:rPr>
          <w:lang w:eastAsia="ja-JP"/>
        </w:rPr>
        <w:t xml:space="preserve">Latin hypercube sampling </w:t>
      </w:r>
      <w:r w:rsidR="00380254">
        <w:rPr>
          <w:lang w:eastAsia="ja-JP"/>
        </w:rPr>
        <w:t>to show uncertainty across parameter inputs</w:t>
      </w:r>
      <w:r w:rsidR="00B830B4">
        <w:rPr>
          <w:lang w:eastAsia="ja-JP"/>
        </w:rPr>
        <w:t>, for total dialysis patients</w:t>
      </w:r>
      <w:r w:rsidR="00380254">
        <w:rPr>
          <w:lang w:eastAsia="ja-JP"/>
        </w:rPr>
        <w:t xml:space="preserve">. The top figure shows the </w:t>
      </w:r>
      <w:r w:rsidR="006B7FB2">
        <w:rPr>
          <w:lang w:eastAsia="ja-JP"/>
        </w:rPr>
        <w:t xml:space="preserve">results from all runs, whereas the bottom figure shows the average from all runs </w:t>
      </w:r>
      <w:r w:rsidR="00034840">
        <w:rPr>
          <w:lang w:eastAsia="ja-JP"/>
        </w:rPr>
        <w:t>(</w:t>
      </w:r>
      <w:r w:rsidR="002977D3">
        <w:rPr>
          <w:lang w:eastAsia="ja-JP"/>
        </w:rPr>
        <w:t xml:space="preserve">green line) </w:t>
      </w:r>
      <w:r w:rsidR="006B7FB2">
        <w:rPr>
          <w:lang w:eastAsia="ja-JP"/>
        </w:rPr>
        <w:t>plotted against the base case deterministic result</w:t>
      </w:r>
      <w:r w:rsidR="002977D3">
        <w:rPr>
          <w:lang w:eastAsia="ja-JP"/>
        </w:rPr>
        <w:t xml:space="preserve"> (navy line)</w:t>
      </w:r>
      <w:r w:rsidR="006B7FB2">
        <w:rPr>
          <w:lang w:eastAsia="ja-JP"/>
        </w:rPr>
        <w:t>.</w:t>
      </w:r>
    </w:p>
    <w:p w14:paraId="587C8F50" w14:textId="5690EA9D" w:rsidR="006B7FB2" w:rsidRDefault="002C5A85" w:rsidP="00073F2C">
      <w:pPr>
        <w:rPr>
          <w:sz w:val="20"/>
          <w:szCs w:val="20"/>
          <w:lang w:eastAsia="ja-JP"/>
        </w:rPr>
      </w:pPr>
      <w:r>
        <w:rPr>
          <w:noProof/>
          <w:lang w:eastAsia="ja-JP"/>
        </w:rPr>
        <w:drawing>
          <wp:anchor distT="0" distB="0" distL="114300" distR="114300" simplePos="0" relativeHeight="251664384" behindDoc="0" locked="0" layoutInCell="1" allowOverlap="1" wp14:anchorId="30FBEB94" wp14:editId="353ECF33">
            <wp:simplePos x="0" y="0"/>
            <wp:positionH relativeFrom="column">
              <wp:posOffset>4305300</wp:posOffset>
            </wp:positionH>
            <wp:positionV relativeFrom="paragraph">
              <wp:posOffset>200025</wp:posOffset>
            </wp:positionV>
            <wp:extent cx="4686300" cy="3953510"/>
            <wp:effectExtent l="0" t="0" r="0" b="8890"/>
            <wp:wrapTopAndBottom/>
            <wp:docPr id="12946479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86300" cy="39535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0"/>
          <w:szCs w:val="20"/>
          <w:lang w:eastAsia="ja-JP"/>
        </w:rPr>
        <w:drawing>
          <wp:anchor distT="0" distB="0" distL="114300" distR="114300" simplePos="0" relativeHeight="251663360" behindDoc="0" locked="0" layoutInCell="1" allowOverlap="1" wp14:anchorId="34E98F60" wp14:editId="70EDC3C3">
            <wp:simplePos x="0" y="0"/>
            <wp:positionH relativeFrom="column">
              <wp:posOffset>-845820</wp:posOffset>
            </wp:positionH>
            <wp:positionV relativeFrom="paragraph">
              <wp:posOffset>176530</wp:posOffset>
            </wp:positionV>
            <wp:extent cx="5044440" cy="3997960"/>
            <wp:effectExtent l="0" t="0" r="3810" b="2540"/>
            <wp:wrapTopAndBottom/>
            <wp:docPr id="11192492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r="11152"/>
                    <a:stretch/>
                  </pic:blipFill>
                  <pic:spPr bwMode="auto">
                    <a:xfrm>
                      <a:off x="0" y="0"/>
                      <a:ext cx="5044440" cy="39979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004716" w14:textId="52FCFC74" w:rsidR="006B7FB2" w:rsidRDefault="006B7FB2" w:rsidP="00073F2C">
      <w:pPr>
        <w:rPr>
          <w:sz w:val="20"/>
          <w:szCs w:val="20"/>
          <w:lang w:eastAsia="ja-JP"/>
        </w:rPr>
      </w:pPr>
    </w:p>
    <w:p w14:paraId="0B54AB95" w14:textId="77777777" w:rsidR="00034840" w:rsidRDefault="00034840" w:rsidP="00B830B4">
      <w:pPr>
        <w:rPr>
          <w:b/>
          <w:bCs/>
          <w:lang w:eastAsia="ja-JP"/>
        </w:rPr>
        <w:sectPr w:rsidR="00034840" w:rsidSect="00034840">
          <w:pgSz w:w="15840" w:h="12240" w:orient="landscape"/>
          <w:pgMar w:top="1440" w:right="1440" w:bottom="1440" w:left="1440" w:header="720" w:footer="720" w:gutter="0"/>
          <w:cols w:space="720"/>
          <w:docGrid w:linePitch="360"/>
        </w:sectPr>
      </w:pPr>
    </w:p>
    <w:p w14:paraId="7FA1D484" w14:textId="05068738" w:rsidR="0067124F" w:rsidRPr="00C8562E" w:rsidRDefault="006E1A0A" w:rsidP="00073F2C">
      <w:pPr>
        <w:rPr>
          <w:sz w:val="20"/>
          <w:szCs w:val="20"/>
          <w:lang w:eastAsia="ja-JP"/>
        </w:rPr>
      </w:pPr>
      <w:r>
        <w:rPr>
          <w:noProof/>
          <w:sz w:val="20"/>
          <w:szCs w:val="20"/>
          <w:lang w:eastAsia="ja-JP"/>
        </w:rPr>
        <w:lastRenderedPageBreak/>
        <w:drawing>
          <wp:anchor distT="0" distB="0" distL="114300" distR="114300" simplePos="0" relativeHeight="251666432" behindDoc="0" locked="0" layoutInCell="1" allowOverlap="1" wp14:anchorId="4747B625" wp14:editId="59BB748D">
            <wp:simplePos x="0" y="0"/>
            <wp:positionH relativeFrom="column">
              <wp:posOffset>4377690</wp:posOffset>
            </wp:positionH>
            <wp:positionV relativeFrom="paragraph">
              <wp:posOffset>699135</wp:posOffset>
            </wp:positionV>
            <wp:extent cx="4639945" cy="3832860"/>
            <wp:effectExtent l="0" t="0" r="8255" b="0"/>
            <wp:wrapTopAndBottom/>
            <wp:docPr id="5795191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1">
                      <a:extLst>
                        <a:ext uri="{28A0092B-C50C-407E-A947-70E740481C1C}">
                          <a14:useLocalDpi xmlns:a14="http://schemas.microsoft.com/office/drawing/2010/main" val="0"/>
                        </a:ext>
                      </a:extLst>
                    </a:blip>
                    <a:srcRect l="3859" b="4735"/>
                    <a:stretch/>
                  </pic:blipFill>
                  <pic:spPr bwMode="auto">
                    <a:xfrm>
                      <a:off x="0" y="0"/>
                      <a:ext cx="4639945" cy="38328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20"/>
          <w:szCs w:val="20"/>
          <w:lang w:eastAsia="ja-JP"/>
        </w:rPr>
        <w:drawing>
          <wp:anchor distT="0" distB="0" distL="114300" distR="114300" simplePos="0" relativeHeight="251665408" behindDoc="0" locked="0" layoutInCell="1" allowOverlap="1" wp14:anchorId="77A9BCE5" wp14:editId="1BD67302">
            <wp:simplePos x="0" y="0"/>
            <wp:positionH relativeFrom="column">
              <wp:posOffset>-804545</wp:posOffset>
            </wp:positionH>
            <wp:positionV relativeFrom="paragraph">
              <wp:posOffset>729615</wp:posOffset>
            </wp:positionV>
            <wp:extent cx="5098415" cy="4008120"/>
            <wp:effectExtent l="0" t="0" r="6985" b="0"/>
            <wp:wrapTopAndBottom/>
            <wp:docPr id="11004103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a:extLst>
                        <a:ext uri="{28A0092B-C50C-407E-A947-70E740481C1C}">
                          <a14:useLocalDpi xmlns:a14="http://schemas.microsoft.com/office/drawing/2010/main" val="0"/>
                        </a:ext>
                      </a:extLst>
                    </a:blip>
                    <a:srcRect r="10964"/>
                    <a:stretch/>
                  </pic:blipFill>
                  <pic:spPr bwMode="auto">
                    <a:xfrm>
                      <a:off x="0" y="0"/>
                      <a:ext cx="5098415" cy="40081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977D3">
        <w:rPr>
          <w:b/>
          <w:bCs/>
          <w:lang w:eastAsia="ja-JP"/>
        </w:rPr>
        <w:t>Figure S</w:t>
      </w:r>
      <w:r w:rsidR="00AA7531">
        <w:rPr>
          <w:b/>
          <w:bCs/>
          <w:lang w:eastAsia="ja-JP"/>
        </w:rPr>
        <w:t>4</w:t>
      </w:r>
      <w:r w:rsidR="00AC366C">
        <w:rPr>
          <w:b/>
          <w:bCs/>
          <w:lang w:eastAsia="ja-JP"/>
        </w:rPr>
        <w:t>f</w:t>
      </w:r>
      <w:r w:rsidR="002977D3">
        <w:rPr>
          <w:b/>
          <w:bCs/>
          <w:lang w:eastAsia="ja-JP"/>
        </w:rPr>
        <w:t xml:space="preserve">. </w:t>
      </w:r>
      <w:r w:rsidR="002977D3">
        <w:rPr>
          <w:lang w:eastAsia="ja-JP"/>
        </w:rPr>
        <w:t>Latin hypercube sampling to show uncertainty across parameter inputs, for proportion of incident patients initiating dialysis on PD. The top figure shows the results from all runs, whereas the bottom figure shows the average from all runs (green line) plotted against the base case deterministic result (navy line).</w:t>
      </w:r>
    </w:p>
    <w:sectPr w:rsidR="0067124F" w:rsidRPr="00C8562E" w:rsidSect="006E1A0A">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695"/>
    <w:rsid w:val="0000484C"/>
    <w:rsid w:val="00034840"/>
    <w:rsid w:val="00052E09"/>
    <w:rsid w:val="00073F2C"/>
    <w:rsid w:val="000E6D2A"/>
    <w:rsid w:val="00134FF8"/>
    <w:rsid w:val="00150251"/>
    <w:rsid w:val="00162716"/>
    <w:rsid w:val="00176089"/>
    <w:rsid w:val="001943DF"/>
    <w:rsid w:val="001C513B"/>
    <w:rsid w:val="001C58D5"/>
    <w:rsid w:val="001E172E"/>
    <w:rsid w:val="00226824"/>
    <w:rsid w:val="00264695"/>
    <w:rsid w:val="0026608A"/>
    <w:rsid w:val="002729A7"/>
    <w:rsid w:val="00296D4A"/>
    <w:rsid w:val="002977D3"/>
    <w:rsid w:val="002B1D93"/>
    <w:rsid w:val="002B2E78"/>
    <w:rsid w:val="002B4AC9"/>
    <w:rsid w:val="002C5A85"/>
    <w:rsid w:val="003067E0"/>
    <w:rsid w:val="00337087"/>
    <w:rsid w:val="00340209"/>
    <w:rsid w:val="003446CC"/>
    <w:rsid w:val="003540DE"/>
    <w:rsid w:val="00380254"/>
    <w:rsid w:val="003B18CB"/>
    <w:rsid w:val="003B1E56"/>
    <w:rsid w:val="003E049F"/>
    <w:rsid w:val="004A69EF"/>
    <w:rsid w:val="004D430F"/>
    <w:rsid w:val="005352C4"/>
    <w:rsid w:val="005429DE"/>
    <w:rsid w:val="00575A19"/>
    <w:rsid w:val="005A3841"/>
    <w:rsid w:val="005E4FBC"/>
    <w:rsid w:val="00601DA4"/>
    <w:rsid w:val="00606AD3"/>
    <w:rsid w:val="00610115"/>
    <w:rsid w:val="00666457"/>
    <w:rsid w:val="0067124F"/>
    <w:rsid w:val="00693A82"/>
    <w:rsid w:val="006B541D"/>
    <w:rsid w:val="006B7FB2"/>
    <w:rsid w:val="006D7836"/>
    <w:rsid w:val="006E1A0A"/>
    <w:rsid w:val="006E233B"/>
    <w:rsid w:val="007240DC"/>
    <w:rsid w:val="00735267"/>
    <w:rsid w:val="00741AF6"/>
    <w:rsid w:val="0074596D"/>
    <w:rsid w:val="007635E3"/>
    <w:rsid w:val="007660D8"/>
    <w:rsid w:val="007668E7"/>
    <w:rsid w:val="00793357"/>
    <w:rsid w:val="007B6C20"/>
    <w:rsid w:val="007F04C1"/>
    <w:rsid w:val="00834626"/>
    <w:rsid w:val="008E039C"/>
    <w:rsid w:val="008F5DF9"/>
    <w:rsid w:val="00972A96"/>
    <w:rsid w:val="00976D4D"/>
    <w:rsid w:val="00996741"/>
    <w:rsid w:val="009C330F"/>
    <w:rsid w:val="00AA7531"/>
    <w:rsid w:val="00AC366C"/>
    <w:rsid w:val="00AE7326"/>
    <w:rsid w:val="00B0143D"/>
    <w:rsid w:val="00B24AD6"/>
    <w:rsid w:val="00B830A5"/>
    <w:rsid w:val="00B830B4"/>
    <w:rsid w:val="00B9423A"/>
    <w:rsid w:val="00BD7D6C"/>
    <w:rsid w:val="00C83AD2"/>
    <w:rsid w:val="00C8562E"/>
    <w:rsid w:val="00CD3320"/>
    <w:rsid w:val="00CE507F"/>
    <w:rsid w:val="00CF16A7"/>
    <w:rsid w:val="00D136BC"/>
    <w:rsid w:val="00D67C99"/>
    <w:rsid w:val="00DB7328"/>
    <w:rsid w:val="00DC2454"/>
    <w:rsid w:val="00E72E91"/>
    <w:rsid w:val="00EB7AD2"/>
    <w:rsid w:val="00EC0D3B"/>
    <w:rsid w:val="00EE6717"/>
    <w:rsid w:val="00F040DE"/>
    <w:rsid w:val="00F64FD1"/>
    <w:rsid w:val="00F90239"/>
    <w:rsid w:val="00FB2165"/>
    <w:rsid w:val="00FB286B"/>
    <w:rsid w:val="00FB605E"/>
    <w:rsid w:val="00FF0B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A9D12"/>
  <w15:chartTrackingRefBased/>
  <w15:docId w15:val="{30A2CB10-0DF0-4A5F-884A-A3A680C52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4695"/>
    <w:pPr>
      <w:spacing w:after="80" w:line="240" w:lineRule="auto"/>
      <w:contextualSpacing/>
      <w:outlineLvl w:val="0"/>
    </w:pPr>
    <w:rPr>
      <w:rFonts w:ascii="Aptos Display" w:eastAsia="Times New Roman" w:hAnsi="Aptos Display" w:cs="Times New Roman"/>
      <w:sz w:val="40"/>
      <w:szCs w:val="40"/>
      <w:lang w:eastAsia="ja-JP"/>
      <w14:ligatures w14:val="none"/>
    </w:rPr>
  </w:style>
  <w:style w:type="paragraph" w:styleId="Heading2">
    <w:name w:val="heading 2"/>
    <w:basedOn w:val="Normal"/>
    <w:next w:val="Normal"/>
    <w:link w:val="Heading2Char"/>
    <w:uiPriority w:val="9"/>
    <w:semiHidden/>
    <w:unhideWhenUsed/>
    <w:qFormat/>
    <w:rsid w:val="002646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46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46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46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46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46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46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46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4695"/>
    <w:rPr>
      <w:rFonts w:ascii="Aptos Display" w:eastAsia="Times New Roman" w:hAnsi="Aptos Display" w:cs="Times New Roman"/>
      <w:sz w:val="40"/>
      <w:szCs w:val="40"/>
      <w:lang w:eastAsia="ja-JP"/>
      <w14:ligatures w14:val="none"/>
    </w:rPr>
  </w:style>
  <w:style w:type="character" w:customStyle="1" w:styleId="Heading2Char">
    <w:name w:val="Heading 2 Char"/>
    <w:basedOn w:val="DefaultParagraphFont"/>
    <w:link w:val="Heading2"/>
    <w:uiPriority w:val="9"/>
    <w:semiHidden/>
    <w:rsid w:val="002646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46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46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46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46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46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46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4695"/>
    <w:rPr>
      <w:rFonts w:eastAsiaTheme="majorEastAsia" w:cstheme="majorBidi"/>
      <w:color w:val="272727" w:themeColor="text1" w:themeTint="D8"/>
    </w:rPr>
  </w:style>
  <w:style w:type="paragraph" w:styleId="Title">
    <w:name w:val="Title"/>
    <w:basedOn w:val="Normal"/>
    <w:next w:val="Normal"/>
    <w:link w:val="TitleChar"/>
    <w:uiPriority w:val="10"/>
    <w:qFormat/>
    <w:rsid w:val="002646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46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46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46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4695"/>
    <w:pPr>
      <w:spacing w:before="160"/>
      <w:jc w:val="center"/>
    </w:pPr>
    <w:rPr>
      <w:i/>
      <w:iCs/>
      <w:color w:val="404040" w:themeColor="text1" w:themeTint="BF"/>
    </w:rPr>
  </w:style>
  <w:style w:type="character" w:customStyle="1" w:styleId="QuoteChar">
    <w:name w:val="Quote Char"/>
    <w:basedOn w:val="DefaultParagraphFont"/>
    <w:link w:val="Quote"/>
    <w:uiPriority w:val="29"/>
    <w:rsid w:val="00264695"/>
    <w:rPr>
      <w:i/>
      <w:iCs/>
      <w:color w:val="404040" w:themeColor="text1" w:themeTint="BF"/>
    </w:rPr>
  </w:style>
  <w:style w:type="paragraph" w:styleId="ListParagraph">
    <w:name w:val="List Paragraph"/>
    <w:basedOn w:val="Normal"/>
    <w:uiPriority w:val="34"/>
    <w:qFormat/>
    <w:rsid w:val="00264695"/>
    <w:pPr>
      <w:ind w:left="720"/>
      <w:contextualSpacing/>
    </w:pPr>
  </w:style>
  <w:style w:type="character" w:styleId="IntenseEmphasis">
    <w:name w:val="Intense Emphasis"/>
    <w:basedOn w:val="DefaultParagraphFont"/>
    <w:uiPriority w:val="21"/>
    <w:qFormat/>
    <w:rsid w:val="00264695"/>
    <w:rPr>
      <w:i/>
      <w:iCs/>
      <w:color w:val="0F4761" w:themeColor="accent1" w:themeShade="BF"/>
    </w:rPr>
  </w:style>
  <w:style w:type="paragraph" w:styleId="IntenseQuote">
    <w:name w:val="Intense Quote"/>
    <w:basedOn w:val="Normal"/>
    <w:next w:val="Normal"/>
    <w:link w:val="IntenseQuoteChar"/>
    <w:uiPriority w:val="30"/>
    <w:qFormat/>
    <w:rsid w:val="002646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4695"/>
    <w:rPr>
      <w:i/>
      <w:iCs/>
      <w:color w:val="0F4761" w:themeColor="accent1" w:themeShade="BF"/>
    </w:rPr>
  </w:style>
  <w:style w:type="character" w:styleId="IntenseReference">
    <w:name w:val="Intense Reference"/>
    <w:basedOn w:val="DefaultParagraphFont"/>
    <w:uiPriority w:val="32"/>
    <w:qFormat/>
    <w:rsid w:val="002646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736F1-E7D7-426B-9E25-7A77D5424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624</Words>
  <Characters>3558</Characters>
  <Application>Microsoft Office Word</Application>
  <DocSecurity>0</DocSecurity>
  <Lines>29</Lines>
  <Paragraphs>8</Paragraphs>
  <ScaleCrop>false</ScaleCrop>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Botwright</dc:creator>
  <cp:keywords/>
  <dc:description/>
  <cp:lastModifiedBy>Siobhan Botwright</cp:lastModifiedBy>
  <cp:revision>3</cp:revision>
  <dcterms:created xsi:type="dcterms:W3CDTF">2025-11-12T02:42:00Z</dcterms:created>
  <dcterms:modified xsi:type="dcterms:W3CDTF">2025-11-12T02:42:00Z</dcterms:modified>
</cp:coreProperties>
</file>