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0534" w14:textId="598ACB30" w:rsidR="00264695" w:rsidRPr="00E07359" w:rsidRDefault="009F29A2" w:rsidP="001115D3">
      <w:pPr>
        <w:pStyle w:val="Title"/>
      </w:pPr>
      <w:r>
        <w:t>Additional File</w:t>
      </w:r>
      <w:r w:rsidR="00264695" w:rsidRPr="00E07359">
        <w:t xml:space="preserve"> </w:t>
      </w:r>
      <w:r w:rsidR="008C0767">
        <w:t>6</w:t>
      </w:r>
      <w:r w:rsidR="00264695" w:rsidRPr="00E07359">
        <w:t xml:space="preserve">: </w:t>
      </w:r>
      <w:r w:rsidR="007721E9" w:rsidRPr="00E07359">
        <w:t>scenario analysis of policy options</w:t>
      </w:r>
    </w:p>
    <w:p w14:paraId="610F087C" w14:textId="77777777" w:rsidR="00264695" w:rsidRDefault="00264695" w:rsidP="00264695">
      <w:pPr>
        <w:rPr>
          <w:lang w:eastAsia="ja-JP"/>
        </w:rPr>
      </w:pPr>
    </w:p>
    <w:p w14:paraId="3F16AC58" w14:textId="4EC372FA" w:rsidR="00ED6FD6" w:rsidRDefault="00ED6FD6" w:rsidP="001B3BFA">
      <w:pPr>
        <w:pStyle w:val="Heading1"/>
      </w:pPr>
      <w:r>
        <w:t>Pre-authorisation policy</w:t>
      </w:r>
    </w:p>
    <w:p w14:paraId="758A6FD1" w14:textId="4E0A332D" w:rsidR="00ED6FD6" w:rsidRDefault="00ED6FD6" w:rsidP="00ED6FD6">
      <w:pPr>
        <w:rPr>
          <w:lang w:eastAsia="ja-JP"/>
        </w:rPr>
      </w:pPr>
      <w:r>
        <w:rPr>
          <w:lang w:eastAsia="ja-JP"/>
        </w:rPr>
        <w:t xml:space="preserve">The </w:t>
      </w:r>
      <w:r w:rsidR="00F3302A">
        <w:rPr>
          <w:lang w:eastAsia="ja-JP"/>
        </w:rPr>
        <w:t xml:space="preserve">projected impact of the pre-authorisation policy assumes that no CCC-suitable patients will initiate dialysis and that there will be no premature initiation of dialysis. Additionally, </w:t>
      </w:r>
      <w:r w:rsidR="00836BBF">
        <w:rPr>
          <w:lang w:eastAsia="ja-JP"/>
        </w:rPr>
        <w:t xml:space="preserve">the proportion of PD-eligible and HD other patients that select HD is moderated by level of </w:t>
      </w:r>
      <w:r w:rsidR="00F3302A">
        <w:rPr>
          <w:lang w:eastAsia="ja-JP"/>
        </w:rPr>
        <w:t xml:space="preserve">strain on </w:t>
      </w:r>
      <w:r w:rsidR="00BF14DF">
        <w:rPr>
          <w:lang w:eastAsia="ja-JP"/>
        </w:rPr>
        <w:t>haemodialysis (HD) and vascular access services.</w:t>
      </w:r>
    </w:p>
    <w:p w14:paraId="49974765" w14:textId="57EC49EC" w:rsidR="00ED6FD6" w:rsidRDefault="0072708B" w:rsidP="00ED6FD6">
      <w:pPr>
        <w:rPr>
          <w:lang w:eastAsia="ja-JP"/>
        </w:rPr>
      </w:pPr>
      <w:r>
        <w:rPr>
          <w:lang w:eastAsia="ja-JP"/>
        </w:rPr>
        <w:t xml:space="preserve">Under </w:t>
      </w:r>
      <w:r>
        <w:rPr>
          <w:b/>
          <w:bCs/>
          <w:lang w:eastAsia="ja-JP"/>
        </w:rPr>
        <w:t>scenario 1</w:t>
      </w:r>
      <w:r>
        <w:rPr>
          <w:lang w:eastAsia="ja-JP"/>
        </w:rPr>
        <w:t xml:space="preserve"> we consider the impact if the provincial committees did not account for supply</w:t>
      </w:r>
      <w:r w:rsidR="006D6D0C">
        <w:rPr>
          <w:lang w:eastAsia="ja-JP"/>
        </w:rPr>
        <w:t xml:space="preserve"> and instead only considered patient profile in their approval of dialysis initiation. Under </w:t>
      </w:r>
      <w:r w:rsidR="006D6D0C">
        <w:rPr>
          <w:b/>
          <w:bCs/>
          <w:lang w:eastAsia="ja-JP"/>
        </w:rPr>
        <w:t>scenario 2</w:t>
      </w:r>
      <w:r w:rsidR="006D6D0C">
        <w:rPr>
          <w:lang w:eastAsia="ja-JP"/>
        </w:rPr>
        <w:t xml:space="preserve">, </w:t>
      </w:r>
      <w:r w:rsidR="00CE759F">
        <w:rPr>
          <w:lang w:eastAsia="ja-JP"/>
        </w:rPr>
        <w:t>the model only incorporates HD supply constraints and not constraints in vascular access</w:t>
      </w:r>
      <w:r w:rsidR="00EF29FE">
        <w:rPr>
          <w:lang w:eastAsia="ja-JP"/>
        </w:rPr>
        <w:t xml:space="preserve"> supply</w:t>
      </w:r>
      <w:r w:rsidR="00CE759F">
        <w:rPr>
          <w:lang w:eastAsia="ja-JP"/>
        </w:rPr>
        <w:t xml:space="preserve">. </w:t>
      </w:r>
      <w:r w:rsidR="00E24BED" w:rsidRPr="00E24BED">
        <w:rPr>
          <w:b/>
          <w:bCs/>
          <w:lang w:eastAsia="ja-JP"/>
        </w:rPr>
        <w:t>S</w:t>
      </w:r>
      <w:r w:rsidR="00CE759F">
        <w:rPr>
          <w:b/>
          <w:bCs/>
          <w:lang w:eastAsia="ja-JP"/>
        </w:rPr>
        <w:t>cenario 3</w:t>
      </w:r>
      <w:r w:rsidR="00E24BED">
        <w:rPr>
          <w:lang w:eastAsia="ja-JP"/>
        </w:rPr>
        <w:t xml:space="preserve"> considers the impact if the provincial committees are very conservative in their estimates of available supply.</w:t>
      </w:r>
    </w:p>
    <w:p w14:paraId="18041078" w14:textId="77777777" w:rsidR="0039743F" w:rsidRPr="00ED6FD6" w:rsidRDefault="0039743F" w:rsidP="00ED6FD6">
      <w:pPr>
        <w:rPr>
          <w:lang w:eastAsia="ja-JP"/>
        </w:rPr>
      </w:pPr>
    </w:p>
    <w:p w14:paraId="335D6777" w14:textId="456B2329" w:rsidR="007635E3" w:rsidRDefault="007721E9" w:rsidP="00264695">
      <w:pPr>
        <w:rPr>
          <w:lang w:eastAsia="ja-JP"/>
        </w:rPr>
      </w:pPr>
      <w:r>
        <w:rPr>
          <w:b/>
          <w:bCs/>
          <w:lang w:eastAsia="ja-JP"/>
        </w:rPr>
        <w:t>Figure S</w:t>
      </w:r>
      <w:r w:rsidR="008C0767">
        <w:rPr>
          <w:b/>
          <w:bCs/>
          <w:lang w:eastAsia="ja-JP"/>
        </w:rPr>
        <w:t>6</w:t>
      </w:r>
      <w:r>
        <w:rPr>
          <w:b/>
          <w:bCs/>
          <w:lang w:eastAsia="ja-JP"/>
        </w:rPr>
        <w:t>a</w:t>
      </w:r>
      <w:r w:rsidR="00264695" w:rsidRPr="00FF0F71">
        <w:rPr>
          <w:b/>
          <w:bCs/>
          <w:lang w:eastAsia="ja-JP"/>
        </w:rPr>
        <w:t xml:space="preserve">. </w:t>
      </w:r>
      <w:r w:rsidR="00D12AF2">
        <w:rPr>
          <w:lang w:eastAsia="ja-JP"/>
        </w:rPr>
        <w:t xml:space="preserve">Scenario analysis for the pre-authorisation policy, showing the projected proportion of incident dialysis patients selecting </w:t>
      </w:r>
      <w:r w:rsidR="007A394F">
        <w:rPr>
          <w:lang w:eastAsia="ja-JP"/>
        </w:rPr>
        <w:t>peritoneal dialysis (PD) under different scenarios</w:t>
      </w:r>
      <w:r w:rsidR="0019758A">
        <w:rPr>
          <w:lang w:eastAsia="ja-JP"/>
        </w:rPr>
        <w:t>.</w:t>
      </w:r>
      <w:r w:rsidR="007A394F">
        <w:rPr>
          <w:lang w:eastAsia="ja-JP"/>
        </w:rPr>
        <w:t xml:space="preserve"> </w:t>
      </w:r>
    </w:p>
    <w:p w14:paraId="738D032E" w14:textId="5DE1B0AF" w:rsidR="006E49B9" w:rsidRPr="00FF0F71" w:rsidRDefault="00C627AC" w:rsidP="006E5387">
      <w:pPr>
        <w:spacing w:before="240"/>
        <w:rPr>
          <w:lang w:eastAsia="ja-JP"/>
        </w:rPr>
      </w:pPr>
      <w:r>
        <w:rPr>
          <w:noProof/>
          <w:lang w:eastAsia="ja-JP"/>
        </w:rPr>
        <w:drawing>
          <wp:inline distT="0" distB="0" distL="0" distR="0" wp14:anchorId="1101E1BB" wp14:editId="2AC18A41">
            <wp:extent cx="5934075" cy="3267075"/>
            <wp:effectExtent l="0" t="0" r="9525" b="9525"/>
            <wp:docPr id="14020414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3267075"/>
                    </a:xfrm>
                    <a:prstGeom prst="rect">
                      <a:avLst/>
                    </a:prstGeom>
                    <a:noFill/>
                    <a:ln>
                      <a:noFill/>
                    </a:ln>
                  </pic:spPr>
                </pic:pic>
              </a:graphicData>
            </a:graphic>
          </wp:inline>
        </w:drawing>
      </w:r>
    </w:p>
    <w:p w14:paraId="3A8CBBE8" w14:textId="151AA7C4" w:rsidR="00E36010" w:rsidRDefault="00E36010" w:rsidP="008B6070">
      <w:pPr>
        <w:spacing w:before="240"/>
        <w:rPr>
          <w:lang w:eastAsia="ja-JP"/>
        </w:rPr>
      </w:pPr>
    </w:p>
    <w:p w14:paraId="0978149B" w14:textId="5EBB40C5" w:rsidR="0039743F" w:rsidRDefault="0039743F">
      <w:pPr>
        <w:rPr>
          <w:lang w:eastAsia="ja-JP"/>
        </w:rPr>
      </w:pPr>
      <w:r>
        <w:rPr>
          <w:lang w:eastAsia="ja-JP"/>
        </w:rPr>
        <w:br w:type="page"/>
      </w:r>
    </w:p>
    <w:p w14:paraId="2389C2D3" w14:textId="262EFA31" w:rsidR="0039743F" w:rsidRDefault="0039743F" w:rsidP="001B3BFA">
      <w:pPr>
        <w:pStyle w:val="Heading1"/>
      </w:pPr>
      <w:r>
        <w:lastRenderedPageBreak/>
        <w:t>Doctor fee policy</w:t>
      </w:r>
    </w:p>
    <w:p w14:paraId="7703E513" w14:textId="404AEFE6" w:rsidR="0039743F" w:rsidRDefault="0039743F" w:rsidP="0039743F">
      <w:pPr>
        <w:rPr>
          <w:lang w:eastAsia="ja-JP"/>
        </w:rPr>
      </w:pPr>
      <w:r>
        <w:rPr>
          <w:lang w:eastAsia="ja-JP"/>
        </w:rPr>
        <w:t xml:space="preserve">The projected impact of the doctor fee policy assumes that the average doctor fee per patient per session will </w:t>
      </w:r>
      <w:r w:rsidR="00DA40F5">
        <w:rPr>
          <w:lang w:eastAsia="ja-JP"/>
        </w:rPr>
        <w:t xml:space="preserve">decrease immediately following the policy change, as </w:t>
      </w:r>
      <w:r w:rsidR="00A86AD0">
        <w:rPr>
          <w:lang w:eastAsia="ja-JP"/>
        </w:rPr>
        <w:t>each doctor can receive the doctor fee for fewer patients</w:t>
      </w:r>
      <w:r w:rsidR="00B9225E">
        <w:rPr>
          <w:lang w:eastAsia="ja-JP"/>
        </w:rPr>
        <w:t xml:space="preserve">. It also assumes a slower rate of increase of the doctor fee, </w:t>
      </w:r>
      <w:r w:rsidR="005246EE">
        <w:rPr>
          <w:lang w:eastAsia="ja-JP"/>
        </w:rPr>
        <w:t>since there is a constraint in number of patients per nephrologist</w:t>
      </w:r>
      <w:r>
        <w:rPr>
          <w:lang w:eastAsia="ja-JP"/>
        </w:rPr>
        <w:t>.</w:t>
      </w:r>
    </w:p>
    <w:p w14:paraId="6B781498" w14:textId="501C3B7D" w:rsidR="0039743F" w:rsidRPr="00B404F5" w:rsidRDefault="00E94D94" w:rsidP="0039743F">
      <w:pPr>
        <w:rPr>
          <w:lang w:eastAsia="ja-JP"/>
        </w:rPr>
      </w:pPr>
      <w:r>
        <w:rPr>
          <w:b/>
          <w:bCs/>
          <w:lang w:eastAsia="ja-JP"/>
        </w:rPr>
        <w:t xml:space="preserve">Scenario 1 </w:t>
      </w:r>
      <w:r>
        <w:rPr>
          <w:lang w:eastAsia="ja-JP"/>
        </w:rPr>
        <w:t>considers a scenario in which restrictions on the doctor fee reduce it to 0.</w:t>
      </w:r>
      <w:r w:rsidR="005537F6">
        <w:rPr>
          <w:lang w:eastAsia="ja-JP"/>
        </w:rPr>
        <w:t xml:space="preserve">1% of its prior amount </w:t>
      </w:r>
      <w:r w:rsidR="00EA2B7B">
        <w:rPr>
          <w:lang w:eastAsia="ja-JP"/>
        </w:rPr>
        <w:t>and prevent further increases in financial incentives for healthcare staff to recommend haemodialysis (HD) to patients</w:t>
      </w:r>
      <w:r w:rsidR="00AD22EB">
        <w:rPr>
          <w:lang w:eastAsia="ja-JP"/>
        </w:rPr>
        <w:t xml:space="preserve">. </w:t>
      </w:r>
      <w:r w:rsidR="00B404F5">
        <w:rPr>
          <w:b/>
          <w:bCs/>
          <w:lang w:eastAsia="ja-JP"/>
        </w:rPr>
        <w:t xml:space="preserve">Scenario 2 </w:t>
      </w:r>
      <w:r w:rsidR="00B404F5">
        <w:rPr>
          <w:lang w:eastAsia="ja-JP"/>
        </w:rPr>
        <w:t xml:space="preserve">considers the impact if </w:t>
      </w:r>
      <w:r w:rsidR="00C43C08">
        <w:rPr>
          <w:lang w:eastAsia="ja-JP"/>
        </w:rPr>
        <w:t>the</w:t>
      </w:r>
      <w:r w:rsidR="00B404F5">
        <w:rPr>
          <w:lang w:eastAsia="ja-JP"/>
        </w:rPr>
        <w:t xml:space="preserve"> average value of the doctor fee</w:t>
      </w:r>
      <w:r w:rsidR="00C43C08">
        <w:rPr>
          <w:lang w:eastAsia="ja-JP"/>
        </w:rPr>
        <w:t xml:space="preserve"> only decreases to </w:t>
      </w:r>
      <w:r w:rsidR="00B95F53">
        <w:rPr>
          <w:lang w:eastAsia="ja-JP"/>
        </w:rPr>
        <w:t>5</w:t>
      </w:r>
      <w:r w:rsidR="00C43C08">
        <w:rPr>
          <w:lang w:eastAsia="ja-JP"/>
        </w:rPr>
        <w:t xml:space="preserve">0% of its pre-policy </w:t>
      </w:r>
      <w:r w:rsidR="00F854F3">
        <w:rPr>
          <w:lang w:eastAsia="ja-JP"/>
        </w:rPr>
        <w:t>value</w:t>
      </w:r>
      <w:r w:rsidR="00304523">
        <w:rPr>
          <w:lang w:eastAsia="ja-JP"/>
        </w:rPr>
        <w:t xml:space="preserve"> (in this scenario the doctor fee may be considered in a broader</w:t>
      </w:r>
      <w:r w:rsidR="00F10577">
        <w:rPr>
          <w:lang w:eastAsia="ja-JP"/>
        </w:rPr>
        <w:t xml:space="preserve"> sense to incorporate the impact of speaker and consultation fees </w:t>
      </w:r>
      <w:r w:rsidR="00502BAF">
        <w:rPr>
          <w:lang w:eastAsia="ja-JP"/>
        </w:rPr>
        <w:t>to nephrologists, which has also been correlated with pharmaceutical prescribing in the US</w:t>
      </w:r>
      <w:r w:rsidR="001B3BFA">
        <w:rPr>
          <w:lang w:eastAsia="ja-JP"/>
        </w:rPr>
        <w:t xml:space="preserve"> </w:t>
      </w:r>
      <w:r w:rsidR="0026533D">
        <w:rPr>
          <w:color w:val="000000"/>
          <w:lang w:eastAsia="ja-JP"/>
        </w:rPr>
        <w:t>[63]</w:t>
      </w:r>
      <w:r w:rsidR="001B3BFA">
        <w:rPr>
          <w:lang w:eastAsia="ja-JP"/>
        </w:rPr>
        <w:t>)</w:t>
      </w:r>
      <w:r w:rsidR="00F854F3">
        <w:rPr>
          <w:lang w:eastAsia="ja-JP"/>
        </w:rPr>
        <w:t xml:space="preserve">. </w:t>
      </w:r>
      <w:r w:rsidR="00F854F3">
        <w:rPr>
          <w:b/>
          <w:bCs/>
          <w:lang w:eastAsia="ja-JP"/>
        </w:rPr>
        <w:t>S</w:t>
      </w:r>
      <w:r w:rsidR="00B404F5">
        <w:rPr>
          <w:b/>
          <w:bCs/>
          <w:lang w:eastAsia="ja-JP"/>
        </w:rPr>
        <w:t xml:space="preserve">cenario 3 </w:t>
      </w:r>
      <w:r w:rsidR="006F73AE">
        <w:rPr>
          <w:lang w:eastAsia="ja-JP"/>
        </w:rPr>
        <w:t>explores the impact if there is no change in the scaler determining rate of change of the doctor fee</w:t>
      </w:r>
      <w:r w:rsidR="005E2190">
        <w:rPr>
          <w:lang w:eastAsia="ja-JP"/>
        </w:rPr>
        <w:t>,</w:t>
      </w:r>
      <w:r w:rsidR="001F079D">
        <w:rPr>
          <w:lang w:eastAsia="ja-JP"/>
        </w:rPr>
        <w:t xml:space="preserve"> meaning that the </w:t>
      </w:r>
      <w:r w:rsidR="00697A0E">
        <w:rPr>
          <w:lang w:eastAsia="ja-JP"/>
        </w:rPr>
        <w:t>doctor fee continues to increase at the same rate as the base case</w:t>
      </w:r>
      <w:r w:rsidR="002D079B">
        <w:rPr>
          <w:lang w:eastAsia="ja-JP"/>
        </w:rPr>
        <w:t>.</w:t>
      </w:r>
    </w:p>
    <w:p w14:paraId="78BAED72" w14:textId="77777777" w:rsidR="0039743F" w:rsidRPr="00C3082A" w:rsidRDefault="0039743F" w:rsidP="0039743F">
      <w:pPr>
        <w:rPr>
          <w:lang w:eastAsia="ja-JP"/>
        </w:rPr>
      </w:pPr>
    </w:p>
    <w:p w14:paraId="363433B6" w14:textId="7709BDE0" w:rsidR="0039743F" w:rsidRDefault="0039743F" w:rsidP="0039743F">
      <w:pPr>
        <w:rPr>
          <w:lang w:eastAsia="ja-JP"/>
        </w:rPr>
      </w:pPr>
      <w:r>
        <w:rPr>
          <w:b/>
          <w:bCs/>
          <w:lang w:eastAsia="ja-JP"/>
        </w:rPr>
        <w:t>Figure S</w:t>
      </w:r>
      <w:r w:rsidR="008C0767">
        <w:rPr>
          <w:b/>
          <w:bCs/>
          <w:lang w:eastAsia="ja-JP"/>
        </w:rPr>
        <w:t>6</w:t>
      </w:r>
      <w:r>
        <w:rPr>
          <w:b/>
          <w:bCs/>
          <w:lang w:eastAsia="ja-JP"/>
        </w:rPr>
        <w:t>b</w:t>
      </w:r>
      <w:r w:rsidRPr="00FF0F71">
        <w:rPr>
          <w:b/>
          <w:bCs/>
          <w:lang w:eastAsia="ja-JP"/>
        </w:rPr>
        <w:t xml:space="preserve">. </w:t>
      </w:r>
      <w:r>
        <w:rPr>
          <w:lang w:eastAsia="ja-JP"/>
        </w:rPr>
        <w:t xml:space="preserve">Scenario analysis for the doctor fee policy, showing the projected proportion of incident dialysis patients selecting peritoneal dialysis (PD) under different scenarios. </w:t>
      </w:r>
    </w:p>
    <w:p w14:paraId="0BB0AC5B" w14:textId="68397606" w:rsidR="0039743F" w:rsidRPr="00FF0F71" w:rsidRDefault="004268E5" w:rsidP="0039743F">
      <w:pPr>
        <w:spacing w:before="240"/>
        <w:rPr>
          <w:lang w:eastAsia="ja-JP"/>
        </w:rPr>
      </w:pPr>
      <w:r>
        <w:rPr>
          <w:noProof/>
          <w:lang w:eastAsia="ja-JP"/>
        </w:rPr>
        <w:drawing>
          <wp:inline distT="0" distB="0" distL="0" distR="0" wp14:anchorId="06E35C10" wp14:editId="280F2635">
            <wp:extent cx="5934075" cy="3648075"/>
            <wp:effectExtent l="0" t="0" r="9525" b="9525"/>
            <wp:docPr id="1082693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3648075"/>
                    </a:xfrm>
                    <a:prstGeom prst="rect">
                      <a:avLst/>
                    </a:prstGeom>
                    <a:noFill/>
                    <a:ln>
                      <a:noFill/>
                    </a:ln>
                  </pic:spPr>
                </pic:pic>
              </a:graphicData>
            </a:graphic>
          </wp:inline>
        </w:drawing>
      </w:r>
    </w:p>
    <w:p w14:paraId="50B0A3D3" w14:textId="77777777" w:rsidR="0039743F" w:rsidRDefault="0039743F" w:rsidP="008B6070">
      <w:pPr>
        <w:spacing w:before="240"/>
        <w:rPr>
          <w:lang w:eastAsia="ja-JP"/>
        </w:rPr>
      </w:pPr>
    </w:p>
    <w:p w14:paraId="2172BC7A" w14:textId="49B54D7E" w:rsidR="002D079B" w:rsidRDefault="002D079B">
      <w:pPr>
        <w:rPr>
          <w:lang w:eastAsia="ja-JP"/>
        </w:rPr>
      </w:pPr>
      <w:r>
        <w:rPr>
          <w:lang w:eastAsia="ja-JP"/>
        </w:rPr>
        <w:br w:type="page"/>
      </w:r>
    </w:p>
    <w:p w14:paraId="5546F7BC" w14:textId="58562769" w:rsidR="002D079B" w:rsidRDefault="002D079B" w:rsidP="001B3BFA">
      <w:pPr>
        <w:pStyle w:val="Heading1"/>
      </w:pPr>
      <w:r>
        <w:lastRenderedPageBreak/>
        <w:t>Education policy</w:t>
      </w:r>
    </w:p>
    <w:p w14:paraId="1E9AD1FF" w14:textId="341809E5" w:rsidR="002D079B" w:rsidRDefault="002D079B" w:rsidP="002D079B">
      <w:pPr>
        <w:rPr>
          <w:lang w:eastAsia="ja-JP"/>
        </w:rPr>
      </w:pPr>
      <w:r>
        <w:rPr>
          <w:lang w:eastAsia="ja-JP"/>
        </w:rPr>
        <w:t xml:space="preserve">The projected impact of the education policy assumes that it will reduce by 50% the number of PD-eligible and CCC-suitable patients who </w:t>
      </w:r>
      <w:r w:rsidR="00E86CEF">
        <w:rPr>
          <w:lang w:eastAsia="ja-JP"/>
        </w:rPr>
        <w:t>will always have a preference for HD</w:t>
      </w:r>
      <w:r w:rsidR="00A46012">
        <w:rPr>
          <w:lang w:eastAsia="ja-JP"/>
        </w:rPr>
        <w:t xml:space="preserve"> (i.e. </w:t>
      </w:r>
      <w:r w:rsidR="00E86CEF">
        <w:rPr>
          <w:lang w:eastAsia="ja-JP"/>
        </w:rPr>
        <w:t>even with low rates of peritonitis and no doctor fee</w:t>
      </w:r>
      <w:r w:rsidR="00A46012">
        <w:rPr>
          <w:lang w:eastAsia="ja-JP"/>
        </w:rPr>
        <w:t>)</w:t>
      </w:r>
      <w:r>
        <w:rPr>
          <w:lang w:eastAsia="ja-JP"/>
        </w:rPr>
        <w:t>.</w:t>
      </w:r>
    </w:p>
    <w:p w14:paraId="3476F04A" w14:textId="2D9EC0C6" w:rsidR="002D079B" w:rsidRDefault="006508BF" w:rsidP="002D079B">
      <w:pPr>
        <w:rPr>
          <w:lang w:eastAsia="ja-JP"/>
        </w:rPr>
      </w:pPr>
      <w:r>
        <w:rPr>
          <w:b/>
          <w:bCs/>
          <w:lang w:eastAsia="ja-JP"/>
        </w:rPr>
        <w:t>Scenarios 1 and 2</w:t>
      </w:r>
      <w:r>
        <w:rPr>
          <w:lang w:eastAsia="ja-JP"/>
        </w:rPr>
        <w:t xml:space="preserve"> show the impact with lower or higher effectiveness in influencing patient preference towards a more suitable dialysis option, respectively. </w:t>
      </w:r>
      <w:r w:rsidR="008813A2" w:rsidRPr="008813A2">
        <w:rPr>
          <w:lang w:eastAsia="ja-JP"/>
        </w:rPr>
        <w:t xml:space="preserve">Under </w:t>
      </w:r>
      <w:r w:rsidR="008813A2">
        <w:rPr>
          <w:b/>
          <w:bCs/>
          <w:lang w:eastAsia="ja-JP"/>
        </w:rPr>
        <w:t xml:space="preserve">scenario </w:t>
      </w:r>
      <w:r w:rsidR="007F403E">
        <w:rPr>
          <w:b/>
          <w:bCs/>
          <w:lang w:eastAsia="ja-JP"/>
        </w:rPr>
        <w:t>3</w:t>
      </w:r>
      <w:r w:rsidR="008813A2">
        <w:rPr>
          <w:lang w:eastAsia="ja-JP"/>
        </w:rPr>
        <w:t xml:space="preserve">, </w:t>
      </w:r>
      <w:r w:rsidR="00463EA5">
        <w:rPr>
          <w:lang w:eastAsia="ja-JP"/>
        </w:rPr>
        <w:t>education by a multi-disciplinary team is also modelled to reduce the impact of the doctor fee on patient decisions, as other healthcare professionals aside from the nephrologist are involved in decision-making</w:t>
      </w:r>
      <w:r w:rsidR="002B1492">
        <w:rPr>
          <w:lang w:eastAsia="ja-JP"/>
        </w:rPr>
        <w:t xml:space="preserve">, thereby </w:t>
      </w:r>
      <w:r w:rsidR="0002381E">
        <w:rPr>
          <w:lang w:eastAsia="ja-JP"/>
        </w:rPr>
        <w:t xml:space="preserve">addressing the information asymmetry between private providers and consumers </w:t>
      </w:r>
      <w:r w:rsidR="0026533D">
        <w:rPr>
          <w:color w:val="000000"/>
          <w:lang w:eastAsia="ja-JP"/>
        </w:rPr>
        <w:t>[7]</w:t>
      </w:r>
      <w:r w:rsidR="00463EA5">
        <w:rPr>
          <w:lang w:eastAsia="ja-JP"/>
        </w:rPr>
        <w:t xml:space="preserve">. </w:t>
      </w:r>
      <w:r w:rsidR="00463EA5">
        <w:rPr>
          <w:b/>
          <w:bCs/>
          <w:lang w:eastAsia="ja-JP"/>
        </w:rPr>
        <w:t xml:space="preserve">Scenario </w:t>
      </w:r>
      <w:r w:rsidR="007F403E">
        <w:rPr>
          <w:b/>
          <w:bCs/>
          <w:lang w:eastAsia="ja-JP"/>
        </w:rPr>
        <w:t>4</w:t>
      </w:r>
      <w:r w:rsidR="00463EA5">
        <w:rPr>
          <w:b/>
          <w:bCs/>
          <w:lang w:eastAsia="ja-JP"/>
        </w:rPr>
        <w:t xml:space="preserve"> </w:t>
      </w:r>
      <w:r w:rsidR="00463EA5">
        <w:rPr>
          <w:lang w:eastAsia="ja-JP"/>
        </w:rPr>
        <w:t xml:space="preserve">considers what would happen if, in response to scenario 1, </w:t>
      </w:r>
      <w:r w:rsidR="00446EFF">
        <w:rPr>
          <w:lang w:eastAsia="ja-JP"/>
        </w:rPr>
        <w:t>private service providers develop incentives for other healthcare professionals to recommend HD</w:t>
      </w:r>
      <w:r w:rsidR="002D079B">
        <w:rPr>
          <w:lang w:eastAsia="ja-JP"/>
        </w:rPr>
        <w:t>.</w:t>
      </w:r>
    </w:p>
    <w:p w14:paraId="51ED19C1" w14:textId="77777777" w:rsidR="002D079B" w:rsidRPr="00C3082A" w:rsidRDefault="002D079B" w:rsidP="002D079B">
      <w:pPr>
        <w:rPr>
          <w:lang w:eastAsia="ja-JP"/>
        </w:rPr>
      </w:pPr>
    </w:p>
    <w:p w14:paraId="1001D6E9" w14:textId="0CD0C7F7" w:rsidR="002D079B" w:rsidRDefault="002D079B" w:rsidP="002D079B">
      <w:pPr>
        <w:rPr>
          <w:lang w:eastAsia="ja-JP"/>
        </w:rPr>
      </w:pPr>
      <w:r>
        <w:rPr>
          <w:b/>
          <w:bCs/>
          <w:lang w:eastAsia="ja-JP"/>
        </w:rPr>
        <w:t>Figure S</w:t>
      </w:r>
      <w:r w:rsidR="008C0767">
        <w:rPr>
          <w:b/>
          <w:bCs/>
          <w:lang w:eastAsia="ja-JP"/>
        </w:rPr>
        <w:t>6</w:t>
      </w:r>
      <w:r>
        <w:rPr>
          <w:b/>
          <w:bCs/>
          <w:lang w:eastAsia="ja-JP"/>
        </w:rPr>
        <w:t>c</w:t>
      </w:r>
      <w:r w:rsidRPr="00FF0F71">
        <w:rPr>
          <w:b/>
          <w:bCs/>
          <w:lang w:eastAsia="ja-JP"/>
        </w:rPr>
        <w:t xml:space="preserve">. </w:t>
      </w:r>
      <w:r>
        <w:rPr>
          <w:lang w:eastAsia="ja-JP"/>
        </w:rPr>
        <w:t xml:space="preserve">Scenario analysis for the </w:t>
      </w:r>
      <w:r w:rsidR="00446EFF">
        <w:rPr>
          <w:lang w:eastAsia="ja-JP"/>
        </w:rPr>
        <w:t>education</w:t>
      </w:r>
      <w:r>
        <w:rPr>
          <w:lang w:eastAsia="ja-JP"/>
        </w:rPr>
        <w:t xml:space="preserve"> policy, showing the projected proportion of incident dialysis patients selecting peritoneal dialysis (PD) under different scenarios. </w:t>
      </w:r>
    </w:p>
    <w:p w14:paraId="319E5B4C" w14:textId="14723F08" w:rsidR="002D079B" w:rsidRPr="00FF0F71" w:rsidRDefault="0099180E" w:rsidP="002D079B">
      <w:pPr>
        <w:spacing w:before="240"/>
        <w:rPr>
          <w:lang w:eastAsia="ja-JP"/>
        </w:rPr>
      </w:pPr>
      <w:r>
        <w:rPr>
          <w:noProof/>
          <w:lang w:eastAsia="ja-JP"/>
        </w:rPr>
        <w:drawing>
          <wp:inline distT="0" distB="0" distL="0" distR="0" wp14:anchorId="7DE8CB67" wp14:editId="42E4468F">
            <wp:extent cx="5934075" cy="2867025"/>
            <wp:effectExtent l="0" t="0" r="9525" b="9525"/>
            <wp:docPr id="1067882797" name="Picture 7"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82797" name="Picture 7" descr="A graph with different colored line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2867025"/>
                    </a:xfrm>
                    <a:prstGeom prst="rect">
                      <a:avLst/>
                    </a:prstGeom>
                    <a:noFill/>
                    <a:ln>
                      <a:noFill/>
                    </a:ln>
                  </pic:spPr>
                </pic:pic>
              </a:graphicData>
            </a:graphic>
          </wp:inline>
        </w:drawing>
      </w:r>
    </w:p>
    <w:p w14:paraId="4B6AA4F4" w14:textId="2382E5C0" w:rsidR="0099180E" w:rsidRDefault="0099180E">
      <w:pPr>
        <w:rPr>
          <w:lang w:eastAsia="ja-JP"/>
        </w:rPr>
      </w:pPr>
      <w:r>
        <w:rPr>
          <w:lang w:eastAsia="ja-JP"/>
        </w:rPr>
        <w:br w:type="page"/>
      </w:r>
    </w:p>
    <w:p w14:paraId="4CE8B640" w14:textId="6ED03113" w:rsidR="0099180E" w:rsidRDefault="0099180E" w:rsidP="001B3BFA">
      <w:pPr>
        <w:pStyle w:val="Heading1"/>
      </w:pPr>
      <w:r>
        <w:lastRenderedPageBreak/>
        <w:t>Quality-based payment policy</w:t>
      </w:r>
    </w:p>
    <w:p w14:paraId="16A48C8B" w14:textId="39DF288B" w:rsidR="0099180E" w:rsidRDefault="0099180E" w:rsidP="0099180E">
      <w:pPr>
        <w:rPr>
          <w:lang w:eastAsia="ja-JP"/>
        </w:rPr>
      </w:pPr>
      <w:r>
        <w:rPr>
          <w:lang w:eastAsia="ja-JP"/>
        </w:rPr>
        <w:t xml:space="preserve">Under the quality-based payment policy, the </w:t>
      </w:r>
      <w:r w:rsidR="00AB65FB">
        <w:rPr>
          <w:lang w:eastAsia="ja-JP"/>
        </w:rPr>
        <w:t>projection assumes that increases in death rate above baseline lead to an improvement in quality of services (which is measured as a stock, or accumulation)</w:t>
      </w:r>
      <w:r w:rsidR="008F251C">
        <w:rPr>
          <w:lang w:eastAsia="ja-JP"/>
        </w:rPr>
        <w:t xml:space="preserve">, </w:t>
      </w:r>
      <w:r w:rsidR="00862113">
        <w:rPr>
          <w:lang w:eastAsia="ja-JP"/>
        </w:rPr>
        <w:t>which in turn reduces average amount of the doctor fee (as more money is spent on service provision).</w:t>
      </w:r>
    </w:p>
    <w:p w14:paraId="41B07B6D" w14:textId="57BF9628" w:rsidR="0099180E" w:rsidRPr="00F62BB9" w:rsidRDefault="009F09B4" w:rsidP="0099180E">
      <w:pPr>
        <w:rPr>
          <w:lang w:eastAsia="ja-JP"/>
        </w:rPr>
      </w:pPr>
      <w:r>
        <w:rPr>
          <w:lang w:eastAsia="ja-JP"/>
        </w:rPr>
        <w:t xml:space="preserve">Under </w:t>
      </w:r>
      <w:r>
        <w:rPr>
          <w:b/>
          <w:bCs/>
          <w:lang w:eastAsia="ja-JP"/>
        </w:rPr>
        <w:t>scenario 1</w:t>
      </w:r>
      <w:r>
        <w:rPr>
          <w:lang w:eastAsia="ja-JP"/>
        </w:rPr>
        <w:t>,</w:t>
      </w:r>
      <w:r w:rsidR="00C45DC8">
        <w:rPr>
          <w:lang w:eastAsia="ja-JP"/>
        </w:rPr>
        <w:t xml:space="preserve"> we consider the impact if the policy has no effect on the average doctor fee</w:t>
      </w:r>
      <w:r w:rsidR="00EE45FF">
        <w:rPr>
          <w:lang w:eastAsia="ja-JP"/>
        </w:rPr>
        <w:t xml:space="preserve">. </w:t>
      </w:r>
      <w:r w:rsidR="00EE45FF">
        <w:rPr>
          <w:b/>
          <w:bCs/>
          <w:lang w:eastAsia="ja-JP"/>
        </w:rPr>
        <w:t xml:space="preserve">Scenario 2 </w:t>
      </w:r>
      <w:r w:rsidR="00522335">
        <w:rPr>
          <w:lang w:eastAsia="ja-JP"/>
        </w:rPr>
        <w:t>shows a scenario with greater impact on both reduction in excess death rates and</w:t>
      </w:r>
      <w:r w:rsidR="00D35F82">
        <w:rPr>
          <w:lang w:eastAsia="ja-JP"/>
        </w:rPr>
        <w:t xml:space="preserve"> impact on the doctor fee, whereas </w:t>
      </w:r>
      <w:r w:rsidR="00D35F82">
        <w:rPr>
          <w:b/>
          <w:bCs/>
          <w:lang w:eastAsia="ja-JP"/>
        </w:rPr>
        <w:t xml:space="preserve">scenario 3 </w:t>
      </w:r>
      <w:r w:rsidR="001621D3">
        <w:rPr>
          <w:lang w:eastAsia="ja-JP"/>
        </w:rPr>
        <w:t>models a greater impact in reducing death rates</w:t>
      </w:r>
      <w:r w:rsidR="003B1C68">
        <w:rPr>
          <w:lang w:eastAsia="ja-JP"/>
        </w:rPr>
        <w:t xml:space="preserve"> but a lower impact on the doctor fee</w:t>
      </w:r>
      <w:r w:rsidR="0099180E">
        <w:rPr>
          <w:lang w:eastAsia="ja-JP"/>
        </w:rPr>
        <w:t>.</w:t>
      </w:r>
      <w:r w:rsidR="00F62BB9">
        <w:rPr>
          <w:lang w:eastAsia="ja-JP"/>
        </w:rPr>
        <w:t xml:space="preserve"> </w:t>
      </w:r>
      <w:r w:rsidR="00F62BB9">
        <w:rPr>
          <w:b/>
          <w:bCs/>
          <w:lang w:eastAsia="ja-JP"/>
        </w:rPr>
        <w:t xml:space="preserve">Scenario 4 </w:t>
      </w:r>
      <w:r w:rsidR="00F62BB9">
        <w:rPr>
          <w:lang w:eastAsia="ja-JP"/>
        </w:rPr>
        <w:t>considers a scenario in which pay-for-performance targets are not adjusted by case mix</w:t>
      </w:r>
      <w:r w:rsidR="00C62442">
        <w:rPr>
          <w:lang w:eastAsia="ja-JP"/>
        </w:rPr>
        <w:t xml:space="preserve">, leading to private centres improving outcomes through </w:t>
      </w:r>
      <w:r w:rsidR="00822FE6">
        <w:rPr>
          <w:lang w:eastAsia="ja-JP"/>
        </w:rPr>
        <w:t>cherry picking patients</w:t>
      </w:r>
      <w:r w:rsidR="00515CD9">
        <w:rPr>
          <w:lang w:eastAsia="ja-JP"/>
        </w:rPr>
        <w:t xml:space="preserve"> </w:t>
      </w:r>
      <w:r w:rsidR="0026533D">
        <w:rPr>
          <w:color w:val="000000"/>
          <w:lang w:eastAsia="ja-JP"/>
        </w:rPr>
        <w:t>[11]</w:t>
      </w:r>
      <w:r w:rsidR="00822FE6">
        <w:rPr>
          <w:lang w:eastAsia="ja-JP"/>
        </w:rPr>
        <w:t>, with patients with many co-morbidities referred to public hospitals</w:t>
      </w:r>
      <w:r w:rsidR="00515CD9">
        <w:rPr>
          <w:lang w:eastAsia="ja-JP"/>
        </w:rPr>
        <w:t>.</w:t>
      </w:r>
    </w:p>
    <w:p w14:paraId="2A7BD0A7" w14:textId="77777777" w:rsidR="0099180E" w:rsidRPr="00C3082A" w:rsidRDefault="0099180E" w:rsidP="0099180E">
      <w:pPr>
        <w:rPr>
          <w:lang w:eastAsia="ja-JP"/>
        </w:rPr>
      </w:pPr>
    </w:p>
    <w:p w14:paraId="6B005827" w14:textId="08C6A132" w:rsidR="0099180E" w:rsidRDefault="0099180E" w:rsidP="0099180E">
      <w:pPr>
        <w:rPr>
          <w:lang w:eastAsia="ja-JP"/>
        </w:rPr>
      </w:pPr>
      <w:r>
        <w:rPr>
          <w:b/>
          <w:bCs/>
          <w:lang w:eastAsia="ja-JP"/>
        </w:rPr>
        <w:t>Figure S</w:t>
      </w:r>
      <w:r w:rsidR="008C0767">
        <w:rPr>
          <w:b/>
          <w:bCs/>
          <w:lang w:eastAsia="ja-JP"/>
        </w:rPr>
        <w:t>6</w:t>
      </w:r>
      <w:r w:rsidR="00AC33DC">
        <w:rPr>
          <w:b/>
          <w:bCs/>
          <w:lang w:eastAsia="ja-JP"/>
        </w:rPr>
        <w:t>d</w:t>
      </w:r>
      <w:r w:rsidRPr="00FF0F71">
        <w:rPr>
          <w:b/>
          <w:bCs/>
          <w:lang w:eastAsia="ja-JP"/>
        </w:rPr>
        <w:t xml:space="preserve">. </w:t>
      </w:r>
      <w:r>
        <w:rPr>
          <w:lang w:eastAsia="ja-JP"/>
        </w:rPr>
        <w:t xml:space="preserve">Scenario analysis for the </w:t>
      </w:r>
      <w:r w:rsidR="00AC33DC">
        <w:rPr>
          <w:lang w:eastAsia="ja-JP"/>
        </w:rPr>
        <w:t>quality-based payment</w:t>
      </w:r>
      <w:r>
        <w:rPr>
          <w:lang w:eastAsia="ja-JP"/>
        </w:rPr>
        <w:t xml:space="preserve"> policy, showing the projected proportion of incident dialysis patients selecting peritoneal dialysis (PD) under different scenarios. </w:t>
      </w:r>
    </w:p>
    <w:p w14:paraId="6FB4AEA5" w14:textId="19D600AF" w:rsidR="002D079B" w:rsidRDefault="00E01358" w:rsidP="008B6070">
      <w:pPr>
        <w:spacing w:before="240"/>
        <w:rPr>
          <w:lang w:eastAsia="ja-JP"/>
        </w:rPr>
      </w:pPr>
      <w:r>
        <w:rPr>
          <w:noProof/>
          <w:lang w:eastAsia="ja-JP"/>
        </w:rPr>
        <w:drawing>
          <wp:inline distT="0" distB="0" distL="0" distR="0" wp14:anchorId="0502FF72" wp14:editId="075C6F3E">
            <wp:extent cx="6383391" cy="3924300"/>
            <wp:effectExtent l="0" t="0" r="0" b="0"/>
            <wp:docPr id="677162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6031" cy="3925923"/>
                    </a:xfrm>
                    <a:prstGeom prst="rect">
                      <a:avLst/>
                    </a:prstGeom>
                    <a:noFill/>
                    <a:ln>
                      <a:noFill/>
                    </a:ln>
                  </pic:spPr>
                </pic:pic>
              </a:graphicData>
            </a:graphic>
          </wp:inline>
        </w:drawing>
      </w:r>
    </w:p>
    <w:p w14:paraId="10825E1E" w14:textId="7461645C" w:rsidR="00826460" w:rsidRDefault="00826460">
      <w:pPr>
        <w:rPr>
          <w:lang w:eastAsia="ja-JP"/>
        </w:rPr>
      </w:pPr>
      <w:r>
        <w:rPr>
          <w:lang w:eastAsia="ja-JP"/>
        </w:rPr>
        <w:br w:type="page"/>
      </w:r>
    </w:p>
    <w:p w14:paraId="73324863" w14:textId="1A768380" w:rsidR="00826460" w:rsidRDefault="00826460" w:rsidP="001B3BFA">
      <w:pPr>
        <w:pStyle w:val="Heading1"/>
      </w:pPr>
      <w:r>
        <w:lastRenderedPageBreak/>
        <w:t xml:space="preserve">Global </w:t>
      </w:r>
      <w:r w:rsidRPr="001B3BFA">
        <w:t>budget</w:t>
      </w:r>
      <w:r>
        <w:t xml:space="preserve"> policy</w:t>
      </w:r>
    </w:p>
    <w:p w14:paraId="6B0FF386" w14:textId="604317E3" w:rsidR="00826460" w:rsidRDefault="00826460" w:rsidP="00826460">
      <w:pPr>
        <w:rPr>
          <w:lang w:eastAsia="ja-JP"/>
        </w:rPr>
      </w:pPr>
      <w:r>
        <w:rPr>
          <w:lang w:eastAsia="ja-JP"/>
        </w:rPr>
        <w:t xml:space="preserve">The global budget policy is modelled </w:t>
      </w:r>
      <w:r w:rsidR="005D489A">
        <w:rPr>
          <w:lang w:eastAsia="ja-JP"/>
        </w:rPr>
        <w:t xml:space="preserve">to </w:t>
      </w:r>
      <w:r w:rsidR="00A25888">
        <w:rPr>
          <w:lang w:eastAsia="ja-JP"/>
        </w:rPr>
        <w:t xml:space="preserve">affect </w:t>
      </w:r>
      <w:r w:rsidR="00C61FC2">
        <w:rPr>
          <w:lang w:eastAsia="ja-JP"/>
        </w:rPr>
        <w:t>HD supply and quality of care, as has been documented in the literature</w:t>
      </w:r>
      <w:r w:rsidR="003B4516">
        <w:rPr>
          <w:lang w:eastAsia="ja-JP"/>
        </w:rPr>
        <w:t xml:space="preserve"> [9, 10]</w:t>
      </w:r>
      <w:r w:rsidR="00C61FC2">
        <w:rPr>
          <w:lang w:eastAsia="ja-JP"/>
        </w:rPr>
        <w:t xml:space="preserve">. </w:t>
      </w:r>
      <w:r w:rsidR="005D489A">
        <w:rPr>
          <w:lang w:eastAsia="ja-JP"/>
        </w:rPr>
        <w:t xml:space="preserve">stop increases in HD supply (due to the poor business case) and </w:t>
      </w:r>
      <w:r w:rsidR="00267ED0">
        <w:rPr>
          <w:lang w:eastAsia="ja-JP"/>
        </w:rPr>
        <w:t xml:space="preserve">strain on the HD system is therefore modelled in terms of absolute difference </w:t>
      </w:r>
      <w:r w:rsidR="00791AAA">
        <w:rPr>
          <w:lang w:eastAsia="ja-JP"/>
        </w:rPr>
        <w:t xml:space="preserve">in number of patients </w:t>
      </w:r>
      <w:r w:rsidR="00267ED0">
        <w:rPr>
          <w:lang w:eastAsia="ja-JP"/>
        </w:rPr>
        <w:t xml:space="preserve">relative to system capacity, with an assumption that </w:t>
      </w:r>
      <w:r w:rsidR="002E1CA6">
        <w:rPr>
          <w:lang w:eastAsia="ja-JP"/>
        </w:rPr>
        <w:t xml:space="preserve">75% capacity would be filled at the time of policy implementation and no centres would close. Increased strain on the system decreases quality of care, as before, but also affects access to </w:t>
      </w:r>
      <w:r w:rsidR="00A25B56">
        <w:rPr>
          <w:lang w:eastAsia="ja-JP"/>
        </w:rPr>
        <w:t>HD, as supply is modelled not to increase with number of patients.</w:t>
      </w:r>
    </w:p>
    <w:p w14:paraId="5DFE5BBB" w14:textId="731CD6F2" w:rsidR="00826460" w:rsidRDefault="00A25B56" w:rsidP="00DE76A9">
      <w:pPr>
        <w:rPr>
          <w:lang w:eastAsia="ja-JP"/>
        </w:rPr>
      </w:pPr>
      <w:r>
        <w:rPr>
          <w:b/>
          <w:bCs/>
          <w:lang w:eastAsia="ja-JP"/>
        </w:rPr>
        <w:t xml:space="preserve">Scenario 1 </w:t>
      </w:r>
      <w:r w:rsidR="00D57081">
        <w:rPr>
          <w:lang w:eastAsia="ja-JP"/>
        </w:rPr>
        <w:t xml:space="preserve">explores the impact if global budget were coupled with bundle payments that make PD and CCC just as profitable as HD. </w:t>
      </w:r>
      <w:r w:rsidR="00D57081">
        <w:rPr>
          <w:b/>
          <w:bCs/>
          <w:lang w:eastAsia="ja-JP"/>
        </w:rPr>
        <w:t xml:space="preserve">Scenario 2 </w:t>
      </w:r>
      <w:r w:rsidR="00D57081">
        <w:rPr>
          <w:lang w:eastAsia="ja-JP"/>
        </w:rPr>
        <w:t>considers a scenario in which</w:t>
      </w:r>
      <w:r w:rsidR="00F1033E">
        <w:rPr>
          <w:lang w:eastAsia="ja-JP"/>
        </w:rPr>
        <w:t xml:space="preserve"> the excess of HD patients relative to supply leads to a reduction in payment of the doctor fee over time. </w:t>
      </w:r>
      <w:r w:rsidR="00F1033E">
        <w:rPr>
          <w:b/>
          <w:bCs/>
          <w:lang w:eastAsia="ja-JP"/>
        </w:rPr>
        <w:t>Scenario 3</w:t>
      </w:r>
      <w:r w:rsidR="005D0477">
        <w:rPr>
          <w:b/>
          <w:bCs/>
          <w:lang w:eastAsia="ja-JP"/>
        </w:rPr>
        <w:t xml:space="preserve"> </w:t>
      </w:r>
      <w:r w:rsidR="005D0477">
        <w:rPr>
          <w:lang w:eastAsia="ja-JP"/>
        </w:rPr>
        <w:t xml:space="preserve">explores the effect if </w:t>
      </w:r>
      <w:r w:rsidR="00A06320">
        <w:rPr>
          <w:lang w:eastAsia="ja-JP"/>
        </w:rPr>
        <w:t>the global budget does not include case adjustment</w:t>
      </w:r>
      <w:r w:rsidR="00AF2E32">
        <w:rPr>
          <w:lang w:eastAsia="ja-JP"/>
        </w:rPr>
        <w:t xml:space="preserve"> (and therefore it is not favourable for providers to enrol HD patients with a short life expectancy</w:t>
      </w:r>
      <w:r w:rsidR="000D4712">
        <w:rPr>
          <w:lang w:eastAsia="ja-JP"/>
        </w:rPr>
        <w:t xml:space="preserve"> </w:t>
      </w:r>
      <w:r w:rsidR="003B4516">
        <w:rPr>
          <w:color w:val="000000"/>
          <w:lang w:eastAsia="ja-JP"/>
        </w:rPr>
        <w:t>[9]</w:t>
      </w:r>
      <w:r w:rsidR="003F20C0">
        <w:rPr>
          <w:lang w:eastAsia="ja-JP"/>
        </w:rPr>
        <w:t xml:space="preserve">, such as CCC-suitable). </w:t>
      </w:r>
      <w:r w:rsidR="003F20C0">
        <w:rPr>
          <w:b/>
          <w:bCs/>
          <w:lang w:eastAsia="ja-JP"/>
        </w:rPr>
        <w:t xml:space="preserve">Scenario 4 </w:t>
      </w:r>
      <w:r w:rsidR="003F20C0">
        <w:rPr>
          <w:lang w:eastAsia="ja-JP"/>
        </w:rPr>
        <w:t xml:space="preserve">assumes that HD centres </w:t>
      </w:r>
      <w:r w:rsidR="00DE76A9">
        <w:rPr>
          <w:lang w:eastAsia="ja-JP"/>
        </w:rPr>
        <w:t>close following the policy change</w:t>
      </w:r>
      <w:r w:rsidR="007305B8">
        <w:rPr>
          <w:lang w:eastAsia="ja-JP"/>
        </w:rPr>
        <w:t xml:space="preserve"> or that providers restrict their services to self-pay patients or those from other health insurance schemes </w:t>
      </w:r>
      <w:r w:rsidR="003B4516">
        <w:rPr>
          <w:color w:val="000000"/>
          <w:lang w:eastAsia="ja-JP"/>
        </w:rPr>
        <w:t>[10, 64]</w:t>
      </w:r>
      <w:r w:rsidR="00DE76A9">
        <w:rPr>
          <w:lang w:eastAsia="ja-JP"/>
        </w:rPr>
        <w:t xml:space="preserve">. </w:t>
      </w:r>
      <w:r w:rsidR="00DE76A9">
        <w:rPr>
          <w:b/>
          <w:bCs/>
          <w:lang w:eastAsia="ja-JP"/>
        </w:rPr>
        <w:t xml:space="preserve">Scenario 5 </w:t>
      </w:r>
      <w:r w:rsidR="00DE76A9">
        <w:rPr>
          <w:lang w:eastAsia="ja-JP"/>
        </w:rPr>
        <w:t>shows the cumulative effects of scenarios 1-3.</w:t>
      </w:r>
      <w:r w:rsidR="00A06320">
        <w:rPr>
          <w:lang w:eastAsia="ja-JP"/>
        </w:rPr>
        <w:t xml:space="preserve"> </w:t>
      </w:r>
    </w:p>
    <w:p w14:paraId="0211FF1C" w14:textId="77777777" w:rsidR="00826460" w:rsidRPr="00C3082A" w:rsidRDefault="00826460" w:rsidP="00826460">
      <w:pPr>
        <w:rPr>
          <w:lang w:eastAsia="ja-JP"/>
        </w:rPr>
      </w:pPr>
    </w:p>
    <w:p w14:paraId="0774976A" w14:textId="1BA357F2" w:rsidR="00826460" w:rsidRDefault="00826460" w:rsidP="00826460">
      <w:pPr>
        <w:rPr>
          <w:lang w:eastAsia="ja-JP"/>
        </w:rPr>
      </w:pPr>
      <w:r>
        <w:rPr>
          <w:b/>
          <w:bCs/>
          <w:lang w:eastAsia="ja-JP"/>
        </w:rPr>
        <w:t>Figure S</w:t>
      </w:r>
      <w:r w:rsidR="008C0767">
        <w:rPr>
          <w:b/>
          <w:bCs/>
          <w:lang w:eastAsia="ja-JP"/>
        </w:rPr>
        <w:t>6</w:t>
      </w:r>
      <w:r w:rsidR="00022F8D">
        <w:rPr>
          <w:b/>
          <w:bCs/>
          <w:lang w:eastAsia="ja-JP"/>
        </w:rPr>
        <w:t>e</w:t>
      </w:r>
      <w:r w:rsidRPr="00FF0F71">
        <w:rPr>
          <w:b/>
          <w:bCs/>
          <w:lang w:eastAsia="ja-JP"/>
        </w:rPr>
        <w:t xml:space="preserve">. </w:t>
      </w:r>
      <w:r>
        <w:rPr>
          <w:lang w:eastAsia="ja-JP"/>
        </w:rPr>
        <w:t xml:space="preserve">Scenario analysis for the </w:t>
      </w:r>
      <w:r w:rsidR="00022F8D">
        <w:rPr>
          <w:lang w:eastAsia="ja-JP"/>
        </w:rPr>
        <w:t>global budget</w:t>
      </w:r>
      <w:r>
        <w:rPr>
          <w:lang w:eastAsia="ja-JP"/>
        </w:rPr>
        <w:t xml:space="preserve"> policy, showing the projected proportion of incident dialysis patients selecting peritoneal dialysis (PD) under different scenarios. </w:t>
      </w:r>
    </w:p>
    <w:p w14:paraId="1EE16081" w14:textId="1C64A9AC" w:rsidR="00826460" w:rsidRPr="00FF0F71" w:rsidRDefault="0066799F" w:rsidP="00826460">
      <w:pPr>
        <w:spacing w:before="240"/>
        <w:rPr>
          <w:lang w:eastAsia="ja-JP"/>
        </w:rPr>
      </w:pPr>
      <w:r>
        <w:rPr>
          <w:noProof/>
          <w:lang w:eastAsia="ja-JP"/>
        </w:rPr>
        <w:drawing>
          <wp:inline distT="0" distB="0" distL="0" distR="0" wp14:anchorId="5E9B3976" wp14:editId="63DD8667">
            <wp:extent cx="6151866" cy="3657600"/>
            <wp:effectExtent l="0" t="0" r="1905" b="0"/>
            <wp:docPr id="12849550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3597" cy="3658629"/>
                    </a:xfrm>
                    <a:prstGeom prst="rect">
                      <a:avLst/>
                    </a:prstGeom>
                    <a:noFill/>
                    <a:ln>
                      <a:noFill/>
                    </a:ln>
                  </pic:spPr>
                </pic:pic>
              </a:graphicData>
            </a:graphic>
          </wp:inline>
        </w:drawing>
      </w:r>
    </w:p>
    <w:p w14:paraId="575417DB" w14:textId="77777777" w:rsidR="00826460" w:rsidRDefault="00826460" w:rsidP="008B6070">
      <w:pPr>
        <w:spacing w:before="240"/>
        <w:rPr>
          <w:lang w:eastAsia="ja-JP"/>
        </w:rPr>
      </w:pPr>
    </w:p>
    <w:sectPr w:rsidR="00826460" w:rsidSect="008B607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7EB6" w14:textId="77777777" w:rsidR="005B06EC" w:rsidRDefault="005B06EC" w:rsidP="00E36010">
      <w:pPr>
        <w:spacing w:after="0" w:line="240" w:lineRule="auto"/>
      </w:pPr>
      <w:r>
        <w:separator/>
      </w:r>
    </w:p>
  </w:endnote>
  <w:endnote w:type="continuationSeparator" w:id="0">
    <w:p w14:paraId="7C7AD7AD" w14:textId="77777777" w:rsidR="005B06EC" w:rsidRDefault="005B06EC" w:rsidP="00E36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100345"/>
      <w:docPartObj>
        <w:docPartGallery w:val="Page Numbers (Bottom of Page)"/>
        <w:docPartUnique/>
      </w:docPartObj>
    </w:sdtPr>
    <w:sdtEndPr>
      <w:rPr>
        <w:noProof/>
      </w:rPr>
    </w:sdtEndPr>
    <w:sdtContent>
      <w:p w14:paraId="1584FCDA" w14:textId="42E20F33" w:rsidR="00E36010" w:rsidRDefault="00E36010" w:rsidP="00E360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5559F" w14:textId="77777777" w:rsidR="005B06EC" w:rsidRDefault="005B06EC" w:rsidP="00E36010">
      <w:pPr>
        <w:spacing w:after="0" w:line="240" w:lineRule="auto"/>
      </w:pPr>
      <w:r>
        <w:separator/>
      </w:r>
    </w:p>
  </w:footnote>
  <w:footnote w:type="continuationSeparator" w:id="0">
    <w:p w14:paraId="546F0995" w14:textId="77777777" w:rsidR="005B06EC" w:rsidRDefault="005B06EC" w:rsidP="00E360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695"/>
    <w:rsid w:val="0000484C"/>
    <w:rsid w:val="000172E9"/>
    <w:rsid w:val="00020B35"/>
    <w:rsid w:val="00022F8D"/>
    <w:rsid w:val="0002381E"/>
    <w:rsid w:val="00034840"/>
    <w:rsid w:val="00052986"/>
    <w:rsid w:val="00052E09"/>
    <w:rsid w:val="000656D3"/>
    <w:rsid w:val="00073F2C"/>
    <w:rsid w:val="00085B2A"/>
    <w:rsid w:val="000D4712"/>
    <w:rsid w:val="000F4086"/>
    <w:rsid w:val="001078C0"/>
    <w:rsid w:val="001115D3"/>
    <w:rsid w:val="001162D6"/>
    <w:rsid w:val="0013204A"/>
    <w:rsid w:val="00134FF8"/>
    <w:rsid w:val="00150251"/>
    <w:rsid w:val="001621D3"/>
    <w:rsid w:val="00162716"/>
    <w:rsid w:val="00165867"/>
    <w:rsid w:val="00175581"/>
    <w:rsid w:val="00187F50"/>
    <w:rsid w:val="00190615"/>
    <w:rsid w:val="00192053"/>
    <w:rsid w:val="001943DF"/>
    <w:rsid w:val="0019758A"/>
    <w:rsid w:val="001A2793"/>
    <w:rsid w:val="001A5595"/>
    <w:rsid w:val="001B02DD"/>
    <w:rsid w:val="001B1217"/>
    <w:rsid w:val="001B3BFA"/>
    <w:rsid w:val="001B7B0E"/>
    <w:rsid w:val="001B7F7C"/>
    <w:rsid w:val="001C0F1C"/>
    <w:rsid w:val="001C58D5"/>
    <w:rsid w:val="001E172E"/>
    <w:rsid w:val="001F079D"/>
    <w:rsid w:val="002003B6"/>
    <w:rsid w:val="002172A5"/>
    <w:rsid w:val="002220D6"/>
    <w:rsid w:val="00223877"/>
    <w:rsid w:val="00226824"/>
    <w:rsid w:val="00227DFE"/>
    <w:rsid w:val="00261D1B"/>
    <w:rsid w:val="00264695"/>
    <w:rsid w:val="0026533D"/>
    <w:rsid w:val="00267B1C"/>
    <w:rsid w:val="00267ED0"/>
    <w:rsid w:val="00293E3A"/>
    <w:rsid w:val="00296D4A"/>
    <w:rsid w:val="002977D3"/>
    <w:rsid w:val="002B1492"/>
    <w:rsid w:val="002B1D93"/>
    <w:rsid w:val="002B2E78"/>
    <w:rsid w:val="002B4AC9"/>
    <w:rsid w:val="002C3385"/>
    <w:rsid w:val="002C33FB"/>
    <w:rsid w:val="002D079B"/>
    <w:rsid w:val="002D2554"/>
    <w:rsid w:val="002D33B7"/>
    <w:rsid w:val="002E1CA6"/>
    <w:rsid w:val="002F219F"/>
    <w:rsid w:val="00304523"/>
    <w:rsid w:val="003067E0"/>
    <w:rsid w:val="00311C73"/>
    <w:rsid w:val="00314659"/>
    <w:rsid w:val="00326E90"/>
    <w:rsid w:val="00332B76"/>
    <w:rsid w:val="00336801"/>
    <w:rsid w:val="00337087"/>
    <w:rsid w:val="003446CC"/>
    <w:rsid w:val="003540DE"/>
    <w:rsid w:val="00376407"/>
    <w:rsid w:val="00380254"/>
    <w:rsid w:val="0039743F"/>
    <w:rsid w:val="003A088B"/>
    <w:rsid w:val="003A1898"/>
    <w:rsid w:val="003B1C68"/>
    <w:rsid w:val="003B1E56"/>
    <w:rsid w:val="003B4516"/>
    <w:rsid w:val="003D1B9C"/>
    <w:rsid w:val="003D592B"/>
    <w:rsid w:val="003E049F"/>
    <w:rsid w:val="003F20C0"/>
    <w:rsid w:val="003F6359"/>
    <w:rsid w:val="00407FE6"/>
    <w:rsid w:val="00411773"/>
    <w:rsid w:val="00411A96"/>
    <w:rsid w:val="00417608"/>
    <w:rsid w:val="00422912"/>
    <w:rsid w:val="004268E5"/>
    <w:rsid w:val="00431BA1"/>
    <w:rsid w:val="00446EFF"/>
    <w:rsid w:val="00463EA5"/>
    <w:rsid w:val="004673C2"/>
    <w:rsid w:val="00470293"/>
    <w:rsid w:val="004B0948"/>
    <w:rsid w:val="004D430F"/>
    <w:rsid w:val="004D4A8C"/>
    <w:rsid w:val="004E1303"/>
    <w:rsid w:val="004F4525"/>
    <w:rsid w:val="004F7A52"/>
    <w:rsid w:val="005002F6"/>
    <w:rsid w:val="00502BAF"/>
    <w:rsid w:val="00503512"/>
    <w:rsid w:val="00515225"/>
    <w:rsid w:val="00515CD9"/>
    <w:rsid w:val="00522335"/>
    <w:rsid w:val="005246EE"/>
    <w:rsid w:val="005270AC"/>
    <w:rsid w:val="00527A89"/>
    <w:rsid w:val="005352C4"/>
    <w:rsid w:val="005402C4"/>
    <w:rsid w:val="0054259F"/>
    <w:rsid w:val="005429DE"/>
    <w:rsid w:val="005537F6"/>
    <w:rsid w:val="00575A79"/>
    <w:rsid w:val="005802B6"/>
    <w:rsid w:val="005A362C"/>
    <w:rsid w:val="005A3841"/>
    <w:rsid w:val="005B06EC"/>
    <w:rsid w:val="005B4833"/>
    <w:rsid w:val="005B7BE5"/>
    <w:rsid w:val="005D0477"/>
    <w:rsid w:val="005D489A"/>
    <w:rsid w:val="005E2190"/>
    <w:rsid w:val="005E4FBC"/>
    <w:rsid w:val="00601DA4"/>
    <w:rsid w:val="006042C0"/>
    <w:rsid w:val="00615D97"/>
    <w:rsid w:val="006508BF"/>
    <w:rsid w:val="006508F5"/>
    <w:rsid w:val="00666457"/>
    <w:rsid w:val="0066799F"/>
    <w:rsid w:val="0067124F"/>
    <w:rsid w:val="00676D74"/>
    <w:rsid w:val="00693A82"/>
    <w:rsid w:val="00697A0E"/>
    <w:rsid w:val="006A3A9F"/>
    <w:rsid w:val="006B085C"/>
    <w:rsid w:val="006B49B2"/>
    <w:rsid w:val="006B541D"/>
    <w:rsid w:val="006B7FB2"/>
    <w:rsid w:val="006C15B7"/>
    <w:rsid w:val="006C2202"/>
    <w:rsid w:val="006D1534"/>
    <w:rsid w:val="006D1B1F"/>
    <w:rsid w:val="006D43D6"/>
    <w:rsid w:val="006D6A6E"/>
    <w:rsid w:val="006D6D0C"/>
    <w:rsid w:val="006D7763"/>
    <w:rsid w:val="006D7836"/>
    <w:rsid w:val="006E49B9"/>
    <w:rsid w:val="006E5387"/>
    <w:rsid w:val="006F45EF"/>
    <w:rsid w:val="006F73AE"/>
    <w:rsid w:val="007026AD"/>
    <w:rsid w:val="00723857"/>
    <w:rsid w:val="007240DC"/>
    <w:rsid w:val="0072708B"/>
    <w:rsid w:val="007305B8"/>
    <w:rsid w:val="00735267"/>
    <w:rsid w:val="00735EC4"/>
    <w:rsid w:val="00737C36"/>
    <w:rsid w:val="0074155E"/>
    <w:rsid w:val="00741AF6"/>
    <w:rsid w:val="00743380"/>
    <w:rsid w:val="0074596D"/>
    <w:rsid w:val="007635E3"/>
    <w:rsid w:val="007660D8"/>
    <w:rsid w:val="00770685"/>
    <w:rsid w:val="007721E9"/>
    <w:rsid w:val="00790D3D"/>
    <w:rsid w:val="00791AAA"/>
    <w:rsid w:val="00793357"/>
    <w:rsid w:val="007A16EC"/>
    <w:rsid w:val="007A394F"/>
    <w:rsid w:val="007B1D0B"/>
    <w:rsid w:val="007B3DE5"/>
    <w:rsid w:val="007B6C20"/>
    <w:rsid w:val="007E1D7C"/>
    <w:rsid w:val="007F04C1"/>
    <w:rsid w:val="007F403E"/>
    <w:rsid w:val="00811CD4"/>
    <w:rsid w:val="00822FE6"/>
    <w:rsid w:val="0082319E"/>
    <w:rsid w:val="00826460"/>
    <w:rsid w:val="00834626"/>
    <w:rsid w:val="00836BBF"/>
    <w:rsid w:val="0084120A"/>
    <w:rsid w:val="00862113"/>
    <w:rsid w:val="00864A38"/>
    <w:rsid w:val="008736DB"/>
    <w:rsid w:val="0087595D"/>
    <w:rsid w:val="008813A2"/>
    <w:rsid w:val="00883800"/>
    <w:rsid w:val="00892526"/>
    <w:rsid w:val="008B6070"/>
    <w:rsid w:val="008C0767"/>
    <w:rsid w:val="008C0781"/>
    <w:rsid w:val="008D22A9"/>
    <w:rsid w:val="008D27D7"/>
    <w:rsid w:val="008E039C"/>
    <w:rsid w:val="008F251C"/>
    <w:rsid w:val="008F5DF9"/>
    <w:rsid w:val="00905A82"/>
    <w:rsid w:val="0092465F"/>
    <w:rsid w:val="00943523"/>
    <w:rsid w:val="0095229D"/>
    <w:rsid w:val="009549AA"/>
    <w:rsid w:val="0096677C"/>
    <w:rsid w:val="00972A96"/>
    <w:rsid w:val="00976D4D"/>
    <w:rsid w:val="0099180E"/>
    <w:rsid w:val="00996741"/>
    <w:rsid w:val="009B5D5C"/>
    <w:rsid w:val="009C330F"/>
    <w:rsid w:val="009C784D"/>
    <w:rsid w:val="009D7D07"/>
    <w:rsid w:val="009E1503"/>
    <w:rsid w:val="009E1C88"/>
    <w:rsid w:val="009E69EA"/>
    <w:rsid w:val="009F09B4"/>
    <w:rsid w:val="009F29A2"/>
    <w:rsid w:val="009F3900"/>
    <w:rsid w:val="009F52F7"/>
    <w:rsid w:val="00A00ECF"/>
    <w:rsid w:val="00A06320"/>
    <w:rsid w:val="00A1186C"/>
    <w:rsid w:val="00A25888"/>
    <w:rsid w:val="00A25B56"/>
    <w:rsid w:val="00A26D5C"/>
    <w:rsid w:val="00A35BE2"/>
    <w:rsid w:val="00A46012"/>
    <w:rsid w:val="00A53CFB"/>
    <w:rsid w:val="00A562F7"/>
    <w:rsid w:val="00A774AC"/>
    <w:rsid w:val="00A86AD0"/>
    <w:rsid w:val="00A93BA2"/>
    <w:rsid w:val="00AA2C1F"/>
    <w:rsid w:val="00AB5368"/>
    <w:rsid w:val="00AB65FB"/>
    <w:rsid w:val="00AC0A33"/>
    <w:rsid w:val="00AC33DC"/>
    <w:rsid w:val="00AD22EB"/>
    <w:rsid w:val="00AE5571"/>
    <w:rsid w:val="00AE7326"/>
    <w:rsid w:val="00AF2E32"/>
    <w:rsid w:val="00B0143D"/>
    <w:rsid w:val="00B03DC4"/>
    <w:rsid w:val="00B05C6A"/>
    <w:rsid w:val="00B05CAF"/>
    <w:rsid w:val="00B13BAC"/>
    <w:rsid w:val="00B24AD6"/>
    <w:rsid w:val="00B26EE9"/>
    <w:rsid w:val="00B404F5"/>
    <w:rsid w:val="00B619CA"/>
    <w:rsid w:val="00B827BE"/>
    <w:rsid w:val="00B830B4"/>
    <w:rsid w:val="00B9225E"/>
    <w:rsid w:val="00B9423A"/>
    <w:rsid w:val="00B95F53"/>
    <w:rsid w:val="00BA4289"/>
    <w:rsid w:val="00BB23CE"/>
    <w:rsid w:val="00BB3177"/>
    <w:rsid w:val="00BC50E1"/>
    <w:rsid w:val="00BD7D6C"/>
    <w:rsid w:val="00BF14DF"/>
    <w:rsid w:val="00BF3422"/>
    <w:rsid w:val="00C3082A"/>
    <w:rsid w:val="00C308BF"/>
    <w:rsid w:val="00C360C7"/>
    <w:rsid w:val="00C43C08"/>
    <w:rsid w:val="00C458E2"/>
    <w:rsid w:val="00C45DC8"/>
    <w:rsid w:val="00C56589"/>
    <w:rsid w:val="00C61FC2"/>
    <w:rsid w:val="00C62442"/>
    <w:rsid w:val="00C627AC"/>
    <w:rsid w:val="00C73F93"/>
    <w:rsid w:val="00C83AD2"/>
    <w:rsid w:val="00C83E20"/>
    <w:rsid w:val="00C8562E"/>
    <w:rsid w:val="00C856DE"/>
    <w:rsid w:val="00CA6B95"/>
    <w:rsid w:val="00CB6E74"/>
    <w:rsid w:val="00CD3320"/>
    <w:rsid w:val="00CE507F"/>
    <w:rsid w:val="00CE6BE3"/>
    <w:rsid w:val="00CE759F"/>
    <w:rsid w:val="00D12AF2"/>
    <w:rsid w:val="00D13BBB"/>
    <w:rsid w:val="00D15CE6"/>
    <w:rsid w:val="00D35F82"/>
    <w:rsid w:val="00D43A2E"/>
    <w:rsid w:val="00D53A65"/>
    <w:rsid w:val="00D57081"/>
    <w:rsid w:val="00D60E4D"/>
    <w:rsid w:val="00D67C99"/>
    <w:rsid w:val="00D71D68"/>
    <w:rsid w:val="00D74855"/>
    <w:rsid w:val="00DA26CE"/>
    <w:rsid w:val="00DA40F5"/>
    <w:rsid w:val="00DA5421"/>
    <w:rsid w:val="00DB24AD"/>
    <w:rsid w:val="00DD17DE"/>
    <w:rsid w:val="00DD6022"/>
    <w:rsid w:val="00DE0057"/>
    <w:rsid w:val="00DE76A9"/>
    <w:rsid w:val="00DF1515"/>
    <w:rsid w:val="00E0022F"/>
    <w:rsid w:val="00E01358"/>
    <w:rsid w:val="00E07359"/>
    <w:rsid w:val="00E13B1F"/>
    <w:rsid w:val="00E24BED"/>
    <w:rsid w:val="00E36010"/>
    <w:rsid w:val="00E426FB"/>
    <w:rsid w:val="00E51AA7"/>
    <w:rsid w:val="00E5230B"/>
    <w:rsid w:val="00E660EF"/>
    <w:rsid w:val="00E72E91"/>
    <w:rsid w:val="00E86CEF"/>
    <w:rsid w:val="00E94D94"/>
    <w:rsid w:val="00EA2B7B"/>
    <w:rsid w:val="00EA51B6"/>
    <w:rsid w:val="00EA5D69"/>
    <w:rsid w:val="00EB7AD2"/>
    <w:rsid w:val="00ED1F8A"/>
    <w:rsid w:val="00ED6FD6"/>
    <w:rsid w:val="00EE04AB"/>
    <w:rsid w:val="00EE45FF"/>
    <w:rsid w:val="00EE6717"/>
    <w:rsid w:val="00EF29FE"/>
    <w:rsid w:val="00F040DE"/>
    <w:rsid w:val="00F04935"/>
    <w:rsid w:val="00F1033E"/>
    <w:rsid w:val="00F10577"/>
    <w:rsid w:val="00F10EAD"/>
    <w:rsid w:val="00F201F3"/>
    <w:rsid w:val="00F24DC7"/>
    <w:rsid w:val="00F3302A"/>
    <w:rsid w:val="00F40ED1"/>
    <w:rsid w:val="00F43A4B"/>
    <w:rsid w:val="00F45ED6"/>
    <w:rsid w:val="00F52FD4"/>
    <w:rsid w:val="00F62AB6"/>
    <w:rsid w:val="00F62BB9"/>
    <w:rsid w:val="00F64FD1"/>
    <w:rsid w:val="00F83B4F"/>
    <w:rsid w:val="00F854F3"/>
    <w:rsid w:val="00F90239"/>
    <w:rsid w:val="00FA058F"/>
    <w:rsid w:val="00FA1582"/>
    <w:rsid w:val="00FA2E1D"/>
    <w:rsid w:val="00FA3C74"/>
    <w:rsid w:val="00FA418D"/>
    <w:rsid w:val="00FB286B"/>
    <w:rsid w:val="00FB5E0C"/>
    <w:rsid w:val="00FB605E"/>
    <w:rsid w:val="00FC2290"/>
    <w:rsid w:val="00FF0A16"/>
    <w:rsid w:val="00FF0BF6"/>
    <w:rsid w:val="00FF0F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9D12"/>
  <w15:chartTrackingRefBased/>
  <w15:docId w15:val="{30A2CB10-0DF0-4A5F-884A-A3A680C5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BFA"/>
    <w:pPr>
      <w:spacing w:after="80" w:line="240" w:lineRule="auto"/>
      <w:contextualSpacing/>
      <w:outlineLvl w:val="0"/>
    </w:pPr>
    <w:rPr>
      <w:rFonts w:ascii="Aptos Display" w:eastAsia="Times New Roman" w:hAnsi="Aptos Display" w:cs="Times New Roman"/>
      <w:b/>
      <w:bCs/>
      <w:sz w:val="24"/>
      <w:szCs w:val="24"/>
      <w:lang w:eastAsia="ja-JP"/>
      <w14:ligatures w14:val="none"/>
    </w:rPr>
  </w:style>
  <w:style w:type="paragraph" w:styleId="Heading2">
    <w:name w:val="heading 2"/>
    <w:basedOn w:val="Normal"/>
    <w:next w:val="Normal"/>
    <w:link w:val="Heading2Char"/>
    <w:uiPriority w:val="9"/>
    <w:semiHidden/>
    <w:unhideWhenUsed/>
    <w:qFormat/>
    <w:rsid w:val="00264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BFA"/>
    <w:rPr>
      <w:rFonts w:ascii="Aptos Display" w:eastAsia="Times New Roman" w:hAnsi="Aptos Display" w:cs="Times New Roman"/>
      <w:b/>
      <w:bCs/>
      <w:sz w:val="24"/>
      <w:szCs w:val="24"/>
      <w:lang w:eastAsia="ja-JP"/>
      <w14:ligatures w14:val="none"/>
    </w:rPr>
  </w:style>
  <w:style w:type="character" w:customStyle="1" w:styleId="Heading2Char">
    <w:name w:val="Heading 2 Char"/>
    <w:basedOn w:val="DefaultParagraphFont"/>
    <w:link w:val="Heading2"/>
    <w:uiPriority w:val="9"/>
    <w:semiHidden/>
    <w:rsid w:val="00264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695"/>
    <w:rPr>
      <w:rFonts w:eastAsiaTheme="majorEastAsia" w:cstheme="majorBidi"/>
      <w:color w:val="272727" w:themeColor="text1" w:themeTint="D8"/>
    </w:rPr>
  </w:style>
  <w:style w:type="paragraph" w:styleId="Title">
    <w:name w:val="Title"/>
    <w:basedOn w:val="Heading1"/>
    <w:next w:val="Normal"/>
    <w:link w:val="TitleChar"/>
    <w:uiPriority w:val="10"/>
    <w:qFormat/>
    <w:rsid w:val="001115D3"/>
    <w:rPr>
      <w:b w:val="0"/>
      <w:bCs w:val="0"/>
      <w:sz w:val="40"/>
      <w:szCs w:val="40"/>
    </w:rPr>
  </w:style>
  <w:style w:type="character" w:customStyle="1" w:styleId="TitleChar">
    <w:name w:val="Title Char"/>
    <w:basedOn w:val="DefaultParagraphFont"/>
    <w:link w:val="Title"/>
    <w:uiPriority w:val="10"/>
    <w:rsid w:val="001115D3"/>
    <w:rPr>
      <w:rFonts w:ascii="Aptos Display" w:eastAsia="Times New Roman" w:hAnsi="Aptos Display" w:cs="Times New Roman"/>
      <w:sz w:val="40"/>
      <w:szCs w:val="40"/>
      <w:lang w:eastAsia="ja-JP"/>
      <w14:ligatures w14:val="none"/>
    </w:rPr>
  </w:style>
  <w:style w:type="paragraph" w:styleId="Subtitle">
    <w:name w:val="Subtitle"/>
    <w:basedOn w:val="Normal"/>
    <w:next w:val="Normal"/>
    <w:link w:val="SubtitleChar"/>
    <w:uiPriority w:val="11"/>
    <w:qFormat/>
    <w:rsid w:val="00264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695"/>
    <w:pPr>
      <w:spacing w:before="160"/>
      <w:jc w:val="center"/>
    </w:pPr>
    <w:rPr>
      <w:i/>
      <w:iCs/>
      <w:color w:val="404040" w:themeColor="text1" w:themeTint="BF"/>
    </w:rPr>
  </w:style>
  <w:style w:type="character" w:customStyle="1" w:styleId="QuoteChar">
    <w:name w:val="Quote Char"/>
    <w:basedOn w:val="DefaultParagraphFont"/>
    <w:link w:val="Quote"/>
    <w:uiPriority w:val="29"/>
    <w:rsid w:val="00264695"/>
    <w:rPr>
      <w:i/>
      <w:iCs/>
      <w:color w:val="404040" w:themeColor="text1" w:themeTint="BF"/>
    </w:rPr>
  </w:style>
  <w:style w:type="paragraph" w:styleId="ListParagraph">
    <w:name w:val="List Paragraph"/>
    <w:basedOn w:val="Normal"/>
    <w:uiPriority w:val="34"/>
    <w:qFormat/>
    <w:rsid w:val="00264695"/>
    <w:pPr>
      <w:ind w:left="720"/>
      <w:contextualSpacing/>
    </w:pPr>
  </w:style>
  <w:style w:type="character" w:styleId="IntenseEmphasis">
    <w:name w:val="Intense Emphasis"/>
    <w:basedOn w:val="DefaultParagraphFont"/>
    <w:uiPriority w:val="21"/>
    <w:qFormat/>
    <w:rsid w:val="00264695"/>
    <w:rPr>
      <w:i/>
      <w:iCs/>
      <w:color w:val="0F4761" w:themeColor="accent1" w:themeShade="BF"/>
    </w:rPr>
  </w:style>
  <w:style w:type="paragraph" w:styleId="IntenseQuote">
    <w:name w:val="Intense Quote"/>
    <w:basedOn w:val="Normal"/>
    <w:next w:val="Normal"/>
    <w:link w:val="IntenseQuoteChar"/>
    <w:uiPriority w:val="30"/>
    <w:qFormat/>
    <w:rsid w:val="00264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695"/>
    <w:rPr>
      <w:i/>
      <w:iCs/>
      <w:color w:val="0F4761" w:themeColor="accent1" w:themeShade="BF"/>
    </w:rPr>
  </w:style>
  <w:style w:type="character" w:styleId="IntenseReference">
    <w:name w:val="Intense Reference"/>
    <w:basedOn w:val="DefaultParagraphFont"/>
    <w:uiPriority w:val="32"/>
    <w:qFormat/>
    <w:rsid w:val="00264695"/>
    <w:rPr>
      <w:b/>
      <w:bCs/>
      <w:smallCaps/>
      <w:color w:val="0F4761" w:themeColor="accent1" w:themeShade="BF"/>
      <w:spacing w:val="5"/>
    </w:rPr>
  </w:style>
  <w:style w:type="table" w:styleId="TableGrid">
    <w:name w:val="Table Grid"/>
    <w:basedOn w:val="TableNormal"/>
    <w:uiPriority w:val="39"/>
    <w:rsid w:val="00A35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35B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DA26CE"/>
    <w:rPr>
      <w:color w:val="666666"/>
    </w:rPr>
  </w:style>
  <w:style w:type="paragraph" w:styleId="Header">
    <w:name w:val="header"/>
    <w:basedOn w:val="Normal"/>
    <w:link w:val="HeaderChar"/>
    <w:uiPriority w:val="99"/>
    <w:unhideWhenUsed/>
    <w:rsid w:val="00E36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010"/>
  </w:style>
  <w:style w:type="paragraph" w:styleId="Footer">
    <w:name w:val="footer"/>
    <w:basedOn w:val="Normal"/>
    <w:link w:val="FooterChar"/>
    <w:uiPriority w:val="99"/>
    <w:unhideWhenUsed/>
    <w:rsid w:val="00E36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523102">
      <w:bodyDiv w:val="1"/>
      <w:marLeft w:val="0"/>
      <w:marRight w:val="0"/>
      <w:marTop w:val="0"/>
      <w:marBottom w:val="0"/>
      <w:divBdr>
        <w:top w:val="none" w:sz="0" w:space="0" w:color="auto"/>
        <w:left w:val="none" w:sz="0" w:space="0" w:color="auto"/>
        <w:bottom w:val="none" w:sz="0" w:space="0" w:color="auto"/>
        <w:right w:val="none" w:sz="0" w:space="0" w:color="auto"/>
      </w:divBdr>
      <w:divsChild>
        <w:div w:id="1421414667">
          <w:marLeft w:val="0"/>
          <w:marRight w:val="0"/>
          <w:marTop w:val="0"/>
          <w:marBottom w:val="0"/>
          <w:divBdr>
            <w:top w:val="none" w:sz="0" w:space="0" w:color="auto"/>
            <w:left w:val="none" w:sz="0" w:space="0" w:color="auto"/>
            <w:bottom w:val="none" w:sz="0" w:space="0" w:color="auto"/>
            <w:right w:val="none" w:sz="0" w:space="0" w:color="auto"/>
          </w:divBdr>
        </w:div>
        <w:div w:id="651494572">
          <w:marLeft w:val="0"/>
          <w:marRight w:val="0"/>
          <w:marTop w:val="0"/>
          <w:marBottom w:val="0"/>
          <w:divBdr>
            <w:top w:val="none" w:sz="0" w:space="0" w:color="auto"/>
            <w:left w:val="none" w:sz="0" w:space="0" w:color="auto"/>
            <w:bottom w:val="none" w:sz="0" w:space="0" w:color="auto"/>
            <w:right w:val="none" w:sz="0" w:space="0" w:color="auto"/>
          </w:divBdr>
        </w:div>
      </w:divsChild>
    </w:div>
    <w:div w:id="650527280">
      <w:bodyDiv w:val="1"/>
      <w:marLeft w:val="0"/>
      <w:marRight w:val="0"/>
      <w:marTop w:val="0"/>
      <w:marBottom w:val="0"/>
      <w:divBdr>
        <w:top w:val="none" w:sz="0" w:space="0" w:color="auto"/>
        <w:left w:val="none" w:sz="0" w:space="0" w:color="auto"/>
        <w:bottom w:val="none" w:sz="0" w:space="0" w:color="auto"/>
        <w:right w:val="none" w:sz="0" w:space="0" w:color="auto"/>
      </w:divBdr>
      <w:divsChild>
        <w:div w:id="248316754">
          <w:marLeft w:val="0"/>
          <w:marRight w:val="0"/>
          <w:marTop w:val="0"/>
          <w:marBottom w:val="0"/>
          <w:divBdr>
            <w:top w:val="none" w:sz="0" w:space="0" w:color="auto"/>
            <w:left w:val="none" w:sz="0" w:space="0" w:color="auto"/>
            <w:bottom w:val="none" w:sz="0" w:space="0" w:color="auto"/>
            <w:right w:val="none" w:sz="0" w:space="0" w:color="auto"/>
          </w:divBdr>
        </w:div>
      </w:divsChild>
    </w:div>
    <w:div w:id="690030629">
      <w:bodyDiv w:val="1"/>
      <w:marLeft w:val="0"/>
      <w:marRight w:val="0"/>
      <w:marTop w:val="0"/>
      <w:marBottom w:val="0"/>
      <w:divBdr>
        <w:top w:val="none" w:sz="0" w:space="0" w:color="auto"/>
        <w:left w:val="none" w:sz="0" w:space="0" w:color="auto"/>
        <w:bottom w:val="none" w:sz="0" w:space="0" w:color="auto"/>
        <w:right w:val="none" w:sz="0" w:space="0" w:color="auto"/>
      </w:divBdr>
      <w:divsChild>
        <w:div w:id="1348677932">
          <w:marLeft w:val="0"/>
          <w:marRight w:val="0"/>
          <w:marTop w:val="0"/>
          <w:marBottom w:val="0"/>
          <w:divBdr>
            <w:top w:val="none" w:sz="0" w:space="0" w:color="auto"/>
            <w:left w:val="none" w:sz="0" w:space="0" w:color="auto"/>
            <w:bottom w:val="none" w:sz="0" w:space="0" w:color="auto"/>
            <w:right w:val="none" w:sz="0" w:space="0" w:color="auto"/>
          </w:divBdr>
        </w:div>
        <w:div w:id="1563295844">
          <w:marLeft w:val="0"/>
          <w:marRight w:val="0"/>
          <w:marTop w:val="0"/>
          <w:marBottom w:val="0"/>
          <w:divBdr>
            <w:top w:val="none" w:sz="0" w:space="0" w:color="auto"/>
            <w:left w:val="none" w:sz="0" w:space="0" w:color="auto"/>
            <w:bottom w:val="none" w:sz="0" w:space="0" w:color="auto"/>
            <w:right w:val="none" w:sz="0" w:space="0" w:color="auto"/>
          </w:divBdr>
        </w:div>
        <w:div w:id="1141461436">
          <w:marLeft w:val="0"/>
          <w:marRight w:val="0"/>
          <w:marTop w:val="0"/>
          <w:marBottom w:val="0"/>
          <w:divBdr>
            <w:top w:val="none" w:sz="0" w:space="0" w:color="auto"/>
            <w:left w:val="none" w:sz="0" w:space="0" w:color="auto"/>
            <w:bottom w:val="none" w:sz="0" w:space="0" w:color="auto"/>
            <w:right w:val="none" w:sz="0" w:space="0" w:color="auto"/>
          </w:divBdr>
        </w:div>
        <w:div w:id="1454860051">
          <w:marLeft w:val="0"/>
          <w:marRight w:val="0"/>
          <w:marTop w:val="0"/>
          <w:marBottom w:val="0"/>
          <w:divBdr>
            <w:top w:val="none" w:sz="0" w:space="0" w:color="auto"/>
            <w:left w:val="none" w:sz="0" w:space="0" w:color="auto"/>
            <w:bottom w:val="none" w:sz="0" w:space="0" w:color="auto"/>
            <w:right w:val="none" w:sz="0" w:space="0" w:color="auto"/>
          </w:divBdr>
        </w:div>
      </w:divsChild>
    </w:div>
    <w:div w:id="837619189">
      <w:bodyDiv w:val="1"/>
      <w:marLeft w:val="0"/>
      <w:marRight w:val="0"/>
      <w:marTop w:val="0"/>
      <w:marBottom w:val="0"/>
      <w:divBdr>
        <w:top w:val="none" w:sz="0" w:space="0" w:color="auto"/>
        <w:left w:val="none" w:sz="0" w:space="0" w:color="auto"/>
        <w:bottom w:val="none" w:sz="0" w:space="0" w:color="auto"/>
        <w:right w:val="none" w:sz="0" w:space="0" w:color="auto"/>
      </w:divBdr>
      <w:divsChild>
        <w:div w:id="1934825485">
          <w:marLeft w:val="0"/>
          <w:marRight w:val="0"/>
          <w:marTop w:val="0"/>
          <w:marBottom w:val="0"/>
          <w:divBdr>
            <w:top w:val="none" w:sz="0" w:space="0" w:color="auto"/>
            <w:left w:val="none" w:sz="0" w:space="0" w:color="auto"/>
            <w:bottom w:val="none" w:sz="0" w:space="0" w:color="auto"/>
            <w:right w:val="none" w:sz="0" w:space="0" w:color="auto"/>
          </w:divBdr>
        </w:div>
        <w:div w:id="1020201061">
          <w:marLeft w:val="0"/>
          <w:marRight w:val="0"/>
          <w:marTop w:val="0"/>
          <w:marBottom w:val="0"/>
          <w:divBdr>
            <w:top w:val="none" w:sz="0" w:space="0" w:color="auto"/>
            <w:left w:val="none" w:sz="0" w:space="0" w:color="auto"/>
            <w:bottom w:val="none" w:sz="0" w:space="0" w:color="auto"/>
            <w:right w:val="none" w:sz="0" w:space="0" w:color="auto"/>
          </w:divBdr>
        </w:div>
        <w:div w:id="1109280129">
          <w:marLeft w:val="0"/>
          <w:marRight w:val="0"/>
          <w:marTop w:val="0"/>
          <w:marBottom w:val="0"/>
          <w:divBdr>
            <w:top w:val="none" w:sz="0" w:space="0" w:color="auto"/>
            <w:left w:val="none" w:sz="0" w:space="0" w:color="auto"/>
            <w:bottom w:val="none" w:sz="0" w:space="0" w:color="auto"/>
            <w:right w:val="none" w:sz="0" w:space="0" w:color="auto"/>
          </w:divBdr>
        </w:div>
        <w:div w:id="1492409442">
          <w:marLeft w:val="0"/>
          <w:marRight w:val="0"/>
          <w:marTop w:val="0"/>
          <w:marBottom w:val="0"/>
          <w:divBdr>
            <w:top w:val="none" w:sz="0" w:space="0" w:color="auto"/>
            <w:left w:val="none" w:sz="0" w:space="0" w:color="auto"/>
            <w:bottom w:val="none" w:sz="0" w:space="0" w:color="auto"/>
            <w:right w:val="none" w:sz="0" w:space="0" w:color="auto"/>
          </w:divBdr>
        </w:div>
      </w:divsChild>
    </w:div>
    <w:div w:id="1421633460">
      <w:bodyDiv w:val="1"/>
      <w:marLeft w:val="0"/>
      <w:marRight w:val="0"/>
      <w:marTop w:val="0"/>
      <w:marBottom w:val="0"/>
      <w:divBdr>
        <w:top w:val="none" w:sz="0" w:space="0" w:color="auto"/>
        <w:left w:val="none" w:sz="0" w:space="0" w:color="auto"/>
        <w:bottom w:val="none" w:sz="0" w:space="0" w:color="auto"/>
        <w:right w:val="none" w:sz="0" w:space="0" w:color="auto"/>
      </w:divBdr>
      <w:divsChild>
        <w:div w:id="1233151476">
          <w:marLeft w:val="0"/>
          <w:marRight w:val="0"/>
          <w:marTop w:val="0"/>
          <w:marBottom w:val="0"/>
          <w:divBdr>
            <w:top w:val="none" w:sz="0" w:space="0" w:color="auto"/>
            <w:left w:val="none" w:sz="0" w:space="0" w:color="auto"/>
            <w:bottom w:val="none" w:sz="0" w:space="0" w:color="auto"/>
            <w:right w:val="none" w:sz="0" w:space="0" w:color="auto"/>
          </w:divBdr>
        </w:div>
        <w:div w:id="828139154">
          <w:marLeft w:val="0"/>
          <w:marRight w:val="0"/>
          <w:marTop w:val="0"/>
          <w:marBottom w:val="0"/>
          <w:divBdr>
            <w:top w:val="none" w:sz="0" w:space="0" w:color="auto"/>
            <w:left w:val="none" w:sz="0" w:space="0" w:color="auto"/>
            <w:bottom w:val="none" w:sz="0" w:space="0" w:color="auto"/>
            <w:right w:val="none" w:sz="0" w:space="0" w:color="auto"/>
          </w:divBdr>
        </w:div>
        <w:div w:id="803503312">
          <w:marLeft w:val="0"/>
          <w:marRight w:val="0"/>
          <w:marTop w:val="0"/>
          <w:marBottom w:val="0"/>
          <w:divBdr>
            <w:top w:val="none" w:sz="0" w:space="0" w:color="auto"/>
            <w:left w:val="none" w:sz="0" w:space="0" w:color="auto"/>
            <w:bottom w:val="none" w:sz="0" w:space="0" w:color="auto"/>
            <w:right w:val="none" w:sz="0" w:space="0" w:color="auto"/>
          </w:divBdr>
        </w:div>
        <w:div w:id="352460145">
          <w:marLeft w:val="0"/>
          <w:marRight w:val="0"/>
          <w:marTop w:val="0"/>
          <w:marBottom w:val="0"/>
          <w:divBdr>
            <w:top w:val="none" w:sz="0" w:space="0" w:color="auto"/>
            <w:left w:val="none" w:sz="0" w:space="0" w:color="auto"/>
            <w:bottom w:val="none" w:sz="0" w:space="0" w:color="auto"/>
            <w:right w:val="none" w:sz="0" w:space="0" w:color="auto"/>
          </w:divBdr>
        </w:div>
        <w:div w:id="953906527">
          <w:marLeft w:val="0"/>
          <w:marRight w:val="0"/>
          <w:marTop w:val="0"/>
          <w:marBottom w:val="0"/>
          <w:divBdr>
            <w:top w:val="none" w:sz="0" w:space="0" w:color="auto"/>
            <w:left w:val="none" w:sz="0" w:space="0" w:color="auto"/>
            <w:bottom w:val="none" w:sz="0" w:space="0" w:color="auto"/>
            <w:right w:val="none" w:sz="0" w:space="0" w:color="auto"/>
          </w:divBdr>
        </w:div>
      </w:divsChild>
    </w:div>
    <w:div w:id="1566138958">
      <w:bodyDiv w:val="1"/>
      <w:marLeft w:val="0"/>
      <w:marRight w:val="0"/>
      <w:marTop w:val="0"/>
      <w:marBottom w:val="0"/>
      <w:divBdr>
        <w:top w:val="none" w:sz="0" w:space="0" w:color="auto"/>
        <w:left w:val="none" w:sz="0" w:space="0" w:color="auto"/>
        <w:bottom w:val="none" w:sz="0" w:space="0" w:color="auto"/>
        <w:right w:val="none" w:sz="0" w:space="0" w:color="auto"/>
      </w:divBdr>
      <w:divsChild>
        <w:div w:id="486435506">
          <w:marLeft w:val="0"/>
          <w:marRight w:val="0"/>
          <w:marTop w:val="0"/>
          <w:marBottom w:val="0"/>
          <w:divBdr>
            <w:top w:val="none" w:sz="0" w:space="0" w:color="auto"/>
            <w:left w:val="none" w:sz="0" w:space="0" w:color="auto"/>
            <w:bottom w:val="none" w:sz="0" w:space="0" w:color="auto"/>
            <w:right w:val="none" w:sz="0" w:space="0" w:color="auto"/>
          </w:divBdr>
        </w:div>
        <w:div w:id="135690014">
          <w:marLeft w:val="0"/>
          <w:marRight w:val="0"/>
          <w:marTop w:val="0"/>
          <w:marBottom w:val="0"/>
          <w:divBdr>
            <w:top w:val="none" w:sz="0" w:space="0" w:color="auto"/>
            <w:left w:val="none" w:sz="0" w:space="0" w:color="auto"/>
            <w:bottom w:val="none" w:sz="0" w:space="0" w:color="auto"/>
            <w:right w:val="none" w:sz="0" w:space="0" w:color="auto"/>
          </w:divBdr>
        </w:div>
        <w:div w:id="1287471568">
          <w:marLeft w:val="0"/>
          <w:marRight w:val="0"/>
          <w:marTop w:val="0"/>
          <w:marBottom w:val="0"/>
          <w:divBdr>
            <w:top w:val="none" w:sz="0" w:space="0" w:color="auto"/>
            <w:left w:val="none" w:sz="0" w:space="0" w:color="auto"/>
            <w:bottom w:val="none" w:sz="0" w:space="0" w:color="auto"/>
            <w:right w:val="none" w:sz="0" w:space="0" w:color="auto"/>
          </w:divBdr>
        </w:div>
        <w:div w:id="954022478">
          <w:marLeft w:val="0"/>
          <w:marRight w:val="0"/>
          <w:marTop w:val="0"/>
          <w:marBottom w:val="0"/>
          <w:divBdr>
            <w:top w:val="none" w:sz="0" w:space="0" w:color="auto"/>
            <w:left w:val="none" w:sz="0" w:space="0" w:color="auto"/>
            <w:bottom w:val="none" w:sz="0" w:space="0" w:color="auto"/>
            <w:right w:val="none" w:sz="0" w:space="0" w:color="auto"/>
          </w:divBdr>
        </w:div>
        <w:div w:id="758982132">
          <w:marLeft w:val="0"/>
          <w:marRight w:val="0"/>
          <w:marTop w:val="0"/>
          <w:marBottom w:val="0"/>
          <w:divBdr>
            <w:top w:val="none" w:sz="0" w:space="0" w:color="auto"/>
            <w:left w:val="none" w:sz="0" w:space="0" w:color="auto"/>
            <w:bottom w:val="none" w:sz="0" w:space="0" w:color="auto"/>
            <w:right w:val="none" w:sz="0" w:space="0" w:color="auto"/>
          </w:divBdr>
        </w:div>
      </w:divsChild>
    </w:div>
    <w:div w:id="1599217617">
      <w:bodyDiv w:val="1"/>
      <w:marLeft w:val="0"/>
      <w:marRight w:val="0"/>
      <w:marTop w:val="0"/>
      <w:marBottom w:val="0"/>
      <w:divBdr>
        <w:top w:val="none" w:sz="0" w:space="0" w:color="auto"/>
        <w:left w:val="none" w:sz="0" w:space="0" w:color="auto"/>
        <w:bottom w:val="none" w:sz="0" w:space="0" w:color="auto"/>
        <w:right w:val="none" w:sz="0" w:space="0" w:color="auto"/>
      </w:divBdr>
      <w:divsChild>
        <w:div w:id="288778453">
          <w:marLeft w:val="0"/>
          <w:marRight w:val="0"/>
          <w:marTop w:val="0"/>
          <w:marBottom w:val="0"/>
          <w:divBdr>
            <w:top w:val="none" w:sz="0" w:space="0" w:color="auto"/>
            <w:left w:val="none" w:sz="0" w:space="0" w:color="auto"/>
            <w:bottom w:val="none" w:sz="0" w:space="0" w:color="auto"/>
            <w:right w:val="none" w:sz="0" w:space="0" w:color="auto"/>
          </w:divBdr>
        </w:div>
        <w:div w:id="469325970">
          <w:marLeft w:val="0"/>
          <w:marRight w:val="0"/>
          <w:marTop w:val="0"/>
          <w:marBottom w:val="0"/>
          <w:divBdr>
            <w:top w:val="none" w:sz="0" w:space="0" w:color="auto"/>
            <w:left w:val="none" w:sz="0" w:space="0" w:color="auto"/>
            <w:bottom w:val="none" w:sz="0" w:space="0" w:color="auto"/>
            <w:right w:val="none" w:sz="0" w:space="0" w:color="auto"/>
          </w:divBdr>
        </w:div>
        <w:div w:id="1245603386">
          <w:marLeft w:val="0"/>
          <w:marRight w:val="0"/>
          <w:marTop w:val="0"/>
          <w:marBottom w:val="0"/>
          <w:divBdr>
            <w:top w:val="none" w:sz="0" w:space="0" w:color="auto"/>
            <w:left w:val="none" w:sz="0" w:space="0" w:color="auto"/>
            <w:bottom w:val="none" w:sz="0" w:space="0" w:color="auto"/>
            <w:right w:val="none" w:sz="0" w:space="0" w:color="auto"/>
          </w:divBdr>
        </w:div>
        <w:div w:id="1280145655">
          <w:marLeft w:val="0"/>
          <w:marRight w:val="0"/>
          <w:marTop w:val="0"/>
          <w:marBottom w:val="0"/>
          <w:divBdr>
            <w:top w:val="none" w:sz="0" w:space="0" w:color="auto"/>
            <w:left w:val="none" w:sz="0" w:space="0" w:color="auto"/>
            <w:bottom w:val="none" w:sz="0" w:space="0" w:color="auto"/>
            <w:right w:val="none" w:sz="0" w:space="0" w:color="auto"/>
          </w:divBdr>
        </w:div>
        <w:div w:id="1385829158">
          <w:marLeft w:val="0"/>
          <w:marRight w:val="0"/>
          <w:marTop w:val="0"/>
          <w:marBottom w:val="0"/>
          <w:divBdr>
            <w:top w:val="none" w:sz="0" w:space="0" w:color="auto"/>
            <w:left w:val="none" w:sz="0" w:space="0" w:color="auto"/>
            <w:bottom w:val="none" w:sz="0" w:space="0" w:color="auto"/>
            <w:right w:val="none" w:sz="0" w:space="0" w:color="auto"/>
          </w:divBdr>
        </w:div>
        <w:div w:id="2004700419">
          <w:marLeft w:val="0"/>
          <w:marRight w:val="0"/>
          <w:marTop w:val="0"/>
          <w:marBottom w:val="0"/>
          <w:divBdr>
            <w:top w:val="none" w:sz="0" w:space="0" w:color="auto"/>
            <w:left w:val="none" w:sz="0" w:space="0" w:color="auto"/>
            <w:bottom w:val="none" w:sz="0" w:space="0" w:color="auto"/>
            <w:right w:val="none" w:sz="0" w:space="0" w:color="auto"/>
          </w:divBdr>
        </w:div>
      </w:divsChild>
    </w:div>
    <w:div w:id="1813210683">
      <w:bodyDiv w:val="1"/>
      <w:marLeft w:val="0"/>
      <w:marRight w:val="0"/>
      <w:marTop w:val="0"/>
      <w:marBottom w:val="0"/>
      <w:divBdr>
        <w:top w:val="none" w:sz="0" w:space="0" w:color="auto"/>
        <w:left w:val="none" w:sz="0" w:space="0" w:color="auto"/>
        <w:bottom w:val="none" w:sz="0" w:space="0" w:color="auto"/>
        <w:right w:val="none" w:sz="0" w:space="0" w:color="auto"/>
      </w:divBdr>
      <w:divsChild>
        <w:div w:id="2017462947">
          <w:marLeft w:val="0"/>
          <w:marRight w:val="0"/>
          <w:marTop w:val="0"/>
          <w:marBottom w:val="0"/>
          <w:divBdr>
            <w:top w:val="none" w:sz="0" w:space="0" w:color="auto"/>
            <w:left w:val="none" w:sz="0" w:space="0" w:color="auto"/>
            <w:bottom w:val="none" w:sz="0" w:space="0" w:color="auto"/>
            <w:right w:val="none" w:sz="0" w:space="0" w:color="auto"/>
          </w:divBdr>
        </w:div>
        <w:div w:id="925773633">
          <w:marLeft w:val="0"/>
          <w:marRight w:val="0"/>
          <w:marTop w:val="0"/>
          <w:marBottom w:val="0"/>
          <w:divBdr>
            <w:top w:val="none" w:sz="0" w:space="0" w:color="auto"/>
            <w:left w:val="none" w:sz="0" w:space="0" w:color="auto"/>
            <w:bottom w:val="none" w:sz="0" w:space="0" w:color="auto"/>
            <w:right w:val="none" w:sz="0" w:space="0" w:color="auto"/>
          </w:divBdr>
        </w:div>
        <w:div w:id="1174539770">
          <w:marLeft w:val="0"/>
          <w:marRight w:val="0"/>
          <w:marTop w:val="0"/>
          <w:marBottom w:val="0"/>
          <w:divBdr>
            <w:top w:val="none" w:sz="0" w:space="0" w:color="auto"/>
            <w:left w:val="none" w:sz="0" w:space="0" w:color="auto"/>
            <w:bottom w:val="none" w:sz="0" w:space="0" w:color="auto"/>
            <w:right w:val="none" w:sz="0" w:space="0" w:color="auto"/>
          </w:divBdr>
        </w:div>
        <w:div w:id="51696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37104A-7E1E-4D07-B4B5-3761CA8F4643}">
  <we:reference id="f78a3046-9e99-4300-aa2b-5814002b01a2" version="1.55.1.0" store="EXCatalog" storeType="EXCatalog"/>
  <we:alternateReferences>
    <we:reference id="WA104382081" version="1.55.1.0" store="th-TH" storeType="OMEX"/>
  </we:alternateReferences>
  <we:properties>
    <we:property name="MENDELEY_CITATIONS" value="[{&quot;citationID&quot;:&quot;MENDELEY_CITATION_76387952-0400-4241-871a-0295baddc520&quot;,&quot;properties&quot;:{&quot;noteIndex&quot;:0},&quot;isEdited&quot;:false,&quot;manualOverride&quot;:{&quot;isManuallyOverridden&quot;:false,&quot;citeprocText&quot;:&quot;[1]&quot;,&quot;manualOverrideText&quot;:&quot;&quot;},&quot;citationTag&quot;:&quot;MENDELEY_CITATION_v3_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&quot;,&quot;citationItems&quot;:[{&quot;id&quot;:&quot;5ab01615-35ad-3cad-8480-9bc6a3f1c00b&quot;,&quot;itemData&quot;:{&quot;type&quot;:&quot;article-journal&quot;,&quot;id&quot;:&quot;5ab01615-35ad-3cad-8480-9bc6a3f1c00b&quot;,&quot;title&quot;:&quot;Association between payments from manufacturers of pharmaceuticals to physicians and regional prescribing: cross sectional ecological study&quot;,&quot;author&quot;:[{&quot;family&quot;:&quot;Fleischman&quot;,&quot;given&quot;:&quot;William&quot;,&quot;parse-names&quot;:false,&quot;dropping-particle&quot;:&quot;&quot;,&quot;non-dropping-particle&quot;:&quot;&quot;},{&quot;family&quot;:&quot;Agrawal&quot;,&quot;given&quot;:&quot;Shantanu&quot;,&quot;parse-names&quot;:false,&quot;dropping-particle&quot;:&quot;&quot;,&quot;non-dropping-particle&quot;:&quot;&quot;},{&quot;family&quot;:&quot;King&quot;,&quot;given&quot;:&quot;Marissa&quot;,&quot;parse-names&quot;:false,&quot;dropping-particle&quot;:&quot;&quot;,&quot;non-dropping-particle&quot;:&quot;&quot;},{&quot;family&quot;:&quot;Venkatesh&quot;,&quot;given&quot;:&quot;Arjun K&quot;,&quot;parse-names&quot;:false,&quot;dropping-particle&quot;:&quot;&quot;,&quot;non-dropping-particle&quot;:&quot;&quot;},{&quot;family&quot;:&quot;Krumholz&quot;,&quot;given&quot;:&quot;Harlan M&quot;,&quot;parse-names&quot;:false,&quot;dropping-particle&quot;:&quot;&quot;,&quot;non-dropping-particle&quot;:&quot;&quot;},{&quot;family&quot;:&quot;McKee&quot;,&quot;given&quot;:&quot;Douglas&quot;,&quot;parse-names&quot;:false,&quot;dropping-particle&quot;:&quot;&quot;,&quot;non-dropping-particle&quot;:&quot;&quot;},{&quot;family&quot;:&quot;Brown&quot;,&quot;given&quot;:&quot;Douglas&quot;,&quot;parse-names&quot;:false,&quot;dropping-particle&quot;:&quot;&quot;,&quot;non-dropping-particle&quot;:&quot;&quot;},{&quot;family&quot;:&quot;Ross&quot;,&quot;given&quot;:&quot;Joseph S&quot;,&quot;parse-names&quot;:false,&quot;dropping-particle&quot;:&quot;&quot;,&quot;non-dropping-particle&quot;:&quot;&quot;}],&quot;container-title&quot;:&quot;BMJ&quot;,&quot;DOI&quot;:&quot;10.1136/bmj.i4189&quot;,&quot;ISSN&quot;:&quot;1756-1833&quot;,&quot;issued&quot;:{&quot;date-parts&quot;:[[2016,8,18]]},&quot;page&quot;:&quot;i4189&quot;,&quot;container-title-short&quot;:&quot;&quot;},&quot;isTemporary&quot;:false}]},{&quot;citationID&quot;:&quot;MENDELEY_CITATION_e6c3ddeb-e467-40c5-9a9f-2153f9533836&quot;,&quot;properties&quot;:{&quot;noteIndex&quot;:0},&quot;isEdited&quot;:false,&quot;manualOverride&quot;:{&quot;isManuallyOverridden&quot;:false,&quot;citeprocText&quot;:&quot;[2]&quot;,&quot;manualOverrideText&quot;:&quot;&quot;},&quot;citationTag&quot;:&quot;MENDELEY_CITATION_v3_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&quot;,&quot;citationItems&quot;:[{&quot;id&quot;:&quot;5a5117bb-0f0d-3367-9565-8fd1257f4374&quot;,&quot;itemData&quot;:{&quot;type&quot;:&quot;article-journal&quot;,&quot;id&quot;:&quot;5a5117bb-0f0d-3367-9565-8fd1257f4374&quot;,&quot;title&quot;:&quot;What can we learn from international comparisons of health systems and health system reform?&quot;,&quot;author&quot;:[{&quot;family&quot;:&quot;McPake&quot;,&quot;given&quot;:&quot;B&quot;,&quot;parse-names&quot;:false,&quot;dropping-particle&quot;:&quot;&quot;,&quot;non-dropping-particle&quot;:&quot;&quot;},{&quot;family&quot;:&quot;Mills&quot;,&quot;given&quot;:&quot;A&quot;,&quot;parse-names&quot;:false,&quot;dropping-particle&quot;:&quot;&quot;,&quot;non-dropping-particle&quot;:&quot;&quot;}],&quot;container-title&quot;:&quot;Bulletin of the World Health Organization&quot;,&quot;container-title-short&quot;:&quot;Bull World Health Organ&quot;,&quot;ISSN&quot;:&quot;0042-9686&quot;,&quot;PMID&quot;:&quot;10916918&quot;,&quot;issued&quot;:{&quot;date-parts&quot;:[[2000]]},&quot;page&quot;:&quot;811-20&quot;,&quot;abstract&quot;:&quot;Most commonly, lessons derived from comparisons of international health sector reform can only be generalized in a limited way to similar countries. However, there is little guidance as to what constitutes \&quot;similarity\&quot; in this respect. We propose that a framework for assessing similarity could be derived from the performance of individual policies in different contexts, and from the cause and effect processes related to the policies. We demonstrate this process by considering research evidence in the \&quot;public-private mix\&quot;, and propose variables for an initial framework that we believe determine private involvement in the public health sector. The most influential model of public leadership places the private role in a contracting framework. Research in countries that have adopted this model suggests an additional list of variables to add to the framework. The variables can be grouped under the headings \&quot;demand factors\&quot;, \&quot;supply factors\&quot;, and \&quot;strength of the public sector\&quot;. These illustrate the nature of a framework that could emerge, and which would help countries aiming to learn from international experience.&quot;,&quot;issue&quot;:&quot;6&quot;,&quot;volume&quot;:&quot;78&quot;},&quot;isTemporary&quot;:false}]},{&quot;citationID&quot;:&quot;MENDELEY_CITATION_3e9e615a-769a-4149-af8e-c2b45b11096a&quot;,&quot;properties&quot;:{&quot;noteIndex&quot;:0},&quot;isEdited&quot;:false,&quot;manualOverride&quot;:{&quot;isManuallyOverridden&quot;:false,&quot;citeprocText&quot;:&quot;[3]&quot;,&quot;manualOverrideText&quot;:&quot;&quot;},&quot;citationTag&quot;:&quot;MENDELEY_CITATION_v3_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&quot;,&quot;citationItems&quot;:[{&quot;id&quot;:&quot;6405a2c6-7b02-39ad-8def-2d4f0d521c80&quot;,&quot;itemData&quot;:{&quot;type&quot;:&quot;article-journal&quot;,&quot;id&quot;:&quot;6405a2c6-7b02-39ad-8def-2d4f0d521c80&quot;,&quot;title&quot;:&quot;Pay-for-Performance&quot;,&quot;author&quot;:[{&quot;family&quot;:&quot;Markovitz&quot;,&quot;given&quot;:&quot;Adam A.&quot;,&quot;parse-names&quot;:false,&quot;dropping-particle&quot;:&quot;&quot;,&quot;non-dropping-particle&quot;:&quot;&quot;},{&quot;family&quot;:&quot;Ryan&quot;,&quot;given&quot;:&quot;Andrew M.&quot;,&quot;parse-names&quot;:false,&quot;dropping-particle&quot;:&quot;&quot;,&quot;non-dropping-particle&quot;:&quot;&quot;}],&quot;container-title&quot;:&quot;Medical Care Research and Review&quot;,&quot;DOI&quot;:&quot;10.1177/1077558715619282&quot;,&quot;ISSN&quot;:&quot;1077-5587&quot;,&quot;issued&quot;:{&quot;date-parts&quot;:[[2017,2,3]]},&quot;page&quot;:&quot;3-78&quot;,&quot;abstract&quot;:&quot;&lt;p&gt;Research on the effects of pay-for-performance (P4P) in health care indicates largely disappointing results. This central finding, however, may mask important heterogeneity in the effects of P4P. We conducted a literature review to assess whether hospital and physician performance in P4P vary by patient and catchment area factors, organizational and structural capabilities, and P4P program characteristics. Several findings emerged: organizational size, practice type, teaching status, and physician age and gender modify performance in P4P. For physician practices and hospitals, a higher proportion of poor and minority patients is consistently associated with worse performance. Other theoretically influential characteristics—including information technology and staffing levels—yield mixed results. Inconsistent and contradictory effects of bonus likelihood, bonus size, and marginal costs on performance in P4P suggest organizations have not responded strategically to financial incentives. We conclude that extant heterogeneity in the effects of P4P does not fundamentally alter current assessments about its effectiveness.&lt;/p&gt;&quot;,&quot;issue&quot;:&quot;1&quot;,&quot;volume&quot;:&quot;74&quot;,&quot;container-title-short&quot;:&quot;&quot;},&quot;isTemporary&quot;:false}]},{&quot;citationID&quot;:&quot;MENDELEY_CITATION_c19fad05-ee0c-4237-b8da-7447109f21af&quot;,&quot;properties&quot;:{&quot;noteIndex&quot;:0},&quot;isEdited&quot;:false,&quot;manualOverride&quot;:{&quot;isManuallyOverridden&quot;:false,&quot;citeprocText&quot;:&quot;[4, 5]&quot;,&quot;manualOverrideText&quot;:&quot;&quot;},&quot;citationTag&quot;:&quot;MENDELEY_CITATION_v3_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&quot;,&quot;citationItems&quot;:[{&quot;id&quot;:&quot;137d9c39-87be-37a2-9593-0bd4e3630ccb&quot;,&quot;itemData&quot;:{&quot;type&quot;:&quot;article-journal&quot;,&quot;id&quot;:&quot;137d9c39-87be-37a2-9593-0bd4e3630ccb&quot;,&quot;title&quot;:&quot;Effectiveness of hospital payment reforms in low- and middle-income countries: a systematic review&quot;,&quot;author&quot;:[{&quot;family&quot;:&quot;Ghazaryan&quot;,&quot;given&quot;:&quot;Emma&quot;,&quot;parse-names&quot;:false,&quot;dropping-particle&quot;:&quot;&quot;,&quot;non-dropping-particle&quot;:&quot;&quot;},{&quot;family&quot;:&quot;Delarmente&quot;,&quot;given&quot;:&quot;Benjo A&quot;,&quot;parse-names&quot;:false,&quot;dropping-particle&quot;:&quot;&quot;,&quot;non-dropping-particle&quot;:&quot;&quot;},{&quot;family&quot;:&quot;Garber&quot;,&quot;given&quot;:&quot;Kent&quot;,&quot;parse-names&quot;:false,&quot;dropping-particle&quot;:&quot;&quot;,&quot;non-dropping-particle&quot;:&quot;&quot;},{&quot;family&quot;:&quot;Gross&quot;,&quot;given&quot;:&quot;Margaret&quot;,&quot;parse-names&quot;:false,&quot;dropping-particle&quot;:&quot;&quot;,&quot;non-dropping-particle&quot;:&quot;&quot;},{&quot;family&quot;:&quot;Sriudomporn&quot;,&quot;given&quot;:&quot;Salin&quot;,&quot;parse-names&quot;:false,&quot;dropping-particle&quot;:&quot;&quot;,&quot;non-dropping-particle&quot;:&quot;&quot;},{&quot;family&quot;:&quot;Rao&quot;,&quot;given&quot;:&quot;Krishna D&quot;,&quot;parse-names&quot;:false,&quot;dropping-particle&quot;:&quot;&quot;,&quot;non-dropping-particle&quot;:&quot;&quot;}],&quot;container-title&quot;:&quot;Health Policy and Planning&quot;,&quot;container-title-short&quot;:&quot;Health Policy Plan&quot;,&quot;DOI&quot;:&quot;10.1093/heapol/czab050&quot;,&quot;ISSN&quot;:&quot;1460-2237&quot;,&quot;issued&quot;:{&quot;date-parts&quot;:[[2021,9,9]]},&quot;page&quot;:&quot;1344-1356&quot;,&quot;abstract&quot;:&quot;&lt;p&gt;Payment mechanisms have attracted substantial research interest because of their consequent effect on care outcomes, including treatment costs, admission and readmission rates and patient satisfaction. Those mechanisms create the incentive environment within which health workers operate and can influence provider behaviour in ways that can facilitate achievement of national health policy goals. This systematic review aims to understand the effects of changes in hospital payment mechanisms introduced in low- and middle-income countries (LMICs) on hospital- and patient-level outcomes. A standardised search of seven databases and a manual search of the grey literature and reference lists of existing reviews were performed to identify relevant articles published between January 2000 and July 2019. We included original studies focused on hospital payment reforms and their effect on hospital and patient outcomes in LMICs. Narrative descriptions or studies focusing only on provider payments or primary care settings were excluded. The authors used the Risk of Bias in Non-Randomized Studies of Interventions tool to assess the risk of bias and quality. Results were synthesized in a narrative description due to methodological heterogeneity. A total of 24 articles from seven middle-income countries were included, the majority of which are from Asia. In most cases, hospital payment reforms included shifts from passive (fee-for-service) to active payment models—the most common being diagnosis-related group payments, capitation and global budget. In general, hospital payment reforms were associated with decreases in hospital expenditures, out-of-pocket payments, length of hospital stay and readmission rates. The majority of the articles scored low on quality due to weak study design. A shift from passive to active hospital payment methods in LMICs has been associated with lower hospital and patient costs as well as increased efficiency without any apparent compromise on quality. However, there is an important need for high-quality studies in this area.&lt;/p&gt;&quot;,&quot;issue&quot;:&quot;8&quot;,&quot;volume&quot;:&quot;36&quot;},&quot;isTemporary&quot;:false},{&quot;id&quot;:&quot;41a9345a-7461-32f9-8922-72e48b2a275b&quot;,&quot;itemData&quot;:{&quot;type&quot;:&quot;article-journal&quot;,&quot;id&quot;:&quot;41a9345a-7461-32f9-8922-72e48b2a275b&quot;,&quot;title&quot;:&quot;Payment systems for dialysis and their effects: a scoping review&quot;,&quot;author&quot;:[{&quot;family&quot;:&quot;Emrani&quot;,&quot;given&quot;:&quot;Zahra&quot;,&quot;parse-names&quot;:false,&quot;dropping-particle&quot;:&quot;&quot;,&quot;non-dropping-particle&quot;:&quot;&quot;},{&quot;family&quot;:&quot;Amiresmaili&quot;,&quot;given&quot;:&quot;Mohammadreza&quot;,&quot;parse-names&quot;:false,&quot;dropping-particle&quot;:&quot;&quot;,&quot;non-dropping-particle&quot;:&quot;&quot;},{&quot;family&quot;:&quot;Daroudi&quot;,&quot;given&quot;:&quot;Rajabali&quot;,&quot;parse-names&quot;:false,&quot;dropping-particle&quot;:&quot;&quot;,&quot;non-dropping-particle&quot;:&quot;&quot;},{&quot;family&quot;:&quot;Najafi&quot;,&quot;given&quot;:&quot;Mohammad Taghi&quot;,&quot;parse-names&quot;:false,&quot;dropping-particle&quot;:&quot;&quot;,&quot;non-dropping-particle&quot;:&quot;&quot;},{&quot;family&quot;:&quot;Akbari Sari&quot;,&quot;given&quot;:&quot;Ali&quot;,&quot;parse-names&quot;:false,&quot;dropping-particle&quot;:&quot;&quot;,&quot;non-dropping-particle&quot;:&quot;&quot;}],&quot;container-title&quot;:&quot;BMC Health Services Research&quot;,&quot;container-title-short&quot;:&quot;BMC Health Serv Res&quot;,&quot;DOI&quot;:&quot;10.1186/s12913-022-08974-4&quot;,&quot;ISSN&quot;:&quot;1472-6963&quot;,&quot;issued&quot;:{&quot;date-parts&quot;:[[2023,1,17]]},&quot;page&quot;:&quot;45&quot;,&quot;issue&quot;:&quot;1&quot;,&quot;volume&quot;:&quot;23&quot;},&quot;isTemporary&quot;:false}]},{&quot;citationID&quot;:&quot;MENDELEY_CITATION_69f7f8d8-1c2d-4efc-8d2a-b4736148ff03&quot;,&quot;properties&quot;:{&quot;noteIndex&quot;:0},&quot;isEdited&quot;:false,&quot;manualOverride&quot;:{&quot;isManuallyOverridden&quot;:false,&quot;citeprocText&quot;:&quot;[5]&quot;,&quot;manualOverrideText&quot;:&quot;&quot;},&quot;citationTag&quot;:&quot;MENDELEY_CITATION_v3_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&quot;,&quot;citationItems&quot;:[{&quot;id&quot;:&quot;41a9345a-7461-32f9-8922-72e48b2a275b&quot;,&quot;itemData&quot;:{&quot;type&quot;:&quot;article-journal&quot;,&quot;id&quot;:&quot;41a9345a-7461-32f9-8922-72e48b2a275b&quot;,&quot;title&quot;:&quot;Payment systems for dialysis and their effects: a scoping review&quot;,&quot;author&quot;:[{&quot;family&quot;:&quot;Emrani&quot;,&quot;given&quot;:&quot;Zahra&quot;,&quot;parse-names&quot;:false,&quot;dropping-particle&quot;:&quot;&quot;,&quot;non-dropping-particle&quot;:&quot;&quot;},{&quot;family&quot;:&quot;Amiresmaili&quot;,&quot;given&quot;:&quot;Mohammadreza&quot;,&quot;parse-names&quot;:false,&quot;dropping-particle&quot;:&quot;&quot;,&quot;non-dropping-particle&quot;:&quot;&quot;},{&quot;family&quot;:&quot;Daroudi&quot;,&quot;given&quot;:&quot;Rajabali&quot;,&quot;parse-names&quot;:false,&quot;dropping-particle&quot;:&quot;&quot;,&quot;non-dropping-particle&quot;:&quot;&quot;},{&quot;family&quot;:&quot;Najafi&quot;,&quot;given&quot;:&quot;Mohammad Taghi&quot;,&quot;parse-names&quot;:false,&quot;dropping-particle&quot;:&quot;&quot;,&quot;non-dropping-particle&quot;:&quot;&quot;},{&quot;family&quot;:&quot;Akbari Sari&quot;,&quot;given&quot;:&quot;Ali&quot;,&quot;parse-names&quot;:false,&quot;dropping-particle&quot;:&quot;&quot;,&quot;non-dropping-particle&quot;:&quot;&quot;}],&quot;container-title&quot;:&quot;BMC Health Services Research&quot;,&quot;container-title-short&quot;:&quot;BMC Health Serv Res&quot;,&quot;DOI&quot;:&quot;10.1186/s12913-022-08974-4&quot;,&quot;ISSN&quot;:&quot;1472-6963&quot;,&quot;issued&quot;:{&quot;date-parts&quot;:[[2023,1,17]]},&quot;page&quot;:&quot;45&quot;,&quot;issue&quot;:&quot;1&quot;,&quot;volume&quot;:&quot;23&quot;},&quot;isTemporary&quot;:false}]},{&quot;citationID&quot;:&quot;MENDELEY_CITATION_0f1bce19-d5c4-44d4-8deb-71c803368bf6&quot;,&quot;properties&quot;:{&quot;noteIndex&quot;:0},&quot;isEdited&quot;:false,&quot;manualOverride&quot;:{&quot;isManuallyOverridden&quot;:false,&quot;citeprocText&quot;:&quot;[4, 6]&quot;,&quot;manualOverrideText&quot;:&quot;&quot;},&quot;citationTag&quot;:&quot;MENDELEY_CITATION_v3_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&quot;,&quot;citationItems&quot;:[{&quot;id&quot;:&quot;137d9c39-87be-37a2-9593-0bd4e3630ccb&quot;,&quot;itemData&quot;:{&quot;type&quot;:&quot;article-journal&quot;,&quot;id&quot;:&quot;137d9c39-87be-37a2-9593-0bd4e3630ccb&quot;,&quot;title&quot;:&quot;Effectiveness of hospital payment reforms in low- and middle-income countries: a systematic review&quot;,&quot;author&quot;:[{&quot;family&quot;:&quot;Ghazaryan&quot;,&quot;given&quot;:&quot;Emma&quot;,&quot;parse-names&quot;:false,&quot;dropping-particle&quot;:&quot;&quot;,&quot;non-dropping-particle&quot;:&quot;&quot;},{&quot;family&quot;:&quot;Delarmente&quot;,&quot;given&quot;:&quot;Benjo A&quot;,&quot;parse-names&quot;:false,&quot;dropping-particle&quot;:&quot;&quot;,&quot;non-dropping-particle&quot;:&quot;&quot;},{&quot;family&quot;:&quot;Garber&quot;,&quot;given&quot;:&quot;Kent&quot;,&quot;parse-names&quot;:false,&quot;dropping-particle&quot;:&quot;&quot;,&quot;non-dropping-particle&quot;:&quot;&quot;},{&quot;family&quot;:&quot;Gross&quot;,&quot;given&quot;:&quot;Margaret&quot;,&quot;parse-names&quot;:false,&quot;dropping-particle&quot;:&quot;&quot;,&quot;non-dropping-particle&quot;:&quot;&quot;},{&quot;family&quot;:&quot;Sriudomporn&quot;,&quot;given&quot;:&quot;Salin&quot;,&quot;parse-names&quot;:false,&quot;dropping-particle&quot;:&quot;&quot;,&quot;non-dropping-particle&quot;:&quot;&quot;},{&quot;family&quot;:&quot;Rao&quot;,&quot;given&quot;:&quot;Krishna D&quot;,&quot;parse-names&quot;:false,&quot;dropping-particle&quot;:&quot;&quot;,&quot;non-dropping-particle&quot;:&quot;&quot;}],&quot;container-title&quot;:&quot;Health Policy and Planning&quot;,&quot;container-title-short&quot;:&quot;Health Policy Plan&quot;,&quot;DOI&quot;:&quot;10.1093/heapol/czab050&quot;,&quot;ISSN&quot;:&quot;1460-2237&quot;,&quot;issued&quot;:{&quot;date-parts&quot;:[[2021,9,9]]},&quot;page&quot;:&quot;1344-1356&quot;,&quot;abstract&quot;:&quot;&lt;p&gt;Payment mechanisms have attracted substantial research interest because of their consequent effect on care outcomes, including treatment costs, admission and readmission rates and patient satisfaction. Those mechanisms create the incentive environment within which health workers operate and can influence provider behaviour in ways that can facilitate achievement of national health policy goals. This systematic review aims to understand the effects of changes in hospital payment mechanisms introduced in low- and middle-income countries (LMICs) on hospital- and patient-level outcomes. A standardised search of seven databases and a manual search of the grey literature and reference lists of existing reviews were performed to identify relevant articles published between January 2000 and July 2019. We included original studies focused on hospital payment reforms and their effect on hospital and patient outcomes in LMICs. Narrative descriptions or studies focusing only on provider payments or primary care settings were excluded. The authors used the Risk of Bias in Non-Randomized Studies of Interventions tool to assess the risk of bias and quality. Results were synthesized in a narrative description due to methodological heterogeneity. A total of 24 articles from seven middle-income countries were included, the majority of which are from Asia. In most cases, hospital payment reforms included shifts from passive (fee-for-service) to active payment models—the most common being diagnosis-related group payments, capitation and global budget. In general, hospital payment reforms were associated with decreases in hospital expenditures, out-of-pocket payments, length of hospital stay and readmission rates. The majority of the articles scored low on quality due to weak study design. A shift from passive to active hospital payment methods in LMICs has been associated with lower hospital and patient costs as well as increased efficiency without any apparent compromise on quality. However, there is an important need for high-quality studies in this area.&lt;/p&gt;&quot;,&quot;issue&quot;:&quot;8&quot;,&quot;volume&quot;:&quot;36&quot;},&quot;isTemporary&quot;:false},{&quot;id&quot;:&quot;dde2dbec-0924-3ec1-b73d-8a5be3eb1292&quot;,&quot;itemData&quot;:{&quot;type&quot;:&quot;article-journal&quot;,&quot;id&quot;:&quot;dde2dbec-0924-3ec1-b73d-8a5be3eb1292&quot;,&quot;title&quot;:&quot;Institutions for health care price setting and regulation: A comparative review of eight settings&quot;,&quot;author&quot;:[{&quot;family&quot;:&quot;Barber&quot;,&quot;given&quot;:&quot;Sarah L.&quot;,&quot;parse-names&quot;:false,&quot;dropping-particle&quot;:&quot;&quot;,&quot;non-dropping-particle&quot;:&quot;&quot;},{&quot;family&quot;:&quot;Lorenzoni&quot;,&quot;given&quot;:&quot;Luca&quot;,&quot;parse-names&quot;:false,&quot;dropping-particle&quot;:&quot;&quot;,&quot;non-dropping-particle&quot;:&quot;&quot;},{&quot;family&quot;:&quot;Ong&quot;,&quot;given&quot;:&quot;Paul&quot;,&quot;parse-names&quot;:false,&quot;dropping-particle&quot;:&quot;&quot;,&quot;non-dropping-particle&quot;:&quot;&quot;}],&quot;container-title&quot;:&quot;The International Journal of Health Planning and Management&quot;,&quot;container-title-short&quot;:&quot;Int J Health Plann Manage&quot;,&quot;DOI&quot;:&quot;10.1002/hpm.2954&quot;,&quot;ISSN&quot;:&quot;0749-6753&quot;,&quot;issued&quot;:{&quot;date-parts&quot;:[[2020,3,17]]},&quot;page&quot;:&quot;639-648&quot;,&quot;issue&quot;:&quot;2&quot;,&quot;volume&quot;:&quot;35&quot;},&quot;isTemporary&quot;:false}]}]"/>
    <we:property name="MENDELEY_CITATIONS_LOCALE_CODE" value="&quot;en-US&quot;"/>
    <we:property name="MENDELEY_CITATIONS_STYLE" value="{&quot;id&quot;:&quot;https://www.zotero.org/styles/bmc-medicine&quot;,&quot;title&quot;:&quot;BMC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736F1-E7D7-426B-9E25-7A77D5424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910</Words>
  <Characters>5191</Characters>
  <Application>Microsoft Office Word</Application>
  <DocSecurity>0</DocSecurity>
  <Lines>43</Lines>
  <Paragraphs>12</Paragraphs>
  <ScaleCrop>false</ScaleCrop>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Botwright</dc:creator>
  <cp:keywords/>
  <dc:description/>
  <cp:lastModifiedBy>Siobhan Botwright</cp:lastModifiedBy>
  <cp:revision>6</cp:revision>
  <dcterms:created xsi:type="dcterms:W3CDTF">2025-11-12T02:54:00Z</dcterms:created>
  <dcterms:modified xsi:type="dcterms:W3CDTF">2025-11-12T03:42:00Z</dcterms:modified>
</cp:coreProperties>
</file>