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BCEA0">
      <w:pPr>
        <w:pStyle w:val="6"/>
        <w:spacing w:line="360" w:lineRule="auto"/>
        <w:rPr>
          <w:rFonts w:hint="default" w:ascii="Times New Roman" w:hAnsi="Times New Roman" w:eastAsia="宋体" w:cs="Times New Roman"/>
          <w:b/>
          <w:bCs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sz w:val="24"/>
          <w:szCs w:val="24"/>
          <w:highlight w:val="none"/>
          <w:lang w:val="en-US" w:eastAsia="zh-CN"/>
        </w:rPr>
        <w:t>Additonal file 2:</w:t>
      </w:r>
      <w:bookmarkStart w:id="2" w:name="_GoBack"/>
      <w:bookmarkEnd w:id="2"/>
    </w:p>
    <w:p w14:paraId="0F399936">
      <w:pPr>
        <w:pStyle w:val="6"/>
        <w:spacing w:line="360" w:lineRule="auto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bidi="ar"/>
        </w:rPr>
        <w:t>5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bidi="ar"/>
        </w:rPr>
        <w:t>-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HT2C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Receptor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s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in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the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Glutamatergic Neurons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of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Dorsal Raphe Nucleus Orchestrate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the Comorbidity of Pain and Anxiety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in Mice</w:t>
      </w:r>
    </w:p>
    <w:p w14:paraId="2FB756BA"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Qi Zhang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1#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, Li Xie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1#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, Changmao Zhu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1#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, Siqi Yang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, Xinying Zhang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, Jingyao Huang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, Yuanyuan Wang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, Yawei Ji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, Zifeng Wu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, Chaoli Huang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, Di Wang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, Ling Yang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3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, Chun Yang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*, Suwan Hu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*, Riyue Jiang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4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*</w:t>
      </w:r>
    </w:p>
    <w:p w14:paraId="2786FA8F">
      <w:pPr>
        <w:spacing w:line="480" w:lineRule="auto"/>
        <w:rPr>
          <w:rFonts w:ascii="Times New Roman" w:hAnsi="Times New Roman" w:cs="Times New Roman"/>
          <w:sz w:val="24"/>
          <w:highlight w:val="none"/>
        </w:rPr>
      </w:pPr>
      <w:r>
        <w:rPr>
          <w:rFonts w:hint="eastAsia" w:ascii="Times New Roman" w:hAnsi="Times New Roman" w:cs="Times New Roman"/>
          <w:sz w:val="24"/>
          <w:highlight w:val="none"/>
          <w:vertAlign w:val="superscript"/>
        </w:rPr>
        <w:t>1</w:t>
      </w:r>
      <w:r>
        <w:rPr>
          <w:rFonts w:ascii="Times New Roman" w:hAnsi="Times New Roman" w:cs="Times New Roman"/>
          <w:sz w:val="24"/>
          <w:highlight w:val="none"/>
        </w:rPr>
        <w:t>Department of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 Anesthesiology and Perioperative Medicine</w:t>
      </w:r>
      <w:r>
        <w:rPr>
          <w:rFonts w:ascii="Times New Roman" w:hAnsi="Times New Roman" w:cs="Times New Roman"/>
          <w:sz w:val="24"/>
          <w:highlight w:val="none"/>
        </w:rPr>
        <w:t xml:space="preserve">, </w:t>
      </w:r>
      <w:r>
        <w:rPr>
          <w:rFonts w:hint="eastAsia" w:ascii="Times New Roman" w:hAnsi="Times New Roman" w:cs="Times New Roman"/>
          <w:sz w:val="24"/>
          <w:highlight w:val="none"/>
        </w:rPr>
        <w:t>The First Affiliated Hospital of Nanjing Medical University, Nanjing 210029, China;</w:t>
      </w:r>
    </w:p>
    <w:p w14:paraId="00470364">
      <w:pPr>
        <w:spacing w:line="480" w:lineRule="auto"/>
        <w:rPr>
          <w:rFonts w:ascii="Times New Roman" w:hAnsi="Times New Roman" w:cs="Times New Roman"/>
          <w:sz w:val="24"/>
          <w:highlight w:val="none"/>
        </w:rPr>
      </w:pPr>
      <w:r>
        <w:rPr>
          <w:rFonts w:hint="eastAsia" w:ascii="Times New Roman" w:hAnsi="Times New Roman" w:cs="Times New Roman"/>
          <w:sz w:val="24"/>
          <w:highlight w:val="none"/>
          <w:vertAlign w:val="superscript"/>
        </w:rPr>
        <w:t>2</w:t>
      </w:r>
      <w:r>
        <w:rPr>
          <w:rFonts w:ascii="Times New Roman" w:hAnsi="Times New Roman" w:cs="Times New Roman"/>
          <w:sz w:val="24"/>
          <w:highlight w:val="none"/>
        </w:rPr>
        <w:t>Department of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 Anesthesiology</w:t>
      </w:r>
      <w:r>
        <w:rPr>
          <w:rFonts w:ascii="Times New Roman" w:hAnsi="Times New Roman" w:cs="Times New Roman"/>
          <w:sz w:val="24"/>
          <w:highlight w:val="none"/>
        </w:rPr>
        <w:t>, The People's Hospital of Rugao, Rugao Hospital Affiliated to Nantong University, Rugao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highlight w:val="none"/>
        </w:rPr>
        <w:t>226500, China</w:t>
      </w:r>
      <w:r>
        <w:rPr>
          <w:rFonts w:hint="eastAsia" w:ascii="Times New Roman" w:hAnsi="Times New Roman" w:cs="Times New Roman"/>
          <w:sz w:val="24"/>
          <w:highlight w:val="none"/>
        </w:rPr>
        <w:t>;</w:t>
      </w:r>
    </w:p>
    <w:p w14:paraId="3F59B2B9">
      <w:pPr>
        <w:spacing w:line="480" w:lineRule="auto"/>
        <w:rPr>
          <w:rFonts w:ascii="Times New Roman" w:hAnsi="Times New Roman" w:cs="Times New Roman"/>
          <w:sz w:val="24"/>
          <w:highlight w:val="none"/>
        </w:rPr>
      </w:pPr>
      <w:r>
        <w:rPr>
          <w:rFonts w:hint="eastAsia" w:ascii="Times New Roman" w:hAnsi="Times New Roman" w:cs="Times New Roman"/>
          <w:sz w:val="24"/>
          <w:highlight w:val="none"/>
          <w:vertAlign w:val="superscript"/>
        </w:rPr>
        <w:t>3</w:t>
      </w:r>
      <w:r>
        <w:rPr>
          <w:rFonts w:ascii="Times New Roman" w:hAnsi="Times New Roman" w:cs="Times New Roman"/>
          <w:sz w:val="24"/>
          <w:highlight w:val="none"/>
        </w:rPr>
        <w:t>Department of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 Cardiology</w:t>
      </w:r>
      <w:r>
        <w:rPr>
          <w:rFonts w:ascii="Times New Roman" w:hAnsi="Times New Roman" w:cs="Times New Roman"/>
          <w:sz w:val="24"/>
          <w:highlight w:val="none"/>
        </w:rPr>
        <w:t xml:space="preserve">, </w:t>
      </w:r>
      <w:r>
        <w:rPr>
          <w:rFonts w:hint="eastAsia" w:ascii="Times New Roman" w:hAnsi="Times New Roman" w:cs="Times New Roman"/>
          <w:sz w:val="24"/>
          <w:highlight w:val="none"/>
        </w:rPr>
        <w:t>The Third Affiliated Hospital of Soochow University, Changzhou 213003, China;</w:t>
      </w:r>
    </w:p>
    <w:p w14:paraId="6F2A412B">
      <w:pPr>
        <w:spacing w:line="480" w:lineRule="auto"/>
        <w:rPr>
          <w:rFonts w:ascii="Times New Roman" w:hAnsi="Times New Roman" w:cs="Times New Roman"/>
          <w:sz w:val="24"/>
          <w:highlight w:val="none"/>
        </w:rPr>
      </w:pPr>
      <w:r>
        <w:rPr>
          <w:rFonts w:hint="eastAsia" w:ascii="Times New Roman" w:hAnsi="Times New Roman" w:cs="Times New Roman"/>
          <w:sz w:val="24"/>
          <w:highlight w:val="none"/>
          <w:vertAlign w:val="superscript"/>
        </w:rPr>
        <w:t>4</w:t>
      </w:r>
      <w:r>
        <w:rPr>
          <w:rFonts w:ascii="Times New Roman" w:hAnsi="Times New Roman" w:cs="Times New Roman"/>
          <w:sz w:val="24"/>
          <w:highlight w:val="none"/>
        </w:rPr>
        <w:t>Department of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 Radiation Oncology</w:t>
      </w:r>
      <w:r>
        <w:rPr>
          <w:rFonts w:ascii="Times New Roman" w:hAnsi="Times New Roman" w:cs="Times New Roman"/>
          <w:sz w:val="24"/>
          <w:highlight w:val="none"/>
        </w:rPr>
        <w:t xml:space="preserve">, </w:t>
      </w:r>
      <w:r>
        <w:rPr>
          <w:rFonts w:hint="eastAsia" w:ascii="Times New Roman" w:hAnsi="Times New Roman" w:cs="Times New Roman"/>
          <w:sz w:val="24"/>
          <w:highlight w:val="none"/>
        </w:rPr>
        <w:t>The First Affiliated Hospital of Nanjing Medical University, Nanjing 210029, China.</w:t>
      </w:r>
    </w:p>
    <w:p w14:paraId="4312EE4E">
      <w:pPr>
        <w:spacing w:line="480" w:lineRule="auto"/>
        <w:rPr>
          <w:rFonts w:ascii="Times New Roman" w:hAnsi="Times New Roman" w:cs="Times New Roman"/>
          <w:sz w:val="24"/>
          <w:highlight w:val="none"/>
        </w:rPr>
      </w:pPr>
      <w:r>
        <w:rPr>
          <w:rFonts w:hint="eastAsia" w:ascii="Times New Roman" w:hAnsi="Times New Roman" w:cs="Times New Roman"/>
          <w:sz w:val="24"/>
          <w:highlight w:val="none"/>
        </w:rPr>
        <w:t>*Co-corresponding authors.</w:t>
      </w:r>
    </w:p>
    <w:p w14:paraId="484CFE87">
      <w:pPr>
        <w:spacing w:line="480" w:lineRule="auto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Dr. Chun Yang, email: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"mailto:chunyang@njmu.edu.cn" </w:instrText>
      </w:r>
      <w:r>
        <w:rPr>
          <w:highlight w:val="none"/>
        </w:rPr>
        <w:fldChar w:fldCharType="separate"/>
      </w:r>
      <w:r>
        <w:rPr>
          <w:rStyle w:val="5"/>
          <w:rFonts w:ascii="Times New Roman" w:hAnsi="Times New Roman" w:cs="Times New Roman"/>
          <w:sz w:val="24"/>
          <w:highlight w:val="none"/>
        </w:rPr>
        <w:t>chunyang@njmu.edu.cn</w:t>
      </w:r>
      <w:r>
        <w:rPr>
          <w:rStyle w:val="5"/>
          <w:rFonts w:ascii="Times New Roman" w:hAnsi="Times New Roman" w:cs="Times New Roman"/>
          <w:sz w:val="24"/>
          <w:highlight w:val="none"/>
        </w:rPr>
        <w:fldChar w:fldCharType="end"/>
      </w:r>
    </w:p>
    <w:p w14:paraId="4CCD52DD">
      <w:pPr>
        <w:spacing w:line="480" w:lineRule="auto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Dr. Suwan Hu, email: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"mailto:linda_yl@sina.com" </w:instrText>
      </w:r>
      <w:r>
        <w:rPr>
          <w:highlight w:val="none"/>
        </w:rPr>
        <w:fldChar w:fldCharType="separate"/>
      </w:r>
      <w:r>
        <w:rPr>
          <w:rFonts w:ascii="Times New Roman" w:hAnsi="Times New Roman" w:cs="Times New Roman"/>
          <w:highlight w:val="none"/>
        </w:rPr>
        <w:t>swhu</w:t>
      </w:r>
      <w:r>
        <w:rPr>
          <w:rStyle w:val="5"/>
          <w:rFonts w:ascii="Times New Roman" w:hAnsi="Times New Roman" w:cs="Times New Roman"/>
          <w:sz w:val="24"/>
          <w:highlight w:val="none"/>
        </w:rPr>
        <w:t>@njmu.edu.cn</w:t>
      </w:r>
      <w:r>
        <w:rPr>
          <w:rStyle w:val="5"/>
          <w:rFonts w:ascii="Times New Roman" w:hAnsi="Times New Roman" w:cs="Times New Roman"/>
          <w:sz w:val="24"/>
          <w:highlight w:val="none"/>
        </w:rPr>
        <w:fldChar w:fldCharType="end"/>
      </w:r>
    </w:p>
    <w:p w14:paraId="7BF0CF9C">
      <w:pPr>
        <w:spacing w:line="480" w:lineRule="auto"/>
        <w:rPr>
          <w:rStyle w:val="5"/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Dr. Riyue Jiang, email: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"mailto:riyuejiang@jsph.org.cn" </w:instrText>
      </w:r>
      <w:r>
        <w:rPr>
          <w:highlight w:val="none"/>
        </w:rPr>
        <w:fldChar w:fldCharType="separate"/>
      </w:r>
      <w:r>
        <w:rPr>
          <w:rStyle w:val="5"/>
          <w:rFonts w:ascii="Times New Roman" w:hAnsi="Times New Roman" w:cs="Times New Roman"/>
          <w:sz w:val="24"/>
          <w:highlight w:val="none"/>
        </w:rPr>
        <w:t>riyuejiang@jsph.org.cn</w:t>
      </w:r>
      <w:r>
        <w:rPr>
          <w:rStyle w:val="5"/>
          <w:rFonts w:ascii="Times New Roman" w:hAnsi="Times New Roman" w:cs="Times New Roman"/>
          <w:sz w:val="24"/>
          <w:highlight w:val="none"/>
        </w:rPr>
        <w:fldChar w:fldCharType="end"/>
      </w:r>
    </w:p>
    <w:p w14:paraId="60598004">
      <w:pPr>
        <w:spacing w:line="480" w:lineRule="auto"/>
        <w:rPr>
          <w:rStyle w:val="5"/>
          <w:rFonts w:ascii="Times New Roman" w:hAnsi="Times New Roman" w:cs="Times New Roman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#</w:t>
      </w:r>
      <w:r>
        <w:rPr>
          <w:rFonts w:ascii="Times New Roman" w:hAnsi="Times New Roman" w:cs="Times New Roman"/>
          <w:sz w:val="24"/>
          <w:highlight w:val="none"/>
        </w:rPr>
        <w:t>These authors contributed equally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: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Qi Zhang, Li Xie, Changmao Zhu</w:t>
      </w:r>
    </w:p>
    <w:p w14:paraId="1C86B8D7">
      <w:pPr>
        <w:widowControl/>
        <w:jc w:val="left"/>
        <w:rPr>
          <w:rFonts w:ascii="Times New Roman" w:hAnsi="Times New Roman" w:eastAsia="等线" w:cs="Times New Roman"/>
          <w:b/>
          <w:bCs/>
          <w:i/>
          <w:iCs/>
          <w:sz w:val="28"/>
          <w:szCs w:val="28"/>
          <w:highlight w:val="none"/>
        </w:rPr>
      </w:pPr>
    </w:p>
    <w:p w14:paraId="49063C06">
      <w:pPr>
        <w:pStyle w:val="6"/>
        <w:spacing w:line="360" w:lineRule="auto"/>
        <w:ind w:left="280" w:hanging="280" w:hangingChars="100"/>
        <w:rPr>
          <w:rFonts w:ascii="Times New Roman" w:hAnsi="Times New Roman" w:cs="Times New Roman"/>
          <w:b/>
          <w:bCs/>
          <w:i/>
          <w:iCs/>
          <w:sz w:val="28"/>
          <w:szCs w:val="28"/>
          <w:highlight w:val="none"/>
        </w:rPr>
      </w:pPr>
    </w:p>
    <w:p w14:paraId="6D130103">
      <w:pPr>
        <w:rPr>
          <w:highlight w:val="none"/>
        </w:rPr>
      </w:pPr>
      <w:r>
        <w:rPr>
          <w:highlight w:val="none"/>
        </w:rPr>
        <w:br w:type="page"/>
      </w:r>
    </w:p>
    <w:p w14:paraId="2FD07D50">
      <w:pPr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71770" cy="2920365"/>
            <wp:effectExtent l="0" t="0" r="5080" b="3810"/>
            <wp:docPr id="6" name="图片 6" descr="D:/2.CNS/1. Post-doctor/2. 博后科研/1. 课题与数据/3. DRN and CFA pain anxiety/1.投稿/6. 修回作图/汇总图/figures1.tif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/2.CNS/1. Post-doctor/2. 博后科研/1. 课题与数据/3. DRN and CFA pain anxiety/1.投稿/6. 修回作图/汇总图/figures1.tiffigures1"/>
                    <pic:cNvPicPr>
                      <a:picLocks noChangeAspect="1"/>
                    </pic:cNvPicPr>
                  </pic:nvPicPr>
                  <pic:blipFill>
                    <a:blip r:embed="rId4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D81ED"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1. The duration of the CFA-induced pain-anxiety comorbidity model.​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(A)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Timeline of CFA/Saline injection, pain and anxiety-like behavioral tests.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B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PWT before and after CFA/Saline 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C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-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F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OFT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7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days after CFA/Saline 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C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Representative trajectories of OFT exploration.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D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Total distance.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Time spent in the OF center.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F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Percentage of distance spent in the OF center.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-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I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7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days after CFA/Saline 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Representative trajectories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exploration.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H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Time spent in the open arms.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I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Frequency of open arm entries. Data are shown as mean ± SEM. ***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highlight w:val="none"/>
          <w:lang w:bidi="ar"/>
        </w:rPr>
        <w:t>P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&lt; 0.001; ns, not significant. CFA, Complete Freund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’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s Adjuvant; </w:t>
      </w:r>
      <w:bookmarkStart w:id="0" w:name="OLE_LINK7"/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, elevated plus maze test; Sal, saline; OFT, open field test; PWT, paw withdrawal thresholds to mechanical stimuli.</w:t>
      </w:r>
      <w:bookmarkEnd w:id="0"/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highlight w:val="none"/>
        </w:rPr>
        <w:t>F</w:t>
      </w:r>
      <w:r>
        <w:rPr>
          <w:rFonts w:ascii="Times New Roman" w:hAnsi="Times New Roman" w:cs="Times New Roman"/>
          <w:sz w:val="24"/>
          <w:highlight w:val="none"/>
        </w:rPr>
        <w:t xml:space="preserve">urther details of statistical data analysis 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are shown in </w:t>
      </w:r>
      <w:r>
        <w:rPr>
          <w:rFonts w:hint="eastAsia" w:ascii="Times New Roman" w:hAnsi="Times New Roman" w:cs="Times New Roman"/>
          <w:sz w:val="24"/>
          <w:highlight w:val="none"/>
          <w:lang w:eastAsia="zh-CN"/>
        </w:rPr>
        <w:t>Additional file 1: Table S1</w:t>
      </w:r>
      <w:r>
        <w:rPr>
          <w:rFonts w:ascii="Times New Roman" w:hAnsi="Times New Roman" w:cs="Times New Roman"/>
          <w:sz w:val="24"/>
          <w:highlight w:val="none"/>
        </w:rPr>
        <w:t>.</w:t>
      </w:r>
    </w:p>
    <w:p w14:paraId="7BB7C259">
      <w:pPr>
        <w:rPr>
          <w:highlight w:val="none"/>
        </w:rPr>
      </w:pPr>
      <w:r>
        <w:rPr>
          <w:highlight w:val="none"/>
        </w:rPr>
        <w:br w:type="page"/>
      </w:r>
    </w:p>
    <w:p w14:paraId="456E8E14">
      <w:pPr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68595" cy="2788285"/>
            <wp:effectExtent l="0" t="0" r="8255" b="2540"/>
            <wp:docPr id="1" name="图片 1" descr="D:/2.CNS/1. Post-doctor/2. 博后科研/1. 课题与数据/3. DRN and CFA pain anxiety/1.投稿/6. 修回作图/汇总图/figures1.tif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2.CNS/1. Post-doctor/2. 博后科研/1. 课题与数据/3. DRN and CFA pain anxiety/1.投稿/6. 修回作图/汇总图/figures1.tiffigures1"/>
                    <pic:cNvPicPr>
                      <a:picLocks noChangeAspect="1"/>
                    </pic:cNvPicPr>
                  </pic:nvPicPr>
                  <pic:blipFill>
                    <a:blip r:embed="rId5"/>
                    <a:srcRect t="54" b="5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D7D6B"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>2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. The comorbidity of chronic pain and anxiety induced by CFA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did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not alter the baseline activity of 5-HTergic and GABAergic neurons in the DRN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(A)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Timeline of CFA/Saline injection and Immunofluorescent staining. (B)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Representative immunofluorescent images of c-fos expression in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DRN 5-HTergic neurons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Scale bars: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200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μm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(C) Quantification of fluorescent intensity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co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-labeled (c-fos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 xml:space="preserve">+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/ 5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HT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+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cells. (D)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Timeline of AAV/CFA/Saline injection and immunofluorescent staining. (E)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Representative immunofluorescent images of c-fos expression in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DRN GABAergic neurons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Scale bars: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200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μm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. (F) Quantification of fluorescent intensity of dual-labeled (c-fos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 xml:space="preserve">+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/ vgat1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+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cells. Data are shown as mean ± SEM. ns, not significant. CFA, complete Freund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’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s adjuvant; DRN, dorsal raphe nucleus; IF, immunofluorescent staining; Sal, saline. Further details of statistical data analysis are shown in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Additional file 1: Table S1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.</w:t>
      </w:r>
    </w:p>
    <w:p w14:paraId="60D137C7">
      <w:pP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br w:type="page"/>
      </w:r>
    </w:p>
    <w:p w14:paraId="5555B930">
      <w:pPr>
        <w:widowControl/>
        <w:spacing w:line="480" w:lineRule="auto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drawing>
          <wp:inline distT="0" distB="0" distL="114300" distR="114300">
            <wp:extent cx="5269865" cy="1360170"/>
            <wp:effectExtent l="0" t="0" r="6985" b="1905"/>
            <wp:docPr id="4" name="图片 4" descr="figures3 Gi validation of chemogen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s3 Gi validation of chemogentic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E55DB"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>3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. Efficacy and specificity of chemogenetic inhibition in DRN glutamatergic populations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(A)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Timeline of AAV/CFA/Saline injection and Immunofluorescent staining. (B)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Representative immunofluorescent images of c-fos expression in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DRN GABAergic neurons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Scale bars: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200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μm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(C) Quantification of fluorescent intensity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co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-labeled (c-fos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 xml:space="preserve">+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 xml:space="preserve">+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vglut2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vertAlign w:val="superscript"/>
          <w:lang w:bidi="ar"/>
        </w:rPr>
        <w:t>+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cells. Data are shown as mean ± SEM. **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highlight w:val="none"/>
          <w:lang w:bidi="ar"/>
        </w:rPr>
        <w:t>P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&lt; 0.01. CFA, complete Freund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’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s adjuvant; CNO, clozapine N-oxide; DRN, dorsal raphe nucleus; IF, immunofluorescent staining. Further details of statistical data analysis are shown in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Additional file 1: Table S1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.</w:t>
      </w:r>
    </w:p>
    <w:p w14:paraId="3F209038"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</w:p>
    <w:p w14:paraId="5F499021">
      <w:pP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br w:type="page"/>
      </w:r>
    </w:p>
    <w:p w14:paraId="242B2F63"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drawing>
          <wp:inline distT="0" distB="0" distL="114300" distR="114300">
            <wp:extent cx="5032375" cy="5407025"/>
            <wp:effectExtent l="0" t="0" r="6350" b="3175"/>
            <wp:docPr id="2" name="图片 2" descr="figures2 DRN-camk2-Gi + C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s2 DRN-camk2-Gi + CF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2375" cy="540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5A3EF">
      <w:pPr>
        <w:spacing w:line="480" w:lineRule="auto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>4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. Chemogenetic inhibition of DRN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CaMKII - positive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neurons reverse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s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CFA-induced comorbidity of chronic pain and anxiety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(A) Timeline of AAV/CFA/Saline injection, pain and anxiety-like behavioral tests. (B) Diagram of AAV injection and representative photomicrographs of the DRN site.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Scale bars: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200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μm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(C) PWT 20 mins after CNO/Saline injection. (D-G) OFT 20 mins after CNO/Saline injection. (D) Total distance. (E) Time spent in the OF center. (F) Percentage of distance spent in the OF center. (G) Representative trajectories of OFT exploration. (H - J)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20 mins after CNO/Saline injection. (H) Time spent in the open arms. (I) Frequency of open arm entries. (J) Representative trajectories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exploration. Data are shown as mean ± SEM. *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highlight w:val="none"/>
          <w:lang w:bidi="ar"/>
        </w:rPr>
        <w:t>P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&lt; 0.05, **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highlight w:val="none"/>
          <w:lang w:bidi="ar"/>
        </w:rPr>
        <w:t>P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&lt; 0.01. AAV, adeno-associated virus; CFA, complete Freund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’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s adjuvant; CNO, clozapine N-oxide; DRN, dorsal raphe nucleus;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, elevated plus maze test; OFT, open field test; PWT, paw withdrawal thresholds to mechanical stimuli. Further details of statistical data analysis are shown in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Additional file 1: Table S1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.</w:t>
      </w:r>
    </w:p>
    <w:p w14:paraId="010B676E">
      <w:pPr>
        <w:spacing w:line="480" w:lineRule="auto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</w:p>
    <w:p w14:paraId="642EDFCA">
      <w:pPr>
        <w:widowControl/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</w:p>
    <w:p w14:paraId="754C2BA9">
      <w:pP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br w:type="page"/>
      </w:r>
    </w:p>
    <w:p w14:paraId="57947F97">
      <w:pPr>
        <w:jc w:val="center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drawing>
          <wp:inline distT="0" distB="0" distL="114300" distR="114300">
            <wp:extent cx="2338070" cy="709930"/>
            <wp:effectExtent l="0" t="0" r="5080" b="4445"/>
            <wp:docPr id="7" name="图片 7" descr="figure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807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354B1">
      <w:pPr>
        <w:spacing w:line="480" w:lineRule="auto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>5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 xml:space="preserve">Original blots of 5-HT2C and GAPDH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2"/>
          <w:highlight w:val="none"/>
          <w:lang w:val="en-US" w:eastAsia="zh-CN" w:bidi="ar"/>
          <w14:ligatures w14:val="standardContextual"/>
        </w:rPr>
        <w:t>in Figure 3A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5-HT2C, 5-hydroxytryptamine receptor 2C; GAPDH, glyceraldehyde-3-phosphate dehydrogenase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br w:type="page"/>
      </w:r>
    </w:p>
    <w:p w14:paraId="0633E616">
      <w:pPr>
        <w:spacing w:line="480" w:lineRule="auto"/>
        <w:jc w:val="center"/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drawing>
          <wp:inline distT="0" distB="0" distL="114300" distR="114300">
            <wp:extent cx="4776470" cy="2889250"/>
            <wp:effectExtent l="0" t="0" r="5080" b="6350"/>
            <wp:docPr id="5" name="图片 5" descr="figures4 5HT2C with 5ht and vg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s4 5HT2C with 5ht and vga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647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ADA1E">
      <w:pPr>
        <w:spacing w:line="480" w:lineRule="auto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>6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Expression of 5-HT2C receptors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in DRN GABAergic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and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5-HTergic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neurons.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(A)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Representative immunofluorescent images of c-fos expression in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DRN GABAergic neurons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Scale bars: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200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μm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(B) Percentage of DRN GABAergic neurons that express 5-HT2C. (C)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Representative immunofluorescent images of c-fos expression in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DRN 5-HTergic neurons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Scale bars: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200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μm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. (D) Percentage of DRN 5-HTergic neurons that express 5-HT2C. Data are shown as mean ± SEM. 5-HT2C, 5-hydroxytryptamine receptor 2C; DRN, dorsal raphe nucleus; IF, immunofluorescent staining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.</w:t>
      </w:r>
    </w:p>
    <w:p w14:paraId="49E3FA79">
      <w:pP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br w:type="page"/>
      </w:r>
    </w:p>
    <w:p w14:paraId="33E55854">
      <w:pPr>
        <w:spacing w:line="480" w:lineRule="auto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drawing>
          <wp:inline distT="0" distB="0" distL="114300" distR="114300">
            <wp:extent cx="5117465" cy="6257290"/>
            <wp:effectExtent l="0" t="0" r="6985" b="635"/>
            <wp:docPr id="8" name="图片 8" descr="D:/2.CNS/1. Post-doctor/2. 博后科研/1. 课题与数据/3. DRN and CFA pain anxiety/1.投稿/6. 修回作图/汇总图/figures7.tiffigure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:/2.CNS/1. Post-doctor/2. 博后科研/1. 课题与数据/3. DRN and CFA pain anxiety/1.投稿/6. 修回作图/汇总图/figures7.tiffigures7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7465" cy="625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E9EDB">
      <w:pPr>
        <w:spacing w:line="480" w:lineRule="auto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>S7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2"/>
          <w:highlight w:val="none"/>
          <w:lang w:val="en-US" w:eastAsia="zh-CN" w:bidi="ar"/>
          <w14:ligatures w14:val="standardContextual"/>
        </w:rPr>
        <w:t>Systemic administration of MK212 did not alter pain thresholds or anxiety-related behaviors in naive mice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.​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(A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 xml:space="preserve"> - H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 xml:space="preserve">Behavioral tests 30 min after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2"/>
          <w:highlight w:val="none"/>
          <w:lang w:val="en-US" w:eastAsia="zh-CN" w:bidi="ar"/>
          <w14:ligatures w14:val="standardContextual"/>
        </w:rPr>
        <w:t>systemic administration of MK212 (1 mg/kg, intraperitoneal injection))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A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PWT after 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/MK212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B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-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OFT after 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/MK212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B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Representative trajectories of OFT exploration.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C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Total distance.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D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Time spent in the OF center.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Percentage of distance spent in the OF center.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F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-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H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after 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/MK212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F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Representative trajectories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exploration.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Time spent in the open arms.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H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Frequency of open arm entries.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I - P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 xml:space="preserve">Behavioral tests 24 h after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2"/>
          <w:highlight w:val="none"/>
          <w:lang w:val="en-US" w:eastAsia="zh-CN" w:bidi="ar"/>
          <w14:ligatures w14:val="standardContextual"/>
        </w:rPr>
        <w:t>systemic administration of MK212 (1 mg/kg, intraperitoneal)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I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PWT after 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/MK212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J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-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OFT after 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/MK212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J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Representative trajectories of OFT exploration.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K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Total distance.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Time spent in the OF center.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Percentage of distance spent in the OF center.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-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after 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/MK212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Representative trajectories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exploration.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O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Time spent in the open arms.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Frequency of open arm entries. Data are shown as mean ± SEM. ns, not significant.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, elevated plus maze test; Sal, saline; OFT, open field test; PWT, paw withdrawal thresholds to mechanical stimuli. </w:t>
      </w:r>
      <w:r>
        <w:rPr>
          <w:rFonts w:hint="eastAsia" w:ascii="Times New Roman" w:hAnsi="Times New Roman" w:cs="Times New Roman"/>
          <w:sz w:val="24"/>
          <w:highlight w:val="none"/>
        </w:rPr>
        <w:t>F</w:t>
      </w:r>
      <w:r>
        <w:rPr>
          <w:rFonts w:ascii="Times New Roman" w:hAnsi="Times New Roman" w:cs="Times New Roman"/>
          <w:sz w:val="24"/>
          <w:highlight w:val="none"/>
        </w:rPr>
        <w:t xml:space="preserve">urther details of statistical data analysis 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are shown in </w:t>
      </w:r>
      <w:r>
        <w:rPr>
          <w:rFonts w:hint="eastAsia" w:ascii="Times New Roman" w:hAnsi="Times New Roman" w:cs="Times New Roman"/>
          <w:sz w:val="24"/>
          <w:highlight w:val="none"/>
          <w:lang w:eastAsia="zh-CN"/>
        </w:rPr>
        <w:t>Additional file 1: Table S1</w:t>
      </w:r>
      <w:r>
        <w:rPr>
          <w:rFonts w:ascii="Times New Roman" w:hAnsi="Times New Roman" w:cs="Times New Roman"/>
          <w:sz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br w:type="page"/>
      </w:r>
    </w:p>
    <w:p w14:paraId="16D968DB">
      <w:pPr>
        <w:spacing w:line="480" w:lineRule="auto"/>
        <w:jc w:val="center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drawing>
          <wp:inline distT="0" distB="0" distL="114300" distR="114300">
            <wp:extent cx="4419600" cy="3663950"/>
            <wp:effectExtent l="0" t="0" r="0" b="3175"/>
            <wp:docPr id="3" name="图片 3" descr="figure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s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09749">
      <w:pPr>
        <w:widowControl w:val="0"/>
        <w:spacing w:line="480" w:lineRule="auto"/>
        <w:jc w:val="both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>8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2"/>
          <w:highlight w:val="none"/>
          <w:vertAlign w:val="baseline"/>
          <w:lang w:val="en-US" w:eastAsia="zh-CN" w:bidi="ar"/>
          <w14:ligatures w14:val="standardContextual"/>
        </w:rPr>
        <w:t>Immunofluorescence validation of 5-HT2C receptor overexpression and knockdown.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2"/>
          <w:highlight w:val="none"/>
          <w:vertAlign w:val="baseline"/>
          <w:lang w:val="en-US" w:eastAsia="zh-CN" w:bidi="ar"/>
          <w14:ligatures w14:val="standardContextual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(A)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Timeline of AAV injection and Immunofluorescent staining. (B)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Representative immunofluorescent images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5-HT2C receptor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expression in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DRN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Scale bars: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200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μm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C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Timeline of AAV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/Saline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injection and Immunofluorescent staining. (B)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Representative immunofluorescent images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5-HT2C receptor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expression in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DRN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Scale bars: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200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μm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.</w:t>
      </w:r>
    </w:p>
    <w:p w14:paraId="6965630C">
      <w:pP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br w:type="page"/>
      </w:r>
    </w:p>
    <w:p w14:paraId="43E44346">
      <w:pPr>
        <w:widowControl w:val="0"/>
        <w:spacing w:line="480" w:lineRule="auto"/>
        <w:jc w:val="both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drawing>
          <wp:inline distT="0" distB="0" distL="114300" distR="114300">
            <wp:extent cx="5273040" cy="5197475"/>
            <wp:effectExtent l="0" t="0" r="3810" b="3175"/>
            <wp:docPr id="9" name="图片 9" descr="D:/2.CNS/1. Post-doctor/2. 博后科研/1. 课题与数据/3. DRN and CFA pain anxiety/1.投稿/6. 修回作图/汇总图/figures9.tiffigure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/2.CNS/1. Post-doctor/2. 博后科研/1. 课题与数据/3. DRN and CFA pain anxiety/1.投稿/6. 修回作图/汇总图/figures9.tiffigures9"/>
                    <pic:cNvPicPr>
                      <a:picLocks noChangeAspect="1"/>
                    </pic:cNvPicPr>
                  </pic:nvPicPr>
                  <pic:blipFill>
                    <a:blip r:embed="rId12"/>
                    <a:srcRect l="6" r="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19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>S9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2"/>
          <w:highlight w:val="none"/>
          <w:lang w:val="en-US" w:eastAsia="zh-CN" w:bidi="ar"/>
          <w14:ligatures w14:val="standardContextual"/>
        </w:rPr>
        <w:t>Systemic administration of RS102221 did not alter pain-related or anxiety-like behaviors in a physiological or pathological state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.​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(A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 xml:space="preserve"> - I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 xml:space="preserve">Behavioral tests 30 min after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2"/>
          <w:highlight w:val="none"/>
          <w:lang w:val="en-US" w:eastAsia="zh-CN" w:bidi="ar"/>
          <w14:ligatures w14:val="standardContextual"/>
        </w:rPr>
        <w:t>systemic administration of RS102221 (1 mg/kg, intraperitoneal injection)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(A)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Timeline of CFA/Saline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/RS102221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injection, pain and anxiety-like behavioral tests.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B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PWT after 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/RS102221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C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-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F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OFT after 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/MK212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C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Representative trajectories of OFT exploration.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D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Total distance.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Time spent in the OF center.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F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Percentage of distance spent in the OF center.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-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I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after 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 xml:space="preserve">/RS102221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Representative trajectories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exploration.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H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Time spent in the open arms.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I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Frequency of open arm entries.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J - R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 xml:space="preserve">Behavioral tests 24 h after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2"/>
          <w:highlight w:val="none"/>
          <w:lang w:val="en-US" w:eastAsia="zh-CN" w:bidi="ar"/>
          <w14:ligatures w14:val="standardContextual"/>
        </w:rPr>
        <w:t>systemic administration of RS102221 (1 mg/kg, intraperitoneal)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.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I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Timeline of CFA/Saline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/RS102221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injection, pain and anxiety-like behavioral tests.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K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PWT after 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/RS102221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-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O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OFT after 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/RS102221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Representative trajectories of OFT exploration.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Total distance.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Time spent in the OF center.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O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Percentage of distance spent in the OF center.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-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R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after Saline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/RS102221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injection.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Representative trajectories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exploration.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Q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Time spent in the open arms.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R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 Frequency of open arm entries. Data are shown as mean ± SEM. *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highlight w:val="none"/>
          <w:lang w:bidi="ar"/>
        </w:rPr>
        <w:t>P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&lt; 0.05, </w:t>
      </w:r>
      <w:bookmarkStart w:id="1" w:name="OLE_LINK1"/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**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highlight w:val="none"/>
          <w:lang w:bidi="ar"/>
        </w:rPr>
        <w:t>P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&lt; 0.01,</w:t>
      </w:r>
      <w:bookmarkEnd w:id="1"/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***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highlight w:val="none"/>
          <w:lang w:bidi="ar"/>
        </w:rPr>
        <w:t>P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&lt; 0.001;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ns, not significant. CFA, Complete Freund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’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s Adjuvant;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eastAsia="zh-CN" w:bidi="ar"/>
        </w:rPr>
        <w:t>EPMT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, elevated plus maze test; Sal, saline; OFT, open field test; PWT, paw withdrawal thresholds to mechanical stimuli. </w:t>
      </w:r>
      <w:r>
        <w:rPr>
          <w:rFonts w:hint="eastAsia" w:ascii="Times New Roman" w:hAnsi="Times New Roman" w:cs="Times New Roman"/>
          <w:sz w:val="24"/>
          <w:highlight w:val="none"/>
        </w:rPr>
        <w:t>F</w:t>
      </w:r>
      <w:r>
        <w:rPr>
          <w:rFonts w:ascii="Times New Roman" w:hAnsi="Times New Roman" w:cs="Times New Roman"/>
          <w:sz w:val="24"/>
          <w:highlight w:val="none"/>
        </w:rPr>
        <w:t xml:space="preserve">urther details of statistical data analysis 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are shown in </w:t>
      </w:r>
      <w:r>
        <w:rPr>
          <w:rFonts w:hint="eastAsia" w:ascii="Times New Roman" w:hAnsi="Times New Roman" w:cs="Times New Roman"/>
          <w:sz w:val="24"/>
          <w:highlight w:val="none"/>
          <w:lang w:eastAsia="zh-CN"/>
        </w:rPr>
        <w:t>Additional file 1: Table S1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br w:type="page"/>
      </w:r>
    </w:p>
    <w:p w14:paraId="07DB3490">
      <w:pPr>
        <w:widowControl w:val="0"/>
        <w:spacing w:line="480" w:lineRule="auto"/>
        <w:jc w:val="both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CF4515"/>
    <w:rsid w:val="0004470D"/>
    <w:rsid w:val="000541CD"/>
    <w:rsid w:val="00314301"/>
    <w:rsid w:val="00343ADA"/>
    <w:rsid w:val="003A3C6A"/>
    <w:rsid w:val="006518DB"/>
    <w:rsid w:val="008B0839"/>
    <w:rsid w:val="00E27FAA"/>
    <w:rsid w:val="039446EB"/>
    <w:rsid w:val="05D16D61"/>
    <w:rsid w:val="22274D44"/>
    <w:rsid w:val="242E1A5D"/>
    <w:rsid w:val="283D093C"/>
    <w:rsid w:val="2D5B59E8"/>
    <w:rsid w:val="306666C5"/>
    <w:rsid w:val="3381627F"/>
    <w:rsid w:val="33DB19E4"/>
    <w:rsid w:val="37D179A4"/>
    <w:rsid w:val="3C515F6C"/>
    <w:rsid w:val="3EDD2F8F"/>
    <w:rsid w:val="40234C31"/>
    <w:rsid w:val="47434273"/>
    <w:rsid w:val="498B7267"/>
    <w:rsid w:val="4D2951F8"/>
    <w:rsid w:val="54C46A4C"/>
    <w:rsid w:val="581D160A"/>
    <w:rsid w:val="5BD244A3"/>
    <w:rsid w:val="5CF83C95"/>
    <w:rsid w:val="615F3437"/>
    <w:rsid w:val="66D95632"/>
    <w:rsid w:val="676C634C"/>
    <w:rsid w:val="69CF4515"/>
    <w:rsid w:val="6A0C71D9"/>
    <w:rsid w:val="6C3C2767"/>
    <w:rsid w:val="73970F1D"/>
    <w:rsid w:val="73EC0C8A"/>
    <w:rsid w:val="75232716"/>
    <w:rsid w:val="76DB4D92"/>
    <w:rsid w:val="797669C9"/>
    <w:rsid w:val="799C0B60"/>
    <w:rsid w:val="7DEC3FB2"/>
    <w:rsid w:val="7EA8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6">
    <w:name w:val="EndNote Bibliography"/>
    <w:basedOn w:val="1"/>
    <w:qFormat/>
    <w:uiPriority w:val="0"/>
    <w:rPr>
      <w:rFonts w:ascii="等线" w:hAnsi="等线" w:eastAsia="等线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1277</Words>
  <Characters>7469</Characters>
  <Lines>30</Lines>
  <Paragraphs>8</Paragraphs>
  <TotalTime>0</TotalTime>
  <ScaleCrop>false</ScaleCrop>
  <LinksUpToDate>false</LinksUpToDate>
  <CharactersWithSpaces>8726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2025-09-21T02:50:00Z</dcterms:created>
  <dc:creator>Zhangqi</dc:creator>
  <cp:lastModifiedBy>Zhangqi</cp:lastModifiedBy>
  <dcterms:modified xsi:type="dcterms:W3CDTF">2025-12-05T07:03:29Z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0EB4EC591CE64EBCAEE8FBB80E8E2A32_11</vt:lpwstr>
  </property>
  <property fmtid="{D5CDD505-2E9C-101B-9397-08002B2CF9AE}" pid="4" name="KSOTemplateDocerSaveRecord">
    <vt:lpwstr>eyJoZGlkIjoiNmU1YzAzZWI3YzIwZDdkMWZjZTA1MjliMGEyYmYxOGMiLCJ1c2VySWQiOiI0OTk0NzE4MzAifQ==</vt:lpwstr>
  </property>
</Properties>
</file>