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E3764" w14:textId="3888DD54" w:rsidR="00783607" w:rsidRPr="00A002D0" w:rsidRDefault="00850FBF" w:rsidP="001E0D6D">
      <w:pPr>
        <w:pStyle w:val="1"/>
        <w:spacing w:line="360" w:lineRule="auto"/>
        <w:rPr>
          <w:rFonts w:ascii="Times New Roman" w:eastAsia="黑体" w:hAnsi="Times New Roman" w:cs="Times New Roman"/>
          <w:sz w:val="32"/>
          <w:szCs w:val="32"/>
        </w:rPr>
      </w:pPr>
      <w:bookmarkStart w:id="0" w:name="_Toc211461904"/>
      <w:r w:rsidRPr="00850FBF">
        <w:rPr>
          <w:rFonts w:ascii="Times New Roman" w:eastAsia="黑体" w:hAnsi="Times New Roman" w:cs="Times New Roman"/>
          <w:sz w:val="32"/>
          <w:szCs w:val="32"/>
        </w:rPr>
        <w:t>Additional</w:t>
      </w:r>
      <w:r w:rsidR="000C0764">
        <w:rPr>
          <w:rFonts w:ascii="Times New Roman" w:eastAsia="黑体" w:hAnsi="Times New Roman" w:cs="Times New Roman"/>
          <w:sz w:val="32"/>
          <w:szCs w:val="32"/>
        </w:rPr>
        <w:t xml:space="preserve"> File</w:t>
      </w:r>
      <w:r w:rsidR="000C0764" w:rsidRPr="00A002D0">
        <w:rPr>
          <w:rFonts w:ascii="Times New Roman" w:eastAsia="黑体" w:hAnsi="Times New Roman" w:cs="Times New Roman"/>
          <w:sz w:val="32"/>
          <w:szCs w:val="32"/>
        </w:rPr>
        <w:t xml:space="preserve"> 1 Supplement </w:t>
      </w:r>
      <w:r w:rsidR="00411185">
        <w:rPr>
          <w:rFonts w:ascii="Times New Roman" w:eastAsia="黑体" w:hAnsi="Times New Roman" w:cs="Times New Roman" w:hint="eastAsia"/>
          <w:sz w:val="32"/>
          <w:szCs w:val="32"/>
        </w:rPr>
        <w:t>t</w:t>
      </w:r>
      <w:r w:rsidR="000C0764" w:rsidRPr="00A002D0">
        <w:rPr>
          <w:rFonts w:ascii="Times New Roman" w:eastAsia="黑体" w:hAnsi="Times New Roman" w:cs="Times New Roman" w:hint="eastAsia"/>
          <w:sz w:val="32"/>
          <w:szCs w:val="32"/>
        </w:rPr>
        <w:t>o</w:t>
      </w:r>
      <w:r w:rsidR="000C0764" w:rsidRPr="00A002D0">
        <w:rPr>
          <w:rFonts w:ascii="Times New Roman" w:eastAsia="黑体" w:hAnsi="Times New Roman" w:cs="Times New Roman"/>
          <w:sz w:val="32"/>
          <w:szCs w:val="32"/>
        </w:rPr>
        <w:t xml:space="preserve"> Methods</w:t>
      </w:r>
      <w:bookmarkEnd w:id="0"/>
    </w:p>
    <w:p w14:paraId="5B933E16" w14:textId="71C16FF0" w:rsidR="00156BC0" w:rsidRPr="00A002D0" w:rsidRDefault="002C03EC" w:rsidP="00156BC0">
      <w:pPr>
        <w:pStyle w:val="2"/>
        <w:spacing w:line="360" w:lineRule="auto"/>
        <w:rPr>
          <w:rFonts w:ascii="Times New Roman" w:hAnsi="Times New Roman" w:cs="Times New Roman"/>
          <w:sz w:val="28"/>
          <w:szCs w:val="28"/>
        </w:rPr>
      </w:pPr>
      <w:bookmarkStart w:id="1" w:name="_Toc211461905"/>
      <w:r>
        <w:rPr>
          <w:rFonts w:ascii="Times New Roman" w:hAnsi="Times New Roman" w:cs="Times New Roman" w:hint="eastAsia"/>
          <w:sz w:val="28"/>
          <w:szCs w:val="28"/>
        </w:rPr>
        <w:t>Text S1</w:t>
      </w:r>
      <w:r w:rsidRPr="00A002D0">
        <w:rPr>
          <w:rFonts w:ascii="Times New Roman" w:hAnsi="Times New Roman" w:cs="Times New Roman"/>
          <w:sz w:val="28"/>
          <w:szCs w:val="28"/>
        </w:rPr>
        <w:t xml:space="preserve"> Modifications to the Protocol</w:t>
      </w:r>
      <w:bookmarkEnd w:id="1"/>
    </w:p>
    <w:p w14:paraId="3AC1CB27" w14:textId="77777777" w:rsidR="00156BC0" w:rsidRPr="00A002D0" w:rsidRDefault="00156BC0" w:rsidP="00156BC0">
      <w:pPr>
        <w:spacing w:line="360" w:lineRule="auto"/>
        <w:rPr>
          <w:rFonts w:eastAsia="黑体"/>
        </w:rPr>
      </w:pPr>
      <w:r w:rsidRPr="00A002D0">
        <w:rPr>
          <w:rFonts w:eastAsia="黑体"/>
        </w:rPr>
        <w:t>In our initial protocol, we intended to focus on major adverse cardiovascular events, including acute myocardial infarction, acute coronary syndrome, ischemic heart disease, stroke, and heart failure. However, due to the lack of sufficient information reported in the included trials, accurate differentiation of these events was not feasible. Consequently, we revised this outcome to encompass any non-fatal cardiovascular event.</w:t>
      </w:r>
    </w:p>
    <w:p w14:paraId="379B65FE" w14:textId="77777777" w:rsidR="00156BC0" w:rsidRPr="00A002D0" w:rsidRDefault="00156BC0" w:rsidP="00156BC0">
      <w:pPr>
        <w:spacing w:line="360" w:lineRule="auto"/>
        <w:rPr>
          <w:rFonts w:eastAsia="黑体"/>
        </w:rPr>
      </w:pPr>
      <w:r w:rsidRPr="00A002D0">
        <w:rPr>
          <w:rFonts w:eastAsia="黑体"/>
        </w:rPr>
        <w:t>In our planned meta-regressions, factors such as year of publication, sample size, and duration of intervention were initially considered. However, prior to the commencement of the study, thorough discussions among all authors led to the removal of these factors from the protocol. This decision was based on the consensus that they might not be sufficiently impactful or relevant for our analysis.</w:t>
      </w:r>
    </w:p>
    <w:p w14:paraId="495DF384" w14:textId="1A8FC4E0" w:rsidR="00156BC0" w:rsidRPr="00A002D0" w:rsidRDefault="00156BC0">
      <w:pPr>
        <w:rPr>
          <w:rFonts w:eastAsia="黑体"/>
        </w:rPr>
      </w:pPr>
      <w:r w:rsidRPr="00A002D0">
        <w:rPr>
          <w:rFonts w:eastAsia="黑体"/>
        </w:rPr>
        <w:br w:type="page"/>
      </w:r>
    </w:p>
    <w:p w14:paraId="4CBE6DBB" w14:textId="3DDDC541" w:rsidR="006232B5" w:rsidRPr="00A002D0" w:rsidRDefault="00BC0234" w:rsidP="001E0D6D">
      <w:pPr>
        <w:pStyle w:val="2"/>
        <w:spacing w:line="360" w:lineRule="auto"/>
        <w:rPr>
          <w:rFonts w:ascii="Times New Roman" w:eastAsia="黑体" w:hAnsi="Times New Roman" w:cs="Times New Roman"/>
          <w:sz w:val="28"/>
          <w:szCs w:val="28"/>
        </w:rPr>
      </w:pPr>
      <w:bookmarkStart w:id="2" w:name="_Toc211461906"/>
      <w:r>
        <w:rPr>
          <w:rFonts w:ascii="Times New Roman" w:eastAsia="黑体" w:hAnsi="Times New Roman" w:cs="Times New Roman" w:hint="eastAsia"/>
          <w:sz w:val="28"/>
          <w:szCs w:val="28"/>
        </w:rPr>
        <w:lastRenderedPageBreak/>
        <w:t>Table S1</w:t>
      </w:r>
      <w:r w:rsidRPr="00A002D0">
        <w:rPr>
          <w:rFonts w:ascii="Times New Roman" w:eastAsia="黑体" w:hAnsi="Times New Roman" w:cs="Times New Roman"/>
          <w:sz w:val="28"/>
          <w:szCs w:val="28"/>
        </w:rPr>
        <w:t xml:space="preserve"> Full search strategy</w:t>
      </w:r>
      <w:bookmarkEnd w:id="2"/>
    </w:p>
    <w:p w14:paraId="0B0C7176" w14:textId="6AA8F3A4" w:rsidR="00493DAB" w:rsidRPr="00A002D0" w:rsidRDefault="006232B5" w:rsidP="001E0D6D">
      <w:pPr>
        <w:pStyle w:val="3"/>
        <w:spacing w:line="360" w:lineRule="auto"/>
        <w:rPr>
          <w:rFonts w:ascii="Times New Roman" w:eastAsia="黑体" w:hAnsi="Times New Roman" w:cs="Times New Roman"/>
          <w:sz w:val="24"/>
          <w:szCs w:val="24"/>
        </w:rPr>
      </w:pPr>
      <w:bookmarkStart w:id="3" w:name="_Toc211461907"/>
      <w:r w:rsidRPr="00A002D0">
        <w:rPr>
          <w:rFonts w:ascii="Times New Roman" w:eastAsia="黑体" w:hAnsi="Times New Roman" w:cs="Times New Roman"/>
          <w:sz w:val="24"/>
          <w:szCs w:val="24"/>
        </w:rPr>
        <w:t>PubMed</w:t>
      </w:r>
      <w:bookmarkEnd w:id="3"/>
    </w:p>
    <w:tbl>
      <w:tblPr>
        <w:tblStyle w:val="11"/>
        <w:tblW w:w="7937" w:type="dxa"/>
        <w:tblLayout w:type="fixed"/>
        <w:tblLook w:val="04A0" w:firstRow="1" w:lastRow="0" w:firstColumn="1" w:lastColumn="0" w:noHBand="0" w:noVBand="1"/>
      </w:tblPr>
      <w:tblGrid>
        <w:gridCol w:w="567"/>
        <w:gridCol w:w="7370"/>
      </w:tblGrid>
      <w:tr w:rsidR="006232B5" w:rsidRPr="00A002D0" w14:paraId="25E46BB1" w14:textId="77777777" w:rsidTr="006232B5">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37059B47" w14:textId="77777777" w:rsidR="006232B5" w:rsidRPr="00A002D0" w:rsidRDefault="006232B5" w:rsidP="001E0D6D">
            <w:pPr>
              <w:spacing w:line="360" w:lineRule="auto"/>
              <w:rPr>
                <w:rFonts w:eastAsia="黑体"/>
              </w:rPr>
            </w:pPr>
            <w:r w:rsidRPr="00A002D0">
              <w:rPr>
                <w:rFonts w:eastAsia="黑体"/>
                <w:color w:val="0A0905"/>
              </w:rPr>
              <w:t>#</w:t>
            </w:r>
          </w:p>
        </w:tc>
        <w:tc>
          <w:tcPr>
            <w:tcW w:w="7370" w:type="dxa"/>
            <w:hideMark/>
          </w:tcPr>
          <w:p w14:paraId="6D22C609" w14:textId="77777777" w:rsidR="006232B5" w:rsidRPr="00A002D0" w:rsidRDefault="006232B5" w:rsidP="001E0D6D">
            <w:pPr>
              <w:spacing w:line="360" w:lineRule="auto"/>
              <w:cnfStyle w:val="100000000000" w:firstRow="1" w:lastRow="0" w:firstColumn="0" w:lastColumn="0" w:oddVBand="0" w:evenVBand="0" w:oddHBand="0" w:evenHBand="0" w:firstRowFirstColumn="0" w:firstRowLastColumn="0" w:lastRowFirstColumn="0" w:lastRowLastColumn="0"/>
              <w:rPr>
                <w:rFonts w:eastAsia="黑体"/>
              </w:rPr>
            </w:pPr>
            <w:r w:rsidRPr="00A002D0">
              <w:rPr>
                <w:rFonts w:eastAsia="黑体"/>
                <w:color w:val="000000"/>
              </w:rPr>
              <w:t>Searches</w:t>
            </w:r>
          </w:p>
        </w:tc>
      </w:tr>
      <w:tr w:rsidR="006232B5" w:rsidRPr="00A002D0" w14:paraId="3384967A" w14:textId="77777777" w:rsidTr="006232B5">
        <w:trPr>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470438EC" w14:textId="77777777" w:rsidR="006232B5" w:rsidRPr="00A002D0" w:rsidRDefault="006232B5" w:rsidP="001E0D6D">
            <w:pPr>
              <w:spacing w:line="360" w:lineRule="auto"/>
              <w:rPr>
                <w:rFonts w:eastAsia="黑体"/>
                <w:b w:val="0"/>
                <w:bCs w:val="0"/>
                <w:color w:val="0A0905"/>
              </w:rPr>
            </w:pPr>
            <w:r w:rsidRPr="00A002D0">
              <w:rPr>
                <w:rFonts w:eastAsia="黑体"/>
                <w:color w:val="0A0905"/>
              </w:rPr>
              <w:t>1</w:t>
            </w:r>
          </w:p>
        </w:tc>
        <w:tc>
          <w:tcPr>
            <w:tcW w:w="7370" w:type="dxa"/>
          </w:tcPr>
          <w:p w14:paraId="0808847D" w14:textId="77777777" w:rsidR="006232B5" w:rsidRPr="00A002D0" w:rsidRDefault="006232B5"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themeColor="text1"/>
              </w:rPr>
            </w:pPr>
            <w:r w:rsidRPr="00A002D0">
              <w:rPr>
                <w:rFonts w:eastAsia="黑体"/>
                <w:color w:val="000000"/>
              </w:rPr>
              <w:t>"salt substitution"</w:t>
            </w:r>
            <w:r w:rsidRPr="00A002D0">
              <w:rPr>
                <w:rFonts w:eastAsia="黑体"/>
                <w:color w:val="000000" w:themeColor="text1"/>
              </w:rPr>
              <w:t>[Title/Abstract]</w:t>
            </w:r>
            <w:r w:rsidRPr="00A002D0">
              <w:rPr>
                <w:rFonts w:eastAsia="黑体"/>
                <w:color w:val="000000"/>
              </w:rPr>
              <w:t xml:space="preserve"> OR "salt substitute"</w:t>
            </w:r>
            <w:r w:rsidRPr="00A002D0">
              <w:rPr>
                <w:rFonts w:eastAsia="黑体"/>
                <w:color w:val="000000" w:themeColor="text1"/>
              </w:rPr>
              <w:t>[Title/Abstract]</w:t>
            </w:r>
            <w:r w:rsidRPr="00A002D0">
              <w:rPr>
                <w:rFonts w:eastAsia="黑体"/>
                <w:color w:val="000000"/>
              </w:rPr>
              <w:t xml:space="preserve"> OR "salt substitutes"</w:t>
            </w:r>
            <w:r w:rsidRPr="00A002D0">
              <w:rPr>
                <w:rFonts w:eastAsia="黑体"/>
                <w:color w:val="000000" w:themeColor="text1"/>
              </w:rPr>
              <w:t xml:space="preserve">[Title/Abstract] OR "low-sodium"[Title/Abstract] OR "low sodium"[Title/Abstract] OR "high-potassium"[Title/Abstract] OR "high potassium"[Title/Abstract] OR "high-magnesium"[Title/Abstract] OR "high magnesium"[Title/Abstract] OR "potassium-enriched"[Title/Abstract] OR "potassium enriched"[Title/Abstract] OR "sodium substitution"[Title/Abstract] </w:t>
            </w:r>
            <w:r w:rsidRPr="00A002D0">
              <w:rPr>
                <w:rFonts w:eastAsia="黑体"/>
                <w:color w:val="000000"/>
              </w:rPr>
              <w:t>OR "</w:t>
            </w:r>
            <w:r w:rsidRPr="00A002D0">
              <w:rPr>
                <w:rFonts w:eastAsia="黑体"/>
                <w:color w:val="000000" w:themeColor="text1"/>
              </w:rPr>
              <w:t xml:space="preserve"> sodium</w:t>
            </w:r>
            <w:r w:rsidRPr="00A002D0">
              <w:rPr>
                <w:rFonts w:eastAsia="黑体"/>
                <w:color w:val="000000"/>
              </w:rPr>
              <w:t xml:space="preserve"> substitute"</w:t>
            </w:r>
            <w:r w:rsidRPr="00A002D0">
              <w:rPr>
                <w:rFonts w:eastAsia="黑体"/>
                <w:color w:val="000000" w:themeColor="text1"/>
              </w:rPr>
              <w:t>[Title/Abstract]</w:t>
            </w:r>
            <w:r w:rsidRPr="00A002D0">
              <w:rPr>
                <w:rFonts w:eastAsia="黑体"/>
                <w:color w:val="000000"/>
              </w:rPr>
              <w:t xml:space="preserve"> OR "</w:t>
            </w:r>
            <w:r w:rsidRPr="00A002D0">
              <w:rPr>
                <w:rFonts w:eastAsia="黑体"/>
                <w:color w:val="000000" w:themeColor="text1"/>
              </w:rPr>
              <w:t>sodium</w:t>
            </w:r>
            <w:r w:rsidRPr="00A002D0">
              <w:rPr>
                <w:rFonts w:eastAsia="黑体"/>
                <w:color w:val="000000"/>
              </w:rPr>
              <w:t xml:space="preserve"> substitutes"</w:t>
            </w:r>
            <w:r w:rsidRPr="00A002D0">
              <w:rPr>
                <w:rFonts w:eastAsia="黑体"/>
                <w:color w:val="000000" w:themeColor="text1"/>
              </w:rPr>
              <w:t>[Title/Abstract] OR (("sodium"[Title/Abstract] OR "salt"[Title/Abstract]) AND ("potassium"[Title/Abstract] OR "magnesium"[Title/Abstract] OR "calcium"[Title/Abstract])) OR "mineral salt"[Title/Abstract] OR "smart salt"[Title/Abstract] OR "health salt"[Title/Abstract] OR "lite salt"[Title/Abstract] OR "light salt"[Title/Abstract] OR "sodium free salt"[Title/Abstract]</w:t>
            </w:r>
          </w:p>
        </w:tc>
      </w:tr>
      <w:tr w:rsidR="006232B5" w:rsidRPr="00A002D0" w14:paraId="7CB07234" w14:textId="77777777" w:rsidTr="006232B5">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008D8377" w14:textId="77777777" w:rsidR="006232B5" w:rsidRPr="00A002D0" w:rsidRDefault="006232B5" w:rsidP="001E0D6D">
            <w:pPr>
              <w:spacing w:line="360" w:lineRule="auto"/>
              <w:rPr>
                <w:rFonts w:eastAsia="黑体"/>
                <w:color w:val="0A0905"/>
              </w:rPr>
            </w:pPr>
            <w:r w:rsidRPr="00A002D0">
              <w:rPr>
                <w:rFonts w:eastAsia="黑体"/>
                <w:color w:val="0A0905"/>
              </w:rPr>
              <w:t>2</w:t>
            </w:r>
          </w:p>
        </w:tc>
        <w:tc>
          <w:tcPr>
            <w:tcW w:w="7370" w:type="dxa"/>
          </w:tcPr>
          <w:p w14:paraId="4FF92819" w14:textId="77777777" w:rsidR="006232B5" w:rsidRPr="00A002D0" w:rsidRDefault="006232B5"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 xml:space="preserve">"myocardial infarction"[MeSH Terms] OR "myocardial infarction"[Title/Abstract] OR "acute coronary syndrome"[MeSH Terms] OR "acute coronary syndrome"[Title/Abstract] OR "myocardial ischemia"[MeSH Terms] OR "ischemic heart disease"[Title/Abstract] OR "coronary artery disease"[MeSH Terms] OR "stroke"[MeSH Terms] OR "ischemic stroke"[MeSH Terms] OR "stroke"[Title/Abstract] OR "heart failure"[MeSH Terms] OR "heart failure"[Title/Abstract] OR "mortality"[MeSH Terms] OR "mortality"[MeSH Subheading] OR "mortality"[Title/Abstract] OR "mortalities"[Title/Abstract] OR </w:t>
            </w:r>
            <w:r w:rsidRPr="00A002D0">
              <w:rPr>
                <w:rFonts w:eastAsia="黑体"/>
                <w:color w:val="000000"/>
              </w:rPr>
              <w:lastRenderedPageBreak/>
              <w:t>"death"[MeSH Terms] OR "death"[Title/Abstract] OR "deaths"[Title/Abstract]</w:t>
            </w:r>
          </w:p>
        </w:tc>
      </w:tr>
      <w:tr w:rsidR="006232B5" w:rsidRPr="00A002D0" w14:paraId="576E6391" w14:textId="77777777" w:rsidTr="006232B5">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181A2510" w14:textId="77777777" w:rsidR="006232B5" w:rsidRPr="00A002D0" w:rsidRDefault="006232B5" w:rsidP="001E0D6D">
            <w:pPr>
              <w:spacing w:line="360" w:lineRule="auto"/>
              <w:rPr>
                <w:rFonts w:eastAsia="黑体"/>
                <w:color w:val="0A0905"/>
              </w:rPr>
            </w:pPr>
            <w:r w:rsidRPr="00A002D0">
              <w:rPr>
                <w:rFonts w:eastAsia="黑体"/>
                <w:color w:val="0A0905"/>
              </w:rPr>
              <w:lastRenderedPageBreak/>
              <w:t>3</w:t>
            </w:r>
          </w:p>
        </w:tc>
        <w:tc>
          <w:tcPr>
            <w:tcW w:w="7370" w:type="dxa"/>
          </w:tcPr>
          <w:p w14:paraId="3E0C8724" w14:textId="65F9E8E7" w:rsidR="006232B5" w:rsidRPr="00A002D0" w:rsidRDefault="006232B5"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"hypertense"[Title/Abstract] OR "hypertension"[MeSH Terms] OR "hypertension"[Title/Abstract] OR "hypertension's"[Title/Abstract] OR "hypertensions"[Title/Abstract] OR "hypertensive"[Title/Abstract] OR "hypertensive's"[Title/Abstract] OR "hypertensives"[Title/Abstract] OR "</w:t>
            </w:r>
            <w:r w:rsidR="00ED7AE1" w:rsidRPr="00A002D0">
              <w:rPr>
                <w:rFonts w:eastAsia="黑体"/>
                <w:color w:val="000000"/>
              </w:rPr>
              <w:t>Blood</w:t>
            </w:r>
            <w:r w:rsidRPr="00A002D0">
              <w:rPr>
                <w:rFonts w:eastAsia="黑体"/>
                <w:color w:val="000000"/>
              </w:rPr>
              <w:t xml:space="preserve"> pressure"[MeSH Terms] OR ("</w:t>
            </w:r>
            <w:r w:rsidR="00ED7AE1" w:rsidRPr="00A002D0">
              <w:rPr>
                <w:rFonts w:eastAsia="黑体"/>
                <w:color w:val="000000"/>
              </w:rPr>
              <w:t>Blood</w:t>
            </w:r>
            <w:r w:rsidRPr="00A002D0">
              <w:rPr>
                <w:rFonts w:eastAsia="黑体"/>
                <w:color w:val="000000"/>
              </w:rPr>
              <w:t>"[Title/Abstract] AND "pressure"[Title/Abstract]) OR "</w:t>
            </w:r>
            <w:r w:rsidR="00ED7AE1" w:rsidRPr="00A002D0">
              <w:rPr>
                <w:rFonts w:eastAsia="黑体"/>
                <w:color w:val="000000"/>
              </w:rPr>
              <w:t>Blood</w:t>
            </w:r>
            <w:r w:rsidRPr="00A002D0">
              <w:rPr>
                <w:rFonts w:eastAsia="黑体"/>
                <w:color w:val="000000"/>
              </w:rPr>
              <w:t xml:space="preserve"> pressure"[Title/Abstract] OR "</w:t>
            </w:r>
            <w:r w:rsidR="00ED7AE1" w:rsidRPr="00A002D0">
              <w:rPr>
                <w:rFonts w:eastAsia="黑体"/>
                <w:color w:val="000000"/>
              </w:rPr>
              <w:t>Blood</w:t>
            </w:r>
            <w:r w:rsidRPr="00A002D0">
              <w:rPr>
                <w:rFonts w:eastAsia="黑体"/>
                <w:color w:val="000000"/>
              </w:rPr>
              <w:t xml:space="preserve"> pressure determination"[MeSH Terms] OR "arterial pressure"[MeSH Terms] OR ("arterial"[Title/Abstract] AND "pressure"[Title/Abstract]) OR "arterial pressure"[Title/Abstract] OR "arterial-pressure"[Title/Abstract] OR "systolic pressure"[Title/Abstract] OR "diastolic pressure"[Title/Abstract] OR "systolic-pressure"[Title/Abstract] OR "diastolic-pressure"[Title/Abstract]</w:t>
            </w:r>
          </w:p>
        </w:tc>
      </w:tr>
      <w:tr w:rsidR="006232B5" w:rsidRPr="00A002D0" w14:paraId="72886C41" w14:textId="77777777" w:rsidTr="006232B5">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40EE9688" w14:textId="77777777" w:rsidR="006232B5" w:rsidRPr="00A002D0" w:rsidRDefault="006232B5" w:rsidP="001E0D6D">
            <w:pPr>
              <w:spacing w:line="360" w:lineRule="auto"/>
              <w:rPr>
                <w:rFonts w:eastAsia="黑体"/>
                <w:color w:val="0A0905"/>
              </w:rPr>
            </w:pPr>
            <w:r w:rsidRPr="00A002D0">
              <w:rPr>
                <w:rFonts w:eastAsia="黑体"/>
                <w:color w:val="0A0905"/>
              </w:rPr>
              <w:t>4</w:t>
            </w:r>
          </w:p>
        </w:tc>
        <w:tc>
          <w:tcPr>
            <w:tcW w:w="7370" w:type="dxa"/>
          </w:tcPr>
          <w:p w14:paraId="1C11B115" w14:textId="77777777" w:rsidR="006232B5" w:rsidRPr="00A002D0" w:rsidRDefault="006232B5"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themeColor="text1"/>
              </w:rPr>
            </w:pPr>
            <w:r w:rsidRPr="00A002D0">
              <w:rPr>
                <w:rFonts w:eastAsia="黑体"/>
                <w:color w:val="000000" w:themeColor="text1"/>
              </w:rPr>
              <w:t>"randomized controlled trial"[Publication Type] OR "controlled clinical trial"[Publication Type] OR "randomized"[Title/Abstract] OR "randomised"[Title/Abstract] OR "randomly"[Title/Abstract]</w:t>
            </w:r>
          </w:p>
        </w:tc>
      </w:tr>
      <w:tr w:rsidR="006232B5" w:rsidRPr="00A002D0" w14:paraId="483FC853" w14:textId="77777777" w:rsidTr="006232B5">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76ADEBBA" w14:textId="77777777" w:rsidR="006232B5" w:rsidRPr="00A002D0" w:rsidRDefault="006232B5" w:rsidP="001E0D6D">
            <w:pPr>
              <w:spacing w:line="360" w:lineRule="auto"/>
              <w:rPr>
                <w:rFonts w:eastAsia="黑体"/>
                <w:color w:val="0A0905"/>
              </w:rPr>
            </w:pPr>
            <w:r w:rsidRPr="00A002D0">
              <w:rPr>
                <w:rFonts w:eastAsia="黑体"/>
                <w:color w:val="0A0905"/>
              </w:rPr>
              <w:t>5</w:t>
            </w:r>
          </w:p>
        </w:tc>
        <w:tc>
          <w:tcPr>
            <w:tcW w:w="7370" w:type="dxa"/>
          </w:tcPr>
          <w:p w14:paraId="093930FD" w14:textId="77777777" w:rsidR="006232B5" w:rsidRPr="00A002D0" w:rsidRDefault="006232B5"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#1 AND (#2 OR #3) AND #4</w:t>
            </w:r>
          </w:p>
        </w:tc>
      </w:tr>
    </w:tbl>
    <w:p w14:paraId="5B8A1E77" w14:textId="77777777" w:rsidR="00C7255A" w:rsidRPr="00A002D0" w:rsidRDefault="00C7255A" w:rsidP="001E0D6D">
      <w:pPr>
        <w:spacing w:line="360" w:lineRule="auto"/>
        <w:rPr>
          <w:rFonts w:eastAsia="黑体"/>
          <w:color w:val="0A0905"/>
          <w:sz w:val="20"/>
          <w:szCs w:val="20"/>
        </w:rPr>
      </w:pPr>
      <w:r w:rsidRPr="00A002D0">
        <w:rPr>
          <w:rFonts w:eastAsia="黑体"/>
          <w:color w:val="0A0905"/>
          <w:sz w:val="20"/>
          <w:szCs w:val="20"/>
        </w:rPr>
        <w:br w:type="page"/>
      </w:r>
    </w:p>
    <w:p w14:paraId="7528219E" w14:textId="6E97CC2B" w:rsidR="00976084" w:rsidRPr="00A002D0" w:rsidRDefault="00976084" w:rsidP="001E0D6D">
      <w:pPr>
        <w:pStyle w:val="3"/>
        <w:spacing w:line="360" w:lineRule="auto"/>
        <w:rPr>
          <w:rFonts w:ascii="Times New Roman" w:eastAsia="黑体" w:hAnsi="Times New Roman" w:cs="Times New Roman"/>
          <w:sz w:val="24"/>
          <w:szCs w:val="24"/>
        </w:rPr>
      </w:pPr>
      <w:bookmarkStart w:id="4" w:name="_Toc211461908"/>
      <w:r w:rsidRPr="00A002D0">
        <w:rPr>
          <w:rFonts w:ascii="Times New Roman" w:eastAsia="黑体" w:hAnsi="Times New Roman" w:cs="Times New Roman"/>
          <w:sz w:val="24"/>
          <w:szCs w:val="24"/>
        </w:rPr>
        <w:lastRenderedPageBreak/>
        <w:t>OVID Embase</w:t>
      </w:r>
      <w:bookmarkEnd w:id="4"/>
    </w:p>
    <w:tbl>
      <w:tblPr>
        <w:tblStyle w:val="11"/>
        <w:tblW w:w="0" w:type="auto"/>
        <w:tblLook w:val="04A0" w:firstRow="1" w:lastRow="0" w:firstColumn="1" w:lastColumn="0" w:noHBand="0" w:noVBand="1"/>
      </w:tblPr>
      <w:tblGrid>
        <w:gridCol w:w="567"/>
        <w:gridCol w:w="7370"/>
      </w:tblGrid>
      <w:tr w:rsidR="00976084" w:rsidRPr="00A002D0" w14:paraId="1DEFEBAB" w14:textId="77777777" w:rsidTr="00976084">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2342533B" w14:textId="77777777" w:rsidR="00976084" w:rsidRPr="00A002D0" w:rsidRDefault="00976084" w:rsidP="001E0D6D">
            <w:pPr>
              <w:spacing w:line="360" w:lineRule="auto"/>
              <w:rPr>
                <w:rFonts w:eastAsia="黑体"/>
              </w:rPr>
            </w:pPr>
            <w:r w:rsidRPr="00A002D0">
              <w:rPr>
                <w:rFonts w:eastAsia="黑体"/>
                <w:color w:val="0A0905"/>
              </w:rPr>
              <w:t>#</w:t>
            </w:r>
          </w:p>
        </w:tc>
        <w:tc>
          <w:tcPr>
            <w:tcW w:w="7370" w:type="dxa"/>
            <w:hideMark/>
          </w:tcPr>
          <w:p w14:paraId="427FBE59" w14:textId="77777777" w:rsidR="00976084" w:rsidRPr="00A002D0" w:rsidRDefault="00976084" w:rsidP="001E0D6D">
            <w:pPr>
              <w:spacing w:line="360" w:lineRule="auto"/>
              <w:cnfStyle w:val="100000000000" w:firstRow="1" w:lastRow="0" w:firstColumn="0" w:lastColumn="0" w:oddVBand="0" w:evenVBand="0" w:oddHBand="0" w:evenHBand="0" w:firstRowFirstColumn="0" w:firstRowLastColumn="0" w:lastRowFirstColumn="0" w:lastRowLastColumn="0"/>
              <w:rPr>
                <w:rFonts w:eastAsia="黑体"/>
              </w:rPr>
            </w:pPr>
            <w:r w:rsidRPr="00A002D0">
              <w:rPr>
                <w:rFonts w:eastAsia="黑体"/>
                <w:color w:val="000000"/>
              </w:rPr>
              <w:t>Searches</w:t>
            </w:r>
          </w:p>
        </w:tc>
      </w:tr>
      <w:tr w:rsidR="00976084" w:rsidRPr="00A002D0" w14:paraId="545A51A3"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1830BED0" w14:textId="77777777" w:rsidR="00976084" w:rsidRPr="00A002D0" w:rsidRDefault="00976084" w:rsidP="001E0D6D">
            <w:pPr>
              <w:spacing w:line="360" w:lineRule="auto"/>
              <w:rPr>
                <w:rFonts w:eastAsia="黑体"/>
                <w:b w:val="0"/>
                <w:bCs w:val="0"/>
                <w:color w:val="0A0905"/>
              </w:rPr>
            </w:pPr>
            <w:r w:rsidRPr="00A002D0">
              <w:rPr>
                <w:rFonts w:eastAsia="黑体"/>
                <w:color w:val="0A0905"/>
              </w:rPr>
              <w:t>1</w:t>
            </w:r>
          </w:p>
        </w:tc>
        <w:tc>
          <w:tcPr>
            <w:tcW w:w="7370" w:type="dxa"/>
          </w:tcPr>
          <w:p w14:paraId="2114F42D"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A0905"/>
              </w:rPr>
            </w:pPr>
            <w:r w:rsidRPr="00A002D0">
              <w:rPr>
                <w:rFonts w:eastAsia="黑体"/>
                <w:color w:val="0A0905"/>
              </w:rPr>
              <w:t>'salt substitution':ti,ab OR 'salt substitute':ti,ab OR 'salt substitutes':ti,ab OR 'low-sodium':ti,ab OR 'low sodium':ti,ab OR 'high-potassium':ti,ab OR 'high potassium':ti,ab OR 'high-magnesium':ti,ab OR 'high magnesium':ti,ab OR 'potassium-enriched':ti,ab OR 'potassium enriched':ti,ab OR 'sodium substitution':ti,ab OR 'sodium substitute':ti,ab OR 'sodium substitutes':ti,ab OR (('sodium':ti,ab OR 'salt':ti,ab) AND ('potassium':ti,ab OR 'magnesium':ti,ab OR 'calcium':ti,ab)) OR 'mineral salt':ti,ab OR 'smart salt':ti,ab OR 'health salt':ti,ab OR 'lite salt':ti,ab OR 'light salt':ti,ab OR 'sodium free salt':ti,ab</w:t>
            </w:r>
          </w:p>
        </w:tc>
      </w:tr>
      <w:tr w:rsidR="00976084" w:rsidRPr="00A002D0" w14:paraId="7587256B"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27FACDC2" w14:textId="77777777" w:rsidR="00976084" w:rsidRPr="00A002D0" w:rsidRDefault="00976084" w:rsidP="001E0D6D">
            <w:pPr>
              <w:spacing w:line="360" w:lineRule="auto"/>
              <w:rPr>
                <w:rFonts w:eastAsia="黑体"/>
                <w:b w:val="0"/>
                <w:bCs w:val="0"/>
                <w:color w:val="0A0905"/>
              </w:rPr>
            </w:pPr>
            <w:r w:rsidRPr="00A002D0">
              <w:rPr>
                <w:rFonts w:eastAsia="黑体"/>
                <w:color w:val="0A0905"/>
              </w:rPr>
              <w:t>2</w:t>
            </w:r>
          </w:p>
        </w:tc>
        <w:tc>
          <w:tcPr>
            <w:tcW w:w="7370" w:type="dxa"/>
          </w:tcPr>
          <w:p w14:paraId="5BB44266"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A0905"/>
              </w:rPr>
            </w:pPr>
            <w:r w:rsidRPr="00A002D0">
              <w:rPr>
                <w:rFonts w:eastAsia="黑体"/>
                <w:color w:val="0A0905"/>
              </w:rPr>
              <w:t>'myocardial infarction'/exp OR 'myocardial infarction':ti,ab OR 'acute coronary syndrome'/exp OR 'acute coronary syndrome':ti,ab OR 'myocardial ischemia'/exp OR 'ischemic heart disease':ti,ab OR 'coronary artery disease'/exp OR 'stroke'/exp OR 'ischemic stroke'/exp OR 'stroke':ti,ab OR 'heart failure'/exp OR 'heart failure':ti,ab OR 'mortality'/exp OR 'mortality':ti,ab OR 'mortalities':ti,ab OR 'death'/exp OR 'death':ti,ab OR 'deaths':ti,ab</w:t>
            </w:r>
          </w:p>
        </w:tc>
      </w:tr>
      <w:tr w:rsidR="00976084" w:rsidRPr="00A002D0" w14:paraId="5611F52D"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5CB37FB1" w14:textId="77777777" w:rsidR="00976084" w:rsidRPr="00A002D0" w:rsidRDefault="00976084" w:rsidP="001E0D6D">
            <w:pPr>
              <w:spacing w:line="360" w:lineRule="auto"/>
              <w:rPr>
                <w:rFonts w:eastAsia="黑体"/>
                <w:b w:val="0"/>
                <w:bCs w:val="0"/>
                <w:color w:val="0A0905"/>
              </w:rPr>
            </w:pPr>
            <w:r w:rsidRPr="00A002D0">
              <w:rPr>
                <w:rFonts w:eastAsia="黑体"/>
                <w:color w:val="0A0905"/>
              </w:rPr>
              <w:t>3</w:t>
            </w:r>
          </w:p>
        </w:tc>
        <w:tc>
          <w:tcPr>
            <w:tcW w:w="7370" w:type="dxa"/>
          </w:tcPr>
          <w:p w14:paraId="6D3692DF" w14:textId="37379166"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'hypertense':ti,ab OR 'hypertension'/exp OR 'hypertension':ti,ab OR 'hypertensions':ti,ab OR 'hypertensive':ti,ab OR 'hypertensives':ti,ab OR '</w:t>
            </w:r>
            <w:r w:rsidR="00ED7AE1" w:rsidRPr="00A002D0">
              <w:rPr>
                <w:rFonts w:eastAsia="黑体"/>
                <w:color w:val="000000"/>
              </w:rPr>
              <w:t>Blood</w:t>
            </w:r>
            <w:r w:rsidRPr="00A002D0">
              <w:rPr>
                <w:rFonts w:eastAsia="黑体"/>
                <w:color w:val="000000"/>
              </w:rPr>
              <w:t xml:space="preserve"> pressure'/exp OR ('</w:t>
            </w:r>
            <w:r w:rsidR="00ED7AE1" w:rsidRPr="00A002D0">
              <w:rPr>
                <w:rFonts w:eastAsia="黑体"/>
                <w:color w:val="000000"/>
              </w:rPr>
              <w:t>Blood</w:t>
            </w:r>
            <w:r w:rsidRPr="00A002D0">
              <w:rPr>
                <w:rFonts w:eastAsia="黑体"/>
                <w:color w:val="000000"/>
              </w:rPr>
              <w:t>':ti,ab AND 'pressure':ti,ab) OR '</w:t>
            </w:r>
            <w:r w:rsidR="00ED7AE1" w:rsidRPr="00A002D0">
              <w:rPr>
                <w:rFonts w:eastAsia="黑体"/>
                <w:color w:val="000000"/>
              </w:rPr>
              <w:t>Blood</w:t>
            </w:r>
            <w:r w:rsidRPr="00A002D0">
              <w:rPr>
                <w:rFonts w:eastAsia="黑体"/>
                <w:color w:val="000000"/>
              </w:rPr>
              <w:t xml:space="preserve"> pressure':ti,ab OR '</w:t>
            </w:r>
            <w:r w:rsidR="00ED7AE1" w:rsidRPr="00A002D0">
              <w:rPr>
                <w:rFonts w:eastAsia="黑体"/>
                <w:color w:val="000000"/>
              </w:rPr>
              <w:t>Blood</w:t>
            </w:r>
            <w:r w:rsidRPr="00A002D0">
              <w:rPr>
                <w:rFonts w:eastAsia="黑体"/>
                <w:color w:val="000000"/>
              </w:rPr>
              <w:t xml:space="preserve"> pressure determination'/exp OR 'arterial pressure'/exp OR ('arterial':ti,ab AND 'pressure':ti,ab) OR 'arterial pressure':ti,ab OR 'arterial-pressure':ti,ab OR 'systolic pressure':ti,ab OR 'diastolic pressure':ti,ab OR 'systolic-pressure':ti,ab OR 'diastolic-pressure':ti,ab</w:t>
            </w:r>
          </w:p>
        </w:tc>
      </w:tr>
      <w:tr w:rsidR="00976084" w:rsidRPr="00A002D0" w14:paraId="696CB732"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09F7B5E3" w14:textId="77777777" w:rsidR="00976084" w:rsidRPr="00A002D0" w:rsidRDefault="00976084" w:rsidP="001E0D6D">
            <w:pPr>
              <w:spacing w:line="360" w:lineRule="auto"/>
              <w:rPr>
                <w:rFonts w:eastAsia="黑体"/>
                <w:color w:val="0A0905"/>
              </w:rPr>
            </w:pPr>
            <w:r w:rsidRPr="00A002D0">
              <w:rPr>
                <w:rFonts w:eastAsia="黑体"/>
                <w:color w:val="0A0905"/>
              </w:rPr>
              <w:lastRenderedPageBreak/>
              <w:t>4</w:t>
            </w:r>
          </w:p>
        </w:tc>
        <w:tc>
          <w:tcPr>
            <w:tcW w:w="7370" w:type="dxa"/>
          </w:tcPr>
          <w:p w14:paraId="7F098693"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random* OR (doubl* AND blind*) OR (singl* AND blind*) OR 'crossover procedure'/exp OR 'double blind procedure'/exp OR 'randomized controlled trial'/exp OR 'single blind procedure'/exp</w:t>
            </w:r>
          </w:p>
        </w:tc>
      </w:tr>
      <w:tr w:rsidR="00976084" w:rsidRPr="00A002D0" w14:paraId="27F943E5"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0ABCE537" w14:textId="77777777" w:rsidR="00976084" w:rsidRPr="00A002D0" w:rsidRDefault="00976084" w:rsidP="001E0D6D">
            <w:pPr>
              <w:spacing w:line="360" w:lineRule="auto"/>
              <w:rPr>
                <w:rFonts w:eastAsia="黑体"/>
                <w:color w:val="0A0905"/>
              </w:rPr>
            </w:pPr>
            <w:r w:rsidRPr="00A002D0">
              <w:rPr>
                <w:rFonts w:eastAsia="黑体"/>
                <w:color w:val="0A0905"/>
              </w:rPr>
              <w:t>5</w:t>
            </w:r>
          </w:p>
        </w:tc>
        <w:tc>
          <w:tcPr>
            <w:tcW w:w="7370" w:type="dxa"/>
          </w:tcPr>
          <w:p w14:paraId="0BB21F9D"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#1 AND (#2 OR #3) AND #4</w:t>
            </w:r>
          </w:p>
        </w:tc>
      </w:tr>
    </w:tbl>
    <w:p w14:paraId="2D1278F9" w14:textId="77777777" w:rsidR="00976084" w:rsidRPr="00A002D0" w:rsidRDefault="00976084" w:rsidP="001E0D6D">
      <w:pPr>
        <w:spacing w:line="360" w:lineRule="auto"/>
        <w:rPr>
          <w:rFonts w:eastAsia="黑体"/>
        </w:rPr>
      </w:pPr>
      <w:r w:rsidRPr="00A002D0">
        <w:rPr>
          <w:rFonts w:eastAsia="黑体"/>
        </w:rPr>
        <w:br w:type="page"/>
      </w:r>
    </w:p>
    <w:p w14:paraId="7D46A809" w14:textId="5080758C" w:rsidR="00976084" w:rsidRPr="00A002D0" w:rsidRDefault="00976084" w:rsidP="001E0D6D">
      <w:pPr>
        <w:pStyle w:val="3"/>
        <w:spacing w:line="360" w:lineRule="auto"/>
        <w:rPr>
          <w:rFonts w:ascii="Times New Roman" w:eastAsia="黑体" w:hAnsi="Times New Roman" w:cs="Times New Roman"/>
          <w:sz w:val="24"/>
          <w:szCs w:val="24"/>
        </w:rPr>
      </w:pPr>
      <w:bookmarkStart w:id="5" w:name="_Toc211461909"/>
      <w:r w:rsidRPr="00A002D0">
        <w:rPr>
          <w:rFonts w:ascii="Times New Roman" w:eastAsia="黑体" w:hAnsi="Times New Roman" w:cs="Times New Roman"/>
          <w:sz w:val="24"/>
          <w:szCs w:val="24"/>
        </w:rPr>
        <w:lastRenderedPageBreak/>
        <w:t>Cochrane library</w:t>
      </w:r>
      <w:bookmarkEnd w:id="5"/>
    </w:p>
    <w:tbl>
      <w:tblPr>
        <w:tblStyle w:val="11"/>
        <w:tblW w:w="0" w:type="auto"/>
        <w:tblLook w:val="04A0" w:firstRow="1" w:lastRow="0" w:firstColumn="1" w:lastColumn="0" w:noHBand="0" w:noVBand="1"/>
      </w:tblPr>
      <w:tblGrid>
        <w:gridCol w:w="567"/>
        <w:gridCol w:w="7370"/>
      </w:tblGrid>
      <w:tr w:rsidR="00976084" w:rsidRPr="00A002D0" w14:paraId="1F759527" w14:textId="77777777" w:rsidTr="00976084">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0EED81F4" w14:textId="77777777" w:rsidR="00976084" w:rsidRPr="00A002D0" w:rsidRDefault="00976084" w:rsidP="001E0D6D">
            <w:pPr>
              <w:spacing w:line="360" w:lineRule="auto"/>
              <w:rPr>
                <w:rFonts w:eastAsia="黑体"/>
              </w:rPr>
            </w:pPr>
            <w:r w:rsidRPr="00A002D0">
              <w:rPr>
                <w:rFonts w:eastAsia="黑体"/>
                <w:color w:val="0A0905"/>
              </w:rPr>
              <w:t>#</w:t>
            </w:r>
          </w:p>
        </w:tc>
        <w:tc>
          <w:tcPr>
            <w:tcW w:w="7370" w:type="dxa"/>
            <w:hideMark/>
          </w:tcPr>
          <w:p w14:paraId="489F2829" w14:textId="77777777" w:rsidR="00976084" w:rsidRPr="00A002D0" w:rsidRDefault="00976084" w:rsidP="001E0D6D">
            <w:pPr>
              <w:spacing w:line="360" w:lineRule="auto"/>
              <w:cnfStyle w:val="100000000000" w:firstRow="1" w:lastRow="0" w:firstColumn="0" w:lastColumn="0" w:oddVBand="0" w:evenVBand="0" w:oddHBand="0" w:evenHBand="0" w:firstRowFirstColumn="0" w:firstRowLastColumn="0" w:lastRowFirstColumn="0" w:lastRowLastColumn="0"/>
              <w:rPr>
                <w:rFonts w:eastAsia="黑体"/>
              </w:rPr>
            </w:pPr>
            <w:r w:rsidRPr="00A002D0">
              <w:rPr>
                <w:rFonts w:eastAsia="黑体"/>
                <w:color w:val="000000"/>
              </w:rPr>
              <w:t>Searches</w:t>
            </w:r>
          </w:p>
        </w:tc>
      </w:tr>
      <w:tr w:rsidR="00976084" w:rsidRPr="00A002D0" w14:paraId="5C7D1290"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7CE7C43E" w14:textId="77777777" w:rsidR="00976084" w:rsidRPr="00A002D0" w:rsidRDefault="00976084" w:rsidP="001E0D6D">
            <w:pPr>
              <w:spacing w:line="360" w:lineRule="auto"/>
              <w:rPr>
                <w:rFonts w:eastAsia="黑体"/>
                <w:b w:val="0"/>
                <w:bCs w:val="0"/>
                <w:color w:val="0A0905"/>
              </w:rPr>
            </w:pPr>
            <w:r w:rsidRPr="00A002D0">
              <w:rPr>
                <w:rFonts w:eastAsia="黑体"/>
                <w:color w:val="0A0905"/>
              </w:rPr>
              <w:t>1</w:t>
            </w:r>
          </w:p>
        </w:tc>
        <w:tc>
          <w:tcPr>
            <w:tcW w:w="7370" w:type="dxa"/>
          </w:tcPr>
          <w:p w14:paraId="62607EE0"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'salt substitution':ti,ab,kw OR 'salt substitute':ti,ab,kw OR 'salt substitutes':ti,ab,kw OR 'low-sodium':ti,ab,kw OR 'low sodium':ti,ab,kw OR 'high-potassium':ti,ab,kw OR 'high potassium':ti,ab,kw OR 'high-magnesium':ti,ab,kw OR 'high magnesium':ti,ab,kw OR 'potassium-enriched':ti,ab,kw OR 'potassium enriched':ti,ab,kw OR 'sodium substitution':ti,ab,kw OR 'sodium substitute':ti,ab,kw OR 'sodium substitutes':ti,ab,kw OR (('sodium':ti,ab,kw OR 'salt':ti,ab,kw) AND ('potassium':ti,ab,kw OR 'magnesium':ti,ab,kw OR 'calcium':ti,ab,kw)) OR 'mineral salt':ti,ab,kw OR 'smart salt':ti,ab,kw OR 'health salt':ti,ab,kw OR 'lite salt':ti,ab,kw OR 'light salt':ti,ab,kw OR 'sodium free salt':ti,ab,kw</w:t>
            </w:r>
          </w:p>
        </w:tc>
      </w:tr>
      <w:tr w:rsidR="00976084" w:rsidRPr="00A002D0" w14:paraId="7B684BB2"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453E0F87" w14:textId="77777777" w:rsidR="00976084" w:rsidRPr="00A002D0" w:rsidRDefault="00976084" w:rsidP="001E0D6D">
            <w:pPr>
              <w:spacing w:line="360" w:lineRule="auto"/>
              <w:rPr>
                <w:rFonts w:eastAsia="黑体"/>
                <w:b w:val="0"/>
                <w:bCs w:val="0"/>
                <w:color w:val="0A0905"/>
              </w:rPr>
            </w:pPr>
            <w:r w:rsidRPr="00A002D0">
              <w:rPr>
                <w:rFonts w:eastAsia="黑体"/>
                <w:color w:val="0A0905"/>
              </w:rPr>
              <w:t>2</w:t>
            </w:r>
          </w:p>
        </w:tc>
        <w:tc>
          <w:tcPr>
            <w:tcW w:w="7370" w:type="dxa"/>
          </w:tcPr>
          <w:p w14:paraId="78E6997D" w14:textId="3240C8EF"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MeSH descriptor: [myocardial infarction] explode all trees OR (myocardial infarction):ti,ab,kw OR MeSH descriptor: [acute coronary syndrome] explode all trees OR (acute coronary syndrome):ti,ab,kw OR MeSH descriptor: [myocardial ischemia] explode all trees OR (myocardial ischemia):ti,ab,kw OR (ischemic heart disease):ti,ab,kw OR MeSH descriptor: [coronary artery disease] explode all trees OR MeSH descriptor: [stroke] explode all trees OR (stroke):ti,ab,kw OR MeSH descriptor: [ischemic stroke] explode all trees OR MeSH descriptor: [heart failure] explode all trees OR (heart failure):ti,ab,kw OR MeSH descriptor: [mortality] explode all trees OR (mortality):ti,ab,kw OR MeSH descriptor: [</w:t>
            </w:r>
            <w:r w:rsidRPr="00A002D0">
              <w:rPr>
                <w:rFonts w:eastAsia="黑体"/>
                <w:color w:val="0A0905"/>
              </w:rPr>
              <w:t>death</w:t>
            </w:r>
            <w:r w:rsidRPr="00A002D0">
              <w:rPr>
                <w:rFonts w:eastAsia="黑体"/>
                <w:color w:val="000000"/>
              </w:rPr>
              <w:t>] explode all trees OR (</w:t>
            </w:r>
            <w:r w:rsidRPr="00A002D0">
              <w:rPr>
                <w:rFonts w:eastAsia="黑体"/>
                <w:color w:val="0A0905"/>
              </w:rPr>
              <w:t>death*</w:t>
            </w:r>
            <w:r w:rsidRPr="00A002D0">
              <w:rPr>
                <w:rFonts w:eastAsia="黑体"/>
                <w:color w:val="000000"/>
              </w:rPr>
              <w:t>):ti,ab,kw OR MeSH descriptor: [hypertension] explode all trees OR MeSH descriptor: [</w:t>
            </w:r>
            <w:r w:rsidR="00ED7AE1" w:rsidRPr="00A002D0">
              <w:rPr>
                <w:rFonts w:eastAsia="黑体"/>
                <w:color w:val="000000"/>
              </w:rPr>
              <w:t>Blood</w:t>
            </w:r>
            <w:r w:rsidRPr="00A002D0">
              <w:rPr>
                <w:rFonts w:eastAsia="黑体"/>
                <w:color w:val="000000"/>
              </w:rPr>
              <w:t xml:space="preserve"> pressure] explode all trees</w:t>
            </w:r>
          </w:p>
        </w:tc>
      </w:tr>
      <w:tr w:rsidR="00976084" w:rsidRPr="00A002D0" w14:paraId="7BD808DA"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6B2CF288" w14:textId="77777777" w:rsidR="00976084" w:rsidRPr="00A002D0" w:rsidRDefault="00976084" w:rsidP="001E0D6D">
            <w:pPr>
              <w:spacing w:line="360" w:lineRule="auto"/>
              <w:rPr>
                <w:rFonts w:eastAsia="黑体"/>
                <w:b w:val="0"/>
                <w:bCs w:val="0"/>
                <w:color w:val="0A0905"/>
              </w:rPr>
            </w:pPr>
            <w:r w:rsidRPr="00A002D0">
              <w:rPr>
                <w:rFonts w:eastAsia="黑体"/>
                <w:color w:val="0A0905"/>
              </w:rPr>
              <w:t>3</w:t>
            </w:r>
          </w:p>
        </w:tc>
        <w:tc>
          <w:tcPr>
            <w:tcW w:w="7370" w:type="dxa"/>
          </w:tcPr>
          <w:p w14:paraId="366149D0"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MeSH descriptor: [Randomized Controlled Trial] explode all trees OR (random*):ti,ab,kw OR (clinical trial):ti,ab,kw</w:t>
            </w:r>
          </w:p>
        </w:tc>
      </w:tr>
      <w:tr w:rsidR="00976084" w:rsidRPr="00A002D0" w14:paraId="4D88D392"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29D87AAC" w14:textId="77777777" w:rsidR="00976084" w:rsidRPr="00A002D0" w:rsidRDefault="00976084" w:rsidP="001E0D6D">
            <w:pPr>
              <w:spacing w:line="360" w:lineRule="auto"/>
              <w:rPr>
                <w:rFonts w:eastAsia="黑体"/>
                <w:b w:val="0"/>
                <w:bCs w:val="0"/>
                <w:color w:val="0A0905"/>
              </w:rPr>
            </w:pPr>
            <w:r w:rsidRPr="00A002D0">
              <w:rPr>
                <w:rFonts w:eastAsia="黑体"/>
                <w:color w:val="0A0905"/>
              </w:rPr>
              <w:lastRenderedPageBreak/>
              <w:t>4</w:t>
            </w:r>
          </w:p>
        </w:tc>
        <w:tc>
          <w:tcPr>
            <w:tcW w:w="7370" w:type="dxa"/>
          </w:tcPr>
          <w:p w14:paraId="70E6EC7A"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#1 AND #2 AND #3</w:t>
            </w:r>
          </w:p>
        </w:tc>
      </w:tr>
    </w:tbl>
    <w:p w14:paraId="345BD352" w14:textId="77777777" w:rsidR="00976084" w:rsidRPr="00A002D0" w:rsidRDefault="00976084" w:rsidP="001E0D6D">
      <w:pPr>
        <w:spacing w:line="360" w:lineRule="auto"/>
        <w:rPr>
          <w:rFonts w:eastAsia="黑体"/>
        </w:rPr>
      </w:pPr>
      <w:r w:rsidRPr="00A002D0">
        <w:rPr>
          <w:rFonts w:eastAsia="黑体"/>
        </w:rPr>
        <w:br w:type="page"/>
      </w:r>
    </w:p>
    <w:p w14:paraId="2702CE57" w14:textId="6B2A534C" w:rsidR="00976084" w:rsidRPr="00A002D0" w:rsidRDefault="00976084" w:rsidP="001E0D6D">
      <w:pPr>
        <w:pStyle w:val="3"/>
        <w:spacing w:line="360" w:lineRule="auto"/>
        <w:rPr>
          <w:rFonts w:ascii="Times New Roman" w:eastAsia="黑体" w:hAnsi="Times New Roman" w:cs="Times New Roman"/>
          <w:sz w:val="24"/>
          <w:szCs w:val="24"/>
        </w:rPr>
      </w:pPr>
      <w:bookmarkStart w:id="6" w:name="_Toc211461910"/>
      <w:r w:rsidRPr="00A002D0">
        <w:rPr>
          <w:rFonts w:ascii="Times New Roman" w:eastAsia="黑体" w:hAnsi="Times New Roman" w:cs="Times New Roman"/>
          <w:sz w:val="24"/>
          <w:szCs w:val="24"/>
        </w:rPr>
        <w:lastRenderedPageBreak/>
        <w:t>WHO International Clinical Trials Registry Platform</w:t>
      </w:r>
      <w:bookmarkEnd w:id="6"/>
    </w:p>
    <w:tbl>
      <w:tblPr>
        <w:tblStyle w:val="11"/>
        <w:tblW w:w="0" w:type="auto"/>
        <w:tblLook w:val="04A0" w:firstRow="1" w:lastRow="0" w:firstColumn="1" w:lastColumn="0" w:noHBand="0" w:noVBand="1"/>
      </w:tblPr>
      <w:tblGrid>
        <w:gridCol w:w="567"/>
        <w:gridCol w:w="7370"/>
      </w:tblGrid>
      <w:tr w:rsidR="00976084" w:rsidRPr="00A002D0" w14:paraId="01B3656A" w14:textId="77777777" w:rsidTr="00976084">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777F8B19" w14:textId="77777777" w:rsidR="00976084" w:rsidRPr="00A002D0" w:rsidRDefault="00976084" w:rsidP="001E0D6D">
            <w:pPr>
              <w:spacing w:line="360" w:lineRule="auto"/>
              <w:rPr>
                <w:rFonts w:eastAsia="黑体"/>
              </w:rPr>
            </w:pPr>
            <w:r w:rsidRPr="00A002D0">
              <w:rPr>
                <w:rFonts w:eastAsia="黑体"/>
                <w:color w:val="0A0905"/>
              </w:rPr>
              <w:t>#</w:t>
            </w:r>
          </w:p>
        </w:tc>
        <w:tc>
          <w:tcPr>
            <w:tcW w:w="7370" w:type="dxa"/>
            <w:hideMark/>
          </w:tcPr>
          <w:p w14:paraId="73082DA6" w14:textId="77777777" w:rsidR="00976084" w:rsidRPr="00A002D0" w:rsidRDefault="00976084" w:rsidP="001E0D6D">
            <w:pPr>
              <w:spacing w:line="360" w:lineRule="auto"/>
              <w:cnfStyle w:val="100000000000" w:firstRow="1" w:lastRow="0" w:firstColumn="0" w:lastColumn="0" w:oddVBand="0" w:evenVBand="0" w:oddHBand="0" w:evenHBand="0" w:firstRowFirstColumn="0" w:firstRowLastColumn="0" w:lastRowFirstColumn="0" w:lastRowLastColumn="0"/>
              <w:rPr>
                <w:rFonts w:eastAsia="黑体"/>
              </w:rPr>
            </w:pPr>
            <w:r w:rsidRPr="00A002D0">
              <w:rPr>
                <w:rFonts w:eastAsia="黑体"/>
                <w:color w:val="000000"/>
              </w:rPr>
              <w:t>Searches</w:t>
            </w:r>
          </w:p>
        </w:tc>
      </w:tr>
      <w:tr w:rsidR="00976084" w:rsidRPr="00A002D0" w14:paraId="38A45DA8"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5A4637C6" w14:textId="77777777" w:rsidR="00976084" w:rsidRPr="00A002D0" w:rsidRDefault="00976084" w:rsidP="001E0D6D">
            <w:pPr>
              <w:spacing w:line="360" w:lineRule="auto"/>
              <w:rPr>
                <w:rFonts w:eastAsia="黑体"/>
                <w:b w:val="0"/>
                <w:bCs w:val="0"/>
                <w:color w:val="0A0905"/>
              </w:rPr>
            </w:pPr>
            <w:r w:rsidRPr="00A002D0">
              <w:rPr>
                <w:rFonts w:eastAsia="黑体"/>
                <w:color w:val="0A0905"/>
              </w:rPr>
              <w:t>1</w:t>
            </w:r>
          </w:p>
        </w:tc>
        <w:tc>
          <w:tcPr>
            <w:tcW w:w="7370" w:type="dxa"/>
          </w:tcPr>
          <w:p w14:paraId="52D67D79"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Title: salt substitution OR salt substitute OR salt substitutes OR low-sodium OR high-potassium OR potassium-enriched OR sodium substitution OR sodium substitute OR sodium substitutes OR mineral salt OR smart salt OR health salt OR lite salt OR sodium free salt</w:t>
            </w:r>
          </w:p>
        </w:tc>
      </w:tr>
      <w:tr w:rsidR="00976084" w:rsidRPr="00A002D0" w14:paraId="18CFE0F8"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14A9DAF6" w14:textId="77777777" w:rsidR="00976084" w:rsidRPr="00A002D0" w:rsidRDefault="00976084" w:rsidP="001E0D6D">
            <w:pPr>
              <w:spacing w:line="360" w:lineRule="auto"/>
              <w:rPr>
                <w:rFonts w:eastAsia="黑体"/>
                <w:b w:val="0"/>
                <w:bCs w:val="0"/>
                <w:color w:val="0A0905"/>
              </w:rPr>
            </w:pPr>
            <w:r w:rsidRPr="00A002D0">
              <w:rPr>
                <w:rFonts w:eastAsia="黑体"/>
                <w:color w:val="0A0905"/>
              </w:rPr>
              <w:t>2</w:t>
            </w:r>
          </w:p>
        </w:tc>
        <w:tc>
          <w:tcPr>
            <w:tcW w:w="7370" w:type="dxa"/>
          </w:tcPr>
          <w:p w14:paraId="5341DC8B" w14:textId="313F875A"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 xml:space="preserve">Condition: myocardial infarction OR acute coronary syndrome OR myocardial ischemia OR ischemic heart disease OR coronary artery disease OR stroke OR heart failure OR mortality OR death OR hypertension OR </w:t>
            </w:r>
            <w:r w:rsidR="00ED7AE1" w:rsidRPr="00A002D0">
              <w:rPr>
                <w:rFonts w:eastAsia="黑体"/>
                <w:color w:val="000000"/>
              </w:rPr>
              <w:t>Blood</w:t>
            </w:r>
            <w:r w:rsidRPr="00A002D0">
              <w:rPr>
                <w:rFonts w:eastAsia="黑体"/>
                <w:color w:val="000000"/>
              </w:rPr>
              <w:t xml:space="preserve"> pressure</w:t>
            </w:r>
          </w:p>
        </w:tc>
      </w:tr>
      <w:tr w:rsidR="00976084" w:rsidRPr="00A002D0" w14:paraId="7E940464"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79F63F5D" w14:textId="77777777" w:rsidR="00976084" w:rsidRPr="00A002D0" w:rsidRDefault="00976084" w:rsidP="001E0D6D">
            <w:pPr>
              <w:spacing w:line="360" w:lineRule="auto"/>
              <w:rPr>
                <w:rFonts w:eastAsia="黑体"/>
                <w:b w:val="0"/>
                <w:bCs w:val="0"/>
                <w:color w:val="0A0905"/>
              </w:rPr>
            </w:pPr>
            <w:r w:rsidRPr="00A002D0">
              <w:rPr>
                <w:rFonts w:eastAsia="黑体"/>
                <w:color w:val="0A0905"/>
              </w:rPr>
              <w:t>3</w:t>
            </w:r>
          </w:p>
        </w:tc>
        <w:tc>
          <w:tcPr>
            <w:tcW w:w="7370" w:type="dxa"/>
          </w:tcPr>
          <w:p w14:paraId="76E9D89B"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Recruitment Status: ALL</w:t>
            </w:r>
          </w:p>
        </w:tc>
      </w:tr>
      <w:tr w:rsidR="00976084" w:rsidRPr="00A002D0" w14:paraId="133C55E9"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0F79619F" w14:textId="77777777" w:rsidR="00976084" w:rsidRPr="00A002D0" w:rsidRDefault="00976084" w:rsidP="001E0D6D">
            <w:pPr>
              <w:spacing w:line="360" w:lineRule="auto"/>
              <w:rPr>
                <w:rFonts w:eastAsia="黑体"/>
                <w:color w:val="0A0905"/>
              </w:rPr>
            </w:pPr>
            <w:r w:rsidRPr="00A002D0">
              <w:rPr>
                <w:rFonts w:eastAsia="黑体"/>
                <w:color w:val="0A0905"/>
              </w:rPr>
              <w:t>4</w:t>
            </w:r>
          </w:p>
        </w:tc>
        <w:tc>
          <w:tcPr>
            <w:tcW w:w="7370" w:type="dxa"/>
          </w:tcPr>
          <w:p w14:paraId="3EA2DCD0"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Phases: ALL</w:t>
            </w:r>
          </w:p>
        </w:tc>
      </w:tr>
      <w:tr w:rsidR="00976084" w:rsidRPr="00A002D0" w14:paraId="4B70F4DD"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0CB87B4D" w14:textId="77777777" w:rsidR="00976084" w:rsidRPr="00A002D0" w:rsidRDefault="00976084" w:rsidP="001E0D6D">
            <w:pPr>
              <w:spacing w:line="360" w:lineRule="auto"/>
              <w:rPr>
                <w:rFonts w:eastAsia="黑体"/>
                <w:color w:val="0A0905"/>
              </w:rPr>
            </w:pPr>
            <w:r w:rsidRPr="00A002D0">
              <w:rPr>
                <w:rFonts w:eastAsia="黑体"/>
                <w:color w:val="0A0905"/>
              </w:rPr>
              <w:t>5</w:t>
            </w:r>
          </w:p>
        </w:tc>
        <w:tc>
          <w:tcPr>
            <w:tcW w:w="7370" w:type="dxa"/>
          </w:tcPr>
          <w:p w14:paraId="1C5F0088"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Study results: studies with results</w:t>
            </w:r>
          </w:p>
        </w:tc>
      </w:tr>
      <w:tr w:rsidR="00976084" w:rsidRPr="00A002D0" w14:paraId="66ADB8DE"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476EA830" w14:textId="77777777" w:rsidR="00976084" w:rsidRPr="00A002D0" w:rsidRDefault="00976084" w:rsidP="001E0D6D">
            <w:pPr>
              <w:spacing w:line="360" w:lineRule="auto"/>
              <w:rPr>
                <w:rFonts w:eastAsia="黑体"/>
                <w:b w:val="0"/>
                <w:bCs w:val="0"/>
                <w:color w:val="0A0905"/>
              </w:rPr>
            </w:pPr>
            <w:r w:rsidRPr="00A002D0">
              <w:rPr>
                <w:rFonts w:eastAsia="黑体"/>
                <w:color w:val="0A0905"/>
              </w:rPr>
              <w:t>6</w:t>
            </w:r>
          </w:p>
        </w:tc>
        <w:tc>
          <w:tcPr>
            <w:tcW w:w="7370" w:type="dxa"/>
          </w:tcPr>
          <w:p w14:paraId="7B371479"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#1 AND #2 AND #3 AND #4 AND #5</w:t>
            </w:r>
          </w:p>
        </w:tc>
      </w:tr>
    </w:tbl>
    <w:p w14:paraId="5283D751" w14:textId="21D18BA7" w:rsidR="00976084" w:rsidRPr="00A002D0" w:rsidRDefault="00976084" w:rsidP="001E0D6D">
      <w:pPr>
        <w:spacing w:line="360" w:lineRule="auto"/>
        <w:rPr>
          <w:rFonts w:eastAsia="黑体"/>
        </w:rPr>
      </w:pPr>
      <w:r w:rsidRPr="00A002D0">
        <w:rPr>
          <w:rFonts w:eastAsia="黑体"/>
        </w:rPr>
        <w:br w:type="page"/>
      </w:r>
    </w:p>
    <w:p w14:paraId="344C5227" w14:textId="51CA89D6" w:rsidR="00976084" w:rsidRPr="00A002D0" w:rsidRDefault="00976084" w:rsidP="001E0D6D">
      <w:pPr>
        <w:pStyle w:val="3"/>
        <w:spacing w:line="360" w:lineRule="auto"/>
        <w:rPr>
          <w:rFonts w:ascii="Times New Roman" w:eastAsia="黑体" w:hAnsi="Times New Roman" w:cs="Times New Roman"/>
          <w:sz w:val="24"/>
          <w:szCs w:val="24"/>
        </w:rPr>
      </w:pPr>
      <w:bookmarkStart w:id="7" w:name="_Toc211461911"/>
      <w:r w:rsidRPr="00A002D0">
        <w:rPr>
          <w:rFonts w:ascii="Times New Roman" w:eastAsia="黑体" w:hAnsi="Times New Roman" w:cs="Times New Roman"/>
          <w:sz w:val="24"/>
          <w:szCs w:val="24"/>
        </w:rPr>
        <w:lastRenderedPageBreak/>
        <w:t>ClinicalTrials.gov</w:t>
      </w:r>
      <w:bookmarkEnd w:id="7"/>
    </w:p>
    <w:tbl>
      <w:tblPr>
        <w:tblStyle w:val="11"/>
        <w:tblW w:w="0" w:type="auto"/>
        <w:tblLook w:val="04A0" w:firstRow="1" w:lastRow="0" w:firstColumn="1" w:lastColumn="0" w:noHBand="0" w:noVBand="1"/>
      </w:tblPr>
      <w:tblGrid>
        <w:gridCol w:w="567"/>
        <w:gridCol w:w="7370"/>
      </w:tblGrid>
      <w:tr w:rsidR="00976084" w:rsidRPr="00A002D0" w14:paraId="4F4CAE1A" w14:textId="77777777" w:rsidTr="00976084">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3CF4C4D2" w14:textId="77777777" w:rsidR="00976084" w:rsidRPr="00A002D0" w:rsidRDefault="00976084" w:rsidP="001E0D6D">
            <w:pPr>
              <w:spacing w:line="360" w:lineRule="auto"/>
              <w:rPr>
                <w:rFonts w:eastAsia="黑体"/>
              </w:rPr>
            </w:pPr>
            <w:r w:rsidRPr="00A002D0">
              <w:rPr>
                <w:rFonts w:eastAsia="黑体"/>
                <w:color w:val="0A0905"/>
              </w:rPr>
              <w:t>#</w:t>
            </w:r>
          </w:p>
        </w:tc>
        <w:tc>
          <w:tcPr>
            <w:tcW w:w="7370" w:type="dxa"/>
            <w:hideMark/>
          </w:tcPr>
          <w:p w14:paraId="152F939E" w14:textId="77777777" w:rsidR="00976084" w:rsidRPr="00A002D0" w:rsidRDefault="00976084" w:rsidP="001E0D6D">
            <w:pPr>
              <w:spacing w:line="360" w:lineRule="auto"/>
              <w:cnfStyle w:val="100000000000" w:firstRow="1" w:lastRow="0" w:firstColumn="0" w:lastColumn="0" w:oddVBand="0" w:evenVBand="0" w:oddHBand="0" w:evenHBand="0" w:firstRowFirstColumn="0" w:firstRowLastColumn="0" w:lastRowFirstColumn="0" w:lastRowLastColumn="0"/>
              <w:rPr>
                <w:rFonts w:eastAsia="黑体"/>
              </w:rPr>
            </w:pPr>
            <w:r w:rsidRPr="00A002D0">
              <w:rPr>
                <w:rFonts w:eastAsia="黑体"/>
                <w:color w:val="000000"/>
              </w:rPr>
              <w:t>Searches</w:t>
            </w:r>
          </w:p>
        </w:tc>
      </w:tr>
      <w:tr w:rsidR="00976084" w:rsidRPr="00A002D0" w14:paraId="602E0D45"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4BC006BE" w14:textId="77777777" w:rsidR="00976084" w:rsidRPr="00A002D0" w:rsidRDefault="00976084" w:rsidP="001E0D6D">
            <w:pPr>
              <w:spacing w:line="360" w:lineRule="auto"/>
              <w:rPr>
                <w:rFonts w:eastAsia="黑体"/>
                <w:b w:val="0"/>
                <w:bCs w:val="0"/>
                <w:color w:val="0A0905"/>
              </w:rPr>
            </w:pPr>
            <w:r w:rsidRPr="00A002D0">
              <w:rPr>
                <w:rFonts w:eastAsia="黑体"/>
                <w:color w:val="0A0905"/>
              </w:rPr>
              <w:t>1</w:t>
            </w:r>
          </w:p>
        </w:tc>
        <w:tc>
          <w:tcPr>
            <w:tcW w:w="7370" w:type="dxa"/>
          </w:tcPr>
          <w:p w14:paraId="20CF8510" w14:textId="23DDBAA8"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 xml:space="preserve">Condition: myocardial infarction OR acute coronary syndrome OR myocardial ischemia OR ischemic heart disease OR coronary artery disease OR stroke OR heart failure OR mortality OR death OR hypertension OR </w:t>
            </w:r>
            <w:r w:rsidR="00ED7AE1" w:rsidRPr="00A002D0">
              <w:rPr>
                <w:rFonts w:eastAsia="黑体"/>
                <w:color w:val="000000"/>
              </w:rPr>
              <w:t>Blood</w:t>
            </w:r>
            <w:r w:rsidRPr="00A002D0">
              <w:rPr>
                <w:rFonts w:eastAsia="黑体"/>
                <w:color w:val="000000"/>
              </w:rPr>
              <w:t xml:space="preserve"> pressure</w:t>
            </w:r>
          </w:p>
        </w:tc>
      </w:tr>
      <w:tr w:rsidR="00976084" w:rsidRPr="00A002D0" w14:paraId="74253679"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61BFF345" w14:textId="77777777" w:rsidR="00976084" w:rsidRPr="00A002D0" w:rsidRDefault="00976084" w:rsidP="001E0D6D">
            <w:pPr>
              <w:spacing w:line="360" w:lineRule="auto"/>
              <w:rPr>
                <w:rFonts w:eastAsia="黑体"/>
                <w:b w:val="0"/>
                <w:bCs w:val="0"/>
                <w:color w:val="0A0905"/>
              </w:rPr>
            </w:pPr>
            <w:r w:rsidRPr="00A002D0">
              <w:rPr>
                <w:rFonts w:eastAsia="黑体"/>
                <w:color w:val="0A0905"/>
              </w:rPr>
              <w:t>2</w:t>
            </w:r>
          </w:p>
        </w:tc>
        <w:tc>
          <w:tcPr>
            <w:tcW w:w="7370" w:type="dxa"/>
          </w:tcPr>
          <w:p w14:paraId="1BE48ACA"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Other terms: salt substitution OR salt substitute OR salt substitutes OR low-sodium OR high-potassium OR potassium-enriched OR sodium substitution OR sodium substitute OR sodium substitutes OR mineral salt OR smart salt OR health salt OR lite salt OR sodium free salt</w:t>
            </w:r>
          </w:p>
        </w:tc>
      </w:tr>
      <w:tr w:rsidR="00976084" w:rsidRPr="00A002D0" w14:paraId="5A8464D3"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52A7C63A" w14:textId="77777777" w:rsidR="00976084" w:rsidRPr="00A002D0" w:rsidRDefault="00976084" w:rsidP="001E0D6D">
            <w:pPr>
              <w:spacing w:line="360" w:lineRule="auto"/>
              <w:rPr>
                <w:rFonts w:eastAsia="黑体"/>
                <w:b w:val="0"/>
                <w:bCs w:val="0"/>
                <w:color w:val="0A0905"/>
              </w:rPr>
            </w:pPr>
            <w:r w:rsidRPr="00A002D0">
              <w:rPr>
                <w:rFonts w:eastAsia="黑体"/>
                <w:color w:val="0A0905"/>
              </w:rPr>
              <w:t>3</w:t>
            </w:r>
          </w:p>
        </w:tc>
        <w:tc>
          <w:tcPr>
            <w:tcW w:w="7370" w:type="dxa"/>
          </w:tcPr>
          <w:p w14:paraId="096C8C18"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Study type: interventional studies</w:t>
            </w:r>
          </w:p>
        </w:tc>
      </w:tr>
      <w:tr w:rsidR="00976084" w:rsidRPr="00A002D0" w14:paraId="4B754E8B"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241CD410" w14:textId="77777777" w:rsidR="00976084" w:rsidRPr="00A002D0" w:rsidRDefault="00976084" w:rsidP="001E0D6D">
            <w:pPr>
              <w:spacing w:line="360" w:lineRule="auto"/>
              <w:rPr>
                <w:rFonts w:eastAsia="黑体"/>
                <w:b w:val="0"/>
                <w:bCs w:val="0"/>
                <w:color w:val="0A0905"/>
              </w:rPr>
            </w:pPr>
            <w:r w:rsidRPr="00A002D0">
              <w:rPr>
                <w:rFonts w:eastAsia="黑体"/>
                <w:color w:val="0A0905"/>
              </w:rPr>
              <w:t>4</w:t>
            </w:r>
          </w:p>
        </w:tc>
        <w:tc>
          <w:tcPr>
            <w:tcW w:w="7370" w:type="dxa"/>
          </w:tcPr>
          <w:p w14:paraId="01002263"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Study results: studies with results</w:t>
            </w:r>
          </w:p>
        </w:tc>
      </w:tr>
      <w:tr w:rsidR="00976084" w:rsidRPr="00A002D0" w14:paraId="3632FE13"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6E52F74C" w14:textId="77777777" w:rsidR="00976084" w:rsidRPr="00A002D0" w:rsidRDefault="00976084" w:rsidP="001E0D6D">
            <w:pPr>
              <w:spacing w:line="360" w:lineRule="auto"/>
              <w:rPr>
                <w:rFonts w:eastAsia="黑体"/>
                <w:color w:val="0A0905"/>
              </w:rPr>
            </w:pPr>
            <w:r w:rsidRPr="00A002D0">
              <w:rPr>
                <w:rFonts w:eastAsia="黑体"/>
                <w:color w:val="0A0905"/>
              </w:rPr>
              <w:t>6</w:t>
            </w:r>
          </w:p>
        </w:tc>
        <w:tc>
          <w:tcPr>
            <w:tcW w:w="7370" w:type="dxa"/>
          </w:tcPr>
          <w:p w14:paraId="7FE5FF6A"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#1 AND #2 AND #3 AND #4</w:t>
            </w:r>
          </w:p>
        </w:tc>
      </w:tr>
    </w:tbl>
    <w:p w14:paraId="792ABADF" w14:textId="77777777" w:rsidR="00976084" w:rsidRPr="00A002D0" w:rsidRDefault="00976084" w:rsidP="001E0D6D">
      <w:pPr>
        <w:spacing w:line="360" w:lineRule="auto"/>
        <w:rPr>
          <w:rFonts w:eastAsia="黑体"/>
        </w:rPr>
      </w:pPr>
      <w:r w:rsidRPr="00A002D0">
        <w:rPr>
          <w:rFonts w:eastAsia="黑体"/>
        </w:rPr>
        <w:br w:type="page"/>
      </w:r>
    </w:p>
    <w:p w14:paraId="51BAC3D9" w14:textId="6216C0EA" w:rsidR="00976084" w:rsidRPr="00A002D0" w:rsidRDefault="00976084" w:rsidP="001E0D6D">
      <w:pPr>
        <w:pStyle w:val="3"/>
        <w:spacing w:line="360" w:lineRule="auto"/>
        <w:rPr>
          <w:rFonts w:ascii="Times New Roman" w:eastAsia="黑体" w:hAnsi="Times New Roman" w:cs="Times New Roman"/>
          <w:sz w:val="24"/>
          <w:szCs w:val="24"/>
        </w:rPr>
      </w:pPr>
      <w:bookmarkStart w:id="8" w:name="_Toc211461912"/>
      <w:r w:rsidRPr="00A002D0">
        <w:rPr>
          <w:rFonts w:ascii="Times New Roman" w:eastAsia="黑体" w:hAnsi="Times New Roman" w:cs="Times New Roman"/>
          <w:sz w:val="24"/>
          <w:szCs w:val="24"/>
        </w:rPr>
        <w:lastRenderedPageBreak/>
        <w:t>China National Knowledge Infrastructure</w:t>
      </w:r>
      <w:bookmarkEnd w:id="8"/>
    </w:p>
    <w:tbl>
      <w:tblPr>
        <w:tblStyle w:val="11"/>
        <w:tblW w:w="0" w:type="auto"/>
        <w:tblLook w:val="04A0" w:firstRow="1" w:lastRow="0" w:firstColumn="1" w:lastColumn="0" w:noHBand="0" w:noVBand="1"/>
      </w:tblPr>
      <w:tblGrid>
        <w:gridCol w:w="567"/>
        <w:gridCol w:w="7370"/>
      </w:tblGrid>
      <w:tr w:rsidR="00976084" w:rsidRPr="00A002D0" w14:paraId="0CE5D109" w14:textId="77777777" w:rsidTr="00976084">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319E372D" w14:textId="77777777" w:rsidR="00976084" w:rsidRPr="00A002D0" w:rsidRDefault="00976084" w:rsidP="001E0D6D">
            <w:pPr>
              <w:spacing w:line="360" w:lineRule="auto"/>
              <w:rPr>
                <w:rFonts w:eastAsia="黑体"/>
              </w:rPr>
            </w:pPr>
            <w:r w:rsidRPr="00A002D0">
              <w:rPr>
                <w:rFonts w:eastAsia="黑体"/>
                <w:color w:val="0A0905"/>
              </w:rPr>
              <w:t>#</w:t>
            </w:r>
          </w:p>
        </w:tc>
        <w:tc>
          <w:tcPr>
            <w:tcW w:w="7370" w:type="dxa"/>
            <w:hideMark/>
          </w:tcPr>
          <w:p w14:paraId="1DB79909" w14:textId="77777777" w:rsidR="00976084" w:rsidRPr="00A002D0" w:rsidRDefault="00976084" w:rsidP="001E0D6D">
            <w:pPr>
              <w:spacing w:line="360" w:lineRule="auto"/>
              <w:cnfStyle w:val="100000000000" w:firstRow="1" w:lastRow="0" w:firstColumn="0" w:lastColumn="0" w:oddVBand="0" w:evenVBand="0" w:oddHBand="0" w:evenHBand="0" w:firstRowFirstColumn="0" w:firstRowLastColumn="0" w:lastRowFirstColumn="0" w:lastRowLastColumn="0"/>
              <w:rPr>
                <w:rFonts w:eastAsia="黑体"/>
              </w:rPr>
            </w:pPr>
            <w:r w:rsidRPr="00A002D0">
              <w:rPr>
                <w:rFonts w:eastAsia="黑体"/>
                <w:color w:val="000000"/>
              </w:rPr>
              <w:t>Searches</w:t>
            </w:r>
          </w:p>
        </w:tc>
      </w:tr>
      <w:tr w:rsidR="00976084" w:rsidRPr="00A002D0" w14:paraId="7299F3FA"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67910B5A" w14:textId="77777777" w:rsidR="00976084" w:rsidRPr="00A002D0" w:rsidRDefault="00976084" w:rsidP="001E0D6D">
            <w:pPr>
              <w:spacing w:line="360" w:lineRule="auto"/>
              <w:rPr>
                <w:rFonts w:eastAsia="黑体"/>
                <w:b w:val="0"/>
                <w:bCs w:val="0"/>
                <w:color w:val="0A0905"/>
              </w:rPr>
            </w:pPr>
            <w:r w:rsidRPr="00A002D0">
              <w:rPr>
                <w:rFonts w:eastAsia="黑体"/>
                <w:color w:val="0A0905"/>
              </w:rPr>
              <w:t>1</w:t>
            </w:r>
          </w:p>
        </w:tc>
        <w:tc>
          <w:tcPr>
            <w:tcW w:w="7370" w:type="dxa"/>
          </w:tcPr>
          <w:p w14:paraId="426D67AB"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SU=(</w:t>
            </w:r>
            <w:r w:rsidRPr="00A002D0">
              <w:rPr>
                <w:rFonts w:eastAsia="黑体"/>
                <w:color w:val="000000"/>
              </w:rPr>
              <w:t>盐</w:t>
            </w:r>
            <w:r w:rsidRPr="00A002D0">
              <w:rPr>
                <w:rFonts w:eastAsia="黑体"/>
                <w:color w:val="000000"/>
              </w:rPr>
              <w:t>) OR TKA=(</w:t>
            </w:r>
            <w:r w:rsidRPr="00A002D0">
              <w:rPr>
                <w:rFonts w:eastAsia="黑体"/>
                <w:color w:val="000000"/>
              </w:rPr>
              <w:t>代盐</w:t>
            </w:r>
            <w:r w:rsidRPr="00A002D0">
              <w:rPr>
                <w:rFonts w:eastAsia="黑体"/>
                <w:color w:val="000000"/>
              </w:rPr>
              <w:t xml:space="preserve"> OR </w:t>
            </w:r>
            <w:r w:rsidRPr="00A002D0">
              <w:rPr>
                <w:rFonts w:eastAsia="黑体"/>
                <w:color w:val="000000"/>
              </w:rPr>
              <w:t>代替盐</w:t>
            </w:r>
            <w:r w:rsidRPr="00A002D0">
              <w:rPr>
                <w:rFonts w:eastAsia="黑体"/>
                <w:color w:val="000000"/>
              </w:rPr>
              <w:t xml:space="preserve"> OR </w:t>
            </w:r>
            <w:r w:rsidRPr="00A002D0">
              <w:rPr>
                <w:rFonts w:eastAsia="黑体"/>
                <w:color w:val="000000"/>
              </w:rPr>
              <w:t>替代盐</w:t>
            </w:r>
            <w:r w:rsidRPr="00A002D0">
              <w:rPr>
                <w:rFonts w:eastAsia="黑体"/>
                <w:color w:val="000000"/>
              </w:rPr>
              <w:t xml:space="preserve"> OR </w:t>
            </w:r>
            <w:r w:rsidRPr="00A002D0">
              <w:rPr>
                <w:rFonts w:eastAsia="黑体"/>
                <w:color w:val="000000"/>
              </w:rPr>
              <w:t>富钾低钠盐</w:t>
            </w:r>
            <w:r w:rsidRPr="00A002D0">
              <w:rPr>
                <w:rFonts w:eastAsia="黑体"/>
                <w:color w:val="000000"/>
              </w:rPr>
              <w:t xml:space="preserve"> OR </w:t>
            </w:r>
            <w:r w:rsidRPr="00A002D0">
              <w:rPr>
                <w:rFonts w:eastAsia="黑体"/>
                <w:color w:val="000000"/>
              </w:rPr>
              <w:t>富钾盐</w:t>
            </w:r>
            <w:r w:rsidRPr="00A002D0">
              <w:rPr>
                <w:rFonts w:eastAsia="黑体"/>
                <w:color w:val="000000"/>
              </w:rPr>
              <w:t xml:space="preserve"> OR </w:t>
            </w:r>
            <w:r w:rsidRPr="00A002D0">
              <w:rPr>
                <w:rFonts w:eastAsia="黑体"/>
                <w:color w:val="000000"/>
              </w:rPr>
              <w:t>低钠盐</w:t>
            </w:r>
            <w:r w:rsidRPr="00A002D0">
              <w:rPr>
                <w:rFonts w:eastAsia="黑体"/>
                <w:color w:val="000000"/>
              </w:rPr>
              <w:t xml:space="preserve"> OR </w:t>
            </w:r>
            <w:r w:rsidRPr="00A002D0">
              <w:rPr>
                <w:rFonts w:eastAsia="黑体"/>
                <w:color w:val="000000"/>
              </w:rPr>
              <w:t>健康盐</w:t>
            </w:r>
            <w:r w:rsidRPr="00A002D0">
              <w:rPr>
                <w:rFonts w:eastAsia="黑体"/>
                <w:color w:val="000000"/>
              </w:rPr>
              <w:t>)</w:t>
            </w:r>
          </w:p>
        </w:tc>
      </w:tr>
      <w:tr w:rsidR="00976084" w:rsidRPr="00A002D0" w14:paraId="655D1218"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1731C06C" w14:textId="77777777" w:rsidR="00976084" w:rsidRPr="00A002D0" w:rsidRDefault="00976084" w:rsidP="001E0D6D">
            <w:pPr>
              <w:spacing w:line="360" w:lineRule="auto"/>
              <w:rPr>
                <w:rFonts w:eastAsia="黑体"/>
                <w:b w:val="0"/>
                <w:bCs w:val="0"/>
                <w:color w:val="0A0905"/>
              </w:rPr>
            </w:pPr>
            <w:r w:rsidRPr="00A002D0">
              <w:rPr>
                <w:rFonts w:eastAsia="黑体"/>
                <w:color w:val="0A0905"/>
              </w:rPr>
              <w:t>2</w:t>
            </w:r>
          </w:p>
        </w:tc>
        <w:tc>
          <w:tcPr>
            <w:tcW w:w="7370" w:type="dxa"/>
          </w:tcPr>
          <w:p w14:paraId="6AAFB9C9"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SU=(</w:t>
            </w:r>
            <w:r w:rsidRPr="00A002D0">
              <w:rPr>
                <w:rFonts w:eastAsia="黑体"/>
                <w:color w:val="000000"/>
              </w:rPr>
              <w:t>心血管</w:t>
            </w:r>
            <w:r w:rsidRPr="00A002D0">
              <w:rPr>
                <w:rFonts w:eastAsia="黑体"/>
                <w:color w:val="000000"/>
              </w:rPr>
              <w:t xml:space="preserve"> OR </w:t>
            </w:r>
            <w:r w:rsidRPr="00A002D0">
              <w:rPr>
                <w:rFonts w:eastAsia="黑体"/>
                <w:color w:val="000000"/>
              </w:rPr>
              <w:t>循环系统</w:t>
            </w:r>
            <w:r w:rsidRPr="00A002D0">
              <w:rPr>
                <w:rFonts w:eastAsia="黑体"/>
                <w:color w:val="000000"/>
              </w:rPr>
              <w:t xml:space="preserve"> OR </w:t>
            </w:r>
            <w:r w:rsidRPr="00A002D0">
              <w:rPr>
                <w:rFonts w:eastAsia="黑体"/>
                <w:color w:val="000000"/>
              </w:rPr>
              <w:t>卒中</w:t>
            </w:r>
            <w:r w:rsidRPr="00A002D0">
              <w:rPr>
                <w:rFonts w:eastAsia="黑体"/>
                <w:color w:val="000000"/>
              </w:rPr>
              <w:t xml:space="preserve"> OR </w:t>
            </w:r>
            <w:r w:rsidRPr="00A002D0">
              <w:rPr>
                <w:rFonts w:eastAsia="黑体"/>
                <w:color w:val="000000"/>
              </w:rPr>
              <w:t>心肌梗死</w:t>
            </w:r>
            <w:r w:rsidRPr="00A002D0">
              <w:rPr>
                <w:rFonts w:eastAsia="黑体"/>
                <w:color w:val="000000"/>
              </w:rPr>
              <w:t xml:space="preserve"> OR </w:t>
            </w:r>
            <w:r w:rsidRPr="00A002D0">
              <w:rPr>
                <w:rFonts w:eastAsia="黑体"/>
                <w:color w:val="000000"/>
              </w:rPr>
              <w:t>冠脉综合征</w:t>
            </w:r>
            <w:r w:rsidRPr="00A002D0">
              <w:rPr>
                <w:rFonts w:eastAsia="黑体"/>
                <w:color w:val="000000"/>
              </w:rPr>
              <w:t xml:space="preserve"> OR </w:t>
            </w:r>
            <w:r w:rsidRPr="00A002D0">
              <w:rPr>
                <w:rFonts w:eastAsia="黑体"/>
                <w:color w:val="000000"/>
              </w:rPr>
              <w:t>缺血性心脏病</w:t>
            </w:r>
            <w:r w:rsidRPr="00A002D0">
              <w:rPr>
                <w:rFonts w:eastAsia="黑体"/>
                <w:color w:val="000000"/>
              </w:rPr>
              <w:t xml:space="preserve"> OR </w:t>
            </w:r>
            <w:r w:rsidRPr="00A002D0">
              <w:rPr>
                <w:rFonts w:eastAsia="黑体"/>
                <w:color w:val="000000"/>
              </w:rPr>
              <w:t>心力衰竭</w:t>
            </w:r>
            <w:r w:rsidRPr="00A002D0">
              <w:rPr>
                <w:rFonts w:eastAsia="黑体"/>
                <w:color w:val="000000"/>
              </w:rPr>
              <w:t xml:space="preserve"> OR </w:t>
            </w:r>
            <w:r w:rsidRPr="00A002D0">
              <w:rPr>
                <w:rFonts w:eastAsia="黑体"/>
                <w:color w:val="000000"/>
              </w:rPr>
              <w:t>血压</w:t>
            </w:r>
            <w:r w:rsidRPr="00A002D0">
              <w:rPr>
                <w:rFonts w:eastAsia="黑体"/>
                <w:color w:val="000000"/>
              </w:rPr>
              <w:t xml:space="preserve"> OR </w:t>
            </w:r>
            <w:r w:rsidRPr="00A002D0">
              <w:rPr>
                <w:rFonts w:eastAsia="黑体"/>
                <w:color w:val="000000"/>
              </w:rPr>
              <w:t>死亡</w:t>
            </w:r>
            <w:r w:rsidRPr="00A002D0">
              <w:rPr>
                <w:rFonts w:eastAsia="黑体"/>
                <w:color w:val="000000"/>
              </w:rPr>
              <w:t>) OR TKA=(</w:t>
            </w:r>
            <w:r w:rsidRPr="00A002D0">
              <w:rPr>
                <w:rFonts w:eastAsia="黑体"/>
                <w:color w:val="000000"/>
              </w:rPr>
              <w:t>心血管</w:t>
            </w:r>
            <w:r w:rsidRPr="00A002D0">
              <w:rPr>
                <w:rFonts w:eastAsia="黑体"/>
                <w:color w:val="000000"/>
              </w:rPr>
              <w:t xml:space="preserve"> OR </w:t>
            </w:r>
            <w:r w:rsidRPr="00A002D0">
              <w:rPr>
                <w:rFonts w:eastAsia="黑体"/>
                <w:color w:val="000000"/>
              </w:rPr>
              <w:t>循环系统</w:t>
            </w:r>
            <w:r w:rsidRPr="00A002D0">
              <w:rPr>
                <w:rFonts w:eastAsia="黑体"/>
                <w:color w:val="000000"/>
              </w:rPr>
              <w:t xml:space="preserve"> OR </w:t>
            </w:r>
            <w:r w:rsidRPr="00A002D0">
              <w:rPr>
                <w:rFonts w:eastAsia="黑体"/>
                <w:color w:val="000000"/>
              </w:rPr>
              <w:t>卒中</w:t>
            </w:r>
            <w:r w:rsidRPr="00A002D0">
              <w:rPr>
                <w:rFonts w:eastAsia="黑体"/>
                <w:color w:val="000000"/>
              </w:rPr>
              <w:t xml:space="preserve"> OR </w:t>
            </w:r>
            <w:r w:rsidRPr="00A002D0">
              <w:rPr>
                <w:rFonts w:eastAsia="黑体"/>
                <w:color w:val="000000"/>
              </w:rPr>
              <w:t>中风</w:t>
            </w:r>
            <w:r w:rsidRPr="00A002D0">
              <w:rPr>
                <w:rFonts w:eastAsia="黑体"/>
                <w:color w:val="000000"/>
              </w:rPr>
              <w:t xml:space="preserve"> OR </w:t>
            </w:r>
            <w:r w:rsidRPr="00A002D0">
              <w:rPr>
                <w:rFonts w:eastAsia="黑体"/>
                <w:color w:val="000000"/>
              </w:rPr>
              <w:t>心肌梗死</w:t>
            </w:r>
            <w:r w:rsidRPr="00A002D0">
              <w:rPr>
                <w:rFonts w:eastAsia="黑体"/>
                <w:color w:val="000000"/>
              </w:rPr>
              <w:t xml:space="preserve"> OR </w:t>
            </w:r>
            <w:r w:rsidRPr="00A002D0">
              <w:rPr>
                <w:rFonts w:eastAsia="黑体"/>
                <w:color w:val="000000"/>
              </w:rPr>
              <w:t>冠脉综合征</w:t>
            </w:r>
            <w:r w:rsidRPr="00A002D0">
              <w:rPr>
                <w:rFonts w:eastAsia="黑体"/>
                <w:color w:val="000000"/>
              </w:rPr>
              <w:t xml:space="preserve"> OR </w:t>
            </w:r>
            <w:r w:rsidRPr="00A002D0">
              <w:rPr>
                <w:rFonts w:eastAsia="黑体"/>
                <w:color w:val="000000"/>
              </w:rPr>
              <w:t>缺血性心脏病</w:t>
            </w:r>
            <w:r w:rsidRPr="00A002D0">
              <w:rPr>
                <w:rFonts w:eastAsia="黑体"/>
                <w:color w:val="000000"/>
              </w:rPr>
              <w:t xml:space="preserve"> OR </w:t>
            </w:r>
            <w:r w:rsidRPr="00A002D0">
              <w:rPr>
                <w:rFonts w:eastAsia="黑体"/>
                <w:color w:val="000000"/>
              </w:rPr>
              <w:t>心力衰竭</w:t>
            </w:r>
            <w:r w:rsidRPr="00A002D0">
              <w:rPr>
                <w:rFonts w:eastAsia="黑体"/>
                <w:color w:val="000000"/>
              </w:rPr>
              <w:t xml:space="preserve"> OR </w:t>
            </w:r>
            <w:r w:rsidRPr="00A002D0">
              <w:rPr>
                <w:rFonts w:eastAsia="黑体"/>
                <w:color w:val="000000"/>
              </w:rPr>
              <w:t>心衰</w:t>
            </w:r>
            <w:r w:rsidRPr="00A002D0">
              <w:rPr>
                <w:rFonts w:eastAsia="黑体"/>
                <w:color w:val="000000"/>
              </w:rPr>
              <w:t xml:space="preserve"> OR </w:t>
            </w:r>
            <w:r w:rsidRPr="00A002D0">
              <w:rPr>
                <w:rFonts w:eastAsia="黑体"/>
                <w:color w:val="000000"/>
              </w:rPr>
              <w:t>高血压</w:t>
            </w:r>
            <w:r w:rsidRPr="00A002D0">
              <w:rPr>
                <w:rFonts w:eastAsia="黑体"/>
                <w:color w:val="000000"/>
              </w:rPr>
              <w:t xml:space="preserve"> OR </w:t>
            </w:r>
            <w:r w:rsidRPr="00A002D0">
              <w:rPr>
                <w:rFonts w:eastAsia="黑体"/>
                <w:color w:val="000000"/>
              </w:rPr>
              <w:t>收缩压</w:t>
            </w:r>
            <w:r w:rsidRPr="00A002D0">
              <w:rPr>
                <w:rFonts w:eastAsia="黑体"/>
                <w:color w:val="000000"/>
              </w:rPr>
              <w:t xml:space="preserve"> OR </w:t>
            </w:r>
            <w:r w:rsidRPr="00A002D0">
              <w:rPr>
                <w:rFonts w:eastAsia="黑体"/>
                <w:color w:val="000000"/>
              </w:rPr>
              <w:t>舒张压</w:t>
            </w:r>
            <w:r w:rsidRPr="00A002D0">
              <w:rPr>
                <w:rFonts w:eastAsia="黑体"/>
                <w:color w:val="000000"/>
              </w:rPr>
              <w:t xml:space="preserve"> OR </w:t>
            </w:r>
            <w:r w:rsidRPr="00A002D0">
              <w:rPr>
                <w:rFonts w:eastAsia="黑体"/>
                <w:color w:val="000000"/>
              </w:rPr>
              <w:t>死亡</w:t>
            </w:r>
            <w:r w:rsidRPr="00A002D0">
              <w:rPr>
                <w:rFonts w:eastAsia="黑体"/>
                <w:color w:val="000000"/>
              </w:rPr>
              <w:t>)</w:t>
            </w:r>
          </w:p>
        </w:tc>
      </w:tr>
      <w:tr w:rsidR="00976084" w:rsidRPr="00A002D0" w14:paraId="73FF4BCB"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3E8C17AF" w14:textId="77777777" w:rsidR="00976084" w:rsidRPr="00A002D0" w:rsidRDefault="00976084" w:rsidP="001E0D6D">
            <w:pPr>
              <w:spacing w:line="360" w:lineRule="auto"/>
              <w:rPr>
                <w:rFonts w:eastAsia="黑体"/>
                <w:b w:val="0"/>
                <w:bCs w:val="0"/>
                <w:color w:val="0A0905"/>
              </w:rPr>
            </w:pPr>
            <w:r w:rsidRPr="00A002D0">
              <w:rPr>
                <w:rFonts w:eastAsia="黑体"/>
                <w:color w:val="0A0905"/>
              </w:rPr>
              <w:t>3</w:t>
            </w:r>
          </w:p>
        </w:tc>
        <w:tc>
          <w:tcPr>
            <w:tcW w:w="7370" w:type="dxa"/>
          </w:tcPr>
          <w:p w14:paraId="1F755CCF"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SU=(</w:t>
            </w:r>
            <w:r w:rsidRPr="00A002D0">
              <w:rPr>
                <w:rFonts w:eastAsia="黑体"/>
                <w:color w:val="000000"/>
              </w:rPr>
              <w:t>随机对照试验</w:t>
            </w:r>
            <w:r w:rsidRPr="00A002D0">
              <w:rPr>
                <w:rFonts w:eastAsia="黑体"/>
                <w:color w:val="000000"/>
              </w:rPr>
              <w:t xml:space="preserve"> OR </w:t>
            </w:r>
            <w:r w:rsidRPr="00A002D0">
              <w:rPr>
                <w:rFonts w:eastAsia="黑体"/>
                <w:color w:val="000000"/>
              </w:rPr>
              <w:t>临床试验</w:t>
            </w:r>
            <w:r w:rsidRPr="00A002D0">
              <w:rPr>
                <w:rFonts w:eastAsia="黑体"/>
                <w:color w:val="000000"/>
              </w:rPr>
              <w:t>) OR TKA=(</w:t>
            </w:r>
            <w:r w:rsidRPr="00A002D0">
              <w:rPr>
                <w:rFonts w:eastAsia="黑体"/>
                <w:color w:val="000000"/>
              </w:rPr>
              <w:t>随机</w:t>
            </w:r>
            <w:r w:rsidRPr="00A002D0">
              <w:rPr>
                <w:rFonts w:eastAsia="黑体"/>
                <w:color w:val="000000"/>
              </w:rPr>
              <w:t xml:space="preserve"> OR </w:t>
            </w:r>
            <w:r w:rsidRPr="00A002D0">
              <w:rPr>
                <w:rFonts w:eastAsia="黑体"/>
                <w:color w:val="000000"/>
              </w:rPr>
              <w:t>对照</w:t>
            </w:r>
            <w:r w:rsidRPr="00A002D0">
              <w:rPr>
                <w:rFonts w:eastAsia="黑体"/>
                <w:color w:val="000000"/>
              </w:rPr>
              <w:t xml:space="preserve"> OR RCT OR </w:t>
            </w:r>
            <w:r w:rsidRPr="00A002D0">
              <w:rPr>
                <w:rFonts w:eastAsia="黑体"/>
                <w:color w:val="000000"/>
              </w:rPr>
              <w:t>临床试验</w:t>
            </w:r>
            <w:r w:rsidRPr="00A002D0">
              <w:rPr>
                <w:rFonts w:eastAsia="黑体"/>
                <w:color w:val="000000"/>
              </w:rPr>
              <w:t>)</w:t>
            </w:r>
          </w:p>
        </w:tc>
      </w:tr>
      <w:tr w:rsidR="00976084" w:rsidRPr="00A002D0" w14:paraId="6F4CF630"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240B9406" w14:textId="77777777" w:rsidR="00976084" w:rsidRPr="00A002D0" w:rsidRDefault="00976084" w:rsidP="001E0D6D">
            <w:pPr>
              <w:spacing w:line="360" w:lineRule="auto"/>
              <w:rPr>
                <w:rFonts w:eastAsia="黑体"/>
                <w:b w:val="0"/>
                <w:bCs w:val="0"/>
                <w:color w:val="0A0905"/>
              </w:rPr>
            </w:pPr>
            <w:r w:rsidRPr="00A002D0">
              <w:rPr>
                <w:rFonts w:eastAsia="黑体"/>
                <w:color w:val="0A0905"/>
              </w:rPr>
              <w:t>4</w:t>
            </w:r>
          </w:p>
        </w:tc>
        <w:tc>
          <w:tcPr>
            <w:tcW w:w="7370" w:type="dxa"/>
          </w:tcPr>
          <w:p w14:paraId="6B3A6598"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#1 AND #2 AND #3</w:t>
            </w:r>
          </w:p>
        </w:tc>
      </w:tr>
    </w:tbl>
    <w:p w14:paraId="3C299A6A" w14:textId="77777777" w:rsidR="001862D8" w:rsidRPr="00A002D0" w:rsidRDefault="001862D8" w:rsidP="001E0D6D">
      <w:pPr>
        <w:spacing w:line="360" w:lineRule="auto"/>
        <w:rPr>
          <w:rFonts w:eastAsia="黑体"/>
        </w:rPr>
      </w:pPr>
    </w:p>
    <w:p w14:paraId="7C2D695F" w14:textId="77777777" w:rsidR="001862D8" w:rsidRPr="00A002D0" w:rsidRDefault="001862D8" w:rsidP="001862D8">
      <w:pPr>
        <w:spacing w:line="360" w:lineRule="auto"/>
        <w:rPr>
          <w:rFonts w:eastAsia="黑体"/>
        </w:rPr>
      </w:pPr>
      <w:r w:rsidRPr="00A002D0">
        <w:rPr>
          <w:rFonts w:eastAsia="黑体"/>
        </w:rPr>
        <w:t>Explanation of the Search Strategy</w:t>
      </w:r>
    </w:p>
    <w:p w14:paraId="5E26E3F2" w14:textId="5EA27931" w:rsidR="001862D8" w:rsidRPr="00A002D0" w:rsidRDefault="001862D8" w:rsidP="001862D8">
      <w:pPr>
        <w:spacing w:line="360" w:lineRule="auto"/>
        <w:rPr>
          <w:rFonts w:eastAsia="黑体"/>
        </w:rPr>
      </w:pPr>
      <w:r w:rsidRPr="00A002D0">
        <w:rPr>
          <w:rFonts w:eastAsia="黑体"/>
        </w:rPr>
        <w:t>The search strategy was designed to systematically retrieve relevant studies from the China National Knowledge Infrastructure (CNKI) database. The search terms and Boolean operators were constructed as follows:</w:t>
      </w:r>
    </w:p>
    <w:p w14:paraId="1503B4D3" w14:textId="77777777" w:rsidR="001862D8" w:rsidRPr="00A002D0" w:rsidRDefault="001862D8" w:rsidP="001862D8">
      <w:pPr>
        <w:spacing w:line="360" w:lineRule="auto"/>
        <w:rPr>
          <w:rFonts w:eastAsia="黑体"/>
        </w:rPr>
      </w:pPr>
      <w:r w:rsidRPr="00A002D0">
        <w:rPr>
          <w:rFonts w:eastAsia="黑体"/>
          <w:b/>
          <w:bCs/>
        </w:rPr>
        <w:t xml:space="preserve">Salt-related terms (#1): </w:t>
      </w:r>
      <w:r w:rsidRPr="00A002D0">
        <w:rPr>
          <w:rFonts w:eastAsia="黑体"/>
        </w:rPr>
        <w:t>This set includes terms related to salt (e.g., "salt", "substitute salt", "low-sodium salt", "health salt", etc.) to capture all studies involving dietary salt and its alternatives. The search also included variations of terms for substitute salts, reflecting a focus on alternative salts and their health implications.</w:t>
      </w:r>
    </w:p>
    <w:p w14:paraId="4A3CCA6F" w14:textId="77777777" w:rsidR="001862D8" w:rsidRPr="00A002D0" w:rsidRDefault="001862D8" w:rsidP="001862D8">
      <w:pPr>
        <w:spacing w:line="360" w:lineRule="auto"/>
        <w:rPr>
          <w:rFonts w:eastAsia="黑体"/>
        </w:rPr>
      </w:pPr>
      <w:r w:rsidRPr="00A002D0">
        <w:rPr>
          <w:rFonts w:eastAsia="黑体"/>
          <w:b/>
          <w:bCs/>
        </w:rPr>
        <w:t>Cardiovascular health terms (#2):</w:t>
      </w:r>
      <w:r w:rsidRPr="00A002D0">
        <w:rPr>
          <w:rFonts w:eastAsia="黑体"/>
        </w:rPr>
        <w:t xml:space="preserve"> This search set incorporates terms related to cardiovascular conditions (e.g., "cardiovascular system", "stroke", "myocardial infarction", "coronary syndrome", etc.), capturing studies discussing the impact of salt on cardiovascular health outcomes. Additional terms such as "hypertension", "blood pressure", and "death" were included to broaden the scope.</w:t>
      </w:r>
    </w:p>
    <w:p w14:paraId="192EDE9E" w14:textId="77777777" w:rsidR="001862D8" w:rsidRPr="00A002D0" w:rsidRDefault="001862D8" w:rsidP="001862D8">
      <w:pPr>
        <w:spacing w:line="360" w:lineRule="auto"/>
        <w:rPr>
          <w:rFonts w:eastAsia="黑体"/>
        </w:rPr>
      </w:pPr>
      <w:r w:rsidRPr="00A002D0">
        <w:rPr>
          <w:rFonts w:eastAsia="黑体"/>
          <w:b/>
          <w:bCs/>
        </w:rPr>
        <w:lastRenderedPageBreak/>
        <w:t>Clinical trial terms (#3):</w:t>
      </w:r>
      <w:r w:rsidRPr="00A002D0">
        <w:rPr>
          <w:rFonts w:eastAsia="黑体"/>
        </w:rPr>
        <w:t xml:space="preserve"> This set focuses on clinical trials, including terms such as "randomized controlled trial", "RCT", and their synonyms, ensuring the retrieval of evidence from rigorous experimental designs.</w:t>
      </w:r>
    </w:p>
    <w:p w14:paraId="0EDA6005" w14:textId="361F0228" w:rsidR="001862D8" w:rsidRDefault="001862D8" w:rsidP="001862D8">
      <w:pPr>
        <w:spacing w:line="360" w:lineRule="auto"/>
        <w:rPr>
          <w:rFonts w:eastAsia="黑体"/>
        </w:rPr>
      </w:pPr>
      <w:r w:rsidRPr="00A002D0">
        <w:rPr>
          <w:rFonts w:eastAsia="黑体"/>
          <w:b/>
          <w:bCs/>
        </w:rPr>
        <w:t>Combined search (#4):</w:t>
      </w:r>
      <w:r w:rsidRPr="00A002D0">
        <w:rPr>
          <w:rFonts w:eastAsia="黑体"/>
        </w:rPr>
        <w:t xml:space="preserve"> The final search combines the three sets (#1 AND #2 AND #3) using Boolean operators, ensuring that the results are restricted to studies at the intersection of salt-related topics, cardiovascular outcomes, and clinical trials.</w:t>
      </w:r>
    </w:p>
    <w:p w14:paraId="64F8DEDE" w14:textId="23159AA5" w:rsidR="00976084" w:rsidRPr="00A002D0" w:rsidRDefault="00976084" w:rsidP="001E0D6D">
      <w:pPr>
        <w:spacing w:line="360" w:lineRule="auto"/>
        <w:rPr>
          <w:rFonts w:eastAsia="黑体"/>
        </w:rPr>
      </w:pPr>
      <w:r w:rsidRPr="00A002D0">
        <w:rPr>
          <w:rFonts w:eastAsia="黑体"/>
        </w:rPr>
        <w:br w:type="page"/>
      </w:r>
    </w:p>
    <w:p w14:paraId="596D89F5" w14:textId="1DF3B99C" w:rsidR="00976084" w:rsidRPr="00A002D0" w:rsidRDefault="00976084" w:rsidP="001E0D6D">
      <w:pPr>
        <w:pStyle w:val="3"/>
        <w:spacing w:line="360" w:lineRule="auto"/>
        <w:rPr>
          <w:rFonts w:ascii="Times New Roman" w:eastAsia="黑体" w:hAnsi="Times New Roman" w:cs="Times New Roman"/>
          <w:sz w:val="24"/>
          <w:szCs w:val="24"/>
        </w:rPr>
      </w:pPr>
      <w:bookmarkStart w:id="9" w:name="_Toc211461913"/>
      <w:r w:rsidRPr="00A002D0">
        <w:rPr>
          <w:rFonts w:ascii="Times New Roman" w:eastAsia="黑体" w:hAnsi="Times New Roman" w:cs="Times New Roman"/>
          <w:sz w:val="24"/>
          <w:szCs w:val="24"/>
        </w:rPr>
        <w:lastRenderedPageBreak/>
        <w:t>Wanfang Database</w:t>
      </w:r>
      <w:bookmarkEnd w:id="9"/>
    </w:p>
    <w:tbl>
      <w:tblPr>
        <w:tblStyle w:val="11"/>
        <w:tblW w:w="0" w:type="auto"/>
        <w:tblLook w:val="04A0" w:firstRow="1" w:lastRow="0" w:firstColumn="1" w:lastColumn="0" w:noHBand="0" w:noVBand="1"/>
      </w:tblPr>
      <w:tblGrid>
        <w:gridCol w:w="567"/>
        <w:gridCol w:w="7370"/>
      </w:tblGrid>
      <w:tr w:rsidR="00976084" w:rsidRPr="00A002D0" w14:paraId="53A6058B" w14:textId="77777777" w:rsidTr="00976084">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5FE47A0F" w14:textId="77777777" w:rsidR="00976084" w:rsidRPr="00A002D0" w:rsidRDefault="00976084" w:rsidP="001E0D6D">
            <w:pPr>
              <w:spacing w:line="360" w:lineRule="auto"/>
              <w:rPr>
                <w:rFonts w:eastAsia="黑体"/>
              </w:rPr>
            </w:pPr>
            <w:r w:rsidRPr="00A002D0">
              <w:rPr>
                <w:rFonts w:eastAsia="黑体"/>
                <w:color w:val="0A0905"/>
              </w:rPr>
              <w:t>#</w:t>
            </w:r>
          </w:p>
        </w:tc>
        <w:tc>
          <w:tcPr>
            <w:tcW w:w="7370" w:type="dxa"/>
            <w:hideMark/>
          </w:tcPr>
          <w:p w14:paraId="5B2B752D" w14:textId="77777777" w:rsidR="00976084" w:rsidRPr="00A002D0" w:rsidRDefault="00976084" w:rsidP="001E0D6D">
            <w:pPr>
              <w:spacing w:line="360" w:lineRule="auto"/>
              <w:cnfStyle w:val="100000000000" w:firstRow="1" w:lastRow="0" w:firstColumn="0" w:lastColumn="0" w:oddVBand="0" w:evenVBand="0" w:oddHBand="0" w:evenHBand="0" w:firstRowFirstColumn="0" w:firstRowLastColumn="0" w:lastRowFirstColumn="0" w:lastRowLastColumn="0"/>
              <w:rPr>
                <w:rFonts w:eastAsia="黑体"/>
              </w:rPr>
            </w:pPr>
            <w:r w:rsidRPr="00A002D0">
              <w:rPr>
                <w:rFonts w:eastAsia="黑体"/>
                <w:color w:val="000000"/>
              </w:rPr>
              <w:t>Searches</w:t>
            </w:r>
          </w:p>
        </w:tc>
      </w:tr>
      <w:tr w:rsidR="00976084" w:rsidRPr="00A002D0" w14:paraId="0661B6DD"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hideMark/>
          </w:tcPr>
          <w:p w14:paraId="232F7ED0" w14:textId="77777777" w:rsidR="00976084" w:rsidRPr="00A002D0" w:rsidRDefault="00976084" w:rsidP="001E0D6D">
            <w:pPr>
              <w:spacing w:line="360" w:lineRule="auto"/>
              <w:rPr>
                <w:rFonts w:eastAsia="黑体"/>
                <w:b w:val="0"/>
                <w:bCs w:val="0"/>
                <w:color w:val="0A0905"/>
              </w:rPr>
            </w:pPr>
            <w:r w:rsidRPr="00A002D0">
              <w:rPr>
                <w:rFonts w:eastAsia="黑体"/>
                <w:color w:val="0A0905"/>
              </w:rPr>
              <w:t>1</w:t>
            </w:r>
          </w:p>
        </w:tc>
        <w:tc>
          <w:tcPr>
            <w:tcW w:w="7370" w:type="dxa"/>
          </w:tcPr>
          <w:p w14:paraId="7020B8D1"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主题</w:t>
            </w:r>
            <w:r w:rsidRPr="00A002D0">
              <w:rPr>
                <w:rFonts w:eastAsia="黑体"/>
                <w:color w:val="000000"/>
              </w:rPr>
              <w:t>:(</w:t>
            </w:r>
            <w:r w:rsidRPr="00A002D0">
              <w:rPr>
                <w:rFonts w:eastAsia="黑体"/>
                <w:color w:val="000000"/>
              </w:rPr>
              <w:t>盐</w:t>
            </w:r>
            <w:r w:rsidRPr="00A002D0">
              <w:rPr>
                <w:rFonts w:eastAsia="黑体"/>
                <w:color w:val="000000"/>
              </w:rPr>
              <w:t xml:space="preserve">) OR </w:t>
            </w:r>
            <w:r w:rsidRPr="00A002D0">
              <w:rPr>
                <w:rFonts w:eastAsia="黑体"/>
                <w:color w:val="000000"/>
              </w:rPr>
              <w:t>题名或关键词</w:t>
            </w:r>
            <w:r w:rsidRPr="00A002D0">
              <w:rPr>
                <w:rFonts w:eastAsia="黑体"/>
                <w:color w:val="000000"/>
              </w:rPr>
              <w:t>:(</w:t>
            </w:r>
            <w:r w:rsidRPr="00A002D0">
              <w:rPr>
                <w:rFonts w:eastAsia="黑体"/>
                <w:color w:val="000000"/>
              </w:rPr>
              <w:t>代盐</w:t>
            </w:r>
            <w:r w:rsidRPr="00A002D0">
              <w:rPr>
                <w:rFonts w:eastAsia="黑体"/>
                <w:color w:val="000000"/>
              </w:rPr>
              <w:t xml:space="preserve"> OR </w:t>
            </w:r>
            <w:r w:rsidRPr="00A002D0">
              <w:rPr>
                <w:rFonts w:eastAsia="黑体"/>
                <w:color w:val="000000"/>
              </w:rPr>
              <w:t>代替盐</w:t>
            </w:r>
            <w:r w:rsidRPr="00A002D0">
              <w:rPr>
                <w:rFonts w:eastAsia="黑体"/>
                <w:color w:val="000000"/>
              </w:rPr>
              <w:t xml:space="preserve"> OR </w:t>
            </w:r>
            <w:r w:rsidRPr="00A002D0">
              <w:rPr>
                <w:rFonts w:eastAsia="黑体"/>
                <w:color w:val="000000"/>
              </w:rPr>
              <w:t>替代盐</w:t>
            </w:r>
            <w:r w:rsidRPr="00A002D0">
              <w:rPr>
                <w:rFonts w:eastAsia="黑体"/>
                <w:color w:val="000000"/>
              </w:rPr>
              <w:t xml:space="preserve"> OR </w:t>
            </w:r>
            <w:r w:rsidRPr="00A002D0">
              <w:rPr>
                <w:rFonts w:eastAsia="黑体"/>
                <w:color w:val="000000"/>
              </w:rPr>
              <w:t>富钾低钠盐</w:t>
            </w:r>
            <w:r w:rsidRPr="00A002D0">
              <w:rPr>
                <w:rFonts w:eastAsia="黑体"/>
                <w:color w:val="000000"/>
              </w:rPr>
              <w:t xml:space="preserve"> OR </w:t>
            </w:r>
            <w:r w:rsidRPr="00A002D0">
              <w:rPr>
                <w:rFonts w:eastAsia="黑体"/>
                <w:color w:val="000000"/>
              </w:rPr>
              <w:t>富钾盐</w:t>
            </w:r>
            <w:r w:rsidRPr="00A002D0">
              <w:rPr>
                <w:rFonts w:eastAsia="黑体"/>
                <w:color w:val="000000"/>
              </w:rPr>
              <w:t xml:space="preserve"> OR </w:t>
            </w:r>
            <w:r w:rsidRPr="00A002D0">
              <w:rPr>
                <w:rFonts w:eastAsia="黑体"/>
                <w:color w:val="000000"/>
              </w:rPr>
              <w:t>低钠盐</w:t>
            </w:r>
            <w:r w:rsidRPr="00A002D0">
              <w:rPr>
                <w:rFonts w:eastAsia="黑体"/>
                <w:color w:val="000000"/>
              </w:rPr>
              <w:t xml:space="preserve"> OR </w:t>
            </w:r>
            <w:r w:rsidRPr="00A002D0">
              <w:rPr>
                <w:rFonts w:eastAsia="黑体"/>
                <w:color w:val="000000"/>
              </w:rPr>
              <w:t>健康盐</w:t>
            </w:r>
            <w:r w:rsidRPr="00A002D0">
              <w:rPr>
                <w:rFonts w:eastAsia="黑体"/>
                <w:color w:val="000000"/>
              </w:rPr>
              <w:t>)</w:t>
            </w:r>
          </w:p>
        </w:tc>
      </w:tr>
      <w:tr w:rsidR="00976084" w:rsidRPr="00A002D0" w14:paraId="48B64EDF"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6DB0FA53" w14:textId="77777777" w:rsidR="00976084" w:rsidRPr="00A002D0" w:rsidRDefault="00976084" w:rsidP="001E0D6D">
            <w:pPr>
              <w:spacing w:line="360" w:lineRule="auto"/>
              <w:rPr>
                <w:rFonts w:eastAsia="黑体"/>
                <w:b w:val="0"/>
                <w:bCs w:val="0"/>
                <w:color w:val="0A0905"/>
              </w:rPr>
            </w:pPr>
            <w:r w:rsidRPr="00A002D0">
              <w:rPr>
                <w:rFonts w:eastAsia="黑体"/>
                <w:color w:val="0A0905"/>
              </w:rPr>
              <w:t>2</w:t>
            </w:r>
          </w:p>
        </w:tc>
        <w:tc>
          <w:tcPr>
            <w:tcW w:w="7370" w:type="dxa"/>
          </w:tcPr>
          <w:p w14:paraId="39802B47"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主题</w:t>
            </w:r>
            <w:r w:rsidRPr="00A002D0">
              <w:rPr>
                <w:rFonts w:eastAsia="黑体"/>
                <w:color w:val="000000"/>
              </w:rPr>
              <w:t>:(</w:t>
            </w:r>
            <w:r w:rsidRPr="00A002D0">
              <w:rPr>
                <w:rFonts w:eastAsia="黑体"/>
                <w:color w:val="000000"/>
              </w:rPr>
              <w:t>心血管</w:t>
            </w:r>
            <w:r w:rsidRPr="00A002D0">
              <w:rPr>
                <w:rFonts w:eastAsia="黑体"/>
                <w:color w:val="000000"/>
              </w:rPr>
              <w:t xml:space="preserve"> OR </w:t>
            </w:r>
            <w:r w:rsidRPr="00A002D0">
              <w:rPr>
                <w:rFonts w:eastAsia="黑体"/>
                <w:color w:val="000000"/>
              </w:rPr>
              <w:t>循环系统</w:t>
            </w:r>
            <w:r w:rsidRPr="00A002D0">
              <w:rPr>
                <w:rFonts w:eastAsia="黑体"/>
                <w:color w:val="000000"/>
              </w:rPr>
              <w:t xml:space="preserve"> OR </w:t>
            </w:r>
            <w:r w:rsidRPr="00A002D0">
              <w:rPr>
                <w:rFonts w:eastAsia="黑体"/>
                <w:color w:val="000000"/>
              </w:rPr>
              <w:t>卒中</w:t>
            </w:r>
            <w:r w:rsidRPr="00A002D0">
              <w:rPr>
                <w:rFonts w:eastAsia="黑体"/>
                <w:color w:val="000000"/>
              </w:rPr>
              <w:t xml:space="preserve"> OR </w:t>
            </w:r>
            <w:r w:rsidRPr="00A002D0">
              <w:rPr>
                <w:rFonts w:eastAsia="黑体"/>
                <w:color w:val="000000"/>
              </w:rPr>
              <w:t>心肌梗死</w:t>
            </w:r>
            <w:r w:rsidRPr="00A002D0">
              <w:rPr>
                <w:rFonts w:eastAsia="黑体"/>
                <w:color w:val="000000"/>
              </w:rPr>
              <w:t xml:space="preserve"> OR </w:t>
            </w:r>
            <w:r w:rsidRPr="00A002D0">
              <w:rPr>
                <w:rFonts w:eastAsia="黑体"/>
                <w:color w:val="000000"/>
              </w:rPr>
              <w:t>冠脉综合征</w:t>
            </w:r>
            <w:r w:rsidRPr="00A002D0">
              <w:rPr>
                <w:rFonts w:eastAsia="黑体"/>
                <w:color w:val="000000"/>
              </w:rPr>
              <w:t xml:space="preserve"> OR </w:t>
            </w:r>
            <w:r w:rsidRPr="00A002D0">
              <w:rPr>
                <w:rFonts w:eastAsia="黑体"/>
                <w:color w:val="000000"/>
              </w:rPr>
              <w:t>缺血性心脏病</w:t>
            </w:r>
            <w:r w:rsidRPr="00A002D0">
              <w:rPr>
                <w:rFonts w:eastAsia="黑体"/>
                <w:color w:val="000000"/>
              </w:rPr>
              <w:t xml:space="preserve"> OR </w:t>
            </w:r>
            <w:r w:rsidRPr="00A002D0">
              <w:rPr>
                <w:rFonts w:eastAsia="黑体"/>
                <w:color w:val="000000"/>
              </w:rPr>
              <w:t>心力衰竭</w:t>
            </w:r>
            <w:r w:rsidRPr="00A002D0">
              <w:rPr>
                <w:rFonts w:eastAsia="黑体"/>
                <w:color w:val="000000"/>
              </w:rPr>
              <w:t xml:space="preserve"> OR </w:t>
            </w:r>
            <w:r w:rsidRPr="00A002D0">
              <w:rPr>
                <w:rFonts w:eastAsia="黑体"/>
                <w:color w:val="000000"/>
              </w:rPr>
              <w:t>血压</w:t>
            </w:r>
            <w:r w:rsidRPr="00A002D0">
              <w:rPr>
                <w:rFonts w:eastAsia="黑体"/>
                <w:color w:val="000000"/>
              </w:rPr>
              <w:t xml:space="preserve"> OR </w:t>
            </w:r>
            <w:r w:rsidRPr="00A002D0">
              <w:rPr>
                <w:rFonts w:eastAsia="黑体"/>
                <w:color w:val="000000"/>
              </w:rPr>
              <w:t>死亡</w:t>
            </w:r>
            <w:r w:rsidRPr="00A002D0">
              <w:rPr>
                <w:rFonts w:eastAsia="黑体"/>
                <w:color w:val="000000"/>
              </w:rPr>
              <w:t xml:space="preserve">) OR </w:t>
            </w:r>
            <w:r w:rsidRPr="00A002D0">
              <w:rPr>
                <w:rFonts w:eastAsia="黑体"/>
                <w:color w:val="000000"/>
              </w:rPr>
              <w:t>题名或关键词</w:t>
            </w:r>
            <w:r w:rsidRPr="00A002D0">
              <w:rPr>
                <w:rFonts w:eastAsia="黑体"/>
                <w:color w:val="000000"/>
              </w:rPr>
              <w:t>:(</w:t>
            </w:r>
            <w:r w:rsidRPr="00A002D0">
              <w:rPr>
                <w:rFonts w:eastAsia="黑体"/>
                <w:color w:val="000000"/>
              </w:rPr>
              <w:t>心血管</w:t>
            </w:r>
            <w:r w:rsidRPr="00A002D0">
              <w:rPr>
                <w:rFonts w:eastAsia="黑体"/>
                <w:color w:val="000000"/>
              </w:rPr>
              <w:t xml:space="preserve"> OR </w:t>
            </w:r>
            <w:r w:rsidRPr="00A002D0">
              <w:rPr>
                <w:rFonts w:eastAsia="黑体"/>
                <w:color w:val="000000"/>
              </w:rPr>
              <w:t>循环系统</w:t>
            </w:r>
            <w:r w:rsidRPr="00A002D0">
              <w:rPr>
                <w:rFonts w:eastAsia="黑体"/>
                <w:color w:val="000000"/>
              </w:rPr>
              <w:t xml:space="preserve"> OR </w:t>
            </w:r>
            <w:r w:rsidRPr="00A002D0">
              <w:rPr>
                <w:rFonts w:eastAsia="黑体"/>
                <w:color w:val="000000"/>
              </w:rPr>
              <w:t>卒中</w:t>
            </w:r>
            <w:r w:rsidRPr="00A002D0">
              <w:rPr>
                <w:rFonts w:eastAsia="黑体"/>
                <w:color w:val="000000"/>
              </w:rPr>
              <w:t xml:space="preserve"> OR </w:t>
            </w:r>
            <w:r w:rsidRPr="00A002D0">
              <w:rPr>
                <w:rFonts w:eastAsia="黑体"/>
                <w:color w:val="000000"/>
              </w:rPr>
              <w:t>中风</w:t>
            </w:r>
            <w:r w:rsidRPr="00A002D0">
              <w:rPr>
                <w:rFonts w:eastAsia="黑体"/>
                <w:color w:val="000000"/>
              </w:rPr>
              <w:t xml:space="preserve"> OR </w:t>
            </w:r>
            <w:r w:rsidRPr="00A002D0">
              <w:rPr>
                <w:rFonts w:eastAsia="黑体"/>
                <w:color w:val="000000"/>
              </w:rPr>
              <w:t>心肌梗死</w:t>
            </w:r>
            <w:r w:rsidRPr="00A002D0">
              <w:rPr>
                <w:rFonts w:eastAsia="黑体"/>
                <w:color w:val="000000"/>
              </w:rPr>
              <w:t xml:space="preserve"> OR </w:t>
            </w:r>
            <w:r w:rsidRPr="00A002D0">
              <w:rPr>
                <w:rFonts w:eastAsia="黑体"/>
                <w:color w:val="000000"/>
              </w:rPr>
              <w:t>冠脉综合征</w:t>
            </w:r>
            <w:r w:rsidRPr="00A002D0">
              <w:rPr>
                <w:rFonts w:eastAsia="黑体"/>
                <w:color w:val="000000"/>
              </w:rPr>
              <w:t xml:space="preserve"> OR </w:t>
            </w:r>
            <w:r w:rsidRPr="00A002D0">
              <w:rPr>
                <w:rFonts w:eastAsia="黑体"/>
                <w:color w:val="000000"/>
              </w:rPr>
              <w:t>缺血性心脏病</w:t>
            </w:r>
            <w:r w:rsidRPr="00A002D0">
              <w:rPr>
                <w:rFonts w:eastAsia="黑体"/>
                <w:color w:val="000000"/>
              </w:rPr>
              <w:t xml:space="preserve"> OR </w:t>
            </w:r>
            <w:r w:rsidRPr="00A002D0">
              <w:rPr>
                <w:rFonts w:eastAsia="黑体"/>
                <w:color w:val="000000"/>
              </w:rPr>
              <w:t>心力衰竭</w:t>
            </w:r>
            <w:r w:rsidRPr="00A002D0">
              <w:rPr>
                <w:rFonts w:eastAsia="黑体"/>
                <w:color w:val="000000"/>
              </w:rPr>
              <w:t xml:space="preserve"> OR </w:t>
            </w:r>
            <w:r w:rsidRPr="00A002D0">
              <w:rPr>
                <w:rFonts w:eastAsia="黑体"/>
                <w:color w:val="000000"/>
              </w:rPr>
              <w:t>心衰</w:t>
            </w:r>
            <w:r w:rsidRPr="00A002D0">
              <w:rPr>
                <w:rFonts w:eastAsia="黑体"/>
                <w:color w:val="000000"/>
              </w:rPr>
              <w:t xml:space="preserve"> OR </w:t>
            </w:r>
            <w:r w:rsidRPr="00A002D0">
              <w:rPr>
                <w:rFonts w:eastAsia="黑体"/>
                <w:color w:val="000000"/>
              </w:rPr>
              <w:t>高血压</w:t>
            </w:r>
            <w:r w:rsidRPr="00A002D0">
              <w:rPr>
                <w:rFonts w:eastAsia="黑体"/>
                <w:color w:val="000000"/>
              </w:rPr>
              <w:t xml:space="preserve"> OR </w:t>
            </w:r>
            <w:r w:rsidRPr="00A002D0">
              <w:rPr>
                <w:rFonts w:eastAsia="黑体"/>
                <w:color w:val="000000"/>
              </w:rPr>
              <w:t>收缩压</w:t>
            </w:r>
            <w:r w:rsidRPr="00A002D0">
              <w:rPr>
                <w:rFonts w:eastAsia="黑体"/>
                <w:color w:val="000000"/>
              </w:rPr>
              <w:t xml:space="preserve"> OR </w:t>
            </w:r>
            <w:r w:rsidRPr="00A002D0">
              <w:rPr>
                <w:rFonts w:eastAsia="黑体"/>
                <w:color w:val="000000"/>
              </w:rPr>
              <w:t>舒张压</w:t>
            </w:r>
            <w:r w:rsidRPr="00A002D0">
              <w:rPr>
                <w:rFonts w:eastAsia="黑体"/>
                <w:color w:val="000000"/>
              </w:rPr>
              <w:t xml:space="preserve"> OR </w:t>
            </w:r>
            <w:r w:rsidRPr="00A002D0">
              <w:rPr>
                <w:rFonts w:eastAsia="黑体"/>
                <w:color w:val="000000"/>
              </w:rPr>
              <w:t>死亡</w:t>
            </w:r>
            <w:r w:rsidRPr="00A002D0">
              <w:rPr>
                <w:rFonts w:eastAsia="黑体"/>
                <w:color w:val="000000"/>
              </w:rPr>
              <w:t>)</w:t>
            </w:r>
          </w:p>
        </w:tc>
      </w:tr>
      <w:tr w:rsidR="00976084" w:rsidRPr="00A002D0" w14:paraId="2FF98678"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14FC8AD2" w14:textId="77777777" w:rsidR="00976084" w:rsidRPr="00A002D0" w:rsidRDefault="00976084" w:rsidP="001E0D6D">
            <w:pPr>
              <w:spacing w:line="360" w:lineRule="auto"/>
              <w:rPr>
                <w:rFonts w:eastAsia="黑体"/>
                <w:b w:val="0"/>
                <w:bCs w:val="0"/>
                <w:color w:val="0A0905"/>
              </w:rPr>
            </w:pPr>
            <w:r w:rsidRPr="00A002D0">
              <w:rPr>
                <w:rFonts w:eastAsia="黑体"/>
                <w:color w:val="0A0905"/>
              </w:rPr>
              <w:t>3</w:t>
            </w:r>
          </w:p>
        </w:tc>
        <w:tc>
          <w:tcPr>
            <w:tcW w:w="7370" w:type="dxa"/>
          </w:tcPr>
          <w:p w14:paraId="37664A8B"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主题</w:t>
            </w:r>
            <w:r w:rsidRPr="00A002D0">
              <w:rPr>
                <w:rFonts w:eastAsia="黑体"/>
                <w:color w:val="000000"/>
              </w:rPr>
              <w:t>:(</w:t>
            </w:r>
            <w:r w:rsidRPr="00A002D0">
              <w:rPr>
                <w:rFonts w:eastAsia="黑体"/>
                <w:color w:val="000000"/>
              </w:rPr>
              <w:t>随机对照试验</w:t>
            </w:r>
            <w:r w:rsidRPr="00A002D0">
              <w:rPr>
                <w:rFonts w:eastAsia="黑体"/>
                <w:color w:val="000000"/>
              </w:rPr>
              <w:t xml:space="preserve"> OR </w:t>
            </w:r>
            <w:r w:rsidRPr="00A002D0">
              <w:rPr>
                <w:rFonts w:eastAsia="黑体"/>
                <w:color w:val="000000"/>
              </w:rPr>
              <w:t>临床试验</w:t>
            </w:r>
            <w:r w:rsidRPr="00A002D0">
              <w:rPr>
                <w:rFonts w:eastAsia="黑体"/>
                <w:color w:val="000000"/>
              </w:rPr>
              <w:t xml:space="preserve">) OR </w:t>
            </w:r>
            <w:r w:rsidRPr="00A002D0">
              <w:rPr>
                <w:rFonts w:eastAsia="黑体"/>
                <w:color w:val="000000"/>
              </w:rPr>
              <w:t>题名或关键词</w:t>
            </w:r>
            <w:r w:rsidRPr="00A002D0">
              <w:rPr>
                <w:rFonts w:eastAsia="黑体"/>
                <w:color w:val="000000"/>
              </w:rPr>
              <w:t>:(</w:t>
            </w:r>
            <w:r w:rsidRPr="00A002D0">
              <w:rPr>
                <w:rFonts w:eastAsia="黑体"/>
                <w:color w:val="000000"/>
              </w:rPr>
              <w:t>随机</w:t>
            </w:r>
            <w:r w:rsidRPr="00A002D0">
              <w:rPr>
                <w:rFonts w:eastAsia="黑体"/>
                <w:color w:val="000000"/>
              </w:rPr>
              <w:t xml:space="preserve"> OR </w:t>
            </w:r>
            <w:r w:rsidRPr="00A002D0">
              <w:rPr>
                <w:rFonts w:eastAsia="黑体"/>
                <w:color w:val="000000"/>
              </w:rPr>
              <w:t>对照</w:t>
            </w:r>
            <w:r w:rsidRPr="00A002D0">
              <w:rPr>
                <w:rFonts w:eastAsia="黑体"/>
                <w:color w:val="000000"/>
              </w:rPr>
              <w:t xml:space="preserve"> OR RCT OR </w:t>
            </w:r>
            <w:r w:rsidRPr="00A002D0">
              <w:rPr>
                <w:rFonts w:eastAsia="黑体"/>
                <w:color w:val="000000"/>
              </w:rPr>
              <w:t>临床试验</w:t>
            </w:r>
            <w:r w:rsidRPr="00A002D0">
              <w:rPr>
                <w:rFonts w:eastAsia="黑体"/>
                <w:color w:val="000000"/>
              </w:rPr>
              <w:t>) OR</w:t>
            </w:r>
            <w:r w:rsidRPr="00A002D0">
              <w:rPr>
                <w:rFonts w:eastAsia="黑体"/>
                <w:color w:val="000000"/>
              </w:rPr>
              <w:t>摘要</w:t>
            </w:r>
            <w:r w:rsidRPr="00A002D0">
              <w:rPr>
                <w:rFonts w:eastAsia="黑体"/>
                <w:color w:val="000000"/>
              </w:rPr>
              <w:t>:(</w:t>
            </w:r>
            <w:r w:rsidRPr="00A002D0">
              <w:rPr>
                <w:rFonts w:eastAsia="黑体"/>
                <w:color w:val="000000"/>
              </w:rPr>
              <w:t>随机</w:t>
            </w:r>
            <w:r w:rsidRPr="00A002D0">
              <w:rPr>
                <w:rFonts w:eastAsia="黑体"/>
                <w:color w:val="000000"/>
              </w:rPr>
              <w:t xml:space="preserve"> OR </w:t>
            </w:r>
            <w:r w:rsidRPr="00A002D0">
              <w:rPr>
                <w:rFonts w:eastAsia="黑体"/>
                <w:color w:val="000000"/>
              </w:rPr>
              <w:t>对照</w:t>
            </w:r>
            <w:r w:rsidRPr="00A002D0">
              <w:rPr>
                <w:rFonts w:eastAsia="黑体"/>
                <w:color w:val="000000"/>
              </w:rPr>
              <w:t xml:space="preserve"> OR RCT OR </w:t>
            </w:r>
            <w:r w:rsidRPr="00A002D0">
              <w:rPr>
                <w:rFonts w:eastAsia="黑体"/>
                <w:color w:val="000000"/>
              </w:rPr>
              <w:t>临床试验</w:t>
            </w:r>
            <w:r w:rsidRPr="00A002D0">
              <w:rPr>
                <w:rFonts w:eastAsia="黑体"/>
                <w:color w:val="000000"/>
              </w:rPr>
              <w:t>)</w:t>
            </w:r>
          </w:p>
        </w:tc>
      </w:tr>
      <w:tr w:rsidR="00976084" w:rsidRPr="00A002D0" w14:paraId="1E5799BF" w14:textId="77777777" w:rsidTr="00976084">
        <w:trPr>
          <w:trHeight w:val="165"/>
        </w:trPr>
        <w:tc>
          <w:tcPr>
            <w:cnfStyle w:val="001000000000" w:firstRow="0" w:lastRow="0" w:firstColumn="1" w:lastColumn="0" w:oddVBand="0" w:evenVBand="0" w:oddHBand="0" w:evenHBand="0" w:firstRowFirstColumn="0" w:firstRowLastColumn="0" w:lastRowFirstColumn="0" w:lastRowLastColumn="0"/>
            <w:tcW w:w="567" w:type="dxa"/>
          </w:tcPr>
          <w:p w14:paraId="12A867B6" w14:textId="77777777" w:rsidR="00976084" w:rsidRPr="00A002D0" w:rsidRDefault="00976084" w:rsidP="001E0D6D">
            <w:pPr>
              <w:spacing w:line="360" w:lineRule="auto"/>
              <w:rPr>
                <w:rFonts w:eastAsia="黑体"/>
                <w:b w:val="0"/>
                <w:bCs w:val="0"/>
                <w:color w:val="0A0905"/>
              </w:rPr>
            </w:pPr>
            <w:r w:rsidRPr="00A002D0">
              <w:rPr>
                <w:rFonts w:eastAsia="黑体"/>
                <w:color w:val="0A0905"/>
              </w:rPr>
              <w:t>4</w:t>
            </w:r>
          </w:p>
        </w:tc>
        <w:tc>
          <w:tcPr>
            <w:tcW w:w="7370" w:type="dxa"/>
          </w:tcPr>
          <w:p w14:paraId="619F7AD8" w14:textId="77777777" w:rsidR="00976084" w:rsidRPr="00A002D0" w:rsidRDefault="00976084" w:rsidP="001E0D6D">
            <w:pPr>
              <w:spacing w:line="360" w:lineRule="auto"/>
              <w:cnfStyle w:val="000000000000" w:firstRow="0" w:lastRow="0" w:firstColumn="0" w:lastColumn="0" w:oddVBand="0" w:evenVBand="0" w:oddHBand="0" w:evenHBand="0" w:firstRowFirstColumn="0" w:firstRowLastColumn="0" w:lastRowFirstColumn="0" w:lastRowLastColumn="0"/>
              <w:rPr>
                <w:rFonts w:eastAsia="黑体"/>
                <w:color w:val="000000"/>
              </w:rPr>
            </w:pPr>
            <w:r w:rsidRPr="00A002D0">
              <w:rPr>
                <w:rFonts w:eastAsia="黑体"/>
                <w:color w:val="000000"/>
              </w:rPr>
              <w:t>#1 AND #2 AND #3</w:t>
            </w:r>
          </w:p>
        </w:tc>
      </w:tr>
    </w:tbl>
    <w:p w14:paraId="53185B41" w14:textId="77777777" w:rsidR="00CE3381" w:rsidRPr="00A002D0" w:rsidRDefault="00CE3381" w:rsidP="001E0D6D">
      <w:pPr>
        <w:spacing w:line="360" w:lineRule="auto"/>
        <w:rPr>
          <w:rFonts w:eastAsia="黑体"/>
        </w:rPr>
      </w:pPr>
    </w:p>
    <w:p w14:paraId="0CE65F40" w14:textId="77777777" w:rsidR="00CE3381" w:rsidRPr="00A002D0" w:rsidRDefault="00CE3381" w:rsidP="001E0D6D">
      <w:pPr>
        <w:spacing w:line="360" w:lineRule="auto"/>
        <w:rPr>
          <w:rFonts w:eastAsia="黑体"/>
        </w:rPr>
      </w:pPr>
      <w:r w:rsidRPr="00A002D0">
        <w:rPr>
          <w:rFonts w:eastAsia="黑体"/>
        </w:rPr>
        <w:t>Explanation of the Search Strategy</w:t>
      </w:r>
    </w:p>
    <w:p w14:paraId="739374E6" w14:textId="30EB26C3" w:rsidR="00CE3381" w:rsidRPr="00A002D0" w:rsidRDefault="00CE3381" w:rsidP="00CE3381">
      <w:pPr>
        <w:spacing w:line="360" w:lineRule="auto"/>
        <w:rPr>
          <w:rFonts w:eastAsia="黑体"/>
        </w:rPr>
      </w:pPr>
      <w:r w:rsidRPr="00A002D0">
        <w:rPr>
          <w:rFonts w:eastAsia="黑体"/>
        </w:rPr>
        <w:t>The following search strategy was designed to systematically identify relevant studies from the Wanfang Database, focusing on the impact of salt or its substitutes on cardiovascular health within the context of clinical trials. The search logic is outlined as follows:</w:t>
      </w:r>
    </w:p>
    <w:p w14:paraId="7AF887F9" w14:textId="77777777" w:rsidR="00CE3381" w:rsidRPr="00A002D0" w:rsidRDefault="00CE3381" w:rsidP="00CE3381">
      <w:pPr>
        <w:spacing w:line="360" w:lineRule="auto"/>
        <w:rPr>
          <w:rFonts w:eastAsia="黑体"/>
        </w:rPr>
      </w:pPr>
      <w:r w:rsidRPr="00A002D0">
        <w:rPr>
          <w:rFonts w:eastAsia="黑体"/>
          <w:b/>
          <w:bCs/>
        </w:rPr>
        <w:t>Salt-related terms (#1):</w:t>
      </w:r>
      <w:r w:rsidRPr="00A002D0">
        <w:rPr>
          <w:rFonts w:eastAsia="黑体"/>
        </w:rPr>
        <w:t xml:space="preserve"> This set includes keywords related to salt and salt substitutes, such as "salt", "substitute salt", "low-sodium salt", "healthy salt", etc. The search was performed in titles, subjects, or keywords to comprehensively capture all studies discussing these topics.</w:t>
      </w:r>
    </w:p>
    <w:p w14:paraId="2B85555E" w14:textId="77777777" w:rsidR="00CE3381" w:rsidRPr="00A002D0" w:rsidRDefault="00CE3381" w:rsidP="00CE3381">
      <w:pPr>
        <w:spacing w:line="360" w:lineRule="auto"/>
        <w:rPr>
          <w:rFonts w:eastAsia="黑体"/>
        </w:rPr>
      </w:pPr>
      <w:r w:rsidRPr="00A002D0">
        <w:rPr>
          <w:rFonts w:eastAsia="黑体"/>
          <w:b/>
          <w:bCs/>
        </w:rPr>
        <w:t>Cardiovascular health terms (#2):</w:t>
      </w:r>
      <w:r w:rsidRPr="00A002D0">
        <w:rPr>
          <w:rFonts w:eastAsia="黑体"/>
        </w:rPr>
        <w:t xml:space="preserve"> This set targets keywords related to cardiovascular conditions and health outcomes, such as "cardiovascular system", "stroke", "myocardial infarction", "coronary syndrome", "hypertension", "blood </w:t>
      </w:r>
      <w:r w:rsidRPr="00A002D0">
        <w:rPr>
          <w:rFonts w:eastAsia="黑体"/>
        </w:rPr>
        <w:lastRenderedPageBreak/>
        <w:t>pressure", and "death". The search covers these terms in the title, subject, or keywords fields to ensure thorough coverage.</w:t>
      </w:r>
    </w:p>
    <w:p w14:paraId="3528BF01" w14:textId="77777777" w:rsidR="00CE3381" w:rsidRPr="00A002D0" w:rsidRDefault="00CE3381" w:rsidP="00CE3381">
      <w:pPr>
        <w:spacing w:line="360" w:lineRule="auto"/>
        <w:rPr>
          <w:rFonts w:eastAsia="黑体"/>
        </w:rPr>
      </w:pPr>
      <w:r w:rsidRPr="00A002D0">
        <w:rPr>
          <w:rFonts w:eastAsia="黑体"/>
          <w:b/>
          <w:bCs/>
        </w:rPr>
        <w:t>Clinical trial terms (#3</w:t>
      </w:r>
      <w:r w:rsidRPr="00A002D0">
        <w:rPr>
          <w:rFonts w:eastAsia="黑体"/>
        </w:rPr>
        <w:t>): Keywords related to clinical trials were used, such as "randomized controlled trial", "RCT", and synonyms. The search was applied to titles, subjects, keywords, or abstracts, aiming to retrieve studies with robust experimental designs.</w:t>
      </w:r>
    </w:p>
    <w:p w14:paraId="57554956" w14:textId="77346A9E" w:rsidR="00CE3381" w:rsidRPr="00A002D0" w:rsidRDefault="00CE3381" w:rsidP="00CE3381">
      <w:pPr>
        <w:spacing w:line="360" w:lineRule="auto"/>
        <w:rPr>
          <w:rFonts w:eastAsia="黑体"/>
        </w:rPr>
      </w:pPr>
      <w:r w:rsidRPr="00A002D0">
        <w:rPr>
          <w:rFonts w:eastAsia="黑体"/>
          <w:b/>
          <w:bCs/>
        </w:rPr>
        <w:t>Combined search (#4):</w:t>
      </w:r>
      <w:r w:rsidRPr="00A002D0">
        <w:rPr>
          <w:rFonts w:eastAsia="黑体"/>
        </w:rPr>
        <w:t xml:space="preserve"> Using Boolean operators, the three sets were combined (#1 AND #2 AND #3) to extract studies at the intersection of the specified topics—salt-related interventions, cardiovascular outcomes, and clinical trials.</w:t>
      </w:r>
    </w:p>
    <w:p w14:paraId="48B40885" w14:textId="7CE0CE3F" w:rsidR="00194029" w:rsidRPr="00A002D0" w:rsidRDefault="00194029" w:rsidP="001E0D6D">
      <w:pPr>
        <w:spacing w:line="360" w:lineRule="auto"/>
        <w:rPr>
          <w:rFonts w:eastAsia="黑体"/>
        </w:rPr>
      </w:pPr>
      <w:r w:rsidRPr="00A002D0">
        <w:rPr>
          <w:rFonts w:eastAsia="黑体"/>
        </w:rPr>
        <w:br w:type="page"/>
      </w:r>
    </w:p>
    <w:p w14:paraId="3DB7BBFF" w14:textId="53CA8084" w:rsidR="00194029" w:rsidRPr="00A002D0" w:rsidRDefault="00600EE6" w:rsidP="001E0D6D">
      <w:pPr>
        <w:pStyle w:val="2"/>
        <w:spacing w:line="360" w:lineRule="auto"/>
        <w:rPr>
          <w:rFonts w:ascii="Times New Roman" w:hAnsi="Times New Roman" w:cs="Times New Roman"/>
          <w:sz w:val="28"/>
          <w:szCs w:val="28"/>
        </w:rPr>
      </w:pPr>
      <w:bookmarkStart w:id="10" w:name="_Toc211461914"/>
      <w:r>
        <w:rPr>
          <w:rFonts w:ascii="Times New Roman" w:eastAsia="黑体" w:hAnsi="Times New Roman" w:cs="Times New Roman" w:hint="eastAsia"/>
          <w:sz w:val="28"/>
          <w:szCs w:val="28"/>
        </w:rPr>
        <w:lastRenderedPageBreak/>
        <w:t>Table S2</w:t>
      </w:r>
      <w:r w:rsidR="00194029" w:rsidRPr="00A002D0">
        <w:rPr>
          <w:rFonts w:ascii="Times New Roman" w:hAnsi="Times New Roman" w:cs="Times New Roman"/>
          <w:sz w:val="28"/>
          <w:szCs w:val="28"/>
        </w:rPr>
        <w:t xml:space="preserve"> </w:t>
      </w:r>
      <w:r w:rsidR="00A63779" w:rsidRPr="00A002D0">
        <w:rPr>
          <w:rFonts w:ascii="Times New Roman" w:hAnsi="Times New Roman" w:cs="Times New Roman"/>
          <w:sz w:val="28"/>
          <w:szCs w:val="28"/>
        </w:rPr>
        <w:t>Study eligibility</w:t>
      </w:r>
      <w:bookmarkEnd w:id="10"/>
    </w:p>
    <w:p w14:paraId="0516B45B" w14:textId="2A245F07" w:rsidR="00C76AEF" w:rsidRPr="00A002D0" w:rsidRDefault="006356F3" w:rsidP="001E0D6D">
      <w:pPr>
        <w:pStyle w:val="3"/>
        <w:spacing w:line="360" w:lineRule="auto"/>
        <w:rPr>
          <w:rFonts w:ascii="Times New Roman" w:eastAsia="黑体" w:hAnsi="Times New Roman" w:cs="Times New Roman"/>
          <w:sz w:val="24"/>
          <w:szCs w:val="24"/>
        </w:rPr>
      </w:pPr>
      <w:bookmarkStart w:id="11" w:name="_Toc211461915"/>
      <w:r w:rsidRPr="00A002D0">
        <w:rPr>
          <w:rFonts w:ascii="Times New Roman" w:eastAsia="黑体" w:hAnsi="Times New Roman" w:cs="Times New Roman"/>
          <w:sz w:val="24"/>
          <w:szCs w:val="24"/>
        </w:rPr>
        <w:t>Exclusion criteria for</w:t>
      </w:r>
      <w:r w:rsidR="00C76AEF" w:rsidRPr="00A002D0">
        <w:rPr>
          <w:rFonts w:ascii="Times New Roman" w:eastAsia="黑体" w:hAnsi="Times New Roman" w:cs="Times New Roman"/>
          <w:sz w:val="24"/>
          <w:szCs w:val="24"/>
        </w:rPr>
        <w:t xml:space="preserve"> title and abstract screening</w:t>
      </w:r>
      <w:bookmarkEnd w:id="11"/>
    </w:p>
    <w:p w14:paraId="39F08CD6" w14:textId="749D3466" w:rsidR="006356F3" w:rsidRPr="00A002D0" w:rsidRDefault="006356F3" w:rsidP="001E0D6D">
      <w:pPr>
        <w:spacing w:line="360" w:lineRule="auto"/>
        <w:rPr>
          <w:rFonts w:eastAsia="黑体"/>
        </w:rPr>
      </w:pPr>
      <w:r w:rsidRPr="00A002D0">
        <w:rPr>
          <w:rFonts w:eastAsia="黑体"/>
        </w:rPr>
        <w:t xml:space="preserve">In the screening of titles and abstracts, </w:t>
      </w:r>
      <w:r w:rsidR="00715C56" w:rsidRPr="00A002D0">
        <w:rPr>
          <w:rFonts w:eastAsia="黑体"/>
        </w:rPr>
        <w:t xml:space="preserve">we only adhered to the following criteria to exclude </w:t>
      </w:r>
      <w:r w:rsidR="00263687" w:rsidRPr="00A002D0">
        <w:rPr>
          <w:rFonts w:eastAsia="黑体"/>
        </w:rPr>
        <w:t>studie</w:t>
      </w:r>
      <w:r w:rsidR="00715C56" w:rsidRPr="00A002D0">
        <w:rPr>
          <w:rFonts w:eastAsia="黑体"/>
        </w:rPr>
        <w:t>s:</w:t>
      </w:r>
    </w:p>
    <w:p w14:paraId="3C08E211" w14:textId="21F13E37" w:rsidR="006356F3" w:rsidRPr="00A002D0" w:rsidRDefault="00263687" w:rsidP="001E0D6D">
      <w:pPr>
        <w:pStyle w:val="a5"/>
        <w:numPr>
          <w:ilvl w:val="0"/>
          <w:numId w:val="10"/>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studies</w:t>
      </w:r>
      <w:r w:rsidR="00715C56" w:rsidRPr="00A002D0">
        <w:rPr>
          <w:rFonts w:ascii="Times New Roman" w:eastAsia="黑体" w:hAnsi="Times New Roman" w:cs="Times New Roman"/>
        </w:rPr>
        <w:t xml:space="preserve"> did not employ a prospective randomi</w:t>
      </w:r>
      <w:r w:rsidR="000A0AC6" w:rsidRPr="00A002D0">
        <w:rPr>
          <w:rFonts w:ascii="Times New Roman" w:eastAsia="黑体" w:hAnsi="Times New Roman" w:cs="Times New Roman"/>
        </w:rPr>
        <w:t>s</w:t>
      </w:r>
      <w:r w:rsidR="00715C56" w:rsidRPr="00A002D0">
        <w:rPr>
          <w:rFonts w:ascii="Times New Roman" w:eastAsia="黑体" w:hAnsi="Times New Roman" w:cs="Times New Roman"/>
        </w:rPr>
        <w:t>ed design</w:t>
      </w:r>
      <w:r w:rsidR="006356F3" w:rsidRPr="00A002D0">
        <w:rPr>
          <w:rFonts w:ascii="Times New Roman" w:eastAsia="黑体" w:hAnsi="Times New Roman" w:cs="Times New Roman"/>
        </w:rPr>
        <w:t>;</w:t>
      </w:r>
    </w:p>
    <w:p w14:paraId="54E71427" w14:textId="14D72554" w:rsidR="006356F3" w:rsidRPr="00A002D0" w:rsidRDefault="00263687" w:rsidP="001E0D6D">
      <w:pPr>
        <w:pStyle w:val="a5"/>
        <w:numPr>
          <w:ilvl w:val="0"/>
          <w:numId w:val="10"/>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studies</w:t>
      </w:r>
      <w:r w:rsidR="00715C56" w:rsidRPr="00A002D0">
        <w:rPr>
          <w:rFonts w:ascii="Times New Roman" w:eastAsia="黑体" w:hAnsi="Times New Roman" w:cs="Times New Roman"/>
        </w:rPr>
        <w:t xml:space="preserve"> without adults</w:t>
      </w:r>
      <w:r w:rsidR="007C2FAD" w:rsidRPr="00A002D0">
        <w:rPr>
          <w:rFonts w:ascii="Times New Roman" w:eastAsia="黑体" w:hAnsi="Times New Roman" w:cs="Times New Roman"/>
        </w:rPr>
        <w:t>;</w:t>
      </w:r>
      <w:r w:rsidR="00715C56" w:rsidRPr="00A002D0">
        <w:rPr>
          <w:rFonts w:ascii="Times New Roman" w:eastAsia="黑体" w:hAnsi="Times New Roman" w:cs="Times New Roman"/>
        </w:rPr>
        <w:t xml:space="preserve"> or</w:t>
      </w:r>
    </w:p>
    <w:p w14:paraId="5FB3AC00" w14:textId="0328D6DC" w:rsidR="007C2FAD" w:rsidRPr="00A002D0" w:rsidRDefault="00715C56" w:rsidP="001E0D6D">
      <w:pPr>
        <w:pStyle w:val="a5"/>
        <w:numPr>
          <w:ilvl w:val="0"/>
          <w:numId w:val="10"/>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no</w:t>
      </w:r>
      <w:r w:rsidR="007C2FAD" w:rsidRPr="00A002D0">
        <w:rPr>
          <w:rFonts w:ascii="Times New Roman" w:eastAsia="黑体" w:hAnsi="Times New Roman" w:cs="Times New Roman"/>
        </w:rPr>
        <w:t xml:space="preserve"> salt substitute</w:t>
      </w:r>
      <w:r w:rsidRPr="00A002D0">
        <w:rPr>
          <w:rFonts w:ascii="Times New Roman" w:eastAsia="黑体" w:hAnsi="Times New Roman" w:cs="Times New Roman"/>
        </w:rPr>
        <w:t xml:space="preserve"> or related interventions</w:t>
      </w:r>
      <w:r w:rsidR="007C2FAD" w:rsidRPr="00A002D0">
        <w:rPr>
          <w:rFonts w:ascii="Times New Roman" w:eastAsia="黑体" w:hAnsi="Times New Roman" w:cs="Times New Roman"/>
        </w:rPr>
        <w:t xml:space="preserve"> w</w:t>
      </w:r>
      <w:r w:rsidRPr="00A002D0">
        <w:rPr>
          <w:rFonts w:ascii="Times New Roman" w:eastAsia="黑体" w:hAnsi="Times New Roman" w:cs="Times New Roman"/>
        </w:rPr>
        <w:t>ere</w:t>
      </w:r>
      <w:r w:rsidR="007C2FAD" w:rsidRPr="00A002D0">
        <w:rPr>
          <w:rFonts w:ascii="Times New Roman" w:eastAsia="黑体" w:hAnsi="Times New Roman" w:cs="Times New Roman"/>
        </w:rPr>
        <w:t xml:space="preserve"> used.</w:t>
      </w:r>
    </w:p>
    <w:p w14:paraId="34E1E1C3" w14:textId="77777777" w:rsidR="00DD32F4" w:rsidRPr="00A002D0" w:rsidRDefault="00DD32F4" w:rsidP="001E0D6D">
      <w:pPr>
        <w:spacing w:line="360" w:lineRule="auto"/>
        <w:rPr>
          <w:rFonts w:eastAsia="黑体"/>
        </w:rPr>
      </w:pPr>
    </w:p>
    <w:p w14:paraId="4CC2E9DF" w14:textId="3D936FCE" w:rsidR="006D5F88" w:rsidRPr="00A002D0" w:rsidRDefault="00DD32F4" w:rsidP="001E0D6D">
      <w:pPr>
        <w:spacing w:line="360" w:lineRule="auto"/>
        <w:rPr>
          <w:rFonts w:eastAsia="黑体"/>
        </w:rPr>
      </w:pPr>
      <w:r w:rsidRPr="00A002D0">
        <w:rPr>
          <w:rFonts w:eastAsia="黑体"/>
        </w:rPr>
        <w:t>Two reviewers independently conduct title and abstract screening based on the following instructions:</w:t>
      </w:r>
    </w:p>
    <w:tbl>
      <w:tblPr>
        <w:tblStyle w:val="a6"/>
        <w:tblW w:w="0" w:type="auto"/>
        <w:tblLook w:val="04A0" w:firstRow="1" w:lastRow="0" w:firstColumn="1" w:lastColumn="0" w:noHBand="0" w:noVBand="1"/>
      </w:tblPr>
      <w:tblGrid>
        <w:gridCol w:w="4248"/>
        <w:gridCol w:w="4042"/>
      </w:tblGrid>
      <w:tr w:rsidR="00C90BCA" w:rsidRPr="00A002D0" w14:paraId="23008B93" w14:textId="77777777" w:rsidTr="00941011">
        <w:tc>
          <w:tcPr>
            <w:tcW w:w="8290" w:type="dxa"/>
            <w:gridSpan w:val="2"/>
          </w:tcPr>
          <w:p w14:paraId="1D09FB75" w14:textId="0DF4B98D" w:rsidR="00C90BCA" w:rsidRPr="00A002D0" w:rsidRDefault="00DD32F4" w:rsidP="001E0D6D">
            <w:pPr>
              <w:spacing w:line="360" w:lineRule="auto"/>
              <w:rPr>
                <w:rFonts w:eastAsia="黑体"/>
              </w:rPr>
            </w:pPr>
            <w:r w:rsidRPr="00A002D0">
              <w:rPr>
                <w:rFonts w:eastAsia="黑体"/>
              </w:rPr>
              <w:t>Please assess the following items based on the information presented in the title and abstract. "Definitely yes" and "definitely no" indicate that there is direct information in the title and abstract to support your judgment, while "unclear" indicates that the available information does not provide a clear basis for a positive response.</w:t>
            </w:r>
          </w:p>
        </w:tc>
      </w:tr>
      <w:tr w:rsidR="0089129C" w:rsidRPr="00A002D0" w14:paraId="5CDAF0AC" w14:textId="77777777" w:rsidTr="00941011">
        <w:tc>
          <w:tcPr>
            <w:tcW w:w="8290" w:type="dxa"/>
            <w:gridSpan w:val="2"/>
          </w:tcPr>
          <w:p w14:paraId="09640330" w14:textId="3B362E16" w:rsidR="0089129C" w:rsidRPr="00A002D0" w:rsidRDefault="00032F36" w:rsidP="001E0D6D">
            <w:pPr>
              <w:spacing w:line="360" w:lineRule="auto"/>
              <w:rPr>
                <w:rFonts w:eastAsia="黑体"/>
              </w:rPr>
            </w:pPr>
            <w:r w:rsidRPr="00A002D0">
              <w:rPr>
                <w:rFonts w:eastAsia="黑体"/>
              </w:rPr>
              <w:t xml:space="preserve">1: </w:t>
            </w:r>
            <w:r w:rsidR="0089129C" w:rsidRPr="00A002D0">
              <w:rPr>
                <w:rFonts w:eastAsia="黑体"/>
              </w:rPr>
              <w:t>Participants</w:t>
            </w:r>
          </w:p>
        </w:tc>
      </w:tr>
      <w:tr w:rsidR="0089129C" w:rsidRPr="00A002D0" w14:paraId="6669F8C1" w14:textId="77777777" w:rsidTr="00DD32F4">
        <w:tc>
          <w:tcPr>
            <w:tcW w:w="4248" w:type="dxa"/>
          </w:tcPr>
          <w:p w14:paraId="564FE514" w14:textId="61F28CC0" w:rsidR="0089129C" w:rsidRPr="00A002D0" w:rsidRDefault="00032F36" w:rsidP="001E0D6D">
            <w:pPr>
              <w:spacing w:line="360" w:lineRule="auto"/>
              <w:rPr>
                <w:rFonts w:eastAsia="黑体"/>
              </w:rPr>
            </w:pPr>
            <w:r w:rsidRPr="00A002D0">
              <w:rPr>
                <w:rFonts w:eastAsia="黑体"/>
              </w:rPr>
              <w:t xml:space="preserve">1.1 </w:t>
            </w:r>
            <w:r w:rsidR="00DD32F4" w:rsidRPr="00A002D0">
              <w:rPr>
                <w:rFonts w:eastAsia="黑体"/>
              </w:rPr>
              <w:t>The subjects of the study were not humans</w:t>
            </w:r>
          </w:p>
        </w:tc>
        <w:tc>
          <w:tcPr>
            <w:tcW w:w="4042" w:type="dxa"/>
          </w:tcPr>
          <w:p w14:paraId="52140E00" w14:textId="0ADD07F1" w:rsidR="0089129C" w:rsidRPr="00A002D0" w:rsidRDefault="00032F36" w:rsidP="001E0D6D">
            <w:pPr>
              <w:spacing w:line="360" w:lineRule="auto"/>
              <w:rPr>
                <w:rFonts w:eastAsia="黑体"/>
              </w:rPr>
            </w:pPr>
            <w:r w:rsidRPr="00A002D0">
              <w:rPr>
                <w:rFonts w:eastAsia="黑体"/>
              </w:rPr>
              <w:t>Definitely</w:t>
            </w:r>
            <w:r w:rsidR="00CA3D76" w:rsidRPr="00A002D0">
              <w:rPr>
                <w:rFonts w:eastAsia="黑体"/>
              </w:rPr>
              <w:t xml:space="preserve"> yes,</w:t>
            </w:r>
            <w:r w:rsidR="00C90BCA" w:rsidRPr="00A002D0">
              <w:rPr>
                <w:rFonts w:eastAsia="黑体"/>
              </w:rPr>
              <w:t xml:space="preserve"> </w:t>
            </w:r>
            <w:r w:rsidR="00CA3D76" w:rsidRPr="00A002D0">
              <w:rPr>
                <w:rFonts w:eastAsia="黑体"/>
              </w:rPr>
              <w:t>definitely no, or unclear</w:t>
            </w:r>
          </w:p>
        </w:tc>
      </w:tr>
      <w:tr w:rsidR="00032F36" w:rsidRPr="00A002D0" w14:paraId="5B323669" w14:textId="77777777" w:rsidTr="00DD32F4">
        <w:tc>
          <w:tcPr>
            <w:tcW w:w="4248" w:type="dxa"/>
          </w:tcPr>
          <w:p w14:paraId="15E9E1BF" w14:textId="3F26D69D" w:rsidR="00032F36" w:rsidRPr="00A002D0" w:rsidRDefault="00032F36" w:rsidP="001E0D6D">
            <w:pPr>
              <w:spacing w:line="360" w:lineRule="auto"/>
              <w:rPr>
                <w:rFonts w:eastAsia="黑体"/>
              </w:rPr>
            </w:pPr>
            <w:r w:rsidRPr="00A002D0">
              <w:rPr>
                <w:rFonts w:eastAsia="黑体"/>
              </w:rPr>
              <w:t xml:space="preserve">1.2 </w:t>
            </w:r>
            <w:r w:rsidR="00DD32F4" w:rsidRPr="00A002D0">
              <w:rPr>
                <w:rFonts w:eastAsia="黑体"/>
              </w:rPr>
              <w:t>The study participants were all underage</w:t>
            </w:r>
          </w:p>
        </w:tc>
        <w:tc>
          <w:tcPr>
            <w:tcW w:w="4042" w:type="dxa"/>
          </w:tcPr>
          <w:p w14:paraId="48861721" w14:textId="77777777" w:rsidR="00032F36" w:rsidRPr="00A002D0" w:rsidRDefault="00032F36" w:rsidP="001E0D6D">
            <w:pPr>
              <w:spacing w:line="360" w:lineRule="auto"/>
              <w:rPr>
                <w:rFonts w:eastAsia="黑体"/>
              </w:rPr>
            </w:pPr>
            <w:r w:rsidRPr="00A002D0">
              <w:rPr>
                <w:rFonts w:eastAsia="黑体"/>
              </w:rPr>
              <w:t>Definitely yes, definitely no, or unclear</w:t>
            </w:r>
          </w:p>
        </w:tc>
      </w:tr>
      <w:tr w:rsidR="00CA3D76" w:rsidRPr="00A002D0" w14:paraId="36A1EED6" w14:textId="77777777" w:rsidTr="00023DBB">
        <w:tc>
          <w:tcPr>
            <w:tcW w:w="8290" w:type="dxa"/>
            <w:gridSpan w:val="2"/>
          </w:tcPr>
          <w:p w14:paraId="3DE5DED2" w14:textId="2892D76A" w:rsidR="00CA3D76" w:rsidRPr="00A002D0" w:rsidRDefault="00032F36" w:rsidP="001E0D6D">
            <w:pPr>
              <w:spacing w:line="360" w:lineRule="auto"/>
              <w:rPr>
                <w:rFonts w:eastAsia="黑体"/>
              </w:rPr>
            </w:pPr>
            <w:r w:rsidRPr="00A002D0">
              <w:rPr>
                <w:rFonts w:eastAsia="黑体"/>
              </w:rPr>
              <w:t xml:space="preserve">2: </w:t>
            </w:r>
            <w:r w:rsidR="005B71C4" w:rsidRPr="00A002D0">
              <w:rPr>
                <w:rFonts w:eastAsia="黑体"/>
              </w:rPr>
              <w:t>Interventions</w:t>
            </w:r>
          </w:p>
        </w:tc>
      </w:tr>
      <w:tr w:rsidR="00CA3D76" w:rsidRPr="00A002D0" w14:paraId="676D032D" w14:textId="77777777" w:rsidTr="00DD32F4">
        <w:tc>
          <w:tcPr>
            <w:tcW w:w="4248" w:type="dxa"/>
          </w:tcPr>
          <w:p w14:paraId="7D546BB1" w14:textId="504463CF" w:rsidR="00CA3D76" w:rsidRPr="00A002D0" w:rsidRDefault="00032F36" w:rsidP="001E0D6D">
            <w:pPr>
              <w:spacing w:line="360" w:lineRule="auto"/>
              <w:rPr>
                <w:rFonts w:eastAsia="黑体"/>
              </w:rPr>
            </w:pPr>
            <w:r w:rsidRPr="00A002D0">
              <w:rPr>
                <w:rFonts w:eastAsia="黑体"/>
              </w:rPr>
              <w:t xml:space="preserve">2.1 </w:t>
            </w:r>
            <w:r w:rsidR="00715C56" w:rsidRPr="00A002D0">
              <w:rPr>
                <w:rFonts w:eastAsia="黑体"/>
              </w:rPr>
              <w:t>No salt substitute or related interventions were used</w:t>
            </w:r>
          </w:p>
        </w:tc>
        <w:tc>
          <w:tcPr>
            <w:tcW w:w="4042" w:type="dxa"/>
          </w:tcPr>
          <w:p w14:paraId="2AB47158" w14:textId="7F2FF147" w:rsidR="00CA3D76" w:rsidRPr="00A002D0" w:rsidRDefault="00032F36" w:rsidP="001E0D6D">
            <w:pPr>
              <w:spacing w:line="360" w:lineRule="auto"/>
              <w:rPr>
                <w:rFonts w:eastAsia="黑体"/>
              </w:rPr>
            </w:pPr>
            <w:r w:rsidRPr="00A002D0">
              <w:rPr>
                <w:rFonts w:eastAsia="黑体"/>
              </w:rPr>
              <w:t>Definitely yes, definitely no, or unclear</w:t>
            </w:r>
          </w:p>
        </w:tc>
      </w:tr>
      <w:tr w:rsidR="005B71C4" w:rsidRPr="00A002D0" w14:paraId="2A7BB578" w14:textId="77777777" w:rsidTr="00023DBB">
        <w:tc>
          <w:tcPr>
            <w:tcW w:w="8290" w:type="dxa"/>
            <w:gridSpan w:val="2"/>
          </w:tcPr>
          <w:p w14:paraId="721F0124" w14:textId="60200090" w:rsidR="005B71C4" w:rsidRPr="00A002D0" w:rsidRDefault="00DD32F4" w:rsidP="001E0D6D">
            <w:pPr>
              <w:spacing w:line="360" w:lineRule="auto"/>
              <w:rPr>
                <w:rFonts w:eastAsia="黑体"/>
              </w:rPr>
            </w:pPr>
            <w:r w:rsidRPr="00A002D0">
              <w:rPr>
                <w:rFonts w:eastAsia="黑体"/>
              </w:rPr>
              <w:t>3</w:t>
            </w:r>
            <w:r w:rsidR="005B71C4" w:rsidRPr="00A002D0">
              <w:rPr>
                <w:rFonts w:eastAsia="黑体"/>
              </w:rPr>
              <w:t>: Study design</w:t>
            </w:r>
          </w:p>
        </w:tc>
      </w:tr>
      <w:tr w:rsidR="005B71C4" w:rsidRPr="00A002D0" w14:paraId="27BEB456" w14:textId="77777777" w:rsidTr="00DD32F4">
        <w:tc>
          <w:tcPr>
            <w:tcW w:w="4248" w:type="dxa"/>
          </w:tcPr>
          <w:p w14:paraId="66ED8BF1" w14:textId="2CBAD7D3" w:rsidR="005B71C4" w:rsidRPr="00A002D0" w:rsidRDefault="00DD32F4" w:rsidP="001E0D6D">
            <w:pPr>
              <w:spacing w:line="360" w:lineRule="auto"/>
              <w:rPr>
                <w:rFonts w:eastAsia="黑体"/>
              </w:rPr>
            </w:pPr>
            <w:r w:rsidRPr="00A002D0">
              <w:rPr>
                <w:rFonts w:eastAsia="黑体"/>
              </w:rPr>
              <w:t>3</w:t>
            </w:r>
            <w:r w:rsidR="005B71C4" w:rsidRPr="00A002D0">
              <w:rPr>
                <w:rFonts w:eastAsia="黑体"/>
              </w:rPr>
              <w:t xml:space="preserve">.1 </w:t>
            </w:r>
            <w:r w:rsidRPr="00A002D0">
              <w:rPr>
                <w:rFonts w:eastAsia="黑体"/>
              </w:rPr>
              <w:t>The study did not use a prospective design</w:t>
            </w:r>
          </w:p>
        </w:tc>
        <w:tc>
          <w:tcPr>
            <w:tcW w:w="4042" w:type="dxa"/>
          </w:tcPr>
          <w:p w14:paraId="421E841A" w14:textId="77777777" w:rsidR="005B71C4" w:rsidRPr="00A002D0" w:rsidRDefault="005B71C4" w:rsidP="001E0D6D">
            <w:pPr>
              <w:spacing w:line="360" w:lineRule="auto"/>
              <w:rPr>
                <w:rFonts w:eastAsia="黑体"/>
              </w:rPr>
            </w:pPr>
            <w:r w:rsidRPr="00A002D0">
              <w:rPr>
                <w:rFonts w:eastAsia="黑体"/>
              </w:rPr>
              <w:t>Definitely yes, definitely no, or unclear</w:t>
            </w:r>
          </w:p>
        </w:tc>
      </w:tr>
      <w:tr w:rsidR="005B71C4" w:rsidRPr="00A002D0" w14:paraId="784F26DD" w14:textId="77777777" w:rsidTr="00DD32F4">
        <w:tc>
          <w:tcPr>
            <w:tcW w:w="4248" w:type="dxa"/>
          </w:tcPr>
          <w:p w14:paraId="5A190761" w14:textId="0C04CB3B" w:rsidR="005B71C4" w:rsidRPr="00A002D0" w:rsidRDefault="00DD32F4" w:rsidP="001E0D6D">
            <w:pPr>
              <w:spacing w:line="360" w:lineRule="auto"/>
              <w:rPr>
                <w:rFonts w:eastAsia="黑体"/>
              </w:rPr>
            </w:pPr>
            <w:r w:rsidRPr="00A002D0">
              <w:rPr>
                <w:rFonts w:eastAsia="黑体"/>
              </w:rPr>
              <w:lastRenderedPageBreak/>
              <w:t>3</w:t>
            </w:r>
            <w:r w:rsidR="005B71C4" w:rsidRPr="00A002D0">
              <w:rPr>
                <w:rFonts w:eastAsia="黑体"/>
              </w:rPr>
              <w:t xml:space="preserve">.2 </w:t>
            </w:r>
            <w:r w:rsidRPr="00A002D0">
              <w:rPr>
                <w:rFonts w:eastAsia="黑体"/>
              </w:rPr>
              <w:t>The study did not use a randomi</w:t>
            </w:r>
            <w:r w:rsidR="000A0AC6" w:rsidRPr="00A002D0">
              <w:rPr>
                <w:rFonts w:eastAsia="黑体"/>
              </w:rPr>
              <w:t>s</w:t>
            </w:r>
            <w:r w:rsidRPr="00A002D0">
              <w:rPr>
                <w:rFonts w:eastAsia="黑体"/>
              </w:rPr>
              <w:t>ed design</w:t>
            </w:r>
          </w:p>
        </w:tc>
        <w:tc>
          <w:tcPr>
            <w:tcW w:w="4042" w:type="dxa"/>
          </w:tcPr>
          <w:p w14:paraId="0D3D00AA" w14:textId="77777777" w:rsidR="005B71C4" w:rsidRPr="00A002D0" w:rsidRDefault="005B71C4" w:rsidP="001E0D6D">
            <w:pPr>
              <w:spacing w:line="360" w:lineRule="auto"/>
              <w:rPr>
                <w:rFonts w:eastAsia="黑体"/>
              </w:rPr>
            </w:pPr>
            <w:r w:rsidRPr="00A002D0">
              <w:rPr>
                <w:rFonts w:eastAsia="黑体"/>
              </w:rPr>
              <w:t>Definitely yes, definitely no, or unclear</w:t>
            </w:r>
          </w:p>
        </w:tc>
      </w:tr>
      <w:tr w:rsidR="00DD32F4" w:rsidRPr="00A002D0" w14:paraId="175D5359" w14:textId="77777777" w:rsidTr="00EA6D7F">
        <w:tc>
          <w:tcPr>
            <w:tcW w:w="8290" w:type="dxa"/>
            <w:gridSpan w:val="2"/>
          </w:tcPr>
          <w:p w14:paraId="1CEEFC9A" w14:textId="045CDC33" w:rsidR="00DD32F4" w:rsidRPr="00A002D0" w:rsidRDefault="00DD32F4" w:rsidP="001E0D6D">
            <w:pPr>
              <w:spacing w:line="360" w:lineRule="auto"/>
              <w:rPr>
                <w:rFonts w:eastAsia="黑体"/>
              </w:rPr>
            </w:pPr>
            <w:r w:rsidRPr="00A002D0">
              <w:rPr>
                <w:rFonts w:eastAsia="黑体"/>
              </w:rPr>
              <w:t>When any of the items is judged as "definitely yes," the respective study is excluded. The remaining studies are then moved to the subsequent full-text screening phase for eligibility review.</w:t>
            </w:r>
          </w:p>
        </w:tc>
      </w:tr>
    </w:tbl>
    <w:p w14:paraId="43034EB2" w14:textId="13C1CC78" w:rsidR="007C2FAD" w:rsidRPr="00A002D0" w:rsidRDefault="007C2FAD" w:rsidP="001E0D6D">
      <w:pPr>
        <w:spacing w:line="360" w:lineRule="auto"/>
        <w:rPr>
          <w:rFonts w:eastAsia="黑体"/>
        </w:rPr>
      </w:pPr>
      <w:r w:rsidRPr="00A002D0">
        <w:rPr>
          <w:rFonts w:eastAsia="黑体"/>
        </w:rPr>
        <w:br w:type="page"/>
      </w:r>
    </w:p>
    <w:p w14:paraId="6E0A1483" w14:textId="505E62B6" w:rsidR="007C2FAD" w:rsidRPr="00A002D0" w:rsidRDefault="00EE17A3" w:rsidP="001E0D6D">
      <w:pPr>
        <w:pStyle w:val="3"/>
        <w:spacing w:line="360" w:lineRule="auto"/>
        <w:rPr>
          <w:rFonts w:ascii="Times New Roman" w:eastAsia="黑体" w:hAnsi="Times New Roman" w:cs="Times New Roman"/>
          <w:sz w:val="24"/>
          <w:szCs w:val="24"/>
        </w:rPr>
      </w:pPr>
      <w:bookmarkStart w:id="12" w:name="_Toc211461916"/>
      <w:r w:rsidRPr="00A002D0">
        <w:rPr>
          <w:rFonts w:ascii="Times New Roman" w:eastAsia="黑体" w:hAnsi="Times New Roman" w:cs="Times New Roman"/>
          <w:sz w:val="24"/>
          <w:szCs w:val="24"/>
        </w:rPr>
        <w:lastRenderedPageBreak/>
        <w:t>Inclusion</w:t>
      </w:r>
      <w:r w:rsidR="007C2FAD" w:rsidRPr="00A002D0">
        <w:rPr>
          <w:rFonts w:ascii="Times New Roman" w:eastAsia="黑体" w:hAnsi="Times New Roman" w:cs="Times New Roman"/>
          <w:sz w:val="24"/>
          <w:szCs w:val="24"/>
        </w:rPr>
        <w:t xml:space="preserve"> criteria for </w:t>
      </w:r>
      <w:r w:rsidRPr="00A002D0">
        <w:rPr>
          <w:rFonts w:ascii="Times New Roman" w:eastAsia="黑体" w:hAnsi="Times New Roman" w:cs="Times New Roman"/>
          <w:sz w:val="24"/>
          <w:szCs w:val="24"/>
        </w:rPr>
        <w:t>full-text</w:t>
      </w:r>
      <w:r w:rsidR="007C2FAD" w:rsidRPr="00A002D0">
        <w:rPr>
          <w:rFonts w:ascii="Times New Roman" w:eastAsia="黑体" w:hAnsi="Times New Roman" w:cs="Times New Roman"/>
          <w:sz w:val="24"/>
          <w:szCs w:val="24"/>
        </w:rPr>
        <w:t xml:space="preserve"> screening</w:t>
      </w:r>
      <w:bookmarkEnd w:id="12"/>
    </w:p>
    <w:p w14:paraId="70E07367" w14:textId="15C52634" w:rsidR="00EE17A3" w:rsidRPr="00A002D0" w:rsidRDefault="00EE17A3" w:rsidP="001E0D6D">
      <w:pPr>
        <w:spacing w:line="360" w:lineRule="auto"/>
        <w:rPr>
          <w:rFonts w:eastAsia="黑体"/>
        </w:rPr>
      </w:pPr>
      <w:r w:rsidRPr="00A002D0">
        <w:rPr>
          <w:rFonts w:eastAsia="黑体"/>
        </w:rPr>
        <w:t xml:space="preserve">In the screening of titles and abstracts, we included studies that met </w:t>
      </w:r>
      <w:r w:rsidR="008E3EB5" w:rsidRPr="00A002D0">
        <w:rPr>
          <w:rFonts w:eastAsia="黑体"/>
        </w:rPr>
        <w:t>all</w:t>
      </w:r>
      <w:r w:rsidRPr="00A002D0">
        <w:rPr>
          <w:rFonts w:eastAsia="黑体"/>
        </w:rPr>
        <w:t xml:space="preserve"> the following criteria:</w:t>
      </w:r>
    </w:p>
    <w:p w14:paraId="47575AFA" w14:textId="77777777" w:rsidR="00B133FD" w:rsidRPr="00A002D0" w:rsidRDefault="00B133FD" w:rsidP="001E0D6D">
      <w:pPr>
        <w:spacing w:line="360" w:lineRule="auto"/>
        <w:rPr>
          <w:rFonts w:eastAsia="黑体"/>
        </w:rPr>
      </w:pPr>
    </w:p>
    <w:p w14:paraId="51D6EB14" w14:textId="215BA51C" w:rsidR="00EE17A3" w:rsidRPr="00A002D0" w:rsidRDefault="00EE17A3" w:rsidP="001E0D6D">
      <w:pPr>
        <w:pStyle w:val="a5"/>
        <w:numPr>
          <w:ilvl w:val="0"/>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Participants</w:t>
      </w:r>
      <w:r w:rsidR="007C50E5" w:rsidRPr="00A002D0">
        <w:rPr>
          <w:rFonts w:ascii="Times New Roman" w:eastAsia="黑体" w:hAnsi="Times New Roman" w:cs="Times New Roman"/>
        </w:rPr>
        <w:t>:</w:t>
      </w:r>
      <w:r w:rsidRPr="00A002D0">
        <w:rPr>
          <w:rFonts w:ascii="Times New Roman" w:eastAsia="黑体" w:hAnsi="Times New Roman" w:cs="Times New Roman"/>
        </w:rPr>
        <w:t xml:space="preserve"> </w:t>
      </w:r>
      <w:r w:rsidR="000A0AC6" w:rsidRPr="00A002D0">
        <w:rPr>
          <w:rFonts w:ascii="Times New Roman" w:eastAsia="黑体" w:hAnsi="Times New Roman" w:cs="Times New Roman"/>
        </w:rPr>
        <w:t>We considered studies involving adults aged 18 years and older.</w:t>
      </w:r>
    </w:p>
    <w:p w14:paraId="5FF3A37A" w14:textId="7B81B857" w:rsidR="000A0AC6" w:rsidRPr="00A002D0" w:rsidRDefault="007C50E5" w:rsidP="001E0D6D">
      <w:pPr>
        <w:pStyle w:val="a5"/>
        <w:numPr>
          <w:ilvl w:val="0"/>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Interventions: salt substitute, </w:t>
      </w:r>
      <w:r w:rsidR="000A0AC6" w:rsidRPr="00A002D0">
        <w:rPr>
          <w:rFonts w:ascii="Times New Roman" w:eastAsia="黑体" w:hAnsi="Times New Roman" w:cs="Times New Roman"/>
        </w:rPr>
        <w:t>also referred to as low-sodium salt, are low-sodium alternatives to regular edible salt. For inclusion, salt substitutes had to use potassium chloride (KCl) or other components to replace a minimum of 3% of sodium chloride (NaCl). We excluded studies that examined combined interventions where the effects of salt substitutes could not be isolated (e.g., interventions combining salt substitutes with specific dietary patterns or salt restriction). Following discussions with nutrition experts, we employed two strategies to categorize the included intervention measures:</w:t>
      </w:r>
    </w:p>
    <w:p w14:paraId="0F70963F" w14:textId="77777777" w:rsidR="000A0AC6" w:rsidRPr="00A002D0" w:rsidRDefault="000A0AC6" w:rsidP="001E0D6D">
      <w:pPr>
        <w:pStyle w:val="a5"/>
        <w:numPr>
          <w:ilvl w:val="1"/>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Potassium (K) and sodium (Na) salts share similar salty tastes, and there is evidence of a negative correlation between potassium intake and the risk of cardiovascular events. In practice, potassium chloride (KCl) is the predominant substitute used in most salt substitutes. Therefore, we categorized salt substitutes based on the proportion of KCl they contained. We employed multiples of 5% to stratify the KCl content in each intervention and included interventions falling within a ±2.5% range of the specified categories. For instance, if the original report indicated a KCl content of 43% in a salt substitute, we classified it as a 45% KCl salt substitute.</w:t>
      </w:r>
    </w:p>
    <w:p w14:paraId="63038291" w14:textId="77777777" w:rsidR="000A0AC6" w:rsidRPr="00A002D0" w:rsidRDefault="000A0AC6" w:rsidP="001E0D6D">
      <w:pPr>
        <w:pStyle w:val="a5"/>
        <w:numPr>
          <w:ilvl w:val="1"/>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Apart from KCl, salt substitutes may also incorporate other alternative components, such as calcium chloride or magnesium sulfate. Different combinations of components in salt substitutes could potentially account for variations in their effectiveness. Therefore, in sensitivity analyses, we </w:t>
      </w:r>
      <w:r w:rsidRPr="00A002D0">
        <w:rPr>
          <w:rFonts w:ascii="Times New Roman" w:eastAsia="黑体" w:hAnsi="Times New Roman" w:cs="Times New Roman"/>
        </w:rPr>
        <w:lastRenderedPageBreak/>
        <w:t>categorized salt substitutes based on their primary alternative components, defined as those constituting ≥3% of the total replacement composition.</w:t>
      </w:r>
    </w:p>
    <w:p w14:paraId="729EBD6E" w14:textId="23BE52CB" w:rsidR="00EE17A3" w:rsidRPr="00A002D0" w:rsidRDefault="00EE17A3" w:rsidP="001E0D6D">
      <w:pPr>
        <w:pStyle w:val="a5"/>
        <w:numPr>
          <w:ilvl w:val="0"/>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Controls</w:t>
      </w:r>
      <w:r w:rsidR="00BE1630" w:rsidRPr="00A002D0">
        <w:rPr>
          <w:rFonts w:ascii="Times New Roman" w:eastAsia="黑体" w:hAnsi="Times New Roman" w:cs="Times New Roman"/>
        </w:rPr>
        <w:t xml:space="preserve">: </w:t>
      </w:r>
      <w:r w:rsidR="000A0AC6" w:rsidRPr="00A002D0">
        <w:rPr>
          <w:rFonts w:ascii="Times New Roman" w:eastAsia="黑体" w:hAnsi="Times New Roman" w:cs="Times New Roman"/>
        </w:rPr>
        <w:t>We defined regular salt as edible salt containing over 9</w:t>
      </w:r>
      <w:r w:rsidR="001B04B3" w:rsidRPr="00A002D0">
        <w:rPr>
          <w:rFonts w:ascii="Times New Roman" w:eastAsia="黑体" w:hAnsi="Times New Roman" w:cs="Times New Roman"/>
        </w:rPr>
        <w:t>7</w:t>
      </w:r>
      <w:r w:rsidR="000A0AC6" w:rsidRPr="00A002D0">
        <w:rPr>
          <w:rFonts w:ascii="Times New Roman" w:eastAsia="黑体" w:hAnsi="Times New Roman" w:cs="Times New Roman"/>
        </w:rPr>
        <w:t>% NaCl. Studies using this type of salt served as the control group for comparison.</w:t>
      </w:r>
    </w:p>
    <w:p w14:paraId="0776985B" w14:textId="4F0FC850" w:rsidR="00EE17A3" w:rsidRPr="00A002D0" w:rsidRDefault="00EE17A3" w:rsidP="001E0D6D">
      <w:pPr>
        <w:pStyle w:val="a5"/>
        <w:numPr>
          <w:ilvl w:val="0"/>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Outcomes</w:t>
      </w:r>
      <w:r w:rsidR="00A00C08" w:rsidRPr="00A002D0">
        <w:rPr>
          <w:rFonts w:ascii="Times New Roman" w:eastAsia="黑体" w:hAnsi="Times New Roman" w:cs="Times New Roman"/>
        </w:rPr>
        <w:t xml:space="preserve">: </w:t>
      </w:r>
    </w:p>
    <w:p w14:paraId="6BBF8577" w14:textId="713B2EE7" w:rsidR="00EE17A3" w:rsidRPr="00A002D0" w:rsidRDefault="00EE17A3" w:rsidP="001E0D6D">
      <w:pPr>
        <w:pStyle w:val="a5"/>
        <w:numPr>
          <w:ilvl w:val="1"/>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Efficacy: </w:t>
      </w:r>
      <w:r w:rsidRPr="00A002D0">
        <w:rPr>
          <w:rFonts w:ascii="Cambria Math" w:eastAsia="宋体" w:hAnsi="Cambria Math" w:cs="Cambria Math"/>
        </w:rPr>
        <w:t>①</w:t>
      </w:r>
      <w:r w:rsidRPr="00A002D0">
        <w:rPr>
          <w:rFonts w:ascii="Times New Roman" w:eastAsia="黑体" w:hAnsi="Times New Roman" w:cs="Times New Roman"/>
        </w:rPr>
        <w:t xml:space="preserve"> </w:t>
      </w:r>
      <w:r w:rsidR="00A00C08" w:rsidRPr="00A002D0">
        <w:rPr>
          <w:rFonts w:ascii="Times New Roman" w:eastAsia="黑体" w:hAnsi="Times New Roman" w:cs="Times New Roman"/>
        </w:rPr>
        <w:t xml:space="preserve">systolic </w:t>
      </w:r>
      <w:r w:rsidR="00ED7AE1" w:rsidRPr="00A002D0">
        <w:rPr>
          <w:rFonts w:ascii="Times New Roman" w:eastAsia="黑体" w:hAnsi="Times New Roman" w:cs="Times New Roman"/>
        </w:rPr>
        <w:t>Blood</w:t>
      </w:r>
      <w:r w:rsidR="00A00C08" w:rsidRPr="00A002D0">
        <w:rPr>
          <w:rFonts w:ascii="Times New Roman" w:eastAsia="黑体" w:hAnsi="Times New Roman" w:cs="Times New Roman"/>
        </w:rPr>
        <w:t xml:space="preserve"> pressure (SBP)</w:t>
      </w:r>
      <w:r w:rsidR="003D356D" w:rsidRPr="00A002D0">
        <w:rPr>
          <w:rFonts w:ascii="Times New Roman" w:eastAsia="黑体" w:hAnsi="Times New Roman" w:cs="Times New Roman"/>
        </w:rPr>
        <w:t>;</w:t>
      </w:r>
      <w:r w:rsidR="00A00C08" w:rsidRPr="00A002D0">
        <w:rPr>
          <w:rFonts w:ascii="Times New Roman" w:eastAsia="黑体" w:hAnsi="Times New Roman" w:cs="Times New Roman"/>
        </w:rPr>
        <w:t xml:space="preserve"> </w:t>
      </w:r>
      <w:r w:rsidR="003D356D" w:rsidRPr="00A002D0">
        <w:rPr>
          <w:rFonts w:ascii="Cambria Math" w:eastAsia="宋体" w:hAnsi="Cambria Math" w:cs="Cambria Math"/>
        </w:rPr>
        <w:t>②</w:t>
      </w:r>
      <w:r w:rsidR="00A00C08" w:rsidRPr="00A002D0">
        <w:rPr>
          <w:rFonts w:ascii="Times New Roman" w:eastAsia="黑体" w:hAnsi="Times New Roman" w:cs="Times New Roman"/>
        </w:rPr>
        <w:t xml:space="preserve"> diastolic </w:t>
      </w:r>
      <w:r w:rsidR="00ED7AE1" w:rsidRPr="00A002D0">
        <w:rPr>
          <w:rFonts w:ascii="Times New Roman" w:eastAsia="黑体" w:hAnsi="Times New Roman" w:cs="Times New Roman"/>
        </w:rPr>
        <w:t>Blood</w:t>
      </w:r>
      <w:r w:rsidR="00A00C08" w:rsidRPr="00A002D0">
        <w:rPr>
          <w:rFonts w:ascii="Times New Roman" w:eastAsia="黑体" w:hAnsi="Times New Roman" w:cs="Times New Roman"/>
        </w:rPr>
        <w:t xml:space="preserve"> pressure (DBP)</w:t>
      </w:r>
      <w:r w:rsidRPr="00A002D0">
        <w:rPr>
          <w:rFonts w:ascii="Times New Roman" w:eastAsia="黑体" w:hAnsi="Times New Roman" w:cs="Times New Roman"/>
        </w:rPr>
        <w:t xml:space="preserve">; </w:t>
      </w:r>
      <w:r w:rsidR="003D356D" w:rsidRPr="00A002D0">
        <w:rPr>
          <w:rFonts w:ascii="Cambria Math" w:eastAsia="宋体" w:hAnsi="Cambria Math" w:cs="Cambria Math"/>
        </w:rPr>
        <w:t>③</w:t>
      </w:r>
      <w:r w:rsidR="00ED7AE1" w:rsidRPr="00A002D0">
        <w:rPr>
          <w:rFonts w:ascii="Times New Roman" w:eastAsia="黑体" w:hAnsi="Times New Roman" w:cs="Times New Roman"/>
        </w:rPr>
        <w:t xml:space="preserve"> non-fatal </w:t>
      </w:r>
      <w:r w:rsidR="001F6665" w:rsidRPr="00A002D0">
        <w:rPr>
          <w:rFonts w:ascii="Times New Roman" w:eastAsia="黑体" w:hAnsi="Times New Roman" w:cs="Times New Roman"/>
        </w:rPr>
        <w:t xml:space="preserve">cardiovascular </w:t>
      </w:r>
      <w:r w:rsidR="00F71995" w:rsidRPr="00A002D0">
        <w:rPr>
          <w:rFonts w:ascii="Times New Roman" w:eastAsia="黑体" w:hAnsi="Times New Roman" w:cs="Times New Roman"/>
        </w:rPr>
        <w:t>events</w:t>
      </w:r>
      <w:r w:rsidR="00A00C08" w:rsidRPr="00A002D0">
        <w:rPr>
          <w:rFonts w:ascii="Times New Roman" w:eastAsia="黑体" w:hAnsi="Times New Roman" w:cs="Times New Roman"/>
        </w:rPr>
        <w:t xml:space="preserve">; </w:t>
      </w:r>
      <w:r w:rsidR="00ED7AE1" w:rsidRPr="00A002D0">
        <w:rPr>
          <w:rFonts w:ascii="Times New Roman" w:eastAsia="黑体" w:hAnsi="Times New Roman" w:cs="Times New Roman"/>
        </w:rPr>
        <w:fldChar w:fldCharType="begin"/>
      </w:r>
      <w:r w:rsidR="00ED7AE1" w:rsidRPr="00A002D0">
        <w:rPr>
          <w:rFonts w:ascii="Times New Roman" w:eastAsia="黑体" w:hAnsi="Times New Roman" w:cs="Times New Roman"/>
        </w:rPr>
        <w:instrText xml:space="preserve"> = 4 \* GB3 </w:instrText>
      </w:r>
      <w:r w:rsidR="00ED7AE1" w:rsidRPr="00A002D0">
        <w:rPr>
          <w:rFonts w:ascii="Times New Roman" w:eastAsia="黑体" w:hAnsi="Times New Roman" w:cs="Times New Roman"/>
        </w:rPr>
        <w:fldChar w:fldCharType="separate"/>
      </w:r>
      <w:r w:rsidR="00ED7AE1" w:rsidRPr="00A002D0">
        <w:rPr>
          <w:rFonts w:ascii="Cambria Math" w:eastAsia="宋体" w:hAnsi="Cambria Math" w:cs="Cambria Math"/>
          <w:noProof/>
        </w:rPr>
        <w:t>④</w:t>
      </w:r>
      <w:r w:rsidR="00ED7AE1" w:rsidRPr="00A002D0">
        <w:rPr>
          <w:rFonts w:ascii="Times New Roman" w:eastAsia="黑体" w:hAnsi="Times New Roman" w:cs="Times New Roman"/>
        </w:rPr>
        <w:fldChar w:fldCharType="end"/>
      </w:r>
      <w:r w:rsidR="001F6665" w:rsidRPr="00A002D0">
        <w:rPr>
          <w:rFonts w:ascii="Times New Roman" w:eastAsia="黑体" w:hAnsi="Times New Roman" w:cs="Times New Roman"/>
        </w:rPr>
        <w:t xml:space="preserve"> all‐cause mortality</w:t>
      </w:r>
      <w:r w:rsidRPr="00A002D0">
        <w:rPr>
          <w:rFonts w:ascii="Times New Roman" w:eastAsia="黑体" w:hAnsi="Times New Roman" w:cs="Times New Roman"/>
        </w:rPr>
        <w:t xml:space="preserve">; </w:t>
      </w:r>
      <w:r w:rsidR="00ED7AE1" w:rsidRPr="00A002D0">
        <w:rPr>
          <w:rFonts w:ascii="Times New Roman" w:eastAsia="黑体" w:hAnsi="Times New Roman" w:cs="Times New Roman"/>
        </w:rPr>
        <w:fldChar w:fldCharType="begin"/>
      </w:r>
      <w:r w:rsidR="00ED7AE1" w:rsidRPr="00A002D0">
        <w:rPr>
          <w:rFonts w:ascii="Times New Roman" w:eastAsia="黑体" w:hAnsi="Times New Roman" w:cs="Times New Roman"/>
        </w:rPr>
        <w:instrText xml:space="preserve"> = 5 \* GB3 </w:instrText>
      </w:r>
      <w:r w:rsidR="00ED7AE1" w:rsidRPr="00A002D0">
        <w:rPr>
          <w:rFonts w:ascii="Times New Roman" w:eastAsia="黑体" w:hAnsi="Times New Roman" w:cs="Times New Roman"/>
        </w:rPr>
        <w:fldChar w:fldCharType="separate"/>
      </w:r>
      <w:r w:rsidR="00ED7AE1" w:rsidRPr="00A002D0">
        <w:rPr>
          <w:rFonts w:ascii="Cambria Math" w:eastAsia="宋体" w:hAnsi="Cambria Math" w:cs="Cambria Math"/>
          <w:noProof/>
        </w:rPr>
        <w:t>⑤</w:t>
      </w:r>
      <w:r w:rsidR="00ED7AE1" w:rsidRPr="00A002D0">
        <w:rPr>
          <w:rFonts w:ascii="Times New Roman" w:eastAsia="黑体" w:hAnsi="Times New Roman" w:cs="Times New Roman"/>
        </w:rPr>
        <w:fldChar w:fldCharType="end"/>
      </w:r>
      <w:r w:rsidR="001F6665" w:rsidRPr="00A002D0">
        <w:rPr>
          <w:rFonts w:ascii="Times New Roman" w:eastAsia="黑体" w:hAnsi="Times New Roman" w:cs="Times New Roman"/>
        </w:rPr>
        <w:t xml:space="preserve"> cardiovascular mortality.</w:t>
      </w:r>
    </w:p>
    <w:p w14:paraId="2D701F17" w14:textId="2BF7FA6E" w:rsidR="00EE17A3" w:rsidRPr="00A002D0" w:rsidRDefault="00EE17A3" w:rsidP="001E0D6D">
      <w:pPr>
        <w:pStyle w:val="a5"/>
        <w:numPr>
          <w:ilvl w:val="1"/>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Acceptability: </w:t>
      </w:r>
      <w:r w:rsidR="003D356D" w:rsidRPr="00A002D0">
        <w:rPr>
          <w:rFonts w:ascii="Cambria Math" w:eastAsia="宋体" w:hAnsi="Cambria Math" w:cs="Cambria Math"/>
        </w:rPr>
        <w:t>①</w:t>
      </w:r>
      <w:r w:rsidRPr="00A002D0">
        <w:rPr>
          <w:rFonts w:ascii="Times New Roman" w:eastAsia="黑体" w:hAnsi="Times New Roman" w:cs="Times New Roman"/>
        </w:rPr>
        <w:t xml:space="preserve"> </w:t>
      </w:r>
      <w:r w:rsidR="00A63D9C" w:rsidRPr="00A002D0">
        <w:rPr>
          <w:rFonts w:ascii="Times New Roman" w:eastAsia="黑体" w:hAnsi="Times New Roman" w:cs="Times New Roman"/>
        </w:rPr>
        <w:t>withdrawals</w:t>
      </w:r>
      <w:r w:rsidRPr="00A002D0">
        <w:rPr>
          <w:rFonts w:ascii="Times New Roman" w:eastAsia="黑体" w:hAnsi="Times New Roman" w:cs="Times New Roman"/>
        </w:rPr>
        <w:t xml:space="preserve"> </w:t>
      </w:r>
      <w:r w:rsidR="001F6665" w:rsidRPr="00A002D0">
        <w:rPr>
          <w:rFonts w:ascii="Times New Roman" w:eastAsia="黑体" w:hAnsi="Times New Roman" w:cs="Times New Roman"/>
        </w:rPr>
        <w:t>due to</w:t>
      </w:r>
      <w:r w:rsidRPr="00A002D0">
        <w:rPr>
          <w:rFonts w:ascii="Times New Roman" w:eastAsia="黑体" w:hAnsi="Times New Roman" w:cs="Times New Roman"/>
        </w:rPr>
        <w:t xml:space="preserve"> any reason; </w:t>
      </w:r>
      <w:r w:rsidR="003D356D" w:rsidRPr="00A002D0">
        <w:rPr>
          <w:rFonts w:ascii="Cambria Math" w:eastAsia="宋体" w:hAnsi="Cambria Math" w:cs="Cambria Math"/>
        </w:rPr>
        <w:t>②</w:t>
      </w:r>
      <w:r w:rsidRPr="00A002D0">
        <w:rPr>
          <w:rFonts w:ascii="Times New Roman" w:eastAsia="黑体" w:hAnsi="Times New Roman" w:cs="Times New Roman"/>
        </w:rPr>
        <w:t xml:space="preserve"> acceptance </w:t>
      </w:r>
      <w:r w:rsidR="001F6665" w:rsidRPr="00A002D0">
        <w:rPr>
          <w:rFonts w:ascii="Times New Roman" w:eastAsia="黑体" w:hAnsi="Times New Roman" w:cs="Times New Roman"/>
        </w:rPr>
        <w:t xml:space="preserve">of </w:t>
      </w:r>
      <w:r w:rsidR="00711309" w:rsidRPr="00A002D0">
        <w:rPr>
          <w:rFonts w:ascii="Times New Roman" w:eastAsia="黑体" w:hAnsi="Times New Roman" w:cs="Times New Roman"/>
        </w:rPr>
        <w:t>taste</w:t>
      </w:r>
      <w:r w:rsidRPr="00A002D0">
        <w:rPr>
          <w:rFonts w:ascii="Times New Roman" w:eastAsia="黑体" w:hAnsi="Times New Roman" w:cs="Times New Roman"/>
        </w:rPr>
        <w:t>.</w:t>
      </w:r>
    </w:p>
    <w:p w14:paraId="41658EBF" w14:textId="6E9FB62D" w:rsidR="00EE17A3" w:rsidRPr="00A002D0" w:rsidRDefault="00EE17A3" w:rsidP="001E0D6D">
      <w:pPr>
        <w:pStyle w:val="a5"/>
        <w:numPr>
          <w:ilvl w:val="1"/>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Tolerability: </w:t>
      </w:r>
      <w:r w:rsidR="00A63D9C" w:rsidRPr="00A002D0">
        <w:rPr>
          <w:rFonts w:ascii="Times New Roman" w:eastAsia="黑体" w:hAnsi="Times New Roman" w:cs="Times New Roman"/>
        </w:rPr>
        <w:t>withdrawals</w:t>
      </w:r>
      <w:r w:rsidRPr="00A002D0">
        <w:rPr>
          <w:rFonts w:ascii="Times New Roman" w:eastAsia="黑体" w:hAnsi="Times New Roman" w:cs="Times New Roman"/>
        </w:rPr>
        <w:t xml:space="preserve"> due to</w:t>
      </w:r>
      <w:r w:rsidR="00770C38" w:rsidRPr="00A002D0">
        <w:rPr>
          <w:rFonts w:ascii="Times New Roman" w:eastAsia="黑体" w:hAnsi="Times New Roman" w:cs="Times New Roman"/>
        </w:rPr>
        <w:t xml:space="preserve"> any</w:t>
      </w:r>
      <w:r w:rsidRPr="00A002D0">
        <w:rPr>
          <w:rFonts w:ascii="Times New Roman" w:eastAsia="黑体" w:hAnsi="Times New Roman" w:cs="Times New Roman"/>
        </w:rPr>
        <w:t xml:space="preserve"> adverse event</w:t>
      </w:r>
      <w:r w:rsidR="00770C38" w:rsidRPr="00A002D0">
        <w:rPr>
          <w:rFonts w:ascii="Times New Roman" w:eastAsia="黑体" w:hAnsi="Times New Roman" w:cs="Times New Roman"/>
        </w:rPr>
        <w:t xml:space="preserve"> (AE)</w:t>
      </w:r>
      <w:r w:rsidRPr="00A002D0">
        <w:rPr>
          <w:rFonts w:ascii="Times New Roman" w:eastAsia="黑体" w:hAnsi="Times New Roman" w:cs="Times New Roman"/>
        </w:rPr>
        <w:t>.</w:t>
      </w:r>
    </w:p>
    <w:p w14:paraId="7022039C" w14:textId="0497C7CA" w:rsidR="00EE17A3" w:rsidRPr="00A002D0" w:rsidRDefault="00EE17A3" w:rsidP="001E0D6D">
      <w:pPr>
        <w:pStyle w:val="a5"/>
        <w:numPr>
          <w:ilvl w:val="1"/>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Safety: </w:t>
      </w:r>
      <w:r w:rsidRPr="00A002D0">
        <w:rPr>
          <w:rFonts w:ascii="Cambria Math" w:eastAsia="宋体" w:hAnsi="Cambria Math" w:cs="Cambria Math"/>
        </w:rPr>
        <w:t>①</w:t>
      </w:r>
      <w:r w:rsidR="008509AB" w:rsidRPr="00A002D0">
        <w:rPr>
          <w:rFonts w:ascii="Times New Roman" w:eastAsia="黑体" w:hAnsi="Times New Roman" w:cs="Times New Roman"/>
        </w:rPr>
        <w:t xml:space="preserve"> </w:t>
      </w:r>
      <w:r w:rsidRPr="00A002D0">
        <w:rPr>
          <w:rFonts w:ascii="Times New Roman" w:eastAsia="黑体" w:hAnsi="Times New Roman" w:cs="Times New Roman"/>
        </w:rPr>
        <w:t xml:space="preserve">any </w:t>
      </w:r>
      <w:r w:rsidR="00770C38" w:rsidRPr="00A002D0">
        <w:rPr>
          <w:rFonts w:ascii="Times New Roman" w:eastAsia="黑体" w:hAnsi="Times New Roman" w:cs="Times New Roman"/>
        </w:rPr>
        <w:t>AE</w:t>
      </w:r>
      <w:r w:rsidR="008509AB" w:rsidRPr="00A002D0">
        <w:rPr>
          <w:rFonts w:ascii="Times New Roman" w:eastAsia="黑体" w:hAnsi="Times New Roman" w:cs="Times New Roman"/>
        </w:rPr>
        <w:t xml:space="preserve"> related to intervention</w:t>
      </w:r>
      <w:r w:rsidRPr="00A002D0">
        <w:rPr>
          <w:rFonts w:ascii="Times New Roman" w:eastAsia="黑体" w:hAnsi="Times New Roman" w:cs="Times New Roman"/>
        </w:rPr>
        <w:t xml:space="preserve">; </w:t>
      </w:r>
      <w:r w:rsidRPr="00A002D0">
        <w:rPr>
          <w:rFonts w:ascii="Cambria Math" w:eastAsia="宋体" w:hAnsi="Cambria Math" w:cs="Cambria Math"/>
        </w:rPr>
        <w:t>②</w:t>
      </w:r>
      <w:r w:rsidR="000A0AC6" w:rsidRPr="00A002D0">
        <w:rPr>
          <w:rFonts w:ascii="Times New Roman" w:eastAsia="黑体" w:hAnsi="Times New Roman" w:cs="Times New Roman"/>
        </w:rPr>
        <w:t xml:space="preserve"> </w:t>
      </w:r>
      <w:r w:rsidR="00ED7AE1" w:rsidRPr="00A002D0">
        <w:rPr>
          <w:rFonts w:ascii="Times New Roman" w:eastAsia="黑体" w:hAnsi="Times New Roman" w:cs="Times New Roman"/>
        </w:rPr>
        <w:t>Blood</w:t>
      </w:r>
      <w:r w:rsidRPr="00A002D0">
        <w:rPr>
          <w:rFonts w:ascii="Times New Roman" w:eastAsia="黑体" w:hAnsi="Times New Roman" w:cs="Times New Roman"/>
        </w:rPr>
        <w:t xml:space="preserve"> sodium</w:t>
      </w:r>
      <w:r w:rsidR="008509AB" w:rsidRPr="00A002D0">
        <w:rPr>
          <w:rFonts w:ascii="Times New Roman" w:eastAsia="黑体" w:hAnsi="Times New Roman" w:cs="Times New Roman"/>
        </w:rPr>
        <w:t xml:space="preserve">; </w:t>
      </w:r>
      <w:r w:rsidR="008509AB" w:rsidRPr="00A002D0">
        <w:rPr>
          <w:rFonts w:ascii="Cambria Math" w:eastAsia="宋体" w:hAnsi="Cambria Math" w:cs="Cambria Math"/>
        </w:rPr>
        <w:t>③</w:t>
      </w:r>
      <w:r w:rsidR="008509AB" w:rsidRPr="00A002D0">
        <w:rPr>
          <w:rFonts w:ascii="Times New Roman" w:eastAsia="黑体" w:hAnsi="Times New Roman" w:cs="Times New Roman"/>
        </w:rPr>
        <w:t xml:space="preserve"> </w:t>
      </w:r>
      <w:r w:rsidR="00ED7AE1" w:rsidRPr="00A002D0">
        <w:rPr>
          <w:rFonts w:ascii="Times New Roman" w:eastAsia="黑体" w:hAnsi="Times New Roman" w:cs="Times New Roman"/>
        </w:rPr>
        <w:t>Blood</w:t>
      </w:r>
      <w:r w:rsidR="008509AB" w:rsidRPr="00A002D0">
        <w:rPr>
          <w:rFonts w:ascii="Times New Roman" w:eastAsia="黑体" w:hAnsi="Times New Roman" w:cs="Times New Roman"/>
        </w:rPr>
        <w:t xml:space="preserve"> </w:t>
      </w:r>
      <w:r w:rsidRPr="00A002D0">
        <w:rPr>
          <w:rFonts w:ascii="Times New Roman" w:eastAsia="黑体" w:hAnsi="Times New Roman" w:cs="Times New Roman"/>
        </w:rPr>
        <w:t>potassium;</w:t>
      </w:r>
      <w:r w:rsidR="000A0AC6" w:rsidRPr="00A002D0">
        <w:rPr>
          <w:rFonts w:ascii="Times New Roman" w:eastAsia="黑体" w:hAnsi="Times New Roman" w:cs="Times New Roman"/>
        </w:rPr>
        <w:t xml:space="preserve"> </w:t>
      </w:r>
      <w:r w:rsidR="008509AB" w:rsidRPr="00A002D0">
        <w:rPr>
          <w:rFonts w:ascii="Cambria Math" w:eastAsia="宋体" w:hAnsi="Cambria Math" w:cs="Cambria Math"/>
        </w:rPr>
        <w:t>④</w:t>
      </w:r>
      <w:r w:rsidR="000A0AC6" w:rsidRPr="00A002D0">
        <w:rPr>
          <w:rFonts w:ascii="Times New Roman" w:eastAsia="黑体" w:hAnsi="Times New Roman" w:cs="Times New Roman"/>
        </w:rPr>
        <w:t xml:space="preserve">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sodium</w:t>
      </w:r>
      <w:r w:rsidR="008509AB" w:rsidRPr="00A002D0">
        <w:rPr>
          <w:rFonts w:ascii="Times New Roman" w:eastAsia="黑体" w:hAnsi="Times New Roman" w:cs="Times New Roman"/>
        </w:rPr>
        <w:t xml:space="preserve">; </w:t>
      </w:r>
      <w:r w:rsidR="008509AB" w:rsidRPr="00A002D0">
        <w:rPr>
          <w:rFonts w:ascii="Times New Roman" w:eastAsia="黑体" w:hAnsi="Times New Roman" w:cs="Times New Roman"/>
        </w:rPr>
        <w:fldChar w:fldCharType="begin"/>
      </w:r>
      <w:r w:rsidR="008509AB" w:rsidRPr="00A002D0">
        <w:rPr>
          <w:rFonts w:ascii="Times New Roman" w:eastAsia="黑体" w:hAnsi="Times New Roman" w:cs="Times New Roman"/>
        </w:rPr>
        <w:instrText xml:space="preserve"> = 5 \* GB3 </w:instrText>
      </w:r>
      <w:r w:rsidR="008509AB" w:rsidRPr="00A002D0">
        <w:rPr>
          <w:rFonts w:ascii="Times New Roman" w:eastAsia="黑体" w:hAnsi="Times New Roman" w:cs="Times New Roman"/>
        </w:rPr>
        <w:fldChar w:fldCharType="separate"/>
      </w:r>
      <w:r w:rsidR="008509AB" w:rsidRPr="00A002D0">
        <w:rPr>
          <w:rFonts w:ascii="Cambria Math" w:eastAsia="宋体" w:hAnsi="Cambria Math" w:cs="Cambria Math"/>
        </w:rPr>
        <w:t>⑤</w:t>
      </w:r>
      <w:r w:rsidR="008509AB" w:rsidRPr="00A002D0">
        <w:rPr>
          <w:rFonts w:ascii="Times New Roman" w:eastAsia="黑体" w:hAnsi="Times New Roman" w:cs="Times New Roman"/>
        </w:rPr>
        <w:fldChar w:fldCharType="end"/>
      </w:r>
      <w:r w:rsidR="008509AB" w:rsidRPr="00A002D0">
        <w:rPr>
          <w:rFonts w:ascii="Times New Roman" w:eastAsia="黑体" w:hAnsi="Times New Roman" w:cs="Times New Roman"/>
        </w:rPr>
        <w:t xml:space="preserve"> </w:t>
      </w:r>
      <w:r w:rsidR="00ED7AE1" w:rsidRPr="00A002D0">
        <w:rPr>
          <w:rFonts w:ascii="Times New Roman" w:eastAsia="黑体" w:hAnsi="Times New Roman" w:cs="Times New Roman"/>
        </w:rPr>
        <w:t>Urinary</w:t>
      </w:r>
      <w:r w:rsidR="008509AB" w:rsidRPr="00A002D0">
        <w:rPr>
          <w:rFonts w:ascii="Times New Roman" w:eastAsia="黑体" w:hAnsi="Times New Roman" w:cs="Times New Roman"/>
        </w:rPr>
        <w:t xml:space="preserve"> </w:t>
      </w:r>
      <w:r w:rsidRPr="00A002D0">
        <w:rPr>
          <w:rFonts w:ascii="Times New Roman" w:eastAsia="黑体" w:hAnsi="Times New Roman" w:cs="Times New Roman"/>
        </w:rPr>
        <w:t>potassium.</w:t>
      </w:r>
    </w:p>
    <w:p w14:paraId="025423C1" w14:textId="11E22FAD" w:rsidR="00C76AEF" w:rsidRPr="00A002D0" w:rsidRDefault="00EE17A3" w:rsidP="001E0D6D">
      <w:pPr>
        <w:pStyle w:val="a5"/>
        <w:numPr>
          <w:ilvl w:val="0"/>
          <w:numId w:val="11"/>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Study design</w:t>
      </w:r>
      <w:r w:rsidR="006D5F88" w:rsidRPr="00A002D0">
        <w:rPr>
          <w:rFonts w:ascii="Times New Roman" w:eastAsia="黑体" w:hAnsi="Times New Roman" w:cs="Times New Roman"/>
        </w:rPr>
        <w:t>: r</w:t>
      </w:r>
      <w:r w:rsidRPr="00A002D0">
        <w:rPr>
          <w:rFonts w:ascii="Times New Roman" w:eastAsia="黑体" w:hAnsi="Times New Roman" w:cs="Times New Roman"/>
        </w:rPr>
        <w:t>andomised controlled trials (RCTs), including parallel, crossover, or cluster-randomi</w:t>
      </w:r>
      <w:r w:rsidR="000A0AC6" w:rsidRPr="00A002D0">
        <w:rPr>
          <w:rFonts w:ascii="Times New Roman" w:eastAsia="黑体" w:hAnsi="Times New Roman" w:cs="Times New Roman"/>
        </w:rPr>
        <w:t>s</w:t>
      </w:r>
      <w:r w:rsidRPr="00A002D0">
        <w:rPr>
          <w:rFonts w:ascii="Times New Roman" w:eastAsia="黑体" w:hAnsi="Times New Roman" w:cs="Times New Roman"/>
        </w:rPr>
        <w:t>ed controlled designs, wherein participants or clusters were randomly allocated to interventions, without publication status and language restrictions.</w:t>
      </w:r>
    </w:p>
    <w:p w14:paraId="0A8215E5" w14:textId="5482818D" w:rsidR="00493DAB" w:rsidRDefault="00493DAB" w:rsidP="001E0D6D">
      <w:pPr>
        <w:spacing w:line="360" w:lineRule="auto"/>
        <w:rPr>
          <w:rFonts w:eastAsia="黑体"/>
          <w:color w:val="0A0905"/>
          <w:sz w:val="20"/>
          <w:szCs w:val="20"/>
        </w:rPr>
      </w:pPr>
      <w:r w:rsidRPr="00A002D0">
        <w:rPr>
          <w:rFonts w:eastAsia="黑体"/>
          <w:color w:val="0A0905"/>
          <w:sz w:val="20"/>
          <w:szCs w:val="20"/>
        </w:rPr>
        <w:br w:type="page"/>
      </w:r>
    </w:p>
    <w:p w14:paraId="426EE637" w14:textId="341F12AD" w:rsidR="007377E6" w:rsidRPr="00A002D0" w:rsidRDefault="007377E6" w:rsidP="007377E6">
      <w:pPr>
        <w:pStyle w:val="3"/>
        <w:spacing w:line="360" w:lineRule="auto"/>
        <w:rPr>
          <w:rFonts w:ascii="Times New Roman" w:eastAsia="黑体" w:hAnsi="Times New Roman" w:cs="Times New Roman"/>
          <w:sz w:val="24"/>
          <w:szCs w:val="24"/>
        </w:rPr>
      </w:pPr>
      <w:bookmarkStart w:id="13" w:name="_Toc211461917"/>
      <w:r>
        <w:rPr>
          <w:rFonts w:ascii="Times New Roman" w:eastAsia="黑体" w:hAnsi="Times New Roman" w:cs="Times New Roman"/>
          <w:sz w:val="24"/>
          <w:szCs w:val="24"/>
        </w:rPr>
        <w:lastRenderedPageBreak/>
        <w:t>List of excluded records</w:t>
      </w:r>
      <w:bookmarkEnd w:id="13"/>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1134"/>
        <w:gridCol w:w="2268"/>
      </w:tblGrid>
      <w:tr w:rsidR="008F31FB" w:rsidRPr="000D0DBA" w14:paraId="350B88CB" w14:textId="77777777" w:rsidTr="008F31FB">
        <w:trPr>
          <w:trHeight w:val="320"/>
        </w:trPr>
        <w:tc>
          <w:tcPr>
            <w:tcW w:w="4535" w:type="dxa"/>
            <w:noWrap/>
            <w:vAlign w:val="center"/>
            <w:hideMark/>
          </w:tcPr>
          <w:p w14:paraId="639C4EDB" w14:textId="77777777" w:rsidR="008F31FB" w:rsidRPr="008F31FB" w:rsidRDefault="008F31FB" w:rsidP="00AB61A4">
            <w:pPr>
              <w:spacing w:line="360" w:lineRule="auto"/>
              <w:rPr>
                <w:rFonts w:eastAsia="DengXian"/>
                <w:b/>
                <w:bCs/>
                <w:color w:val="000000"/>
              </w:rPr>
            </w:pPr>
            <w:r w:rsidRPr="008F31FB">
              <w:rPr>
                <w:rFonts w:eastAsia="DengXian"/>
                <w:b/>
                <w:bCs/>
                <w:color w:val="000000"/>
              </w:rPr>
              <w:t>Title</w:t>
            </w:r>
          </w:p>
        </w:tc>
        <w:tc>
          <w:tcPr>
            <w:tcW w:w="1134" w:type="dxa"/>
            <w:noWrap/>
            <w:vAlign w:val="center"/>
            <w:hideMark/>
          </w:tcPr>
          <w:p w14:paraId="7E8A2476" w14:textId="77777777" w:rsidR="008F31FB" w:rsidRPr="008F31FB" w:rsidRDefault="008F31FB" w:rsidP="00AB61A4">
            <w:pPr>
              <w:spacing w:line="360" w:lineRule="auto"/>
              <w:rPr>
                <w:rFonts w:eastAsia="DengXian"/>
                <w:b/>
                <w:bCs/>
                <w:color w:val="000000"/>
              </w:rPr>
            </w:pPr>
            <w:r w:rsidRPr="008F31FB">
              <w:rPr>
                <w:rFonts w:eastAsia="DengXian"/>
                <w:b/>
                <w:bCs/>
                <w:color w:val="000000"/>
              </w:rPr>
              <w:t>Year</w:t>
            </w:r>
          </w:p>
        </w:tc>
        <w:tc>
          <w:tcPr>
            <w:tcW w:w="2268" w:type="dxa"/>
            <w:noWrap/>
            <w:vAlign w:val="center"/>
            <w:hideMark/>
          </w:tcPr>
          <w:p w14:paraId="14A5BB34" w14:textId="77777777" w:rsidR="008F31FB" w:rsidRPr="008F31FB" w:rsidRDefault="008F31FB" w:rsidP="00AB61A4">
            <w:pPr>
              <w:spacing w:line="360" w:lineRule="auto"/>
              <w:rPr>
                <w:rFonts w:eastAsia="DengXian"/>
                <w:b/>
                <w:bCs/>
                <w:color w:val="000000"/>
              </w:rPr>
            </w:pPr>
            <w:r w:rsidRPr="008F31FB">
              <w:rPr>
                <w:rFonts w:eastAsia="DengXian"/>
                <w:b/>
                <w:bCs/>
                <w:color w:val="000000"/>
              </w:rPr>
              <w:t>Reason</w:t>
            </w:r>
          </w:p>
        </w:tc>
      </w:tr>
      <w:tr w:rsidR="004157FA" w:rsidRPr="008F31FB" w14:paraId="67939D02" w14:textId="77777777" w:rsidTr="008F31FB">
        <w:trPr>
          <w:trHeight w:val="320"/>
        </w:trPr>
        <w:tc>
          <w:tcPr>
            <w:tcW w:w="4535" w:type="dxa"/>
            <w:noWrap/>
            <w:vAlign w:val="center"/>
          </w:tcPr>
          <w:p w14:paraId="4C9B68DF" w14:textId="5A1041CB" w:rsidR="004157FA" w:rsidRPr="008F31FB" w:rsidRDefault="004157FA" w:rsidP="004157FA">
            <w:pPr>
              <w:spacing w:line="360" w:lineRule="auto"/>
              <w:rPr>
                <w:rFonts w:eastAsia="DengXian"/>
                <w:color w:val="000000"/>
              </w:rPr>
            </w:pPr>
            <w:r w:rsidRPr="004157FA">
              <w:rPr>
                <w:rFonts w:eastAsia="DengXian"/>
                <w:color w:val="000000"/>
              </w:rPr>
              <w:t>Secondary analysis of the salt substitute and stroke study (SSaSS): Effects of potassium-enriched salt on cardiac outcomes</w:t>
            </w:r>
          </w:p>
        </w:tc>
        <w:tc>
          <w:tcPr>
            <w:tcW w:w="1134" w:type="dxa"/>
            <w:noWrap/>
            <w:vAlign w:val="center"/>
          </w:tcPr>
          <w:p w14:paraId="0113104D" w14:textId="224038B1" w:rsidR="004157FA" w:rsidRPr="008F31FB" w:rsidRDefault="004157FA" w:rsidP="004157FA">
            <w:pPr>
              <w:spacing w:line="360" w:lineRule="auto"/>
              <w:rPr>
                <w:rFonts w:eastAsia="DengXian"/>
                <w:color w:val="000000"/>
              </w:rPr>
            </w:pPr>
            <w:r w:rsidRPr="008F31FB">
              <w:rPr>
                <w:rFonts w:eastAsia="DengXian"/>
                <w:color w:val="000000"/>
              </w:rPr>
              <w:t>2025</w:t>
            </w:r>
          </w:p>
        </w:tc>
        <w:tc>
          <w:tcPr>
            <w:tcW w:w="2268" w:type="dxa"/>
            <w:noWrap/>
            <w:vAlign w:val="center"/>
          </w:tcPr>
          <w:p w14:paraId="536512EB" w14:textId="14CBB2AC" w:rsidR="004157FA" w:rsidRPr="008F31FB" w:rsidRDefault="004157FA" w:rsidP="004157FA">
            <w:pPr>
              <w:spacing w:line="360" w:lineRule="auto"/>
              <w:rPr>
                <w:rFonts w:eastAsia="DengXian"/>
                <w:color w:val="000000"/>
              </w:rPr>
            </w:pPr>
            <w:r w:rsidRPr="008F31FB">
              <w:rPr>
                <w:rFonts w:eastAsia="DengXian"/>
                <w:color w:val="000000"/>
              </w:rPr>
              <w:t>Duplicate data sources</w:t>
            </w:r>
          </w:p>
        </w:tc>
      </w:tr>
      <w:tr w:rsidR="002F7C8D" w:rsidRPr="008F31FB" w14:paraId="2C5D537E" w14:textId="77777777" w:rsidTr="008F31FB">
        <w:trPr>
          <w:trHeight w:val="320"/>
        </w:trPr>
        <w:tc>
          <w:tcPr>
            <w:tcW w:w="4535" w:type="dxa"/>
            <w:noWrap/>
            <w:vAlign w:val="center"/>
            <w:hideMark/>
          </w:tcPr>
          <w:p w14:paraId="168B917D" w14:textId="77777777" w:rsidR="008F31FB" w:rsidRPr="008F31FB" w:rsidRDefault="008F31FB" w:rsidP="00AB61A4">
            <w:pPr>
              <w:spacing w:line="360" w:lineRule="auto"/>
              <w:rPr>
                <w:rFonts w:eastAsia="DengXian"/>
                <w:color w:val="000000"/>
              </w:rPr>
            </w:pPr>
            <w:r w:rsidRPr="008F31FB">
              <w:rPr>
                <w:rFonts w:eastAsia="DengXian"/>
                <w:color w:val="000000"/>
              </w:rPr>
              <w:t>Salt substitution and recurrent stroke and death: A randomized clinical trial</w:t>
            </w:r>
          </w:p>
        </w:tc>
        <w:tc>
          <w:tcPr>
            <w:tcW w:w="1134" w:type="dxa"/>
            <w:noWrap/>
            <w:vAlign w:val="center"/>
            <w:hideMark/>
          </w:tcPr>
          <w:p w14:paraId="035935AA"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106C78A7"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2F7C8D" w:rsidRPr="008F31FB" w14:paraId="2B00668C" w14:textId="77777777" w:rsidTr="008F31FB">
        <w:trPr>
          <w:trHeight w:val="320"/>
        </w:trPr>
        <w:tc>
          <w:tcPr>
            <w:tcW w:w="4535" w:type="dxa"/>
            <w:noWrap/>
            <w:vAlign w:val="center"/>
            <w:hideMark/>
          </w:tcPr>
          <w:p w14:paraId="1358E4CA" w14:textId="77777777" w:rsidR="008F31FB" w:rsidRPr="008F31FB" w:rsidRDefault="008F31FB" w:rsidP="00AB61A4">
            <w:pPr>
              <w:spacing w:line="360" w:lineRule="auto"/>
              <w:rPr>
                <w:rFonts w:eastAsia="DengXian"/>
                <w:color w:val="000000"/>
              </w:rPr>
            </w:pPr>
            <w:r w:rsidRPr="008F31FB">
              <w:rPr>
                <w:rFonts w:eastAsia="DengXian"/>
                <w:color w:val="000000"/>
              </w:rPr>
              <w:t>Effects of salt substitution on cumulative blood pressure: A secondary analysis of the SSaSS</w:t>
            </w:r>
          </w:p>
        </w:tc>
        <w:tc>
          <w:tcPr>
            <w:tcW w:w="1134" w:type="dxa"/>
            <w:noWrap/>
            <w:vAlign w:val="center"/>
            <w:hideMark/>
          </w:tcPr>
          <w:p w14:paraId="544DCEF5"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480961F9"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2F7C8D" w:rsidRPr="008F31FB" w14:paraId="526FCE0E" w14:textId="77777777" w:rsidTr="008F31FB">
        <w:trPr>
          <w:trHeight w:val="320"/>
        </w:trPr>
        <w:tc>
          <w:tcPr>
            <w:tcW w:w="4535" w:type="dxa"/>
            <w:noWrap/>
            <w:vAlign w:val="center"/>
            <w:hideMark/>
          </w:tcPr>
          <w:p w14:paraId="496AE193" w14:textId="77777777" w:rsidR="008F31FB" w:rsidRPr="008F31FB" w:rsidRDefault="008F31FB" w:rsidP="00AB61A4">
            <w:pPr>
              <w:spacing w:line="360" w:lineRule="auto"/>
              <w:rPr>
                <w:rFonts w:eastAsia="DengXian"/>
                <w:color w:val="000000"/>
              </w:rPr>
            </w:pPr>
            <w:r w:rsidRPr="008F31FB">
              <w:rPr>
                <w:rFonts w:eastAsia="DengXian"/>
                <w:color w:val="000000"/>
              </w:rPr>
              <w:t>Effect of sodium-reduced potassium-enriched salt substitutes on stomach cancer: The salt substitute and stroke study (SSaSS)</w:t>
            </w:r>
          </w:p>
        </w:tc>
        <w:tc>
          <w:tcPr>
            <w:tcW w:w="1134" w:type="dxa"/>
            <w:noWrap/>
            <w:vAlign w:val="center"/>
            <w:hideMark/>
          </w:tcPr>
          <w:p w14:paraId="245CA0A4"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108B7E0F"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2F7C8D" w:rsidRPr="008F31FB" w14:paraId="7A3EE13D" w14:textId="77777777" w:rsidTr="008F31FB">
        <w:trPr>
          <w:trHeight w:val="320"/>
        </w:trPr>
        <w:tc>
          <w:tcPr>
            <w:tcW w:w="4535" w:type="dxa"/>
            <w:noWrap/>
            <w:vAlign w:val="center"/>
            <w:hideMark/>
          </w:tcPr>
          <w:p w14:paraId="2640C94D" w14:textId="77777777" w:rsidR="008F31FB" w:rsidRPr="008F31FB" w:rsidRDefault="008F31FB" w:rsidP="00AB61A4">
            <w:pPr>
              <w:spacing w:line="360" w:lineRule="auto"/>
              <w:rPr>
                <w:rFonts w:eastAsia="DengXian"/>
                <w:color w:val="000000"/>
              </w:rPr>
            </w:pPr>
            <w:r w:rsidRPr="008F31FB">
              <w:rPr>
                <w:rFonts w:eastAsia="DengXian"/>
                <w:color w:val="000000"/>
              </w:rPr>
              <w:t>Diurnal Urinary Aldosterone Excretion and Potassium Intake During Pregnancy Are Associated With High Normal Blood Pressure in Early Childhood.</w:t>
            </w:r>
          </w:p>
        </w:tc>
        <w:tc>
          <w:tcPr>
            <w:tcW w:w="1134" w:type="dxa"/>
            <w:noWrap/>
            <w:vAlign w:val="center"/>
            <w:hideMark/>
          </w:tcPr>
          <w:p w14:paraId="1E775D20"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643C5968"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2F7C8D" w:rsidRPr="008F31FB" w14:paraId="5E102C77" w14:textId="77777777" w:rsidTr="008F31FB">
        <w:trPr>
          <w:trHeight w:val="320"/>
        </w:trPr>
        <w:tc>
          <w:tcPr>
            <w:tcW w:w="4535" w:type="dxa"/>
            <w:noWrap/>
            <w:vAlign w:val="center"/>
            <w:hideMark/>
          </w:tcPr>
          <w:p w14:paraId="5953E808" w14:textId="77777777" w:rsidR="008F31FB" w:rsidRPr="008F31FB" w:rsidRDefault="008F31FB" w:rsidP="00AB61A4">
            <w:pPr>
              <w:spacing w:line="360" w:lineRule="auto"/>
              <w:rPr>
                <w:rFonts w:eastAsia="DengXian"/>
                <w:color w:val="000000"/>
              </w:rPr>
            </w:pPr>
            <w:r w:rsidRPr="008F31FB">
              <w:rPr>
                <w:rFonts w:eastAsia="DengXian"/>
                <w:color w:val="000000"/>
              </w:rPr>
              <w:t>Clinical benefits of icodextrin in peritoneal dialysis: Evidence from a multicenter, prospective, randomized controlled trial.</w:t>
            </w:r>
          </w:p>
        </w:tc>
        <w:tc>
          <w:tcPr>
            <w:tcW w:w="1134" w:type="dxa"/>
            <w:noWrap/>
            <w:vAlign w:val="center"/>
            <w:hideMark/>
          </w:tcPr>
          <w:p w14:paraId="02F952F3"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31EFF82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30D4A971" w14:textId="77777777" w:rsidTr="008F31FB">
        <w:trPr>
          <w:trHeight w:val="320"/>
        </w:trPr>
        <w:tc>
          <w:tcPr>
            <w:tcW w:w="4535" w:type="dxa"/>
            <w:noWrap/>
            <w:vAlign w:val="center"/>
            <w:hideMark/>
          </w:tcPr>
          <w:p w14:paraId="2D86AD78" w14:textId="77777777" w:rsidR="008F31FB" w:rsidRPr="008F31FB" w:rsidRDefault="008F31FB" w:rsidP="00AB61A4">
            <w:pPr>
              <w:spacing w:line="360" w:lineRule="auto"/>
              <w:rPr>
                <w:rFonts w:eastAsia="DengXian"/>
                <w:color w:val="000000"/>
              </w:rPr>
            </w:pPr>
            <w:r w:rsidRPr="008F31FB">
              <w:rPr>
                <w:rFonts w:eastAsia="DengXian"/>
                <w:color w:val="000000"/>
              </w:rPr>
              <w:t>Effects of physiological doses of atrial natriuretic peptide on lipolysis, ketogenesis, and glucose metabolism in men.</w:t>
            </w:r>
          </w:p>
        </w:tc>
        <w:tc>
          <w:tcPr>
            <w:tcW w:w="1134" w:type="dxa"/>
            <w:noWrap/>
            <w:vAlign w:val="center"/>
            <w:hideMark/>
          </w:tcPr>
          <w:p w14:paraId="22B99F13"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4618648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71BC616B" w14:textId="77777777" w:rsidTr="008F31FB">
        <w:trPr>
          <w:trHeight w:val="320"/>
        </w:trPr>
        <w:tc>
          <w:tcPr>
            <w:tcW w:w="4535" w:type="dxa"/>
            <w:noWrap/>
            <w:vAlign w:val="center"/>
            <w:hideMark/>
          </w:tcPr>
          <w:p w14:paraId="69752233" w14:textId="77777777" w:rsidR="008F31FB" w:rsidRPr="008F31FB" w:rsidRDefault="008F31FB" w:rsidP="00AB61A4">
            <w:pPr>
              <w:spacing w:line="360" w:lineRule="auto"/>
              <w:rPr>
                <w:rFonts w:eastAsia="DengXian"/>
                <w:color w:val="000000"/>
              </w:rPr>
            </w:pPr>
            <w:r w:rsidRPr="008F31FB">
              <w:rPr>
                <w:rFonts w:eastAsia="DengXian"/>
                <w:color w:val="000000"/>
              </w:rPr>
              <w:t>Effect of sodium balance on levels of nitrates in healthy subjects: Posthoc analysis of a randomized, double-blinded, placebo-controlled, crossover study.</w:t>
            </w:r>
          </w:p>
        </w:tc>
        <w:tc>
          <w:tcPr>
            <w:tcW w:w="1134" w:type="dxa"/>
            <w:noWrap/>
            <w:vAlign w:val="center"/>
            <w:hideMark/>
          </w:tcPr>
          <w:p w14:paraId="4DADE9AD"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23EA61F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506F56FF" w14:textId="77777777" w:rsidTr="008F31FB">
        <w:trPr>
          <w:trHeight w:val="320"/>
        </w:trPr>
        <w:tc>
          <w:tcPr>
            <w:tcW w:w="4535" w:type="dxa"/>
            <w:noWrap/>
            <w:vAlign w:val="center"/>
            <w:hideMark/>
          </w:tcPr>
          <w:p w14:paraId="62F24446"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Sodium-Glucose Cotransporter 2 Inhibitor With and Without an Aldosterone Antagonist for Heart Failure With Preserved Ejection Fraction: The SOGALDI-PEF  Trial.</w:t>
            </w:r>
          </w:p>
        </w:tc>
        <w:tc>
          <w:tcPr>
            <w:tcW w:w="1134" w:type="dxa"/>
            <w:noWrap/>
            <w:vAlign w:val="center"/>
            <w:hideMark/>
          </w:tcPr>
          <w:p w14:paraId="03321BC2"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345F8B4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36108237" w14:textId="77777777" w:rsidTr="008F31FB">
        <w:trPr>
          <w:trHeight w:val="320"/>
        </w:trPr>
        <w:tc>
          <w:tcPr>
            <w:tcW w:w="4535" w:type="dxa"/>
            <w:noWrap/>
            <w:vAlign w:val="center"/>
            <w:hideMark/>
          </w:tcPr>
          <w:p w14:paraId="5A695F8F" w14:textId="77777777" w:rsidR="008F31FB" w:rsidRPr="008F31FB" w:rsidRDefault="008F31FB" w:rsidP="00AB61A4">
            <w:pPr>
              <w:spacing w:line="360" w:lineRule="auto"/>
              <w:rPr>
                <w:rFonts w:eastAsia="DengXian"/>
                <w:color w:val="000000"/>
              </w:rPr>
            </w:pPr>
            <w:r w:rsidRPr="008F31FB">
              <w:rPr>
                <w:rFonts w:eastAsia="DengXian"/>
                <w:color w:val="000000"/>
              </w:rPr>
              <w:t>Potassium quantification and sensory analysis in plant food cooking processes in heart disease patients.</w:t>
            </w:r>
          </w:p>
        </w:tc>
        <w:tc>
          <w:tcPr>
            <w:tcW w:w="1134" w:type="dxa"/>
            <w:noWrap/>
            <w:vAlign w:val="center"/>
            <w:hideMark/>
          </w:tcPr>
          <w:p w14:paraId="1783D282"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372F8BB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64C145E1" w14:textId="77777777" w:rsidTr="008F31FB">
        <w:trPr>
          <w:trHeight w:val="320"/>
        </w:trPr>
        <w:tc>
          <w:tcPr>
            <w:tcW w:w="4535" w:type="dxa"/>
            <w:noWrap/>
            <w:vAlign w:val="center"/>
            <w:hideMark/>
          </w:tcPr>
          <w:p w14:paraId="3260466E" w14:textId="77777777" w:rsidR="008F31FB" w:rsidRPr="008F31FB" w:rsidRDefault="008F31FB" w:rsidP="00AB61A4">
            <w:pPr>
              <w:spacing w:line="360" w:lineRule="auto"/>
              <w:rPr>
                <w:rFonts w:eastAsia="DengXian"/>
                <w:color w:val="000000"/>
              </w:rPr>
            </w:pPr>
            <w:r w:rsidRPr="008F31FB">
              <w:rPr>
                <w:rFonts w:eastAsia="DengXian"/>
                <w:color w:val="000000"/>
              </w:rPr>
              <w:t>Targeted Outreach by an Insurance Company Improved Dietary Habits and Urine Sodium/Potassium Ratios Among High-Risk Individuals with Lifestyle-Related  Diseases.</w:t>
            </w:r>
          </w:p>
        </w:tc>
        <w:tc>
          <w:tcPr>
            <w:tcW w:w="1134" w:type="dxa"/>
            <w:noWrap/>
            <w:vAlign w:val="center"/>
            <w:hideMark/>
          </w:tcPr>
          <w:p w14:paraId="327ACA9F"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2BBBF56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2EC80552" w14:textId="77777777" w:rsidTr="008F31FB">
        <w:trPr>
          <w:trHeight w:val="320"/>
        </w:trPr>
        <w:tc>
          <w:tcPr>
            <w:tcW w:w="4535" w:type="dxa"/>
            <w:noWrap/>
            <w:vAlign w:val="center"/>
            <w:hideMark/>
          </w:tcPr>
          <w:p w14:paraId="65A2B90E" w14:textId="77777777" w:rsidR="008F31FB" w:rsidRPr="008F31FB" w:rsidRDefault="008F31FB" w:rsidP="00AB61A4">
            <w:pPr>
              <w:spacing w:line="360" w:lineRule="auto"/>
              <w:rPr>
                <w:rFonts w:eastAsia="DengXian"/>
                <w:color w:val="000000"/>
              </w:rPr>
            </w:pPr>
            <w:r w:rsidRPr="008F31FB">
              <w:rPr>
                <w:rFonts w:eastAsia="DengXian"/>
                <w:color w:val="000000"/>
              </w:rPr>
              <w:t>The randomized DIALIZE-Outcomes trial evaluated sodium zirconium cyclosilicate in hemodialysis.</w:t>
            </w:r>
          </w:p>
        </w:tc>
        <w:tc>
          <w:tcPr>
            <w:tcW w:w="1134" w:type="dxa"/>
            <w:noWrap/>
            <w:vAlign w:val="center"/>
            <w:hideMark/>
          </w:tcPr>
          <w:p w14:paraId="2EA232A4"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1F7D8E4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54D1D47A" w14:textId="77777777" w:rsidTr="008F31FB">
        <w:trPr>
          <w:trHeight w:val="320"/>
        </w:trPr>
        <w:tc>
          <w:tcPr>
            <w:tcW w:w="4535" w:type="dxa"/>
            <w:noWrap/>
            <w:vAlign w:val="center"/>
            <w:hideMark/>
          </w:tcPr>
          <w:p w14:paraId="4A80F839" w14:textId="77777777" w:rsidR="008F31FB" w:rsidRPr="008F31FB" w:rsidRDefault="008F31FB" w:rsidP="00AB61A4">
            <w:pPr>
              <w:spacing w:line="360" w:lineRule="auto"/>
              <w:rPr>
                <w:rFonts w:eastAsia="DengXian"/>
                <w:color w:val="000000"/>
              </w:rPr>
            </w:pPr>
            <w:r w:rsidRPr="008F31FB">
              <w:rPr>
                <w:rFonts w:eastAsia="DengXian"/>
                <w:color w:val="000000"/>
              </w:rPr>
              <w:t>Lorundrostat in Participants With Uncontrolled Hypertension and Treatment-Resistant Hypertension: The Launch-HTN Randomized Clinical Trial.</w:t>
            </w:r>
          </w:p>
        </w:tc>
        <w:tc>
          <w:tcPr>
            <w:tcW w:w="1134" w:type="dxa"/>
            <w:noWrap/>
            <w:vAlign w:val="center"/>
            <w:hideMark/>
          </w:tcPr>
          <w:p w14:paraId="50BF8FF4"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6002570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6E7259EB" w14:textId="77777777" w:rsidTr="008F31FB">
        <w:trPr>
          <w:trHeight w:val="320"/>
        </w:trPr>
        <w:tc>
          <w:tcPr>
            <w:tcW w:w="4535" w:type="dxa"/>
            <w:noWrap/>
            <w:vAlign w:val="center"/>
            <w:hideMark/>
          </w:tcPr>
          <w:p w14:paraId="10D12EDB" w14:textId="77777777" w:rsidR="008F31FB" w:rsidRPr="008F31FB" w:rsidRDefault="008F31FB" w:rsidP="00AB61A4">
            <w:pPr>
              <w:spacing w:line="360" w:lineRule="auto"/>
              <w:rPr>
                <w:rFonts w:eastAsia="DengXian"/>
                <w:color w:val="000000"/>
              </w:rPr>
            </w:pPr>
            <w:r w:rsidRPr="008F31FB">
              <w:rPr>
                <w:rFonts w:eastAsia="DengXian"/>
                <w:color w:val="000000"/>
              </w:rPr>
              <w:t>Effect of low-sodium, potassium-rich salt based on the Chinese modified DASH diet on home blood pressure monitoring in patients with hypertension and type 2  diabetes: a clinical trial.</w:t>
            </w:r>
          </w:p>
        </w:tc>
        <w:tc>
          <w:tcPr>
            <w:tcW w:w="1134" w:type="dxa"/>
            <w:noWrap/>
            <w:vAlign w:val="center"/>
            <w:hideMark/>
          </w:tcPr>
          <w:p w14:paraId="43FF3591"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30B6C36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5CBFBABD" w14:textId="77777777" w:rsidTr="008F31FB">
        <w:trPr>
          <w:trHeight w:val="320"/>
        </w:trPr>
        <w:tc>
          <w:tcPr>
            <w:tcW w:w="4535" w:type="dxa"/>
            <w:noWrap/>
            <w:vAlign w:val="center"/>
            <w:hideMark/>
          </w:tcPr>
          <w:p w14:paraId="33F08BFA" w14:textId="77777777" w:rsidR="008F31FB" w:rsidRPr="008F31FB" w:rsidRDefault="008F31FB" w:rsidP="00AB61A4">
            <w:pPr>
              <w:spacing w:line="360" w:lineRule="auto"/>
              <w:rPr>
                <w:rFonts w:eastAsia="DengXian"/>
                <w:color w:val="000000"/>
              </w:rPr>
            </w:pPr>
            <w:r w:rsidRPr="008F31FB">
              <w:rPr>
                <w:rFonts w:eastAsia="DengXian"/>
                <w:color w:val="000000"/>
              </w:rPr>
              <w:t>Dietary Patterns, Sodium Reduction, and Blood Pressure in Type 2 Diabetes: The DASH4D Randomized Clinical Trial.</w:t>
            </w:r>
          </w:p>
        </w:tc>
        <w:tc>
          <w:tcPr>
            <w:tcW w:w="1134" w:type="dxa"/>
            <w:noWrap/>
            <w:vAlign w:val="center"/>
            <w:hideMark/>
          </w:tcPr>
          <w:p w14:paraId="2E36B62F"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03F8040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4F246B3C" w14:textId="77777777" w:rsidTr="008F31FB">
        <w:trPr>
          <w:trHeight w:val="320"/>
        </w:trPr>
        <w:tc>
          <w:tcPr>
            <w:tcW w:w="4535" w:type="dxa"/>
            <w:noWrap/>
            <w:vAlign w:val="center"/>
            <w:hideMark/>
          </w:tcPr>
          <w:p w14:paraId="426BCCF6"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A Randomized Clinical Trial of ICT-based Interventions for Sodium and Potassium Regulation in Healthy Adults.</w:t>
            </w:r>
          </w:p>
        </w:tc>
        <w:tc>
          <w:tcPr>
            <w:tcW w:w="1134" w:type="dxa"/>
            <w:noWrap/>
            <w:vAlign w:val="center"/>
            <w:hideMark/>
          </w:tcPr>
          <w:p w14:paraId="3CA2CD36"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4CA7744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6361AC10" w14:textId="77777777" w:rsidTr="008F31FB">
        <w:trPr>
          <w:trHeight w:val="320"/>
        </w:trPr>
        <w:tc>
          <w:tcPr>
            <w:tcW w:w="4535" w:type="dxa"/>
            <w:noWrap/>
            <w:vAlign w:val="center"/>
            <w:hideMark/>
          </w:tcPr>
          <w:p w14:paraId="4332B36A" w14:textId="77777777" w:rsidR="008F31FB" w:rsidRPr="008F31FB" w:rsidRDefault="008F31FB" w:rsidP="00AB61A4">
            <w:pPr>
              <w:spacing w:line="360" w:lineRule="auto"/>
              <w:rPr>
                <w:rFonts w:eastAsia="DengXian"/>
                <w:color w:val="000000"/>
              </w:rPr>
            </w:pPr>
            <w:r w:rsidRPr="008F31FB">
              <w:rPr>
                <w:rFonts w:eastAsia="DengXian"/>
                <w:color w:val="000000"/>
              </w:rPr>
              <w:t>Mannitol vs placebo for brain relaxation in cerebellopontine angle tumor surgeries: A randomized controlled trial.</w:t>
            </w:r>
          </w:p>
        </w:tc>
        <w:tc>
          <w:tcPr>
            <w:tcW w:w="1134" w:type="dxa"/>
            <w:noWrap/>
            <w:vAlign w:val="center"/>
            <w:hideMark/>
          </w:tcPr>
          <w:p w14:paraId="0B19C274"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7645808E"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579FBA49" w14:textId="77777777" w:rsidTr="008F31FB">
        <w:trPr>
          <w:trHeight w:val="320"/>
        </w:trPr>
        <w:tc>
          <w:tcPr>
            <w:tcW w:w="4535" w:type="dxa"/>
            <w:noWrap/>
            <w:vAlign w:val="center"/>
            <w:hideMark/>
          </w:tcPr>
          <w:p w14:paraId="3512D1FB" w14:textId="77777777" w:rsidR="008F31FB" w:rsidRPr="008F31FB" w:rsidRDefault="008F31FB" w:rsidP="00AB61A4">
            <w:pPr>
              <w:spacing w:line="360" w:lineRule="auto"/>
              <w:rPr>
                <w:rFonts w:eastAsia="DengXian"/>
                <w:color w:val="000000"/>
              </w:rPr>
            </w:pPr>
            <w:r w:rsidRPr="008F31FB">
              <w:rPr>
                <w:rFonts w:eastAsia="DengXian"/>
                <w:color w:val="000000"/>
              </w:rPr>
              <w:t>Effect of Salt Reduction Interventions in Lowering Blood Pressure and Salt Intake in Zhejiang Province, China, 2017-2021: A Randomized Controlled Trial.</w:t>
            </w:r>
          </w:p>
        </w:tc>
        <w:tc>
          <w:tcPr>
            <w:tcW w:w="1134" w:type="dxa"/>
            <w:noWrap/>
            <w:vAlign w:val="center"/>
            <w:hideMark/>
          </w:tcPr>
          <w:p w14:paraId="2E0E60CD"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78A4716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6F216643" w14:textId="77777777" w:rsidTr="008F31FB">
        <w:trPr>
          <w:trHeight w:val="320"/>
        </w:trPr>
        <w:tc>
          <w:tcPr>
            <w:tcW w:w="4535" w:type="dxa"/>
            <w:noWrap/>
            <w:vAlign w:val="center"/>
            <w:hideMark/>
          </w:tcPr>
          <w:p w14:paraId="25BA6700" w14:textId="77777777" w:rsidR="008F31FB" w:rsidRPr="008F31FB" w:rsidRDefault="008F31FB" w:rsidP="00AB61A4">
            <w:pPr>
              <w:spacing w:line="360" w:lineRule="auto"/>
              <w:rPr>
                <w:rFonts w:eastAsia="DengXian"/>
                <w:color w:val="000000"/>
              </w:rPr>
            </w:pPr>
            <w:r w:rsidRPr="008F31FB">
              <w:rPr>
                <w:rFonts w:eastAsia="DengXian"/>
                <w:color w:val="000000"/>
              </w:rPr>
              <w:t>The impact of predialytic oral protein-based supplements on nutritional status and quality of life in hemodialysis patients: a randomized clinical trial.</w:t>
            </w:r>
          </w:p>
        </w:tc>
        <w:tc>
          <w:tcPr>
            <w:tcW w:w="1134" w:type="dxa"/>
            <w:noWrap/>
            <w:vAlign w:val="center"/>
            <w:hideMark/>
          </w:tcPr>
          <w:p w14:paraId="7B0E34BA"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6B09B99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79A2815D" w14:textId="77777777" w:rsidTr="008F31FB">
        <w:trPr>
          <w:trHeight w:val="320"/>
        </w:trPr>
        <w:tc>
          <w:tcPr>
            <w:tcW w:w="4535" w:type="dxa"/>
            <w:noWrap/>
            <w:vAlign w:val="center"/>
            <w:hideMark/>
          </w:tcPr>
          <w:p w14:paraId="6F5D1026" w14:textId="77777777" w:rsidR="008F31FB" w:rsidRPr="008F31FB" w:rsidRDefault="008F31FB" w:rsidP="00AB61A4">
            <w:pPr>
              <w:spacing w:line="360" w:lineRule="auto"/>
              <w:rPr>
                <w:rFonts w:eastAsia="DengXian"/>
                <w:color w:val="000000"/>
              </w:rPr>
            </w:pPr>
            <w:r w:rsidRPr="008F31FB">
              <w:rPr>
                <w:rFonts w:eastAsia="DengXian"/>
                <w:color w:val="000000"/>
              </w:rPr>
              <w:t>Effects of monitoring dietary biomarkers and providing vegetable juice on metabolic syndrome components in adults with an overweight or obese body mass  index in Ulaanbaatar: a randomized controlled trial.</w:t>
            </w:r>
          </w:p>
        </w:tc>
        <w:tc>
          <w:tcPr>
            <w:tcW w:w="1134" w:type="dxa"/>
            <w:noWrap/>
            <w:vAlign w:val="center"/>
            <w:hideMark/>
          </w:tcPr>
          <w:p w14:paraId="60416CBA"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48F4FD3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2F7C8D" w:rsidRPr="008F31FB" w14:paraId="1A8BDB60" w14:textId="77777777" w:rsidTr="008F31FB">
        <w:trPr>
          <w:trHeight w:val="320"/>
        </w:trPr>
        <w:tc>
          <w:tcPr>
            <w:tcW w:w="4535" w:type="dxa"/>
            <w:noWrap/>
            <w:vAlign w:val="center"/>
            <w:hideMark/>
          </w:tcPr>
          <w:p w14:paraId="6A49C5F1" w14:textId="77777777" w:rsidR="008F31FB" w:rsidRPr="008F31FB" w:rsidRDefault="008F31FB" w:rsidP="00AB61A4">
            <w:pPr>
              <w:spacing w:line="360" w:lineRule="auto"/>
              <w:rPr>
                <w:rFonts w:eastAsia="DengXian"/>
                <w:color w:val="000000"/>
              </w:rPr>
            </w:pPr>
            <w:r w:rsidRPr="008F31FB">
              <w:rPr>
                <w:rFonts w:eastAsia="DengXian"/>
                <w:color w:val="000000"/>
              </w:rPr>
              <w:t>"Minimal-Advice" on Salt Intake: Results of a Multicentre Pilot Randomised Controlled Trial on Hypertensive Patients.</w:t>
            </w:r>
          </w:p>
        </w:tc>
        <w:tc>
          <w:tcPr>
            <w:tcW w:w="1134" w:type="dxa"/>
            <w:noWrap/>
            <w:vAlign w:val="center"/>
            <w:hideMark/>
          </w:tcPr>
          <w:p w14:paraId="2B3BA3D1"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2A0846A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7136978" w14:textId="77777777" w:rsidTr="008F31FB">
        <w:trPr>
          <w:trHeight w:val="320"/>
        </w:trPr>
        <w:tc>
          <w:tcPr>
            <w:tcW w:w="4535" w:type="dxa"/>
            <w:noWrap/>
            <w:vAlign w:val="center"/>
            <w:hideMark/>
          </w:tcPr>
          <w:p w14:paraId="026BAFC5" w14:textId="77777777" w:rsidR="008F31FB" w:rsidRPr="008F31FB" w:rsidRDefault="008F31FB" w:rsidP="00AB61A4">
            <w:pPr>
              <w:spacing w:line="360" w:lineRule="auto"/>
              <w:rPr>
                <w:rFonts w:eastAsia="DengXian"/>
                <w:color w:val="000000"/>
              </w:rPr>
            </w:pPr>
            <w:r w:rsidRPr="008F31FB">
              <w:rPr>
                <w:rFonts w:eastAsia="DengXian"/>
                <w:color w:val="000000"/>
              </w:rPr>
              <w:t>The effect of different timings of protein supplementation on variable outcomes in hemodialysis patients: a randomized clinical trial.</w:t>
            </w:r>
          </w:p>
        </w:tc>
        <w:tc>
          <w:tcPr>
            <w:tcW w:w="1134" w:type="dxa"/>
            <w:noWrap/>
            <w:vAlign w:val="center"/>
            <w:hideMark/>
          </w:tcPr>
          <w:p w14:paraId="7842CD63"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35CE515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98FD704" w14:textId="77777777" w:rsidTr="008F31FB">
        <w:trPr>
          <w:trHeight w:val="320"/>
        </w:trPr>
        <w:tc>
          <w:tcPr>
            <w:tcW w:w="4535" w:type="dxa"/>
            <w:noWrap/>
            <w:vAlign w:val="center"/>
            <w:hideMark/>
          </w:tcPr>
          <w:p w14:paraId="4EC20BE4" w14:textId="77777777" w:rsidR="008F31FB" w:rsidRPr="008F31FB" w:rsidRDefault="008F31FB" w:rsidP="00AB61A4">
            <w:pPr>
              <w:spacing w:line="360" w:lineRule="auto"/>
              <w:rPr>
                <w:rFonts w:eastAsia="DengXian"/>
                <w:color w:val="000000"/>
              </w:rPr>
            </w:pPr>
            <w:r w:rsidRPr="008F31FB">
              <w:rPr>
                <w:rFonts w:eastAsia="DengXian"/>
                <w:color w:val="000000"/>
              </w:rPr>
              <w:t xml:space="preserve">The direct and urinary electrolyte-mediated effects of ambient temperature on </w:t>
            </w:r>
            <w:r w:rsidRPr="008F31FB">
              <w:rPr>
                <w:rFonts w:eastAsia="DengXian"/>
                <w:color w:val="000000"/>
              </w:rPr>
              <w:lastRenderedPageBreak/>
              <w:t>population blood pressure: A causal mediation analysis.</w:t>
            </w:r>
          </w:p>
        </w:tc>
        <w:tc>
          <w:tcPr>
            <w:tcW w:w="1134" w:type="dxa"/>
            <w:noWrap/>
            <w:vAlign w:val="center"/>
            <w:hideMark/>
          </w:tcPr>
          <w:p w14:paraId="054F07DE"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2025</w:t>
            </w:r>
          </w:p>
        </w:tc>
        <w:tc>
          <w:tcPr>
            <w:tcW w:w="2268" w:type="dxa"/>
            <w:noWrap/>
            <w:vAlign w:val="center"/>
            <w:hideMark/>
          </w:tcPr>
          <w:p w14:paraId="43ED818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BE93C76" w14:textId="77777777" w:rsidTr="008F31FB">
        <w:trPr>
          <w:trHeight w:val="320"/>
        </w:trPr>
        <w:tc>
          <w:tcPr>
            <w:tcW w:w="4535" w:type="dxa"/>
            <w:noWrap/>
            <w:vAlign w:val="center"/>
            <w:hideMark/>
          </w:tcPr>
          <w:p w14:paraId="6E38714B" w14:textId="77777777" w:rsidR="008F31FB" w:rsidRPr="008F31FB" w:rsidRDefault="008F31FB" w:rsidP="00AB61A4">
            <w:pPr>
              <w:spacing w:line="360" w:lineRule="auto"/>
              <w:rPr>
                <w:rFonts w:eastAsia="DengXian"/>
                <w:color w:val="000000"/>
              </w:rPr>
            </w:pPr>
            <w:r w:rsidRPr="008F31FB">
              <w:rPr>
                <w:rFonts w:eastAsia="DengXian"/>
                <w:color w:val="000000"/>
              </w:rPr>
              <w:t>Sodium Zirconium Cyclosilicate for Management of Hyperkalemia During Spironolactone Optimization in Patients With Heart Failure.</w:t>
            </w:r>
          </w:p>
        </w:tc>
        <w:tc>
          <w:tcPr>
            <w:tcW w:w="1134" w:type="dxa"/>
            <w:noWrap/>
            <w:vAlign w:val="center"/>
            <w:hideMark/>
          </w:tcPr>
          <w:p w14:paraId="065F36F9"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0DCC912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EF7421D" w14:textId="77777777" w:rsidTr="008F31FB">
        <w:trPr>
          <w:trHeight w:val="320"/>
        </w:trPr>
        <w:tc>
          <w:tcPr>
            <w:tcW w:w="4535" w:type="dxa"/>
            <w:noWrap/>
            <w:vAlign w:val="center"/>
            <w:hideMark/>
          </w:tcPr>
          <w:p w14:paraId="3DC17D05" w14:textId="77777777" w:rsidR="008F31FB" w:rsidRPr="008F31FB" w:rsidRDefault="008F31FB" w:rsidP="00AB61A4">
            <w:pPr>
              <w:spacing w:line="360" w:lineRule="auto"/>
              <w:rPr>
                <w:rFonts w:eastAsia="DengXian"/>
                <w:color w:val="000000"/>
              </w:rPr>
            </w:pPr>
            <w:r w:rsidRPr="008F31FB">
              <w:rPr>
                <w:rFonts w:eastAsia="DengXian"/>
                <w:color w:val="000000"/>
              </w:rPr>
              <w:t>Prevalence and characteristics of upfront diuretic resistance in acute heart failure: The P-Value-AHF study.</w:t>
            </w:r>
          </w:p>
        </w:tc>
        <w:tc>
          <w:tcPr>
            <w:tcW w:w="1134" w:type="dxa"/>
            <w:noWrap/>
            <w:vAlign w:val="center"/>
            <w:hideMark/>
          </w:tcPr>
          <w:p w14:paraId="42E5EFEC"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0A32190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576240A" w14:textId="77777777" w:rsidTr="008F31FB">
        <w:trPr>
          <w:trHeight w:val="320"/>
        </w:trPr>
        <w:tc>
          <w:tcPr>
            <w:tcW w:w="4535" w:type="dxa"/>
            <w:noWrap/>
            <w:vAlign w:val="center"/>
            <w:hideMark/>
          </w:tcPr>
          <w:p w14:paraId="2EB03631" w14:textId="77777777" w:rsidR="008F31FB" w:rsidRPr="008F31FB" w:rsidRDefault="008F31FB" w:rsidP="00AB61A4">
            <w:pPr>
              <w:spacing w:line="360" w:lineRule="auto"/>
              <w:rPr>
                <w:rFonts w:eastAsia="DengXian"/>
                <w:color w:val="000000"/>
              </w:rPr>
            </w:pPr>
            <w:r w:rsidRPr="008F31FB">
              <w:rPr>
                <w:rFonts w:eastAsia="DengXian"/>
                <w:color w:val="000000"/>
              </w:rPr>
              <w:t>Adenoma detection rate and tolerability of 2 ultra-low-volume bowel preparations in screening: a noninferiority randomized controlled trial.</w:t>
            </w:r>
          </w:p>
        </w:tc>
        <w:tc>
          <w:tcPr>
            <w:tcW w:w="1134" w:type="dxa"/>
            <w:noWrap/>
            <w:vAlign w:val="center"/>
            <w:hideMark/>
          </w:tcPr>
          <w:p w14:paraId="391BBF9B"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789273E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8673E6A" w14:textId="77777777" w:rsidTr="008F31FB">
        <w:trPr>
          <w:trHeight w:val="320"/>
        </w:trPr>
        <w:tc>
          <w:tcPr>
            <w:tcW w:w="4535" w:type="dxa"/>
            <w:noWrap/>
            <w:vAlign w:val="center"/>
            <w:hideMark/>
          </w:tcPr>
          <w:p w14:paraId="40515E7D" w14:textId="77777777" w:rsidR="008F31FB" w:rsidRPr="008F31FB" w:rsidRDefault="008F31FB" w:rsidP="00AB61A4">
            <w:pPr>
              <w:spacing w:line="360" w:lineRule="auto"/>
              <w:rPr>
                <w:rFonts w:eastAsia="DengXian"/>
                <w:color w:val="000000"/>
              </w:rPr>
            </w:pPr>
            <w:r w:rsidRPr="008F31FB">
              <w:rPr>
                <w:rFonts w:eastAsia="DengXian"/>
                <w:color w:val="000000"/>
              </w:rPr>
              <w:t>Efficacy and safety of dual renin-angiotensin system (RAS) blockade for non-elderly diabetic kidney disease patients with preserved eGFR.</w:t>
            </w:r>
          </w:p>
        </w:tc>
        <w:tc>
          <w:tcPr>
            <w:tcW w:w="1134" w:type="dxa"/>
            <w:noWrap/>
            <w:vAlign w:val="center"/>
            <w:hideMark/>
          </w:tcPr>
          <w:p w14:paraId="0CA2A67F"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56DA1BBE"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AA766B6" w14:textId="77777777" w:rsidTr="008F31FB">
        <w:trPr>
          <w:trHeight w:val="320"/>
        </w:trPr>
        <w:tc>
          <w:tcPr>
            <w:tcW w:w="4535" w:type="dxa"/>
            <w:noWrap/>
            <w:vAlign w:val="center"/>
            <w:hideMark/>
          </w:tcPr>
          <w:p w14:paraId="7BD21BAE" w14:textId="77777777" w:rsidR="008F31FB" w:rsidRPr="008F31FB" w:rsidRDefault="008F31FB" w:rsidP="00AB61A4">
            <w:pPr>
              <w:spacing w:line="360" w:lineRule="auto"/>
              <w:rPr>
                <w:rFonts w:eastAsia="DengXian"/>
                <w:color w:val="000000"/>
              </w:rPr>
            </w:pPr>
            <w:r w:rsidRPr="008F31FB">
              <w:rPr>
                <w:rFonts w:eastAsia="DengXian"/>
                <w:color w:val="000000"/>
              </w:rPr>
              <w:t>Self-Monitoring and Self-Efficacy in Patients with Chronic Kidney Disease During Low-Sodium Diet Self-Management Interventions: Secondary Analysis of the ESMO and  SUBLIME Trials.</w:t>
            </w:r>
          </w:p>
        </w:tc>
        <w:tc>
          <w:tcPr>
            <w:tcW w:w="1134" w:type="dxa"/>
            <w:noWrap/>
            <w:vAlign w:val="center"/>
            <w:hideMark/>
          </w:tcPr>
          <w:p w14:paraId="467CE4BC" w14:textId="77777777" w:rsidR="008F31FB" w:rsidRPr="008F31FB" w:rsidRDefault="008F31FB" w:rsidP="00AB61A4">
            <w:pPr>
              <w:spacing w:line="360" w:lineRule="auto"/>
              <w:rPr>
                <w:rFonts w:eastAsia="DengXian"/>
                <w:color w:val="000000"/>
              </w:rPr>
            </w:pPr>
            <w:r w:rsidRPr="008F31FB">
              <w:rPr>
                <w:rFonts w:eastAsia="DengXian"/>
                <w:color w:val="000000"/>
              </w:rPr>
              <w:t>2025</w:t>
            </w:r>
          </w:p>
        </w:tc>
        <w:tc>
          <w:tcPr>
            <w:tcW w:w="2268" w:type="dxa"/>
            <w:noWrap/>
            <w:vAlign w:val="center"/>
            <w:hideMark/>
          </w:tcPr>
          <w:p w14:paraId="405FEA2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6908964" w14:textId="77777777" w:rsidTr="008F31FB">
        <w:trPr>
          <w:trHeight w:val="320"/>
        </w:trPr>
        <w:tc>
          <w:tcPr>
            <w:tcW w:w="4535" w:type="dxa"/>
            <w:noWrap/>
            <w:vAlign w:val="center"/>
            <w:hideMark/>
          </w:tcPr>
          <w:p w14:paraId="431C2DF5" w14:textId="77777777" w:rsidR="008F31FB" w:rsidRPr="008F31FB" w:rsidRDefault="008F31FB" w:rsidP="00AB61A4">
            <w:pPr>
              <w:spacing w:line="360" w:lineRule="auto"/>
              <w:rPr>
                <w:rFonts w:eastAsia="DengXian"/>
                <w:color w:val="000000"/>
              </w:rPr>
            </w:pPr>
            <w:r w:rsidRPr="008F31FB">
              <w:rPr>
                <w:rFonts w:eastAsia="DengXian"/>
                <w:color w:val="000000"/>
              </w:rPr>
              <w:t>Cost-Effectiveness of Salt Substitute and Salt Supply Restriction</w:t>
            </w:r>
            <w:r w:rsidRPr="008F31FB">
              <w:rPr>
                <w:rFonts w:eastAsia="DengXian"/>
                <w:color w:val="000000"/>
              </w:rPr>
              <w:br/>
              <w:t>in Eldercare Facilities</w:t>
            </w:r>
          </w:p>
        </w:tc>
        <w:tc>
          <w:tcPr>
            <w:tcW w:w="1134" w:type="dxa"/>
            <w:noWrap/>
            <w:vAlign w:val="center"/>
            <w:hideMark/>
          </w:tcPr>
          <w:p w14:paraId="2B1BE1AD"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67AD833C"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4C083E" w:rsidRPr="008F31FB" w14:paraId="44EE8D81" w14:textId="77777777" w:rsidTr="008F31FB">
        <w:trPr>
          <w:trHeight w:val="320"/>
        </w:trPr>
        <w:tc>
          <w:tcPr>
            <w:tcW w:w="4535" w:type="dxa"/>
            <w:noWrap/>
            <w:vAlign w:val="center"/>
            <w:hideMark/>
          </w:tcPr>
          <w:p w14:paraId="71F366B7" w14:textId="77777777" w:rsidR="008F31FB" w:rsidRPr="008F31FB" w:rsidRDefault="008F31FB" w:rsidP="00AB61A4">
            <w:pPr>
              <w:spacing w:line="360" w:lineRule="auto"/>
              <w:rPr>
                <w:rFonts w:eastAsia="DengXian"/>
                <w:color w:val="000000"/>
              </w:rPr>
            </w:pPr>
            <w:r w:rsidRPr="008F31FB">
              <w:rPr>
                <w:rFonts w:eastAsia="DengXian"/>
                <w:color w:val="000000"/>
              </w:rPr>
              <w:t>Effect of a Salt Substitute on Incidence of Hypertension and Hypotension Among Normotensive Adults</w:t>
            </w:r>
          </w:p>
        </w:tc>
        <w:tc>
          <w:tcPr>
            <w:tcW w:w="1134" w:type="dxa"/>
            <w:noWrap/>
            <w:vAlign w:val="center"/>
            <w:hideMark/>
          </w:tcPr>
          <w:p w14:paraId="21B86CD3"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3B33952C"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4C083E" w:rsidRPr="008F31FB" w14:paraId="197156C3" w14:textId="77777777" w:rsidTr="008F31FB">
        <w:trPr>
          <w:trHeight w:val="320"/>
        </w:trPr>
        <w:tc>
          <w:tcPr>
            <w:tcW w:w="4535" w:type="dxa"/>
            <w:noWrap/>
            <w:vAlign w:val="center"/>
            <w:hideMark/>
          </w:tcPr>
          <w:p w14:paraId="0EB76382"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Effects and individual response of salt substitute intervention on blood pressure in a high-risk stroke population: Findings from 4200 participants of the China salt substitute and stroke study</w:t>
            </w:r>
          </w:p>
        </w:tc>
        <w:tc>
          <w:tcPr>
            <w:tcW w:w="1134" w:type="dxa"/>
            <w:noWrap/>
            <w:vAlign w:val="center"/>
            <w:hideMark/>
          </w:tcPr>
          <w:p w14:paraId="2C713D4E"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0F49B354"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4C083E" w:rsidRPr="008F31FB" w14:paraId="6A8E677A" w14:textId="77777777" w:rsidTr="008F31FB">
        <w:trPr>
          <w:trHeight w:val="320"/>
        </w:trPr>
        <w:tc>
          <w:tcPr>
            <w:tcW w:w="4535" w:type="dxa"/>
            <w:noWrap/>
            <w:vAlign w:val="center"/>
            <w:hideMark/>
          </w:tcPr>
          <w:p w14:paraId="2C1A47FD" w14:textId="77777777" w:rsidR="008F31FB" w:rsidRPr="008F31FB" w:rsidRDefault="008F31FB" w:rsidP="00AB61A4">
            <w:pPr>
              <w:spacing w:line="360" w:lineRule="auto"/>
              <w:rPr>
                <w:rFonts w:eastAsia="DengXian"/>
                <w:color w:val="000000"/>
              </w:rPr>
            </w:pPr>
            <w:r w:rsidRPr="008F31FB">
              <w:rPr>
                <w:rFonts w:eastAsia="DengXian"/>
                <w:color w:val="000000"/>
              </w:rPr>
              <w:t>Effect of salt substitution on fracture-a secondary analysis of the Salt Substitute and Stroke Study (SSaSS).</w:t>
            </w:r>
          </w:p>
        </w:tc>
        <w:tc>
          <w:tcPr>
            <w:tcW w:w="1134" w:type="dxa"/>
            <w:noWrap/>
            <w:vAlign w:val="center"/>
            <w:hideMark/>
          </w:tcPr>
          <w:p w14:paraId="074883E3"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03F8602E"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4C083E" w:rsidRPr="008F31FB" w14:paraId="48E42299" w14:textId="77777777" w:rsidTr="008F31FB">
        <w:trPr>
          <w:trHeight w:val="320"/>
        </w:trPr>
        <w:tc>
          <w:tcPr>
            <w:tcW w:w="4535" w:type="dxa"/>
            <w:noWrap/>
            <w:vAlign w:val="center"/>
            <w:hideMark/>
          </w:tcPr>
          <w:p w14:paraId="742497F2" w14:textId="77777777" w:rsidR="008F31FB" w:rsidRPr="008F31FB" w:rsidRDefault="008F31FB" w:rsidP="00AB61A4">
            <w:pPr>
              <w:spacing w:line="360" w:lineRule="auto"/>
              <w:rPr>
                <w:rFonts w:eastAsia="DengXian"/>
                <w:color w:val="000000"/>
              </w:rPr>
            </w:pPr>
            <w:r w:rsidRPr="008F31FB">
              <w:rPr>
                <w:rFonts w:eastAsia="DengXian"/>
                <w:color w:val="000000"/>
              </w:rPr>
              <w:t>Guideline-directed antihypertensive medication use among young adult participants with uncontrolled hypertension at enrollment in the MyHEART study.</w:t>
            </w:r>
          </w:p>
        </w:tc>
        <w:tc>
          <w:tcPr>
            <w:tcW w:w="1134" w:type="dxa"/>
            <w:noWrap/>
            <w:vAlign w:val="center"/>
            <w:hideMark/>
          </w:tcPr>
          <w:p w14:paraId="3AE61CF2"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28F13753"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06D0ADB3" w14:textId="77777777" w:rsidTr="008F31FB">
        <w:trPr>
          <w:trHeight w:val="320"/>
        </w:trPr>
        <w:tc>
          <w:tcPr>
            <w:tcW w:w="4535" w:type="dxa"/>
            <w:noWrap/>
            <w:vAlign w:val="center"/>
            <w:hideMark/>
          </w:tcPr>
          <w:p w14:paraId="7310314E" w14:textId="77777777" w:rsidR="008F31FB" w:rsidRPr="008F31FB" w:rsidRDefault="008F31FB" w:rsidP="00AB61A4">
            <w:pPr>
              <w:spacing w:line="360" w:lineRule="auto"/>
              <w:rPr>
                <w:rFonts w:eastAsia="DengXian"/>
                <w:color w:val="000000"/>
              </w:rPr>
            </w:pPr>
            <w:r w:rsidRPr="008F31FB">
              <w:rPr>
                <w:rFonts w:eastAsia="DengXian"/>
                <w:color w:val="000000"/>
              </w:rPr>
              <w:t>Adherence to the Mediterranean Diet, Sodium and Potassium Intake in People at a High Risk of Dementia.</w:t>
            </w:r>
          </w:p>
        </w:tc>
        <w:tc>
          <w:tcPr>
            <w:tcW w:w="1134" w:type="dxa"/>
            <w:noWrap/>
            <w:vAlign w:val="center"/>
            <w:hideMark/>
          </w:tcPr>
          <w:p w14:paraId="4F40627D"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740F377D"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F8E72F6" w14:textId="77777777" w:rsidTr="008F31FB">
        <w:trPr>
          <w:trHeight w:val="320"/>
        </w:trPr>
        <w:tc>
          <w:tcPr>
            <w:tcW w:w="4535" w:type="dxa"/>
            <w:noWrap/>
            <w:vAlign w:val="center"/>
            <w:hideMark/>
          </w:tcPr>
          <w:p w14:paraId="0EA4661A" w14:textId="77777777" w:rsidR="008F31FB" w:rsidRPr="008F31FB" w:rsidRDefault="008F31FB" w:rsidP="00AB61A4">
            <w:pPr>
              <w:spacing w:line="360" w:lineRule="auto"/>
              <w:rPr>
                <w:rFonts w:eastAsia="DengXian"/>
                <w:color w:val="000000"/>
              </w:rPr>
            </w:pPr>
            <w:r w:rsidRPr="008F31FB">
              <w:rPr>
                <w:rFonts w:eastAsia="DengXian"/>
                <w:color w:val="000000"/>
              </w:rPr>
              <w:t>Comparing a range of potassium-enriched low sodium salt substitutes to common salt: Results of taste and visual tests in South African adults.</w:t>
            </w:r>
          </w:p>
        </w:tc>
        <w:tc>
          <w:tcPr>
            <w:tcW w:w="1134" w:type="dxa"/>
            <w:noWrap/>
            <w:vAlign w:val="center"/>
            <w:hideMark/>
          </w:tcPr>
          <w:p w14:paraId="53ED9E27"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5DD92C89"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C0EAD1C" w14:textId="77777777" w:rsidTr="008F31FB">
        <w:trPr>
          <w:trHeight w:val="320"/>
        </w:trPr>
        <w:tc>
          <w:tcPr>
            <w:tcW w:w="4535" w:type="dxa"/>
            <w:noWrap/>
            <w:vAlign w:val="center"/>
            <w:hideMark/>
          </w:tcPr>
          <w:p w14:paraId="46DD367C" w14:textId="77777777" w:rsidR="008F31FB" w:rsidRPr="008F31FB" w:rsidRDefault="008F31FB" w:rsidP="00AB61A4">
            <w:pPr>
              <w:spacing w:line="360" w:lineRule="auto"/>
              <w:rPr>
                <w:rFonts w:eastAsia="DengXian"/>
                <w:color w:val="000000"/>
              </w:rPr>
            </w:pPr>
            <w:r w:rsidRPr="008F31FB">
              <w:rPr>
                <w:rFonts w:eastAsia="DengXian"/>
                <w:color w:val="000000"/>
              </w:rPr>
              <w:t>Postprandial Vascular Effects of a High Potassium Meal in Patients with Treated Hypertension.</w:t>
            </w:r>
          </w:p>
        </w:tc>
        <w:tc>
          <w:tcPr>
            <w:tcW w:w="1134" w:type="dxa"/>
            <w:noWrap/>
            <w:vAlign w:val="center"/>
            <w:hideMark/>
          </w:tcPr>
          <w:p w14:paraId="2F801B46"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60A3194E"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F4BD812" w14:textId="77777777" w:rsidTr="008F31FB">
        <w:trPr>
          <w:trHeight w:val="320"/>
        </w:trPr>
        <w:tc>
          <w:tcPr>
            <w:tcW w:w="4535" w:type="dxa"/>
            <w:noWrap/>
            <w:vAlign w:val="center"/>
            <w:hideMark/>
          </w:tcPr>
          <w:p w14:paraId="0A13FAF8" w14:textId="77777777" w:rsidR="008F31FB" w:rsidRPr="008F31FB" w:rsidRDefault="008F31FB" w:rsidP="00AB61A4">
            <w:pPr>
              <w:spacing w:line="360" w:lineRule="auto"/>
              <w:rPr>
                <w:rFonts w:eastAsia="DengXian"/>
                <w:color w:val="000000"/>
              </w:rPr>
            </w:pPr>
            <w:r w:rsidRPr="008F31FB">
              <w:rPr>
                <w:rFonts w:eastAsia="DengXian"/>
                <w:color w:val="000000"/>
              </w:rPr>
              <w:t>Long-Term Effects of a Comprehensive Intervention Strategy for Salt Reduction in China: Scale-Up of a Cluster Randomized Controlled Trial.</w:t>
            </w:r>
          </w:p>
        </w:tc>
        <w:tc>
          <w:tcPr>
            <w:tcW w:w="1134" w:type="dxa"/>
            <w:noWrap/>
            <w:vAlign w:val="center"/>
            <w:hideMark/>
          </w:tcPr>
          <w:p w14:paraId="3B8FAFDF"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125AC53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6AECE1F" w14:textId="77777777" w:rsidTr="008F31FB">
        <w:trPr>
          <w:trHeight w:val="320"/>
        </w:trPr>
        <w:tc>
          <w:tcPr>
            <w:tcW w:w="4535" w:type="dxa"/>
            <w:noWrap/>
            <w:vAlign w:val="center"/>
            <w:hideMark/>
          </w:tcPr>
          <w:p w14:paraId="5BACFA43"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Effect of a Low Salt Diet on the Progression of Chronic Kidney Disease: A Prospective, Open-Label, Randomized Controlled Trial.</w:t>
            </w:r>
          </w:p>
        </w:tc>
        <w:tc>
          <w:tcPr>
            <w:tcW w:w="1134" w:type="dxa"/>
            <w:noWrap/>
            <w:vAlign w:val="center"/>
            <w:hideMark/>
          </w:tcPr>
          <w:p w14:paraId="1609C05F"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0F25C2C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7BA279D" w14:textId="77777777" w:rsidTr="008F31FB">
        <w:trPr>
          <w:trHeight w:val="320"/>
        </w:trPr>
        <w:tc>
          <w:tcPr>
            <w:tcW w:w="4535" w:type="dxa"/>
            <w:noWrap/>
            <w:vAlign w:val="center"/>
            <w:hideMark/>
          </w:tcPr>
          <w:p w14:paraId="6B265613" w14:textId="77777777" w:rsidR="008F31FB" w:rsidRPr="008F31FB" w:rsidRDefault="008F31FB" w:rsidP="00AB61A4">
            <w:pPr>
              <w:spacing w:line="360" w:lineRule="auto"/>
              <w:rPr>
                <w:rFonts w:eastAsia="DengXian"/>
                <w:color w:val="000000"/>
              </w:rPr>
            </w:pPr>
            <w:r w:rsidRPr="008F31FB">
              <w:rPr>
                <w:rFonts w:eastAsia="DengXian"/>
                <w:color w:val="000000"/>
              </w:rPr>
              <w:t>Effect of Denosumab or Alendronate on Vascular Calcification: Secondary Analysis of SALTIRE2 Randomized Controlled Trial.</w:t>
            </w:r>
          </w:p>
        </w:tc>
        <w:tc>
          <w:tcPr>
            <w:tcW w:w="1134" w:type="dxa"/>
            <w:noWrap/>
            <w:vAlign w:val="center"/>
            <w:hideMark/>
          </w:tcPr>
          <w:p w14:paraId="38C0F670"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5DBAF0F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78A3972" w14:textId="77777777" w:rsidTr="008F31FB">
        <w:trPr>
          <w:trHeight w:val="320"/>
        </w:trPr>
        <w:tc>
          <w:tcPr>
            <w:tcW w:w="4535" w:type="dxa"/>
            <w:noWrap/>
            <w:vAlign w:val="center"/>
            <w:hideMark/>
          </w:tcPr>
          <w:p w14:paraId="6B8E989C" w14:textId="77777777" w:rsidR="008F31FB" w:rsidRPr="008F31FB" w:rsidRDefault="008F31FB" w:rsidP="00AB61A4">
            <w:pPr>
              <w:spacing w:line="360" w:lineRule="auto"/>
              <w:rPr>
                <w:rFonts w:eastAsia="DengXian"/>
                <w:color w:val="000000"/>
              </w:rPr>
            </w:pPr>
            <w:r w:rsidRPr="008F31FB">
              <w:rPr>
                <w:rFonts w:eastAsia="DengXian"/>
                <w:color w:val="000000"/>
              </w:rPr>
              <w:t>First-in-Human Study to Assess the Safety, Pharmacokinetics, and Pharmacodynamics of BMS-986308: A Renal Outer Medullary Potassium Channel Inhibitor.</w:t>
            </w:r>
          </w:p>
        </w:tc>
        <w:tc>
          <w:tcPr>
            <w:tcW w:w="1134" w:type="dxa"/>
            <w:noWrap/>
            <w:vAlign w:val="center"/>
            <w:hideMark/>
          </w:tcPr>
          <w:p w14:paraId="58818C0F"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7CE7112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2349BB5" w14:textId="77777777" w:rsidTr="008F31FB">
        <w:trPr>
          <w:trHeight w:val="320"/>
        </w:trPr>
        <w:tc>
          <w:tcPr>
            <w:tcW w:w="4535" w:type="dxa"/>
            <w:noWrap/>
            <w:vAlign w:val="center"/>
            <w:hideMark/>
          </w:tcPr>
          <w:p w14:paraId="1CCAA54E" w14:textId="77777777" w:rsidR="008F31FB" w:rsidRPr="008F31FB" w:rsidRDefault="008F31FB" w:rsidP="00AB61A4">
            <w:pPr>
              <w:spacing w:line="360" w:lineRule="auto"/>
              <w:rPr>
                <w:rFonts w:eastAsia="DengXian"/>
                <w:color w:val="000000"/>
              </w:rPr>
            </w:pPr>
            <w:r w:rsidRPr="008F31FB">
              <w:rPr>
                <w:rFonts w:eastAsia="DengXian"/>
                <w:color w:val="000000"/>
              </w:rPr>
              <w:t>Efficacy and Safety of a Novel Low-Dose Triple Single-Pill Combination Compared With Placebo for Initial Treatment of Hypertension.</w:t>
            </w:r>
          </w:p>
        </w:tc>
        <w:tc>
          <w:tcPr>
            <w:tcW w:w="1134" w:type="dxa"/>
            <w:noWrap/>
            <w:vAlign w:val="center"/>
            <w:hideMark/>
          </w:tcPr>
          <w:p w14:paraId="2534617A"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658C4B6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39B2ABC" w14:textId="77777777" w:rsidTr="008F31FB">
        <w:trPr>
          <w:trHeight w:val="320"/>
        </w:trPr>
        <w:tc>
          <w:tcPr>
            <w:tcW w:w="4535" w:type="dxa"/>
            <w:noWrap/>
            <w:vAlign w:val="center"/>
            <w:hideMark/>
          </w:tcPr>
          <w:p w14:paraId="474655EE" w14:textId="77777777" w:rsidR="008F31FB" w:rsidRPr="008F31FB" w:rsidRDefault="008F31FB" w:rsidP="00AB61A4">
            <w:pPr>
              <w:spacing w:line="360" w:lineRule="auto"/>
              <w:rPr>
                <w:rFonts w:eastAsia="DengXian"/>
                <w:color w:val="000000"/>
              </w:rPr>
            </w:pPr>
            <w:r w:rsidRPr="008F31FB">
              <w:rPr>
                <w:rFonts w:eastAsia="DengXian"/>
                <w:color w:val="000000"/>
              </w:rPr>
              <w:t>First-in-human study evaluating safety, pharmacokinetics, and pharmacodynamics of lorundrostat, a novel and highly selective aldosterone synthase inhibitor.</w:t>
            </w:r>
          </w:p>
        </w:tc>
        <w:tc>
          <w:tcPr>
            <w:tcW w:w="1134" w:type="dxa"/>
            <w:noWrap/>
            <w:vAlign w:val="center"/>
            <w:hideMark/>
          </w:tcPr>
          <w:p w14:paraId="705B69DE"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7DF964C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1EE6DC2" w14:textId="77777777" w:rsidTr="008F31FB">
        <w:trPr>
          <w:trHeight w:val="320"/>
        </w:trPr>
        <w:tc>
          <w:tcPr>
            <w:tcW w:w="4535" w:type="dxa"/>
            <w:noWrap/>
            <w:vAlign w:val="center"/>
            <w:hideMark/>
          </w:tcPr>
          <w:p w14:paraId="52C35A6B" w14:textId="77777777" w:rsidR="008F31FB" w:rsidRPr="008F31FB" w:rsidRDefault="008F31FB" w:rsidP="00AB61A4">
            <w:pPr>
              <w:spacing w:line="360" w:lineRule="auto"/>
              <w:rPr>
                <w:rFonts w:eastAsia="DengXian"/>
                <w:color w:val="000000"/>
              </w:rPr>
            </w:pPr>
            <w:r w:rsidRPr="008F31FB">
              <w:rPr>
                <w:rFonts w:eastAsia="DengXian"/>
                <w:color w:val="000000"/>
              </w:rPr>
              <w:t>Beneficial Effects of Ketoanalogues on the Evolution of Renal Function and Bone Mineral Disorders in Patients with Advanced Chronic Kidney Disease: A Pilot  Study.</w:t>
            </w:r>
          </w:p>
        </w:tc>
        <w:tc>
          <w:tcPr>
            <w:tcW w:w="1134" w:type="dxa"/>
            <w:noWrap/>
            <w:vAlign w:val="center"/>
            <w:hideMark/>
          </w:tcPr>
          <w:p w14:paraId="2B7098D5"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19A3F4AE"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EA8B684" w14:textId="77777777" w:rsidTr="008F31FB">
        <w:trPr>
          <w:trHeight w:val="320"/>
        </w:trPr>
        <w:tc>
          <w:tcPr>
            <w:tcW w:w="4535" w:type="dxa"/>
            <w:noWrap/>
            <w:vAlign w:val="center"/>
            <w:hideMark/>
          </w:tcPr>
          <w:p w14:paraId="72F58E4E" w14:textId="77777777" w:rsidR="008F31FB" w:rsidRPr="008F31FB" w:rsidRDefault="008F31FB" w:rsidP="00AB61A4">
            <w:pPr>
              <w:spacing w:line="360" w:lineRule="auto"/>
              <w:rPr>
                <w:rFonts w:eastAsia="DengXian"/>
                <w:color w:val="000000"/>
              </w:rPr>
            </w:pPr>
            <w:r w:rsidRPr="008F31FB">
              <w:rPr>
                <w:rFonts w:eastAsia="DengXian"/>
                <w:color w:val="000000"/>
              </w:rPr>
              <w:t>Sodium Zirconium Cyclosilicate in HFrEF and Hyperkalemia: REALIZE-K Design and Baseline Characteristics.</w:t>
            </w:r>
          </w:p>
        </w:tc>
        <w:tc>
          <w:tcPr>
            <w:tcW w:w="1134" w:type="dxa"/>
            <w:noWrap/>
            <w:vAlign w:val="center"/>
            <w:hideMark/>
          </w:tcPr>
          <w:p w14:paraId="51613694"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1977A95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D112AD2" w14:textId="77777777" w:rsidTr="008F31FB">
        <w:trPr>
          <w:trHeight w:val="320"/>
        </w:trPr>
        <w:tc>
          <w:tcPr>
            <w:tcW w:w="4535" w:type="dxa"/>
            <w:noWrap/>
            <w:vAlign w:val="center"/>
            <w:hideMark/>
          </w:tcPr>
          <w:p w14:paraId="496EB11B" w14:textId="77777777" w:rsidR="008F31FB" w:rsidRPr="008F31FB" w:rsidRDefault="008F31FB" w:rsidP="00AB61A4">
            <w:pPr>
              <w:spacing w:line="360" w:lineRule="auto"/>
              <w:rPr>
                <w:rFonts w:eastAsia="DengXian"/>
                <w:color w:val="000000"/>
              </w:rPr>
            </w:pPr>
            <w:r w:rsidRPr="008F31FB">
              <w:rPr>
                <w:rFonts w:eastAsia="DengXian"/>
                <w:color w:val="000000"/>
              </w:rPr>
              <w:t xml:space="preserve">Self-Performed Dietary Sodium Reduction and Blood Pressure in Patients With </w:t>
            </w:r>
            <w:r w:rsidRPr="008F31FB">
              <w:rPr>
                <w:rFonts w:eastAsia="DengXian"/>
                <w:color w:val="000000"/>
              </w:rPr>
              <w:lastRenderedPageBreak/>
              <w:t>Essential Hypertension: A Randomized Clinical Trial.</w:t>
            </w:r>
          </w:p>
        </w:tc>
        <w:tc>
          <w:tcPr>
            <w:tcW w:w="1134" w:type="dxa"/>
            <w:noWrap/>
            <w:vAlign w:val="center"/>
            <w:hideMark/>
          </w:tcPr>
          <w:p w14:paraId="368D39C4"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2024</w:t>
            </w:r>
          </w:p>
        </w:tc>
        <w:tc>
          <w:tcPr>
            <w:tcW w:w="2268" w:type="dxa"/>
            <w:noWrap/>
            <w:vAlign w:val="center"/>
            <w:hideMark/>
          </w:tcPr>
          <w:p w14:paraId="62EDEFB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DB52920" w14:textId="77777777" w:rsidTr="008F31FB">
        <w:trPr>
          <w:trHeight w:val="320"/>
        </w:trPr>
        <w:tc>
          <w:tcPr>
            <w:tcW w:w="4535" w:type="dxa"/>
            <w:noWrap/>
            <w:vAlign w:val="center"/>
            <w:hideMark/>
          </w:tcPr>
          <w:p w14:paraId="76A4AC1A" w14:textId="77777777" w:rsidR="008F31FB" w:rsidRPr="008F31FB" w:rsidRDefault="008F31FB" w:rsidP="00AB61A4">
            <w:pPr>
              <w:spacing w:line="360" w:lineRule="auto"/>
              <w:rPr>
                <w:rFonts w:eastAsia="DengXian"/>
                <w:color w:val="000000"/>
              </w:rPr>
            </w:pPr>
            <w:r w:rsidRPr="008F31FB">
              <w:rPr>
                <w:rFonts w:eastAsia="DengXian"/>
                <w:color w:val="000000"/>
              </w:rPr>
              <w:t>Prenatal Magnesium Sulfate and Functional Connectivity in Offspring at Term-Equivalent Age.</w:t>
            </w:r>
          </w:p>
        </w:tc>
        <w:tc>
          <w:tcPr>
            <w:tcW w:w="1134" w:type="dxa"/>
            <w:noWrap/>
            <w:vAlign w:val="center"/>
            <w:hideMark/>
          </w:tcPr>
          <w:p w14:paraId="266B5E47"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000C94C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0945C7F" w14:textId="77777777" w:rsidTr="008F31FB">
        <w:trPr>
          <w:trHeight w:val="320"/>
        </w:trPr>
        <w:tc>
          <w:tcPr>
            <w:tcW w:w="4535" w:type="dxa"/>
            <w:noWrap/>
            <w:vAlign w:val="center"/>
            <w:hideMark/>
          </w:tcPr>
          <w:p w14:paraId="29F7BAB9" w14:textId="77777777" w:rsidR="008F31FB" w:rsidRPr="008F31FB" w:rsidRDefault="008F31FB" w:rsidP="00AB61A4">
            <w:pPr>
              <w:spacing w:line="360" w:lineRule="auto"/>
              <w:rPr>
                <w:rFonts w:eastAsia="DengXian"/>
                <w:color w:val="000000"/>
              </w:rPr>
            </w:pPr>
            <w:r w:rsidRPr="008F31FB">
              <w:rPr>
                <w:rFonts w:eastAsia="DengXian"/>
                <w:color w:val="000000"/>
              </w:rPr>
              <w:t>Effects of salt intake reduction by urinary sodium to potassium ratio self-monitoring method.</w:t>
            </w:r>
          </w:p>
        </w:tc>
        <w:tc>
          <w:tcPr>
            <w:tcW w:w="1134" w:type="dxa"/>
            <w:noWrap/>
            <w:vAlign w:val="center"/>
            <w:hideMark/>
          </w:tcPr>
          <w:p w14:paraId="1FC30355"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1763893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8BDA0E9" w14:textId="77777777" w:rsidTr="008F31FB">
        <w:trPr>
          <w:trHeight w:val="320"/>
        </w:trPr>
        <w:tc>
          <w:tcPr>
            <w:tcW w:w="4535" w:type="dxa"/>
            <w:noWrap/>
            <w:vAlign w:val="center"/>
            <w:hideMark/>
          </w:tcPr>
          <w:p w14:paraId="36AD5997" w14:textId="77777777" w:rsidR="008F31FB" w:rsidRPr="008F31FB" w:rsidRDefault="008F31FB" w:rsidP="00AB61A4">
            <w:pPr>
              <w:spacing w:line="360" w:lineRule="auto"/>
              <w:rPr>
                <w:rFonts w:eastAsia="DengXian"/>
                <w:color w:val="000000"/>
              </w:rPr>
            </w:pPr>
            <w:r w:rsidRPr="008F31FB">
              <w:rPr>
                <w:rFonts w:eastAsia="DengXian"/>
                <w:color w:val="000000"/>
              </w:rPr>
              <w:t>Plant-Based Meat Analogs and Their Effects on Cardiometabolic Health: An 8-Week Randomized Controlled Trial Comparing Plant-Based Meat Analogs With Their  Corresponding Animal-Based Foods.</w:t>
            </w:r>
          </w:p>
        </w:tc>
        <w:tc>
          <w:tcPr>
            <w:tcW w:w="1134" w:type="dxa"/>
            <w:noWrap/>
            <w:vAlign w:val="center"/>
            <w:hideMark/>
          </w:tcPr>
          <w:p w14:paraId="3352CD73"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0AA0753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AB56BFF" w14:textId="77777777" w:rsidTr="008F31FB">
        <w:trPr>
          <w:trHeight w:val="320"/>
        </w:trPr>
        <w:tc>
          <w:tcPr>
            <w:tcW w:w="4535" w:type="dxa"/>
            <w:noWrap/>
            <w:vAlign w:val="center"/>
            <w:hideMark/>
          </w:tcPr>
          <w:p w14:paraId="2DD2F3FF" w14:textId="77777777" w:rsidR="008F31FB" w:rsidRPr="008F31FB" w:rsidRDefault="008F31FB" w:rsidP="00AB61A4">
            <w:pPr>
              <w:spacing w:line="360" w:lineRule="auto"/>
              <w:rPr>
                <w:rFonts w:eastAsia="DengXian"/>
                <w:color w:val="000000"/>
              </w:rPr>
            </w:pPr>
            <w:r w:rsidRPr="008F31FB">
              <w:rPr>
                <w:rFonts w:eastAsia="DengXian"/>
                <w:color w:val="000000"/>
              </w:rPr>
              <w:t>Prediction of new-onset heart failure in patients with type 2 diabetes derived from ALTITUDE and CANVAS.</w:t>
            </w:r>
          </w:p>
        </w:tc>
        <w:tc>
          <w:tcPr>
            <w:tcW w:w="1134" w:type="dxa"/>
            <w:noWrap/>
            <w:vAlign w:val="center"/>
            <w:hideMark/>
          </w:tcPr>
          <w:p w14:paraId="10E73FF4"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128D1D9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C6C02A8" w14:textId="77777777" w:rsidTr="008F31FB">
        <w:trPr>
          <w:trHeight w:val="320"/>
        </w:trPr>
        <w:tc>
          <w:tcPr>
            <w:tcW w:w="4535" w:type="dxa"/>
            <w:noWrap/>
            <w:vAlign w:val="center"/>
            <w:hideMark/>
          </w:tcPr>
          <w:p w14:paraId="2CFCE151" w14:textId="77777777" w:rsidR="008F31FB" w:rsidRPr="008F31FB" w:rsidRDefault="008F31FB" w:rsidP="00AB61A4">
            <w:pPr>
              <w:spacing w:line="360" w:lineRule="auto"/>
              <w:rPr>
                <w:rFonts w:eastAsia="DengXian"/>
                <w:color w:val="000000"/>
              </w:rPr>
            </w:pPr>
            <w:r w:rsidRPr="008F31FB">
              <w:rPr>
                <w:rFonts w:eastAsia="DengXian"/>
                <w:color w:val="000000"/>
              </w:rPr>
              <w:t>First-In-Man Trial of β3-Adrenoceptor Agonist Treatment in Chronic Heart Failure: Impact on Diastolic Function.</w:t>
            </w:r>
          </w:p>
        </w:tc>
        <w:tc>
          <w:tcPr>
            <w:tcW w:w="1134" w:type="dxa"/>
            <w:noWrap/>
            <w:vAlign w:val="center"/>
            <w:hideMark/>
          </w:tcPr>
          <w:p w14:paraId="7C5CA56E"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0943785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503CDF2" w14:textId="77777777" w:rsidTr="008F31FB">
        <w:trPr>
          <w:trHeight w:val="320"/>
        </w:trPr>
        <w:tc>
          <w:tcPr>
            <w:tcW w:w="4535" w:type="dxa"/>
            <w:noWrap/>
            <w:vAlign w:val="center"/>
            <w:hideMark/>
          </w:tcPr>
          <w:p w14:paraId="56AEE68F" w14:textId="77777777" w:rsidR="008F31FB" w:rsidRPr="008F31FB" w:rsidRDefault="008F31FB" w:rsidP="00AB61A4">
            <w:pPr>
              <w:spacing w:line="360" w:lineRule="auto"/>
              <w:rPr>
                <w:rFonts w:eastAsia="DengXian"/>
                <w:color w:val="000000"/>
              </w:rPr>
            </w:pPr>
            <w:r w:rsidRPr="008F31FB">
              <w:rPr>
                <w:rFonts w:eastAsia="DengXian"/>
                <w:color w:val="000000"/>
              </w:rPr>
              <w:t>The role of T-type calcium channels in elderly human vascular function: A pilot randomized controlled trial.</w:t>
            </w:r>
          </w:p>
        </w:tc>
        <w:tc>
          <w:tcPr>
            <w:tcW w:w="1134" w:type="dxa"/>
            <w:noWrap/>
            <w:vAlign w:val="center"/>
            <w:hideMark/>
          </w:tcPr>
          <w:p w14:paraId="0ECFDBA3"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5729ADF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6179506" w14:textId="77777777" w:rsidTr="008F31FB">
        <w:trPr>
          <w:trHeight w:val="320"/>
        </w:trPr>
        <w:tc>
          <w:tcPr>
            <w:tcW w:w="4535" w:type="dxa"/>
            <w:noWrap/>
            <w:vAlign w:val="center"/>
            <w:hideMark/>
          </w:tcPr>
          <w:p w14:paraId="2E00A85D" w14:textId="77777777" w:rsidR="008F31FB" w:rsidRPr="008F31FB" w:rsidRDefault="008F31FB" w:rsidP="00AB61A4">
            <w:pPr>
              <w:spacing w:line="360" w:lineRule="auto"/>
              <w:rPr>
                <w:rFonts w:eastAsia="DengXian"/>
                <w:color w:val="000000"/>
              </w:rPr>
            </w:pPr>
            <w:r w:rsidRPr="008F31FB">
              <w:rPr>
                <w:rFonts w:eastAsia="DengXian"/>
                <w:color w:val="000000"/>
              </w:rPr>
              <w:t>Effects of Reduced Dietary Sodium and the DASH Diet on GFR: The DASH-Sodium Trial.</w:t>
            </w:r>
          </w:p>
        </w:tc>
        <w:tc>
          <w:tcPr>
            <w:tcW w:w="1134" w:type="dxa"/>
            <w:noWrap/>
            <w:vAlign w:val="center"/>
            <w:hideMark/>
          </w:tcPr>
          <w:p w14:paraId="6A47BD64"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5D399BB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F65D72A" w14:textId="77777777" w:rsidTr="008F31FB">
        <w:trPr>
          <w:trHeight w:val="320"/>
        </w:trPr>
        <w:tc>
          <w:tcPr>
            <w:tcW w:w="4535" w:type="dxa"/>
            <w:noWrap/>
            <w:vAlign w:val="center"/>
            <w:hideMark/>
          </w:tcPr>
          <w:p w14:paraId="51BCBCFA"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Effect of short-term changes in salt intake on plasma cytokines in women with healthy and hypertensive pregnancies.</w:t>
            </w:r>
          </w:p>
        </w:tc>
        <w:tc>
          <w:tcPr>
            <w:tcW w:w="1134" w:type="dxa"/>
            <w:noWrap/>
            <w:vAlign w:val="center"/>
            <w:hideMark/>
          </w:tcPr>
          <w:p w14:paraId="50AAACB1"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3EAFF56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EEB5158" w14:textId="77777777" w:rsidTr="008F31FB">
        <w:trPr>
          <w:trHeight w:val="320"/>
        </w:trPr>
        <w:tc>
          <w:tcPr>
            <w:tcW w:w="4535" w:type="dxa"/>
            <w:noWrap/>
            <w:vAlign w:val="center"/>
            <w:hideMark/>
          </w:tcPr>
          <w:p w14:paraId="00FC5E4C" w14:textId="77777777" w:rsidR="008F31FB" w:rsidRPr="008F31FB" w:rsidRDefault="008F31FB" w:rsidP="00AB61A4">
            <w:pPr>
              <w:spacing w:line="360" w:lineRule="auto"/>
              <w:rPr>
                <w:rFonts w:eastAsia="DengXian"/>
                <w:color w:val="000000"/>
              </w:rPr>
            </w:pPr>
            <w:r w:rsidRPr="008F31FB">
              <w:rPr>
                <w:rFonts w:eastAsia="DengXian"/>
                <w:color w:val="000000"/>
              </w:rPr>
              <w:t>The effects of a sugar-free amino acid-containing electrolyte beverage on 5-kilometer performance, blood electrolytes, and post-exercise cramping versus a  conventional carbohydrate-electrolyte sports beverage and water.</w:t>
            </w:r>
          </w:p>
        </w:tc>
        <w:tc>
          <w:tcPr>
            <w:tcW w:w="1134" w:type="dxa"/>
            <w:noWrap/>
            <w:vAlign w:val="center"/>
            <w:hideMark/>
          </w:tcPr>
          <w:p w14:paraId="6CBA3CA2"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3FB5077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A57ED4A" w14:textId="77777777" w:rsidTr="008F31FB">
        <w:trPr>
          <w:trHeight w:val="320"/>
        </w:trPr>
        <w:tc>
          <w:tcPr>
            <w:tcW w:w="4535" w:type="dxa"/>
            <w:noWrap/>
            <w:vAlign w:val="center"/>
            <w:hideMark/>
          </w:tcPr>
          <w:p w14:paraId="449C67E6" w14:textId="77777777" w:rsidR="008F31FB" w:rsidRPr="008F31FB" w:rsidRDefault="008F31FB" w:rsidP="00AB61A4">
            <w:pPr>
              <w:spacing w:line="360" w:lineRule="auto"/>
              <w:rPr>
                <w:rFonts w:eastAsia="DengXian"/>
                <w:color w:val="000000"/>
              </w:rPr>
            </w:pPr>
            <w:r w:rsidRPr="008F31FB">
              <w:rPr>
                <w:rFonts w:eastAsia="DengXian"/>
                <w:color w:val="000000"/>
              </w:rPr>
              <w:t>Blood Pressure Stability and Plasma Aldosterone Reduction: The Effects of a Sodium and Bicarbonate-Rich Water - A Randomized Controlled Intervention Study.</w:t>
            </w:r>
          </w:p>
        </w:tc>
        <w:tc>
          <w:tcPr>
            <w:tcW w:w="1134" w:type="dxa"/>
            <w:noWrap/>
            <w:vAlign w:val="center"/>
            <w:hideMark/>
          </w:tcPr>
          <w:p w14:paraId="3F4AAE9B"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2F19582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8C061B0" w14:textId="77777777" w:rsidTr="008F31FB">
        <w:trPr>
          <w:trHeight w:val="320"/>
        </w:trPr>
        <w:tc>
          <w:tcPr>
            <w:tcW w:w="4535" w:type="dxa"/>
            <w:noWrap/>
            <w:vAlign w:val="center"/>
            <w:hideMark/>
          </w:tcPr>
          <w:p w14:paraId="1A372C44" w14:textId="77777777" w:rsidR="008F31FB" w:rsidRPr="008F31FB" w:rsidRDefault="008F31FB" w:rsidP="00AB61A4">
            <w:pPr>
              <w:spacing w:line="360" w:lineRule="auto"/>
              <w:rPr>
                <w:rFonts w:eastAsia="DengXian"/>
                <w:color w:val="000000"/>
              </w:rPr>
            </w:pPr>
            <w:r w:rsidRPr="008F31FB">
              <w:rPr>
                <w:rFonts w:eastAsia="DengXian"/>
                <w:color w:val="000000"/>
              </w:rPr>
              <w:t>Lack of change in blood pressure and arterial stiffness after high dairy intake in hyperinsulinemic subjects: a cross-over randomized controlled trial.</w:t>
            </w:r>
          </w:p>
        </w:tc>
        <w:tc>
          <w:tcPr>
            <w:tcW w:w="1134" w:type="dxa"/>
            <w:noWrap/>
            <w:vAlign w:val="center"/>
            <w:hideMark/>
          </w:tcPr>
          <w:p w14:paraId="51A9F442"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000C73B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B3DBE3D" w14:textId="77777777" w:rsidTr="008F31FB">
        <w:trPr>
          <w:trHeight w:val="320"/>
        </w:trPr>
        <w:tc>
          <w:tcPr>
            <w:tcW w:w="4535" w:type="dxa"/>
            <w:noWrap/>
            <w:vAlign w:val="center"/>
            <w:hideMark/>
          </w:tcPr>
          <w:p w14:paraId="077082D8" w14:textId="77777777" w:rsidR="008F31FB" w:rsidRPr="008F31FB" w:rsidRDefault="008F31FB" w:rsidP="00AB61A4">
            <w:pPr>
              <w:spacing w:line="360" w:lineRule="auto"/>
              <w:rPr>
                <w:rFonts w:eastAsia="DengXian"/>
                <w:color w:val="000000"/>
              </w:rPr>
            </w:pPr>
            <w:r w:rsidRPr="008F31FB">
              <w:rPr>
                <w:rFonts w:eastAsia="DengXian"/>
                <w:color w:val="000000"/>
              </w:rPr>
              <w:t>Safety evaluation of Mikania glomerata and Mikania laevigata in healthy volunteers: A randomized, open label and multiple dose phase I clinical trial.</w:t>
            </w:r>
          </w:p>
        </w:tc>
        <w:tc>
          <w:tcPr>
            <w:tcW w:w="1134" w:type="dxa"/>
            <w:noWrap/>
            <w:vAlign w:val="center"/>
            <w:hideMark/>
          </w:tcPr>
          <w:p w14:paraId="02585AC9" w14:textId="77777777" w:rsidR="008F31FB" w:rsidRPr="008F31FB" w:rsidRDefault="008F31FB" w:rsidP="00AB61A4">
            <w:pPr>
              <w:spacing w:line="360" w:lineRule="auto"/>
              <w:rPr>
                <w:rFonts w:eastAsia="DengXian"/>
                <w:color w:val="000000"/>
              </w:rPr>
            </w:pPr>
            <w:r w:rsidRPr="008F31FB">
              <w:rPr>
                <w:rFonts w:eastAsia="DengXian"/>
                <w:color w:val="000000"/>
              </w:rPr>
              <w:t>2024</w:t>
            </w:r>
          </w:p>
        </w:tc>
        <w:tc>
          <w:tcPr>
            <w:tcW w:w="2268" w:type="dxa"/>
            <w:noWrap/>
            <w:vAlign w:val="center"/>
            <w:hideMark/>
          </w:tcPr>
          <w:p w14:paraId="129F7AF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771DFB7" w14:textId="77777777" w:rsidTr="008F31FB">
        <w:trPr>
          <w:trHeight w:val="320"/>
        </w:trPr>
        <w:tc>
          <w:tcPr>
            <w:tcW w:w="4535" w:type="dxa"/>
            <w:noWrap/>
            <w:vAlign w:val="center"/>
            <w:hideMark/>
          </w:tcPr>
          <w:p w14:paraId="5AB7E67A" w14:textId="77777777" w:rsidR="008F31FB" w:rsidRPr="008F31FB" w:rsidRDefault="008F31FB" w:rsidP="00AB61A4">
            <w:pPr>
              <w:spacing w:line="360" w:lineRule="auto"/>
              <w:rPr>
                <w:rFonts w:eastAsia="DengXian"/>
                <w:color w:val="000000"/>
              </w:rPr>
            </w:pPr>
            <w:r w:rsidRPr="008F31FB">
              <w:rPr>
                <w:rFonts w:eastAsia="DengXian"/>
                <w:color w:val="000000"/>
              </w:rPr>
              <w:t>The Proportion of Dietary Salt Replaced with Potassium-Enriched Salt in the SSaSS: Implications for Scale-Up</w:t>
            </w:r>
          </w:p>
        </w:tc>
        <w:tc>
          <w:tcPr>
            <w:tcW w:w="1134" w:type="dxa"/>
            <w:noWrap/>
            <w:vAlign w:val="center"/>
            <w:hideMark/>
          </w:tcPr>
          <w:p w14:paraId="5C11B8A0"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2EE4B7F4"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4C083E" w:rsidRPr="008F31FB" w14:paraId="0E245DB5" w14:textId="77777777" w:rsidTr="008F31FB">
        <w:trPr>
          <w:trHeight w:val="320"/>
        </w:trPr>
        <w:tc>
          <w:tcPr>
            <w:tcW w:w="4535" w:type="dxa"/>
            <w:noWrap/>
            <w:vAlign w:val="center"/>
            <w:hideMark/>
          </w:tcPr>
          <w:p w14:paraId="06A01B51" w14:textId="77777777" w:rsidR="008F31FB" w:rsidRPr="008F31FB" w:rsidRDefault="008F31FB" w:rsidP="00AB61A4">
            <w:pPr>
              <w:spacing w:line="360" w:lineRule="auto"/>
              <w:rPr>
                <w:rFonts w:eastAsia="DengXian"/>
                <w:color w:val="000000"/>
              </w:rPr>
            </w:pPr>
            <w:r w:rsidRPr="008F31FB">
              <w:rPr>
                <w:rFonts w:eastAsia="DengXian"/>
                <w:color w:val="000000"/>
              </w:rPr>
              <w:t xml:space="preserve">Association between low-sodium salt intervention and long-term blood pressure changes is modified by ENaC genetic </w:t>
            </w:r>
            <w:r w:rsidRPr="008F31FB">
              <w:rPr>
                <w:rFonts w:eastAsia="DengXian"/>
                <w:color w:val="000000"/>
              </w:rPr>
              <w:lastRenderedPageBreak/>
              <w:t>variation: a gene–diet interaction analysis in a randomized controlled trial</w:t>
            </w:r>
          </w:p>
        </w:tc>
        <w:tc>
          <w:tcPr>
            <w:tcW w:w="1134" w:type="dxa"/>
            <w:noWrap/>
            <w:vAlign w:val="center"/>
            <w:hideMark/>
          </w:tcPr>
          <w:p w14:paraId="4744AFDE"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2023</w:t>
            </w:r>
          </w:p>
        </w:tc>
        <w:tc>
          <w:tcPr>
            <w:tcW w:w="2268" w:type="dxa"/>
            <w:noWrap/>
            <w:vAlign w:val="center"/>
            <w:hideMark/>
          </w:tcPr>
          <w:p w14:paraId="311BAF64"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4C083E" w:rsidRPr="008F31FB" w14:paraId="1F1DC059" w14:textId="77777777" w:rsidTr="008F31FB">
        <w:trPr>
          <w:trHeight w:val="320"/>
        </w:trPr>
        <w:tc>
          <w:tcPr>
            <w:tcW w:w="4535" w:type="dxa"/>
            <w:noWrap/>
            <w:vAlign w:val="center"/>
            <w:hideMark/>
          </w:tcPr>
          <w:p w14:paraId="242B9C15" w14:textId="77777777" w:rsidR="008F31FB" w:rsidRPr="008F31FB" w:rsidRDefault="008F31FB" w:rsidP="00AB61A4">
            <w:pPr>
              <w:spacing w:line="360" w:lineRule="auto"/>
              <w:rPr>
                <w:rFonts w:eastAsia="DengXian"/>
                <w:color w:val="000000"/>
              </w:rPr>
            </w:pPr>
            <w:r w:rsidRPr="008F31FB">
              <w:rPr>
                <w:rFonts w:eastAsia="DengXian"/>
                <w:color w:val="000000"/>
              </w:rPr>
              <w:t>Empowerment-based nutrition interventions on blood pressure: a randomized comparative effectiveness trial.</w:t>
            </w:r>
          </w:p>
        </w:tc>
        <w:tc>
          <w:tcPr>
            <w:tcW w:w="1134" w:type="dxa"/>
            <w:noWrap/>
            <w:vAlign w:val="center"/>
            <w:hideMark/>
          </w:tcPr>
          <w:p w14:paraId="380F955D"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48E1F26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11AD97A" w14:textId="77777777" w:rsidTr="008F31FB">
        <w:trPr>
          <w:trHeight w:val="320"/>
        </w:trPr>
        <w:tc>
          <w:tcPr>
            <w:tcW w:w="4535" w:type="dxa"/>
            <w:noWrap/>
            <w:vAlign w:val="center"/>
            <w:hideMark/>
          </w:tcPr>
          <w:p w14:paraId="5368E920" w14:textId="77777777" w:rsidR="008F31FB" w:rsidRPr="008F31FB" w:rsidRDefault="008F31FB" w:rsidP="00AB61A4">
            <w:pPr>
              <w:spacing w:line="360" w:lineRule="auto"/>
              <w:rPr>
                <w:rFonts w:eastAsia="DengXian"/>
                <w:color w:val="000000"/>
              </w:rPr>
            </w:pPr>
            <w:r w:rsidRPr="008F31FB">
              <w:rPr>
                <w:rFonts w:eastAsia="DengXian"/>
                <w:color w:val="000000"/>
              </w:rPr>
              <w:t>The effects of substituting red and processed meat for mycoprotein on biomarkers of cardiovascular risk in healthy volunteers: an analysis of secondary endpoints  from Mycomeat.</w:t>
            </w:r>
          </w:p>
        </w:tc>
        <w:tc>
          <w:tcPr>
            <w:tcW w:w="1134" w:type="dxa"/>
            <w:noWrap/>
            <w:vAlign w:val="center"/>
            <w:hideMark/>
          </w:tcPr>
          <w:p w14:paraId="7AC465CF"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5B82B9B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C88CD9D" w14:textId="77777777" w:rsidTr="008F31FB">
        <w:trPr>
          <w:trHeight w:val="320"/>
        </w:trPr>
        <w:tc>
          <w:tcPr>
            <w:tcW w:w="4535" w:type="dxa"/>
            <w:noWrap/>
            <w:vAlign w:val="center"/>
            <w:hideMark/>
          </w:tcPr>
          <w:p w14:paraId="3E15E1CE" w14:textId="77777777" w:rsidR="008F31FB" w:rsidRPr="008F31FB" w:rsidRDefault="008F31FB" w:rsidP="00AB61A4">
            <w:pPr>
              <w:spacing w:line="360" w:lineRule="auto"/>
              <w:rPr>
                <w:rFonts w:eastAsia="DengXian"/>
                <w:color w:val="000000"/>
              </w:rPr>
            </w:pPr>
            <w:r w:rsidRPr="008F31FB">
              <w:rPr>
                <w:rFonts w:eastAsia="DengXian"/>
                <w:color w:val="000000"/>
              </w:rPr>
              <w:t>Effect of low-sodium salt applied to Chinese modified DASH diet on arterial stiffness in older patients with hypertension and type 2 diabetes.</w:t>
            </w:r>
          </w:p>
        </w:tc>
        <w:tc>
          <w:tcPr>
            <w:tcW w:w="1134" w:type="dxa"/>
            <w:noWrap/>
            <w:vAlign w:val="center"/>
            <w:hideMark/>
          </w:tcPr>
          <w:p w14:paraId="6884766C"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3CBFFE3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E0F97AF" w14:textId="77777777" w:rsidTr="008F31FB">
        <w:trPr>
          <w:trHeight w:val="320"/>
        </w:trPr>
        <w:tc>
          <w:tcPr>
            <w:tcW w:w="4535" w:type="dxa"/>
            <w:noWrap/>
            <w:vAlign w:val="center"/>
            <w:hideMark/>
          </w:tcPr>
          <w:p w14:paraId="1744D202" w14:textId="77777777" w:rsidR="008F31FB" w:rsidRPr="008F31FB" w:rsidRDefault="008F31FB" w:rsidP="00AB61A4">
            <w:pPr>
              <w:spacing w:line="360" w:lineRule="auto"/>
              <w:rPr>
                <w:rFonts w:eastAsia="DengXian"/>
                <w:color w:val="000000"/>
              </w:rPr>
            </w:pPr>
            <w:r w:rsidRPr="008F31FB">
              <w:rPr>
                <w:rFonts w:eastAsia="DengXian"/>
                <w:color w:val="000000"/>
              </w:rPr>
              <w:t>Effects of Triamterene in Hospitalized Patients with Heart Failure and Diuretic Resistance: A Randomized Clinical Trial.</w:t>
            </w:r>
          </w:p>
        </w:tc>
        <w:tc>
          <w:tcPr>
            <w:tcW w:w="1134" w:type="dxa"/>
            <w:noWrap/>
            <w:vAlign w:val="center"/>
            <w:hideMark/>
          </w:tcPr>
          <w:p w14:paraId="463965A0"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22FC8F3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8643FDC" w14:textId="77777777" w:rsidTr="008F31FB">
        <w:trPr>
          <w:trHeight w:val="320"/>
        </w:trPr>
        <w:tc>
          <w:tcPr>
            <w:tcW w:w="4535" w:type="dxa"/>
            <w:noWrap/>
            <w:vAlign w:val="center"/>
            <w:hideMark/>
          </w:tcPr>
          <w:p w14:paraId="473AF8D4" w14:textId="77777777" w:rsidR="008F31FB" w:rsidRPr="008F31FB" w:rsidRDefault="008F31FB" w:rsidP="00AB61A4">
            <w:pPr>
              <w:spacing w:line="360" w:lineRule="auto"/>
              <w:rPr>
                <w:rFonts w:eastAsia="DengXian"/>
                <w:color w:val="000000"/>
              </w:rPr>
            </w:pPr>
            <w:r w:rsidRPr="008F31FB">
              <w:rPr>
                <w:rFonts w:eastAsia="DengXian"/>
                <w:color w:val="000000"/>
              </w:rPr>
              <w:t>Efficacy of an Educational Intervention for Sodium Restriction in Patients with Hypertension: A Randomized Controlled Trial.</w:t>
            </w:r>
          </w:p>
        </w:tc>
        <w:tc>
          <w:tcPr>
            <w:tcW w:w="1134" w:type="dxa"/>
            <w:noWrap/>
            <w:vAlign w:val="center"/>
            <w:hideMark/>
          </w:tcPr>
          <w:p w14:paraId="3C68B834"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186F7EE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1DB5669" w14:textId="77777777" w:rsidTr="008F31FB">
        <w:trPr>
          <w:trHeight w:val="320"/>
        </w:trPr>
        <w:tc>
          <w:tcPr>
            <w:tcW w:w="4535" w:type="dxa"/>
            <w:noWrap/>
            <w:vAlign w:val="center"/>
            <w:hideMark/>
          </w:tcPr>
          <w:p w14:paraId="08F28988" w14:textId="77777777" w:rsidR="008F31FB" w:rsidRPr="008F31FB" w:rsidRDefault="008F31FB" w:rsidP="00AB61A4">
            <w:pPr>
              <w:spacing w:line="360" w:lineRule="auto"/>
              <w:rPr>
                <w:rFonts w:eastAsia="DengXian"/>
                <w:color w:val="000000"/>
              </w:rPr>
            </w:pPr>
            <w:r w:rsidRPr="008F31FB">
              <w:rPr>
                <w:rFonts w:eastAsia="DengXian"/>
                <w:color w:val="000000"/>
              </w:rPr>
              <w:t>Dapagliflozin vs. metolazone in heart failure resistant to loop diuretics.</w:t>
            </w:r>
          </w:p>
        </w:tc>
        <w:tc>
          <w:tcPr>
            <w:tcW w:w="1134" w:type="dxa"/>
            <w:noWrap/>
            <w:vAlign w:val="center"/>
            <w:hideMark/>
          </w:tcPr>
          <w:p w14:paraId="5B92D922"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2BA0C61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9CC6DC5" w14:textId="77777777" w:rsidTr="008F31FB">
        <w:trPr>
          <w:trHeight w:val="320"/>
        </w:trPr>
        <w:tc>
          <w:tcPr>
            <w:tcW w:w="4535" w:type="dxa"/>
            <w:noWrap/>
            <w:vAlign w:val="center"/>
            <w:hideMark/>
          </w:tcPr>
          <w:p w14:paraId="668EEAFC" w14:textId="77777777" w:rsidR="008F31FB" w:rsidRPr="008F31FB" w:rsidRDefault="008F31FB" w:rsidP="00AB61A4">
            <w:pPr>
              <w:spacing w:line="360" w:lineRule="auto"/>
              <w:rPr>
                <w:rFonts w:eastAsia="DengXian"/>
                <w:color w:val="000000"/>
              </w:rPr>
            </w:pPr>
            <w:r w:rsidRPr="008F31FB">
              <w:rPr>
                <w:rFonts w:eastAsia="DengXian"/>
                <w:color w:val="000000"/>
              </w:rPr>
              <w:t>Metabolomic Profiles Associated With Blood Pressure Reduction in Response to the DASH and DASH-Sodium Dietary Interventions.</w:t>
            </w:r>
          </w:p>
        </w:tc>
        <w:tc>
          <w:tcPr>
            <w:tcW w:w="1134" w:type="dxa"/>
            <w:noWrap/>
            <w:vAlign w:val="center"/>
            <w:hideMark/>
          </w:tcPr>
          <w:p w14:paraId="13D9B485"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21EF062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4DEB479" w14:textId="77777777" w:rsidTr="008F31FB">
        <w:trPr>
          <w:trHeight w:val="320"/>
        </w:trPr>
        <w:tc>
          <w:tcPr>
            <w:tcW w:w="4535" w:type="dxa"/>
            <w:noWrap/>
            <w:vAlign w:val="center"/>
            <w:hideMark/>
          </w:tcPr>
          <w:p w14:paraId="629C09B6"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Effects of a low-sodium diet in patients with idiopathic hyperaldosteronism: a randomized controlled trial.</w:t>
            </w:r>
          </w:p>
        </w:tc>
        <w:tc>
          <w:tcPr>
            <w:tcW w:w="1134" w:type="dxa"/>
            <w:noWrap/>
            <w:vAlign w:val="center"/>
            <w:hideMark/>
          </w:tcPr>
          <w:p w14:paraId="172D8195"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47D0EB4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988AF2D" w14:textId="77777777" w:rsidTr="008F31FB">
        <w:trPr>
          <w:trHeight w:val="320"/>
        </w:trPr>
        <w:tc>
          <w:tcPr>
            <w:tcW w:w="4535" w:type="dxa"/>
            <w:noWrap/>
            <w:vAlign w:val="center"/>
            <w:hideMark/>
          </w:tcPr>
          <w:p w14:paraId="5EBE49D7" w14:textId="77777777" w:rsidR="008F31FB" w:rsidRPr="008F31FB" w:rsidRDefault="008F31FB" w:rsidP="00AB61A4">
            <w:pPr>
              <w:spacing w:line="360" w:lineRule="auto"/>
              <w:rPr>
                <w:rFonts w:eastAsia="DengXian"/>
                <w:color w:val="000000"/>
              </w:rPr>
            </w:pPr>
            <w:r w:rsidRPr="008F31FB">
              <w:rPr>
                <w:rFonts w:eastAsia="DengXian"/>
                <w:color w:val="000000"/>
              </w:rPr>
              <w:t>Sodium and potassium changes during decongestion with acetazolamide - A pre-specified analysis from the ADVOR trial.</w:t>
            </w:r>
          </w:p>
        </w:tc>
        <w:tc>
          <w:tcPr>
            <w:tcW w:w="1134" w:type="dxa"/>
            <w:noWrap/>
            <w:vAlign w:val="center"/>
            <w:hideMark/>
          </w:tcPr>
          <w:p w14:paraId="4523ACAC"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04A42E1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82FF29F" w14:textId="77777777" w:rsidTr="008F31FB">
        <w:trPr>
          <w:trHeight w:val="320"/>
        </w:trPr>
        <w:tc>
          <w:tcPr>
            <w:tcW w:w="4535" w:type="dxa"/>
            <w:noWrap/>
            <w:vAlign w:val="center"/>
            <w:hideMark/>
          </w:tcPr>
          <w:p w14:paraId="7BB51920" w14:textId="77777777" w:rsidR="008F31FB" w:rsidRPr="008F31FB" w:rsidRDefault="008F31FB" w:rsidP="00AB61A4">
            <w:pPr>
              <w:spacing w:line="360" w:lineRule="auto"/>
              <w:rPr>
                <w:rFonts w:eastAsia="DengXian"/>
                <w:color w:val="000000"/>
              </w:rPr>
            </w:pPr>
            <w:r w:rsidRPr="008F31FB">
              <w:rPr>
                <w:rFonts w:eastAsia="DengXian"/>
                <w:color w:val="000000"/>
              </w:rPr>
              <w:t>Rationale and Design of the Groceries for Black Residents of Boston to Stop Hypertension Among Adults Without Treated Hypertension (GoFresh) Trial.</w:t>
            </w:r>
          </w:p>
        </w:tc>
        <w:tc>
          <w:tcPr>
            <w:tcW w:w="1134" w:type="dxa"/>
            <w:noWrap/>
            <w:vAlign w:val="center"/>
            <w:hideMark/>
          </w:tcPr>
          <w:p w14:paraId="6D91E146"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107C35F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565D826" w14:textId="77777777" w:rsidTr="008F31FB">
        <w:trPr>
          <w:trHeight w:val="320"/>
        </w:trPr>
        <w:tc>
          <w:tcPr>
            <w:tcW w:w="4535" w:type="dxa"/>
            <w:noWrap/>
            <w:vAlign w:val="center"/>
            <w:hideMark/>
          </w:tcPr>
          <w:p w14:paraId="327B6AB8" w14:textId="77777777" w:rsidR="008F31FB" w:rsidRPr="008F31FB" w:rsidRDefault="008F31FB" w:rsidP="00AB61A4">
            <w:pPr>
              <w:spacing w:line="360" w:lineRule="auto"/>
              <w:rPr>
                <w:rFonts w:eastAsia="DengXian"/>
                <w:color w:val="000000"/>
              </w:rPr>
            </w:pPr>
            <w:r w:rsidRPr="008F31FB">
              <w:rPr>
                <w:rFonts w:eastAsia="DengXian"/>
                <w:color w:val="000000"/>
              </w:rPr>
              <w:t>Exploring heated exercise as a means of preventing the deleterious effects of high-sodium intake in Black women.</w:t>
            </w:r>
          </w:p>
        </w:tc>
        <w:tc>
          <w:tcPr>
            <w:tcW w:w="1134" w:type="dxa"/>
            <w:noWrap/>
            <w:vAlign w:val="center"/>
            <w:hideMark/>
          </w:tcPr>
          <w:p w14:paraId="43B9EE15"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4EEF824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72E8619" w14:textId="77777777" w:rsidTr="008F31FB">
        <w:trPr>
          <w:trHeight w:val="320"/>
        </w:trPr>
        <w:tc>
          <w:tcPr>
            <w:tcW w:w="4535" w:type="dxa"/>
            <w:noWrap/>
            <w:vAlign w:val="center"/>
            <w:hideMark/>
          </w:tcPr>
          <w:p w14:paraId="3F221B65" w14:textId="77777777" w:rsidR="008F31FB" w:rsidRPr="008F31FB" w:rsidRDefault="008F31FB" w:rsidP="00AB61A4">
            <w:pPr>
              <w:spacing w:line="360" w:lineRule="auto"/>
              <w:rPr>
                <w:rFonts w:eastAsia="DengXian"/>
                <w:color w:val="000000"/>
              </w:rPr>
            </w:pPr>
            <w:r w:rsidRPr="008F31FB">
              <w:rPr>
                <w:rFonts w:eastAsia="DengXian"/>
                <w:color w:val="000000"/>
              </w:rPr>
              <w:t>A randomized study to compare oral potassium binders in the treatment of acute hyperkalemia.</w:t>
            </w:r>
          </w:p>
        </w:tc>
        <w:tc>
          <w:tcPr>
            <w:tcW w:w="1134" w:type="dxa"/>
            <w:noWrap/>
            <w:vAlign w:val="center"/>
            <w:hideMark/>
          </w:tcPr>
          <w:p w14:paraId="1A81D99F"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028659C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8EE181D" w14:textId="77777777" w:rsidTr="008F31FB">
        <w:trPr>
          <w:trHeight w:val="320"/>
        </w:trPr>
        <w:tc>
          <w:tcPr>
            <w:tcW w:w="4535" w:type="dxa"/>
            <w:noWrap/>
            <w:vAlign w:val="center"/>
            <w:hideMark/>
          </w:tcPr>
          <w:p w14:paraId="4EDB5B61" w14:textId="77777777" w:rsidR="008F31FB" w:rsidRPr="008F31FB" w:rsidRDefault="008F31FB" w:rsidP="00AB61A4">
            <w:pPr>
              <w:spacing w:line="360" w:lineRule="auto"/>
              <w:rPr>
                <w:rFonts w:eastAsia="DengXian"/>
                <w:color w:val="000000"/>
              </w:rPr>
            </w:pPr>
            <w:r w:rsidRPr="008F31FB">
              <w:rPr>
                <w:rFonts w:eastAsia="DengXian"/>
                <w:color w:val="000000"/>
              </w:rPr>
              <w:t>CYP11B2 inhibitor dexfadrostat phosphate suppresses the aldosterone-to-renin ratio, an indicator of sodium retention, in healthy volunteers.</w:t>
            </w:r>
          </w:p>
        </w:tc>
        <w:tc>
          <w:tcPr>
            <w:tcW w:w="1134" w:type="dxa"/>
            <w:noWrap/>
            <w:vAlign w:val="center"/>
            <w:hideMark/>
          </w:tcPr>
          <w:p w14:paraId="504D7107"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45F5FCBF"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954EA09" w14:textId="77777777" w:rsidTr="008F31FB">
        <w:trPr>
          <w:trHeight w:val="320"/>
        </w:trPr>
        <w:tc>
          <w:tcPr>
            <w:tcW w:w="4535" w:type="dxa"/>
            <w:noWrap/>
            <w:vAlign w:val="center"/>
            <w:hideMark/>
          </w:tcPr>
          <w:p w14:paraId="311FB327" w14:textId="77777777" w:rsidR="008F31FB" w:rsidRPr="008F31FB" w:rsidRDefault="008F31FB" w:rsidP="00AB61A4">
            <w:pPr>
              <w:spacing w:line="360" w:lineRule="auto"/>
              <w:rPr>
                <w:rFonts w:eastAsia="DengXian"/>
                <w:color w:val="000000"/>
              </w:rPr>
            </w:pPr>
            <w:r w:rsidRPr="008F31FB">
              <w:rPr>
                <w:rFonts w:eastAsia="DengXian"/>
                <w:color w:val="000000"/>
              </w:rPr>
              <w:t>The effect of orally administered nitrate on renal function and blood pressure in a randomized, placebo-controlled, crossover study in healthy subjects.</w:t>
            </w:r>
          </w:p>
        </w:tc>
        <w:tc>
          <w:tcPr>
            <w:tcW w:w="1134" w:type="dxa"/>
            <w:noWrap/>
            <w:vAlign w:val="center"/>
            <w:hideMark/>
          </w:tcPr>
          <w:p w14:paraId="2828B5DD"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3CD598D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2C412D3" w14:textId="77777777" w:rsidTr="008F31FB">
        <w:trPr>
          <w:trHeight w:val="320"/>
        </w:trPr>
        <w:tc>
          <w:tcPr>
            <w:tcW w:w="4535" w:type="dxa"/>
            <w:noWrap/>
            <w:vAlign w:val="center"/>
            <w:hideMark/>
          </w:tcPr>
          <w:p w14:paraId="79A3401F" w14:textId="77777777" w:rsidR="008F31FB" w:rsidRPr="008F31FB" w:rsidRDefault="008F31FB" w:rsidP="00AB61A4">
            <w:pPr>
              <w:spacing w:line="360" w:lineRule="auto"/>
              <w:rPr>
                <w:rFonts w:eastAsia="DengXian"/>
                <w:color w:val="000000"/>
              </w:rPr>
            </w:pPr>
            <w:r w:rsidRPr="008F31FB">
              <w:rPr>
                <w:rFonts w:eastAsia="DengXian"/>
                <w:color w:val="000000"/>
              </w:rPr>
              <w:t xml:space="preserve">Effectiveness of a Sodium-Reduction Smartphone App and Reduced-Sodium Salt to Lower Sodium Intake in Adults With </w:t>
            </w:r>
            <w:r w:rsidRPr="008F31FB">
              <w:rPr>
                <w:rFonts w:eastAsia="DengXian"/>
                <w:color w:val="000000"/>
              </w:rPr>
              <w:lastRenderedPageBreak/>
              <w:t>Hypertension: Findings From the Salt  Alternatives Randomized Controlled Trial.</w:t>
            </w:r>
          </w:p>
        </w:tc>
        <w:tc>
          <w:tcPr>
            <w:tcW w:w="1134" w:type="dxa"/>
            <w:noWrap/>
            <w:vAlign w:val="center"/>
            <w:hideMark/>
          </w:tcPr>
          <w:p w14:paraId="06DFD1D6"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2023</w:t>
            </w:r>
          </w:p>
        </w:tc>
        <w:tc>
          <w:tcPr>
            <w:tcW w:w="2268" w:type="dxa"/>
            <w:noWrap/>
            <w:vAlign w:val="center"/>
            <w:hideMark/>
          </w:tcPr>
          <w:p w14:paraId="5381B9D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E1DBB4F" w14:textId="77777777" w:rsidTr="008F31FB">
        <w:trPr>
          <w:trHeight w:val="320"/>
        </w:trPr>
        <w:tc>
          <w:tcPr>
            <w:tcW w:w="4535" w:type="dxa"/>
            <w:noWrap/>
            <w:vAlign w:val="center"/>
            <w:hideMark/>
          </w:tcPr>
          <w:p w14:paraId="271303B1" w14:textId="77777777" w:rsidR="008F31FB" w:rsidRPr="008F31FB" w:rsidRDefault="008F31FB" w:rsidP="00AB61A4">
            <w:pPr>
              <w:spacing w:line="360" w:lineRule="auto"/>
              <w:rPr>
                <w:rFonts w:eastAsia="DengXian"/>
                <w:color w:val="000000"/>
              </w:rPr>
            </w:pPr>
            <w:r w:rsidRPr="008F31FB">
              <w:rPr>
                <w:rFonts w:eastAsia="DengXian"/>
                <w:color w:val="000000"/>
              </w:rPr>
              <w:t>Effect of High Sodium Intake (5 mEq/kg/day) in Preterm Newborns (&lt;35 Weeks Gestation) During the Initial 24 Hours of Life: A Non-Blinded Randomized Clinical  Trial.</w:t>
            </w:r>
          </w:p>
        </w:tc>
        <w:tc>
          <w:tcPr>
            <w:tcW w:w="1134" w:type="dxa"/>
            <w:noWrap/>
            <w:vAlign w:val="center"/>
            <w:hideMark/>
          </w:tcPr>
          <w:p w14:paraId="1F816B61"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4301260E"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A3F1284" w14:textId="77777777" w:rsidTr="008F31FB">
        <w:trPr>
          <w:trHeight w:val="320"/>
        </w:trPr>
        <w:tc>
          <w:tcPr>
            <w:tcW w:w="4535" w:type="dxa"/>
            <w:noWrap/>
            <w:vAlign w:val="center"/>
            <w:hideMark/>
          </w:tcPr>
          <w:p w14:paraId="75A77F77" w14:textId="77777777" w:rsidR="008F31FB" w:rsidRPr="008F31FB" w:rsidRDefault="008F31FB" w:rsidP="00AB61A4">
            <w:pPr>
              <w:spacing w:line="360" w:lineRule="auto"/>
              <w:rPr>
                <w:rFonts w:eastAsia="DengXian"/>
                <w:color w:val="000000"/>
              </w:rPr>
            </w:pPr>
            <w:r w:rsidRPr="008F31FB">
              <w:rPr>
                <w:rFonts w:eastAsia="DengXian"/>
                <w:color w:val="000000"/>
              </w:rPr>
              <w:t>Urinary Sodium Excretion and Salt Intake Are Not Associated With Blood Pressure Variability in a White General Population.</w:t>
            </w:r>
          </w:p>
        </w:tc>
        <w:tc>
          <w:tcPr>
            <w:tcW w:w="1134" w:type="dxa"/>
            <w:noWrap/>
            <w:vAlign w:val="center"/>
            <w:hideMark/>
          </w:tcPr>
          <w:p w14:paraId="35D1FA28"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5376A90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BB6BEA4" w14:textId="77777777" w:rsidTr="008F31FB">
        <w:trPr>
          <w:trHeight w:val="320"/>
        </w:trPr>
        <w:tc>
          <w:tcPr>
            <w:tcW w:w="4535" w:type="dxa"/>
            <w:noWrap/>
            <w:vAlign w:val="center"/>
            <w:hideMark/>
          </w:tcPr>
          <w:p w14:paraId="30B6026F" w14:textId="77777777" w:rsidR="008F31FB" w:rsidRPr="008F31FB" w:rsidRDefault="008F31FB" w:rsidP="00AB61A4">
            <w:pPr>
              <w:spacing w:line="360" w:lineRule="auto"/>
              <w:rPr>
                <w:rFonts w:eastAsia="DengXian"/>
                <w:color w:val="000000"/>
              </w:rPr>
            </w:pPr>
            <w:r w:rsidRPr="008F31FB">
              <w:rPr>
                <w:rFonts w:eastAsia="DengXian"/>
                <w:color w:val="000000"/>
              </w:rPr>
              <w:t>Potassium reduction with sodium zirconium cyclosilicate in patients with heart failure.</w:t>
            </w:r>
          </w:p>
        </w:tc>
        <w:tc>
          <w:tcPr>
            <w:tcW w:w="1134" w:type="dxa"/>
            <w:noWrap/>
            <w:vAlign w:val="center"/>
            <w:hideMark/>
          </w:tcPr>
          <w:p w14:paraId="518823CE"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6ED27A9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F188C95" w14:textId="77777777" w:rsidTr="008F31FB">
        <w:trPr>
          <w:trHeight w:val="320"/>
        </w:trPr>
        <w:tc>
          <w:tcPr>
            <w:tcW w:w="4535" w:type="dxa"/>
            <w:noWrap/>
            <w:vAlign w:val="center"/>
            <w:hideMark/>
          </w:tcPr>
          <w:p w14:paraId="4CBC58BE" w14:textId="77777777" w:rsidR="008F31FB" w:rsidRPr="008F31FB" w:rsidRDefault="008F31FB" w:rsidP="00AB61A4">
            <w:pPr>
              <w:spacing w:line="360" w:lineRule="auto"/>
              <w:rPr>
                <w:rFonts w:eastAsia="DengXian"/>
                <w:color w:val="000000"/>
              </w:rPr>
            </w:pPr>
            <w:r w:rsidRPr="008F31FB">
              <w:rPr>
                <w:rFonts w:eastAsia="DengXian"/>
                <w:color w:val="000000"/>
              </w:rPr>
              <w:t>Effect of regulated add-on sodium chloride intake on stabilization of serum lithium concentration in bipolar disorder: A randomized controlled trial.</w:t>
            </w:r>
          </w:p>
        </w:tc>
        <w:tc>
          <w:tcPr>
            <w:tcW w:w="1134" w:type="dxa"/>
            <w:noWrap/>
            <w:vAlign w:val="center"/>
            <w:hideMark/>
          </w:tcPr>
          <w:p w14:paraId="70A54F95" w14:textId="77777777" w:rsidR="008F31FB" w:rsidRPr="008F31FB" w:rsidRDefault="008F31FB" w:rsidP="00AB61A4">
            <w:pPr>
              <w:spacing w:line="360" w:lineRule="auto"/>
              <w:rPr>
                <w:rFonts w:eastAsia="DengXian"/>
                <w:color w:val="000000"/>
              </w:rPr>
            </w:pPr>
            <w:r w:rsidRPr="008F31FB">
              <w:rPr>
                <w:rFonts w:eastAsia="DengXian"/>
                <w:color w:val="000000"/>
              </w:rPr>
              <w:t>2023</w:t>
            </w:r>
          </w:p>
        </w:tc>
        <w:tc>
          <w:tcPr>
            <w:tcW w:w="2268" w:type="dxa"/>
            <w:noWrap/>
            <w:vAlign w:val="center"/>
            <w:hideMark/>
          </w:tcPr>
          <w:p w14:paraId="10EAE9D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A5808ED" w14:textId="77777777" w:rsidTr="008F31FB">
        <w:trPr>
          <w:trHeight w:val="320"/>
        </w:trPr>
        <w:tc>
          <w:tcPr>
            <w:tcW w:w="4535" w:type="dxa"/>
            <w:noWrap/>
            <w:vAlign w:val="center"/>
            <w:hideMark/>
          </w:tcPr>
          <w:p w14:paraId="0BD5F691" w14:textId="77777777" w:rsidR="008F31FB" w:rsidRPr="008F31FB" w:rsidRDefault="008F31FB" w:rsidP="00AB61A4">
            <w:pPr>
              <w:spacing w:line="360" w:lineRule="auto"/>
              <w:rPr>
                <w:rFonts w:eastAsia="DengXian"/>
                <w:color w:val="000000"/>
              </w:rPr>
            </w:pPr>
            <w:r w:rsidRPr="008F31FB">
              <w:rPr>
                <w:rFonts w:eastAsia="DengXian"/>
                <w:color w:val="000000"/>
              </w:rPr>
              <w:t>A nomogram to predict hyperkalemia in patients with hemodialysis: a retrospective cohort study.</w:t>
            </w:r>
          </w:p>
        </w:tc>
        <w:tc>
          <w:tcPr>
            <w:tcW w:w="1134" w:type="dxa"/>
            <w:noWrap/>
            <w:vAlign w:val="center"/>
            <w:hideMark/>
          </w:tcPr>
          <w:p w14:paraId="2A60C243" w14:textId="77777777" w:rsidR="008F31FB" w:rsidRPr="008F31FB" w:rsidRDefault="008F31FB" w:rsidP="00AB61A4">
            <w:pPr>
              <w:spacing w:line="360" w:lineRule="auto"/>
              <w:rPr>
                <w:rFonts w:eastAsia="DengXian"/>
                <w:color w:val="000000"/>
              </w:rPr>
            </w:pPr>
            <w:r w:rsidRPr="008F31FB">
              <w:rPr>
                <w:rFonts w:eastAsia="DengXian"/>
                <w:color w:val="000000"/>
              </w:rPr>
              <w:t>2022</w:t>
            </w:r>
          </w:p>
        </w:tc>
        <w:tc>
          <w:tcPr>
            <w:tcW w:w="2268" w:type="dxa"/>
            <w:noWrap/>
            <w:vAlign w:val="center"/>
            <w:hideMark/>
          </w:tcPr>
          <w:p w14:paraId="5D0956E9"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22B693AB" w14:textId="77777777" w:rsidTr="008F31FB">
        <w:trPr>
          <w:trHeight w:val="320"/>
        </w:trPr>
        <w:tc>
          <w:tcPr>
            <w:tcW w:w="4535" w:type="dxa"/>
            <w:noWrap/>
            <w:vAlign w:val="center"/>
            <w:hideMark/>
          </w:tcPr>
          <w:p w14:paraId="2E5B5599" w14:textId="77777777" w:rsidR="008F31FB" w:rsidRPr="008F31FB" w:rsidRDefault="008F31FB" w:rsidP="00AB61A4">
            <w:pPr>
              <w:spacing w:line="360" w:lineRule="auto"/>
              <w:rPr>
                <w:rFonts w:eastAsia="DengXian"/>
                <w:color w:val="000000"/>
              </w:rPr>
            </w:pPr>
            <w:r w:rsidRPr="008F31FB">
              <w:rPr>
                <w:rFonts w:eastAsia="DengXian"/>
                <w:color w:val="000000"/>
              </w:rPr>
              <w:t>A Novel Risk-Prediction Scoring System for Sepsis among Patients with Acute Pancreatitis: A Retrospective Analysis of a Large Clinical Database.</w:t>
            </w:r>
          </w:p>
        </w:tc>
        <w:tc>
          <w:tcPr>
            <w:tcW w:w="1134" w:type="dxa"/>
            <w:noWrap/>
            <w:vAlign w:val="center"/>
            <w:hideMark/>
          </w:tcPr>
          <w:p w14:paraId="00EF9ED6" w14:textId="77777777" w:rsidR="008F31FB" w:rsidRPr="008F31FB" w:rsidRDefault="008F31FB" w:rsidP="00AB61A4">
            <w:pPr>
              <w:spacing w:line="360" w:lineRule="auto"/>
              <w:rPr>
                <w:rFonts w:eastAsia="DengXian"/>
                <w:color w:val="000000"/>
              </w:rPr>
            </w:pPr>
            <w:r w:rsidRPr="008F31FB">
              <w:rPr>
                <w:rFonts w:eastAsia="DengXian"/>
                <w:color w:val="000000"/>
              </w:rPr>
              <w:t>2022</w:t>
            </w:r>
          </w:p>
        </w:tc>
        <w:tc>
          <w:tcPr>
            <w:tcW w:w="2268" w:type="dxa"/>
            <w:noWrap/>
            <w:vAlign w:val="center"/>
            <w:hideMark/>
          </w:tcPr>
          <w:p w14:paraId="03AD1977"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3C11AE15" w14:textId="77777777" w:rsidTr="008F31FB">
        <w:trPr>
          <w:trHeight w:val="320"/>
        </w:trPr>
        <w:tc>
          <w:tcPr>
            <w:tcW w:w="4535" w:type="dxa"/>
            <w:noWrap/>
            <w:vAlign w:val="center"/>
            <w:hideMark/>
          </w:tcPr>
          <w:p w14:paraId="514BD742" w14:textId="77777777" w:rsidR="008F31FB" w:rsidRPr="008F31FB" w:rsidRDefault="008F31FB" w:rsidP="00AB61A4">
            <w:pPr>
              <w:spacing w:line="360" w:lineRule="auto"/>
              <w:rPr>
                <w:rFonts w:eastAsia="DengXian"/>
                <w:color w:val="000000"/>
              </w:rPr>
            </w:pPr>
            <w:r w:rsidRPr="008F31FB">
              <w:rPr>
                <w:rFonts w:eastAsia="DengXian"/>
                <w:color w:val="000000"/>
              </w:rPr>
              <w:t>Cost-Effectiveness of a Household Salt Substitution Intervention: Findings From 20 995 Participants of the Salt Substitute and Stroke Study.</w:t>
            </w:r>
          </w:p>
        </w:tc>
        <w:tc>
          <w:tcPr>
            <w:tcW w:w="1134" w:type="dxa"/>
            <w:noWrap/>
            <w:vAlign w:val="center"/>
            <w:hideMark/>
          </w:tcPr>
          <w:p w14:paraId="658DCFC9" w14:textId="77777777" w:rsidR="008F31FB" w:rsidRPr="008F31FB" w:rsidRDefault="008F31FB" w:rsidP="00AB61A4">
            <w:pPr>
              <w:spacing w:line="360" w:lineRule="auto"/>
              <w:rPr>
                <w:rFonts w:eastAsia="DengXian"/>
                <w:color w:val="000000"/>
              </w:rPr>
            </w:pPr>
            <w:r w:rsidRPr="008F31FB">
              <w:rPr>
                <w:rFonts w:eastAsia="DengXian"/>
                <w:color w:val="000000"/>
              </w:rPr>
              <w:t>2022</w:t>
            </w:r>
          </w:p>
        </w:tc>
        <w:tc>
          <w:tcPr>
            <w:tcW w:w="2268" w:type="dxa"/>
            <w:noWrap/>
            <w:vAlign w:val="center"/>
            <w:hideMark/>
          </w:tcPr>
          <w:p w14:paraId="0C693B39"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3C5AB37F" w14:textId="77777777" w:rsidTr="008F31FB">
        <w:trPr>
          <w:trHeight w:val="320"/>
        </w:trPr>
        <w:tc>
          <w:tcPr>
            <w:tcW w:w="4535" w:type="dxa"/>
            <w:noWrap/>
            <w:vAlign w:val="center"/>
            <w:hideMark/>
          </w:tcPr>
          <w:p w14:paraId="0D503433"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Efficacy of inhaled Desmopressin in pregnant women with idiopathic oligohydramnios - a randomized controlled trial.</w:t>
            </w:r>
          </w:p>
        </w:tc>
        <w:tc>
          <w:tcPr>
            <w:tcW w:w="1134" w:type="dxa"/>
            <w:noWrap/>
            <w:vAlign w:val="center"/>
            <w:hideMark/>
          </w:tcPr>
          <w:p w14:paraId="58EF3077" w14:textId="77777777" w:rsidR="008F31FB" w:rsidRPr="008F31FB" w:rsidRDefault="008F31FB" w:rsidP="00AB61A4">
            <w:pPr>
              <w:spacing w:line="360" w:lineRule="auto"/>
              <w:rPr>
                <w:rFonts w:eastAsia="DengXian"/>
                <w:color w:val="000000"/>
              </w:rPr>
            </w:pPr>
            <w:r w:rsidRPr="008F31FB">
              <w:rPr>
                <w:rFonts w:eastAsia="DengXian"/>
                <w:color w:val="000000"/>
              </w:rPr>
              <w:t>2022</w:t>
            </w:r>
          </w:p>
        </w:tc>
        <w:tc>
          <w:tcPr>
            <w:tcW w:w="2268" w:type="dxa"/>
            <w:noWrap/>
            <w:vAlign w:val="center"/>
            <w:hideMark/>
          </w:tcPr>
          <w:p w14:paraId="6B2317F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D466CC3" w14:textId="77777777" w:rsidTr="008F31FB">
        <w:trPr>
          <w:trHeight w:val="320"/>
        </w:trPr>
        <w:tc>
          <w:tcPr>
            <w:tcW w:w="4535" w:type="dxa"/>
            <w:noWrap/>
            <w:vAlign w:val="center"/>
            <w:hideMark/>
          </w:tcPr>
          <w:p w14:paraId="7EA4F077" w14:textId="77777777" w:rsidR="008F31FB" w:rsidRPr="008F31FB" w:rsidRDefault="008F31FB" w:rsidP="00AB61A4">
            <w:pPr>
              <w:spacing w:line="360" w:lineRule="auto"/>
              <w:rPr>
                <w:rFonts w:eastAsia="DengXian"/>
                <w:color w:val="000000"/>
              </w:rPr>
            </w:pPr>
            <w:r w:rsidRPr="008F31FB">
              <w:rPr>
                <w:rFonts w:eastAsia="DengXian"/>
                <w:color w:val="000000"/>
              </w:rPr>
              <w:t>A Town-Level Comprehensive Intervention Study to Reduce Salt Intake in China: Cluster Randomized Controlled Trial.</w:t>
            </w:r>
          </w:p>
        </w:tc>
        <w:tc>
          <w:tcPr>
            <w:tcW w:w="1134" w:type="dxa"/>
            <w:noWrap/>
            <w:vAlign w:val="center"/>
            <w:hideMark/>
          </w:tcPr>
          <w:p w14:paraId="18AA0390" w14:textId="77777777" w:rsidR="008F31FB" w:rsidRPr="008F31FB" w:rsidRDefault="008F31FB" w:rsidP="00AB61A4">
            <w:pPr>
              <w:spacing w:line="360" w:lineRule="auto"/>
              <w:rPr>
                <w:rFonts w:eastAsia="DengXian"/>
                <w:color w:val="000000"/>
              </w:rPr>
            </w:pPr>
            <w:r w:rsidRPr="008F31FB">
              <w:rPr>
                <w:rFonts w:eastAsia="DengXian"/>
                <w:color w:val="000000"/>
              </w:rPr>
              <w:t>2022</w:t>
            </w:r>
          </w:p>
        </w:tc>
        <w:tc>
          <w:tcPr>
            <w:tcW w:w="2268" w:type="dxa"/>
            <w:noWrap/>
            <w:vAlign w:val="center"/>
            <w:hideMark/>
          </w:tcPr>
          <w:p w14:paraId="4D57683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A7C1339" w14:textId="77777777" w:rsidTr="008F31FB">
        <w:trPr>
          <w:trHeight w:val="320"/>
        </w:trPr>
        <w:tc>
          <w:tcPr>
            <w:tcW w:w="4535" w:type="dxa"/>
            <w:noWrap/>
            <w:vAlign w:val="center"/>
            <w:hideMark/>
          </w:tcPr>
          <w:p w14:paraId="01C739B4" w14:textId="77777777" w:rsidR="008F31FB" w:rsidRPr="008F31FB" w:rsidRDefault="008F31FB" w:rsidP="00AB61A4">
            <w:pPr>
              <w:spacing w:line="360" w:lineRule="auto"/>
              <w:rPr>
                <w:rFonts w:eastAsia="DengXian"/>
                <w:color w:val="000000"/>
              </w:rPr>
            </w:pPr>
            <w:r w:rsidRPr="008F31FB">
              <w:rPr>
                <w:rFonts w:eastAsia="DengXian"/>
                <w:color w:val="000000"/>
              </w:rPr>
              <w:t>Prognostic relevance of magnesium alterations in patients with a myocardial infarction and left ventricular dysfunction: insights from the EPHESUS trial.</w:t>
            </w:r>
          </w:p>
        </w:tc>
        <w:tc>
          <w:tcPr>
            <w:tcW w:w="1134" w:type="dxa"/>
            <w:noWrap/>
            <w:vAlign w:val="center"/>
            <w:hideMark/>
          </w:tcPr>
          <w:p w14:paraId="52FD5F18" w14:textId="77777777" w:rsidR="008F31FB" w:rsidRPr="008F31FB" w:rsidRDefault="008F31FB" w:rsidP="00AB61A4">
            <w:pPr>
              <w:spacing w:line="360" w:lineRule="auto"/>
              <w:rPr>
                <w:rFonts w:eastAsia="DengXian"/>
                <w:color w:val="000000"/>
              </w:rPr>
            </w:pPr>
            <w:r w:rsidRPr="008F31FB">
              <w:rPr>
                <w:rFonts w:eastAsia="DengXian"/>
                <w:color w:val="000000"/>
              </w:rPr>
              <w:t>2022</w:t>
            </w:r>
          </w:p>
        </w:tc>
        <w:tc>
          <w:tcPr>
            <w:tcW w:w="2268" w:type="dxa"/>
            <w:noWrap/>
            <w:vAlign w:val="center"/>
            <w:hideMark/>
          </w:tcPr>
          <w:p w14:paraId="5D35F81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F4E777F" w14:textId="77777777" w:rsidTr="008F31FB">
        <w:trPr>
          <w:trHeight w:val="320"/>
        </w:trPr>
        <w:tc>
          <w:tcPr>
            <w:tcW w:w="4535" w:type="dxa"/>
            <w:noWrap/>
            <w:vAlign w:val="center"/>
            <w:hideMark/>
          </w:tcPr>
          <w:p w14:paraId="04FA75BC" w14:textId="77777777" w:rsidR="008F31FB" w:rsidRPr="008F31FB" w:rsidRDefault="008F31FB" w:rsidP="00AB61A4">
            <w:pPr>
              <w:spacing w:line="360" w:lineRule="auto"/>
              <w:rPr>
                <w:rFonts w:eastAsia="DengXian"/>
                <w:color w:val="000000"/>
              </w:rPr>
            </w:pPr>
            <w:r w:rsidRPr="008F31FB">
              <w:rPr>
                <w:rFonts w:eastAsia="DengXian"/>
                <w:color w:val="000000"/>
              </w:rPr>
              <w:t>Hyperkalemia Risk with Finerenone: Results from the FIDELIO-DKD Trial.</w:t>
            </w:r>
          </w:p>
        </w:tc>
        <w:tc>
          <w:tcPr>
            <w:tcW w:w="1134" w:type="dxa"/>
            <w:noWrap/>
            <w:vAlign w:val="center"/>
            <w:hideMark/>
          </w:tcPr>
          <w:p w14:paraId="178362B9" w14:textId="77777777" w:rsidR="008F31FB" w:rsidRPr="008F31FB" w:rsidRDefault="008F31FB" w:rsidP="00AB61A4">
            <w:pPr>
              <w:spacing w:line="360" w:lineRule="auto"/>
              <w:rPr>
                <w:rFonts w:eastAsia="DengXian"/>
                <w:color w:val="000000"/>
              </w:rPr>
            </w:pPr>
            <w:r w:rsidRPr="008F31FB">
              <w:rPr>
                <w:rFonts w:eastAsia="DengXian"/>
                <w:color w:val="000000"/>
              </w:rPr>
              <w:t>2022</w:t>
            </w:r>
          </w:p>
        </w:tc>
        <w:tc>
          <w:tcPr>
            <w:tcW w:w="2268" w:type="dxa"/>
            <w:noWrap/>
            <w:vAlign w:val="center"/>
            <w:hideMark/>
          </w:tcPr>
          <w:p w14:paraId="266F1A3E"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541DF99" w14:textId="77777777" w:rsidTr="008F31FB">
        <w:trPr>
          <w:trHeight w:val="320"/>
        </w:trPr>
        <w:tc>
          <w:tcPr>
            <w:tcW w:w="4535" w:type="dxa"/>
            <w:noWrap/>
            <w:vAlign w:val="center"/>
            <w:hideMark/>
          </w:tcPr>
          <w:p w14:paraId="504AF4BD" w14:textId="77777777" w:rsidR="008F31FB" w:rsidRPr="008F31FB" w:rsidRDefault="008F31FB" w:rsidP="00AB61A4">
            <w:pPr>
              <w:spacing w:line="360" w:lineRule="auto"/>
              <w:rPr>
                <w:rFonts w:eastAsia="DengXian"/>
                <w:color w:val="000000"/>
              </w:rPr>
            </w:pPr>
            <w:r w:rsidRPr="008F31FB">
              <w:rPr>
                <w:rFonts w:eastAsia="DengXian"/>
                <w:color w:val="000000"/>
              </w:rPr>
              <w:t>Diet-dependent acid load is associated with mean arterial pressure in a cohort of non-obese, non-black, postmenopausal women.</w:t>
            </w:r>
          </w:p>
        </w:tc>
        <w:tc>
          <w:tcPr>
            <w:tcW w:w="1134" w:type="dxa"/>
            <w:noWrap/>
            <w:vAlign w:val="center"/>
            <w:hideMark/>
          </w:tcPr>
          <w:p w14:paraId="669BD9F0" w14:textId="77777777" w:rsidR="008F31FB" w:rsidRPr="008F31FB" w:rsidRDefault="008F31FB" w:rsidP="00AB61A4">
            <w:pPr>
              <w:spacing w:line="360" w:lineRule="auto"/>
              <w:rPr>
                <w:rFonts w:eastAsia="DengXian"/>
                <w:color w:val="000000"/>
              </w:rPr>
            </w:pPr>
            <w:r w:rsidRPr="008F31FB">
              <w:rPr>
                <w:rFonts w:eastAsia="DengXian"/>
                <w:color w:val="000000"/>
              </w:rPr>
              <w:t>2022</w:t>
            </w:r>
          </w:p>
        </w:tc>
        <w:tc>
          <w:tcPr>
            <w:tcW w:w="2268" w:type="dxa"/>
            <w:noWrap/>
            <w:vAlign w:val="center"/>
            <w:hideMark/>
          </w:tcPr>
          <w:p w14:paraId="0404BFE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128F835" w14:textId="77777777" w:rsidTr="008F31FB">
        <w:trPr>
          <w:trHeight w:val="320"/>
        </w:trPr>
        <w:tc>
          <w:tcPr>
            <w:tcW w:w="4535" w:type="dxa"/>
            <w:noWrap/>
            <w:vAlign w:val="center"/>
            <w:hideMark/>
          </w:tcPr>
          <w:p w14:paraId="0B2BC7A7" w14:textId="77777777" w:rsidR="008F31FB" w:rsidRPr="008F31FB" w:rsidRDefault="008F31FB" w:rsidP="00AB61A4">
            <w:pPr>
              <w:spacing w:line="360" w:lineRule="auto"/>
              <w:rPr>
                <w:rFonts w:eastAsia="DengXian"/>
                <w:color w:val="000000"/>
              </w:rPr>
            </w:pPr>
            <w:r w:rsidRPr="008F31FB">
              <w:rPr>
                <w:rFonts w:eastAsia="DengXian"/>
                <w:color w:val="000000"/>
              </w:rPr>
              <w:t>Postprandial renal haemodynamic effects of the dipeptidyl peptidase-4 inhibitor linagliptin versus the sulphonylurea glimepiride in adults with type 2 diabetes  (RENALIS): A predefined substudy of a randomized, double-blind trial.</w:t>
            </w:r>
          </w:p>
        </w:tc>
        <w:tc>
          <w:tcPr>
            <w:tcW w:w="1134" w:type="dxa"/>
            <w:noWrap/>
            <w:vAlign w:val="center"/>
            <w:hideMark/>
          </w:tcPr>
          <w:p w14:paraId="299707B1" w14:textId="77777777" w:rsidR="008F31FB" w:rsidRPr="008F31FB" w:rsidRDefault="008F31FB" w:rsidP="00AB61A4">
            <w:pPr>
              <w:spacing w:line="360" w:lineRule="auto"/>
              <w:rPr>
                <w:rFonts w:eastAsia="DengXian"/>
                <w:color w:val="000000"/>
              </w:rPr>
            </w:pPr>
            <w:r w:rsidRPr="008F31FB">
              <w:rPr>
                <w:rFonts w:eastAsia="DengXian"/>
                <w:color w:val="000000"/>
              </w:rPr>
              <w:t>2022</w:t>
            </w:r>
          </w:p>
        </w:tc>
        <w:tc>
          <w:tcPr>
            <w:tcW w:w="2268" w:type="dxa"/>
            <w:noWrap/>
            <w:vAlign w:val="center"/>
            <w:hideMark/>
          </w:tcPr>
          <w:p w14:paraId="220EE9B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0BB1E1C" w14:textId="77777777" w:rsidTr="008F31FB">
        <w:trPr>
          <w:trHeight w:val="320"/>
        </w:trPr>
        <w:tc>
          <w:tcPr>
            <w:tcW w:w="4535" w:type="dxa"/>
            <w:noWrap/>
            <w:vAlign w:val="center"/>
            <w:hideMark/>
          </w:tcPr>
          <w:p w14:paraId="0BC6E438" w14:textId="77777777" w:rsidR="008F31FB" w:rsidRPr="008F31FB" w:rsidRDefault="008F31FB" w:rsidP="00AB61A4">
            <w:pPr>
              <w:spacing w:line="360" w:lineRule="auto"/>
              <w:rPr>
                <w:rFonts w:eastAsia="DengXian"/>
                <w:color w:val="000000"/>
              </w:rPr>
            </w:pPr>
            <w:r w:rsidRPr="008F31FB">
              <w:rPr>
                <w:rFonts w:eastAsia="DengXian"/>
                <w:color w:val="000000"/>
              </w:rPr>
              <w:t>The Effect of Sodium Thiosulfate on Coronary Artery Calcification in Hemodialysis Patients.</w:t>
            </w:r>
          </w:p>
        </w:tc>
        <w:tc>
          <w:tcPr>
            <w:tcW w:w="1134" w:type="dxa"/>
            <w:noWrap/>
            <w:vAlign w:val="center"/>
            <w:hideMark/>
          </w:tcPr>
          <w:p w14:paraId="682DFF73" w14:textId="77777777" w:rsidR="008F31FB" w:rsidRPr="008F31FB" w:rsidRDefault="008F31FB" w:rsidP="00AB61A4">
            <w:pPr>
              <w:spacing w:line="360" w:lineRule="auto"/>
              <w:rPr>
                <w:rFonts w:eastAsia="DengXian"/>
                <w:color w:val="000000"/>
              </w:rPr>
            </w:pPr>
            <w:r w:rsidRPr="008F31FB">
              <w:rPr>
                <w:rFonts w:eastAsia="DengXian"/>
                <w:color w:val="000000"/>
              </w:rPr>
              <w:t>2022</w:t>
            </w:r>
          </w:p>
        </w:tc>
        <w:tc>
          <w:tcPr>
            <w:tcW w:w="2268" w:type="dxa"/>
            <w:noWrap/>
            <w:vAlign w:val="center"/>
            <w:hideMark/>
          </w:tcPr>
          <w:p w14:paraId="47ADC71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B405838" w14:textId="77777777" w:rsidTr="008F31FB">
        <w:trPr>
          <w:trHeight w:val="320"/>
        </w:trPr>
        <w:tc>
          <w:tcPr>
            <w:tcW w:w="4535" w:type="dxa"/>
            <w:noWrap/>
            <w:vAlign w:val="center"/>
            <w:hideMark/>
          </w:tcPr>
          <w:p w14:paraId="557EFBD3" w14:textId="77777777" w:rsidR="008F31FB" w:rsidRPr="008F31FB" w:rsidRDefault="008F31FB" w:rsidP="00AB61A4">
            <w:pPr>
              <w:spacing w:line="360" w:lineRule="auto"/>
              <w:rPr>
                <w:rFonts w:eastAsia="DengXian"/>
                <w:color w:val="000000"/>
              </w:rPr>
            </w:pPr>
            <w:r w:rsidRPr="008F31FB">
              <w:rPr>
                <w:rFonts w:eastAsia="DengXian"/>
                <w:color w:val="000000"/>
              </w:rPr>
              <w:t>TAS2R38 Haplotype Predicts 24-Hour Urinary Sodium Excretion in Patients With Heart Failure and Their Family Caregivers.</w:t>
            </w:r>
          </w:p>
        </w:tc>
        <w:tc>
          <w:tcPr>
            <w:tcW w:w="1134" w:type="dxa"/>
            <w:noWrap/>
            <w:vAlign w:val="center"/>
            <w:hideMark/>
          </w:tcPr>
          <w:p w14:paraId="038FBDD3" w14:textId="77777777" w:rsidR="008F31FB" w:rsidRPr="008F31FB" w:rsidRDefault="008F31FB" w:rsidP="00AB61A4">
            <w:pPr>
              <w:spacing w:line="360" w:lineRule="auto"/>
              <w:rPr>
                <w:rFonts w:eastAsia="DengXian"/>
                <w:color w:val="000000"/>
              </w:rPr>
            </w:pPr>
            <w:r w:rsidRPr="008F31FB">
              <w:rPr>
                <w:rFonts w:eastAsia="DengXian"/>
                <w:color w:val="000000"/>
              </w:rPr>
              <w:t>2021</w:t>
            </w:r>
          </w:p>
        </w:tc>
        <w:tc>
          <w:tcPr>
            <w:tcW w:w="2268" w:type="dxa"/>
            <w:noWrap/>
            <w:vAlign w:val="center"/>
            <w:hideMark/>
          </w:tcPr>
          <w:p w14:paraId="3C71F7E8"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F915172" w14:textId="77777777" w:rsidTr="008F31FB">
        <w:trPr>
          <w:trHeight w:val="320"/>
        </w:trPr>
        <w:tc>
          <w:tcPr>
            <w:tcW w:w="4535" w:type="dxa"/>
            <w:noWrap/>
            <w:vAlign w:val="center"/>
            <w:hideMark/>
          </w:tcPr>
          <w:p w14:paraId="6E854D7C"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Impact of an Innovative Equipment to Monitor and Control Salt Usage during Cooking at Home on Salt Intake and Blood Pressure-Randomized Controlled Trial iMC  SALT.</w:t>
            </w:r>
          </w:p>
        </w:tc>
        <w:tc>
          <w:tcPr>
            <w:tcW w:w="1134" w:type="dxa"/>
            <w:noWrap/>
            <w:vAlign w:val="center"/>
            <w:hideMark/>
          </w:tcPr>
          <w:p w14:paraId="0AFA7287" w14:textId="77777777" w:rsidR="008F31FB" w:rsidRPr="008F31FB" w:rsidRDefault="008F31FB" w:rsidP="00AB61A4">
            <w:pPr>
              <w:spacing w:line="360" w:lineRule="auto"/>
              <w:rPr>
                <w:rFonts w:eastAsia="DengXian"/>
                <w:color w:val="000000"/>
              </w:rPr>
            </w:pPr>
            <w:r w:rsidRPr="008F31FB">
              <w:rPr>
                <w:rFonts w:eastAsia="DengXian"/>
                <w:color w:val="000000"/>
              </w:rPr>
              <w:t>2021</w:t>
            </w:r>
          </w:p>
        </w:tc>
        <w:tc>
          <w:tcPr>
            <w:tcW w:w="2268" w:type="dxa"/>
            <w:noWrap/>
            <w:vAlign w:val="center"/>
            <w:hideMark/>
          </w:tcPr>
          <w:p w14:paraId="45086ED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BCDE026" w14:textId="77777777" w:rsidTr="008F31FB">
        <w:trPr>
          <w:trHeight w:val="320"/>
        </w:trPr>
        <w:tc>
          <w:tcPr>
            <w:tcW w:w="4535" w:type="dxa"/>
            <w:noWrap/>
            <w:vAlign w:val="center"/>
            <w:hideMark/>
          </w:tcPr>
          <w:p w14:paraId="34EE81B8" w14:textId="77777777" w:rsidR="008F31FB" w:rsidRPr="008F31FB" w:rsidRDefault="008F31FB" w:rsidP="00AB61A4">
            <w:pPr>
              <w:spacing w:line="360" w:lineRule="auto"/>
              <w:rPr>
                <w:rFonts w:eastAsia="DengXian"/>
                <w:color w:val="000000"/>
              </w:rPr>
            </w:pPr>
            <w:r w:rsidRPr="008F31FB">
              <w:rPr>
                <w:rFonts w:eastAsia="DengXian"/>
                <w:color w:val="000000"/>
              </w:rPr>
              <w:t>The Effect of Vitamin C on Pathological Parameters and Survival Duration of Critically Ill Coronavirus Disease 2019 Patients: A Randomized Clinical Trial.</w:t>
            </w:r>
          </w:p>
        </w:tc>
        <w:tc>
          <w:tcPr>
            <w:tcW w:w="1134" w:type="dxa"/>
            <w:noWrap/>
            <w:vAlign w:val="center"/>
            <w:hideMark/>
          </w:tcPr>
          <w:p w14:paraId="3CF33AB3" w14:textId="77777777" w:rsidR="008F31FB" w:rsidRPr="008F31FB" w:rsidRDefault="008F31FB" w:rsidP="00AB61A4">
            <w:pPr>
              <w:spacing w:line="360" w:lineRule="auto"/>
              <w:rPr>
                <w:rFonts w:eastAsia="DengXian"/>
                <w:color w:val="000000"/>
              </w:rPr>
            </w:pPr>
            <w:r w:rsidRPr="008F31FB">
              <w:rPr>
                <w:rFonts w:eastAsia="DengXian"/>
                <w:color w:val="000000"/>
              </w:rPr>
              <w:t>2021</w:t>
            </w:r>
          </w:p>
        </w:tc>
        <w:tc>
          <w:tcPr>
            <w:tcW w:w="2268" w:type="dxa"/>
            <w:noWrap/>
            <w:vAlign w:val="center"/>
            <w:hideMark/>
          </w:tcPr>
          <w:p w14:paraId="5A1FAA1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F2B2B50" w14:textId="77777777" w:rsidTr="008F31FB">
        <w:trPr>
          <w:trHeight w:val="320"/>
        </w:trPr>
        <w:tc>
          <w:tcPr>
            <w:tcW w:w="4535" w:type="dxa"/>
            <w:noWrap/>
            <w:vAlign w:val="center"/>
            <w:hideMark/>
          </w:tcPr>
          <w:p w14:paraId="741CBB76" w14:textId="77777777" w:rsidR="008F31FB" w:rsidRPr="008F31FB" w:rsidRDefault="008F31FB" w:rsidP="00AB61A4">
            <w:pPr>
              <w:spacing w:line="360" w:lineRule="auto"/>
              <w:rPr>
                <w:rFonts w:eastAsia="DengXian"/>
                <w:color w:val="000000"/>
              </w:rPr>
            </w:pPr>
            <w:r w:rsidRPr="008F31FB">
              <w:rPr>
                <w:rFonts w:eastAsia="DengXian"/>
                <w:color w:val="000000"/>
              </w:rPr>
              <w:t>Treatment Effect of Regional Sodium Citrate Anticoagulation in Elderly Patients With High-Risk Bleeding Receiving Continuous Renal Replacement Therapy.</w:t>
            </w:r>
          </w:p>
        </w:tc>
        <w:tc>
          <w:tcPr>
            <w:tcW w:w="1134" w:type="dxa"/>
            <w:noWrap/>
            <w:vAlign w:val="center"/>
            <w:hideMark/>
          </w:tcPr>
          <w:p w14:paraId="0D509DC6" w14:textId="77777777" w:rsidR="008F31FB" w:rsidRPr="008F31FB" w:rsidRDefault="008F31FB" w:rsidP="00AB61A4">
            <w:pPr>
              <w:spacing w:line="360" w:lineRule="auto"/>
              <w:rPr>
                <w:rFonts w:eastAsia="DengXian"/>
                <w:color w:val="000000"/>
              </w:rPr>
            </w:pPr>
            <w:r w:rsidRPr="008F31FB">
              <w:rPr>
                <w:rFonts w:eastAsia="DengXian"/>
                <w:color w:val="000000"/>
              </w:rPr>
              <w:t>2021</w:t>
            </w:r>
          </w:p>
        </w:tc>
        <w:tc>
          <w:tcPr>
            <w:tcW w:w="2268" w:type="dxa"/>
            <w:noWrap/>
            <w:vAlign w:val="center"/>
            <w:hideMark/>
          </w:tcPr>
          <w:p w14:paraId="68C16AC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C8E5A4B" w14:textId="77777777" w:rsidTr="008F31FB">
        <w:trPr>
          <w:trHeight w:val="320"/>
        </w:trPr>
        <w:tc>
          <w:tcPr>
            <w:tcW w:w="4535" w:type="dxa"/>
            <w:noWrap/>
            <w:vAlign w:val="center"/>
            <w:hideMark/>
          </w:tcPr>
          <w:p w14:paraId="16298B09" w14:textId="77777777" w:rsidR="008F31FB" w:rsidRPr="008F31FB" w:rsidRDefault="008F31FB" w:rsidP="00AB61A4">
            <w:pPr>
              <w:spacing w:line="360" w:lineRule="auto"/>
              <w:rPr>
                <w:rFonts w:eastAsia="DengXian"/>
                <w:color w:val="000000"/>
              </w:rPr>
            </w:pPr>
            <w:r w:rsidRPr="008F31FB">
              <w:rPr>
                <w:rFonts w:eastAsia="DengXian"/>
                <w:color w:val="000000"/>
              </w:rPr>
              <w:t>The Effects of Sodium Phosphate Supplementation on the Cardiorespiratory System and Gross Efficiency during Exercise under Hypoxia in Male Cyclists: A  Randomized, Placebo-Controlled, Cross-Over Study.</w:t>
            </w:r>
          </w:p>
        </w:tc>
        <w:tc>
          <w:tcPr>
            <w:tcW w:w="1134" w:type="dxa"/>
            <w:noWrap/>
            <w:vAlign w:val="center"/>
            <w:hideMark/>
          </w:tcPr>
          <w:p w14:paraId="52C78C1E" w14:textId="77777777" w:rsidR="008F31FB" w:rsidRPr="008F31FB" w:rsidRDefault="008F31FB" w:rsidP="00AB61A4">
            <w:pPr>
              <w:spacing w:line="360" w:lineRule="auto"/>
              <w:rPr>
                <w:rFonts w:eastAsia="DengXian"/>
                <w:color w:val="000000"/>
              </w:rPr>
            </w:pPr>
            <w:r w:rsidRPr="008F31FB">
              <w:rPr>
                <w:rFonts w:eastAsia="DengXian"/>
                <w:color w:val="000000"/>
              </w:rPr>
              <w:t>2021</w:t>
            </w:r>
          </w:p>
        </w:tc>
        <w:tc>
          <w:tcPr>
            <w:tcW w:w="2268" w:type="dxa"/>
            <w:noWrap/>
            <w:vAlign w:val="center"/>
            <w:hideMark/>
          </w:tcPr>
          <w:p w14:paraId="4C574F6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87D9EAC" w14:textId="77777777" w:rsidTr="008F31FB">
        <w:trPr>
          <w:trHeight w:val="320"/>
        </w:trPr>
        <w:tc>
          <w:tcPr>
            <w:tcW w:w="4535" w:type="dxa"/>
            <w:noWrap/>
            <w:vAlign w:val="center"/>
            <w:hideMark/>
          </w:tcPr>
          <w:p w14:paraId="0C2ABF59" w14:textId="77777777" w:rsidR="008F31FB" w:rsidRPr="008F31FB" w:rsidRDefault="008F31FB" w:rsidP="00AB61A4">
            <w:pPr>
              <w:spacing w:line="360" w:lineRule="auto"/>
              <w:rPr>
                <w:rFonts w:eastAsia="DengXian"/>
                <w:color w:val="000000"/>
              </w:rPr>
            </w:pPr>
            <w:r w:rsidRPr="008F31FB">
              <w:rPr>
                <w:rFonts w:eastAsia="DengXian"/>
                <w:color w:val="000000"/>
              </w:rPr>
              <w:t>Oral sodium bicarbonate in people on haemodialysis: a randomised controlled trial.</w:t>
            </w:r>
          </w:p>
        </w:tc>
        <w:tc>
          <w:tcPr>
            <w:tcW w:w="1134" w:type="dxa"/>
            <w:noWrap/>
            <w:vAlign w:val="center"/>
            <w:hideMark/>
          </w:tcPr>
          <w:p w14:paraId="5EFB737A" w14:textId="77777777" w:rsidR="008F31FB" w:rsidRPr="008F31FB" w:rsidRDefault="008F31FB" w:rsidP="00AB61A4">
            <w:pPr>
              <w:spacing w:line="360" w:lineRule="auto"/>
              <w:rPr>
                <w:rFonts w:eastAsia="DengXian"/>
                <w:color w:val="000000"/>
              </w:rPr>
            </w:pPr>
            <w:r w:rsidRPr="008F31FB">
              <w:rPr>
                <w:rFonts w:eastAsia="DengXian"/>
                <w:color w:val="000000"/>
              </w:rPr>
              <w:t>2021</w:t>
            </w:r>
          </w:p>
        </w:tc>
        <w:tc>
          <w:tcPr>
            <w:tcW w:w="2268" w:type="dxa"/>
            <w:noWrap/>
            <w:vAlign w:val="center"/>
            <w:hideMark/>
          </w:tcPr>
          <w:p w14:paraId="6F89E75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08AA636" w14:textId="77777777" w:rsidTr="008F31FB">
        <w:trPr>
          <w:trHeight w:val="320"/>
        </w:trPr>
        <w:tc>
          <w:tcPr>
            <w:tcW w:w="4535" w:type="dxa"/>
            <w:noWrap/>
            <w:vAlign w:val="center"/>
            <w:hideMark/>
          </w:tcPr>
          <w:p w14:paraId="263CF5B1" w14:textId="77777777" w:rsidR="008F31FB" w:rsidRPr="008F31FB" w:rsidRDefault="008F31FB" w:rsidP="00AB61A4">
            <w:pPr>
              <w:spacing w:line="360" w:lineRule="auto"/>
              <w:rPr>
                <w:rFonts w:eastAsia="DengXian"/>
                <w:color w:val="000000"/>
              </w:rPr>
            </w:pPr>
            <w:r w:rsidRPr="008F31FB">
              <w:rPr>
                <w:rFonts w:eastAsia="DengXian"/>
                <w:color w:val="000000"/>
              </w:rPr>
              <w:t>A Mobile Health Salt Reduction Intervention for People With Hypertension: Results of a Feasibility Randomized Controlled Trial.</w:t>
            </w:r>
          </w:p>
        </w:tc>
        <w:tc>
          <w:tcPr>
            <w:tcW w:w="1134" w:type="dxa"/>
            <w:noWrap/>
            <w:vAlign w:val="center"/>
            <w:hideMark/>
          </w:tcPr>
          <w:p w14:paraId="0BAA4C8A" w14:textId="77777777" w:rsidR="008F31FB" w:rsidRPr="008F31FB" w:rsidRDefault="008F31FB" w:rsidP="00AB61A4">
            <w:pPr>
              <w:spacing w:line="360" w:lineRule="auto"/>
              <w:rPr>
                <w:rFonts w:eastAsia="DengXian"/>
                <w:color w:val="000000"/>
              </w:rPr>
            </w:pPr>
            <w:r w:rsidRPr="008F31FB">
              <w:rPr>
                <w:rFonts w:eastAsia="DengXian"/>
                <w:color w:val="000000"/>
              </w:rPr>
              <w:t>2021</w:t>
            </w:r>
          </w:p>
        </w:tc>
        <w:tc>
          <w:tcPr>
            <w:tcW w:w="2268" w:type="dxa"/>
            <w:noWrap/>
            <w:vAlign w:val="center"/>
            <w:hideMark/>
          </w:tcPr>
          <w:p w14:paraId="1F46F75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0852680" w14:textId="77777777" w:rsidTr="008F31FB">
        <w:trPr>
          <w:trHeight w:val="320"/>
        </w:trPr>
        <w:tc>
          <w:tcPr>
            <w:tcW w:w="4535" w:type="dxa"/>
            <w:noWrap/>
            <w:vAlign w:val="center"/>
            <w:hideMark/>
          </w:tcPr>
          <w:p w14:paraId="6217198A"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Interim effects of salt substitution on urinary electrolytes and blood pressure in the China Salt Substitute and Stroke Study (SSaSS)</w:t>
            </w:r>
          </w:p>
        </w:tc>
        <w:tc>
          <w:tcPr>
            <w:tcW w:w="1134" w:type="dxa"/>
            <w:noWrap/>
            <w:vAlign w:val="center"/>
            <w:hideMark/>
          </w:tcPr>
          <w:p w14:paraId="2B3BBE9E" w14:textId="77777777" w:rsidR="008F31FB" w:rsidRPr="008F31FB" w:rsidRDefault="008F31FB" w:rsidP="00AB61A4">
            <w:pPr>
              <w:spacing w:line="360" w:lineRule="auto"/>
              <w:rPr>
                <w:rFonts w:eastAsia="DengXian"/>
                <w:color w:val="000000"/>
              </w:rPr>
            </w:pPr>
            <w:r w:rsidRPr="008F31FB">
              <w:rPr>
                <w:rFonts w:eastAsia="DengXian"/>
                <w:color w:val="000000"/>
              </w:rPr>
              <w:t>2020</w:t>
            </w:r>
          </w:p>
        </w:tc>
        <w:tc>
          <w:tcPr>
            <w:tcW w:w="2268" w:type="dxa"/>
            <w:noWrap/>
            <w:vAlign w:val="center"/>
            <w:hideMark/>
          </w:tcPr>
          <w:p w14:paraId="2E0C7F87"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4C083E" w:rsidRPr="008F31FB" w14:paraId="72128E8B" w14:textId="77777777" w:rsidTr="008F31FB">
        <w:trPr>
          <w:trHeight w:val="320"/>
        </w:trPr>
        <w:tc>
          <w:tcPr>
            <w:tcW w:w="4535" w:type="dxa"/>
            <w:noWrap/>
            <w:vAlign w:val="center"/>
            <w:hideMark/>
          </w:tcPr>
          <w:p w14:paraId="7F22C8C6" w14:textId="77777777" w:rsidR="008F31FB" w:rsidRPr="008F31FB" w:rsidRDefault="008F31FB" w:rsidP="00AB61A4">
            <w:pPr>
              <w:spacing w:line="360" w:lineRule="auto"/>
              <w:rPr>
                <w:rFonts w:eastAsia="DengXian"/>
                <w:color w:val="000000"/>
              </w:rPr>
            </w:pPr>
            <w:r w:rsidRPr="008F31FB">
              <w:rPr>
                <w:rFonts w:eastAsia="DengXian"/>
                <w:color w:val="000000"/>
              </w:rPr>
              <w:t>Coronary (18)F-Fluoride Uptake and Progression of Coronary Artery Calcification.</w:t>
            </w:r>
          </w:p>
        </w:tc>
        <w:tc>
          <w:tcPr>
            <w:tcW w:w="1134" w:type="dxa"/>
            <w:noWrap/>
            <w:vAlign w:val="center"/>
            <w:hideMark/>
          </w:tcPr>
          <w:p w14:paraId="747D50AF" w14:textId="77777777" w:rsidR="008F31FB" w:rsidRPr="008F31FB" w:rsidRDefault="008F31FB" w:rsidP="00AB61A4">
            <w:pPr>
              <w:spacing w:line="360" w:lineRule="auto"/>
              <w:rPr>
                <w:rFonts w:eastAsia="DengXian"/>
                <w:color w:val="000000"/>
              </w:rPr>
            </w:pPr>
            <w:r w:rsidRPr="008F31FB">
              <w:rPr>
                <w:rFonts w:eastAsia="DengXian"/>
                <w:color w:val="000000"/>
              </w:rPr>
              <w:t>2020</w:t>
            </w:r>
          </w:p>
        </w:tc>
        <w:tc>
          <w:tcPr>
            <w:tcW w:w="2268" w:type="dxa"/>
            <w:noWrap/>
            <w:vAlign w:val="center"/>
            <w:hideMark/>
          </w:tcPr>
          <w:p w14:paraId="068D340D"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5F6272BC" w14:textId="77777777" w:rsidTr="008F31FB">
        <w:trPr>
          <w:trHeight w:val="320"/>
        </w:trPr>
        <w:tc>
          <w:tcPr>
            <w:tcW w:w="4535" w:type="dxa"/>
            <w:noWrap/>
            <w:vAlign w:val="center"/>
            <w:hideMark/>
          </w:tcPr>
          <w:p w14:paraId="4CF350B3" w14:textId="77777777" w:rsidR="008F31FB" w:rsidRPr="008F31FB" w:rsidRDefault="008F31FB" w:rsidP="00AB61A4">
            <w:pPr>
              <w:spacing w:line="360" w:lineRule="auto"/>
              <w:rPr>
                <w:rFonts w:eastAsia="DengXian"/>
                <w:color w:val="000000"/>
              </w:rPr>
            </w:pPr>
            <w:r w:rsidRPr="008F31FB">
              <w:rPr>
                <w:rFonts w:eastAsia="DengXian"/>
                <w:color w:val="000000"/>
              </w:rPr>
              <w:t>A pilot study on efficacy and safety of a new salt substitute with very low sodium among hypertension patients on regular treatment.</w:t>
            </w:r>
          </w:p>
        </w:tc>
        <w:tc>
          <w:tcPr>
            <w:tcW w:w="1134" w:type="dxa"/>
            <w:noWrap/>
            <w:vAlign w:val="center"/>
            <w:hideMark/>
          </w:tcPr>
          <w:p w14:paraId="2D6BB394" w14:textId="77777777" w:rsidR="008F31FB" w:rsidRPr="008F31FB" w:rsidRDefault="008F31FB" w:rsidP="00AB61A4">
            <w:pPr>
              <w:spacing w:line="360" w:lineRule="auto"/>
              <w:rPr>
                <w:rFonts w:eastAsia="DengXian"/>
                <w:color w:val="000000"/>
              </w:rPr>
            </w:pPr>
            <w:r w:rsidRPr="008F31FB">
              <w:rPr>
                <w:rFonts w:eastAsia="DengXian"/>
                <w:color w:val="000000"/>
              </w:rPr>
              <w:t>2020</w:t>
            </w:r>
          </w:p>
        </w:tc>
        <w:tc>
          <w:tcPr>
            <w:tcW w:w="2268" w:type="dxa"/>
            <w:noWrap/>
            <w:vAlign w:val="center"/>
            <w:hideMark/>
          </w:tcPr>
          <w:p w14:paraId="17D4F25C"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0E15C6C7" w14:textId="77777777" w:rsidTr="008F31FB">
        <w:trPr>
          <w:trHeight w:val="320"/>
        </w:trPr>
        <w:tc>
          <w:tcPr>
            <w:tcW w:w="4535" w:type="dxa"/>
            <w:noWrap/>
            <w:vAlign w:val="center"/>
            <w:hideMark/>
          </w:tcPr>
          <w:p w14:paraId="5ED882CB" w14:textId="77777777" w:rsidR="008F31FB" w:rsidRPr="008F31FB" w:rsidRDefault="008F31FB" w:rsidP="00AB61A4">
            <w:pPr>
              <w:spacing w:line="360" w:lineRule="auto"/>
              <w:rPr>
                <w:rFonts w:eastAsia="DengXian"/>
                <w:color w:val="000000"/>
              </w:rPr>
            </w:pPr>
            <w:r w:rsidRPr="008F31FB">
              <w:rPr>
                <w:rFonts w:eastAsia="DengXian"/>
                <w:color w:val="000000"/>
              </w:rPr>
              <w:t>Adherence to self-care recommendations and associated factors among adult heart failure patients. From the patients' point of view.</w:t>
            </w:r>
          </w:p>
        </w:tc>
        <w:tc>
          <w:tcPr>
            <w:tcW w:w="1134" w:type="dxa"/>
            <w:noWrap/>
            <w:vAlign w:val="center"/>
            <w:hideMark/>
          </w:tcPr>
          <w:p w14:paraId="331E8030" w14:textId="77777777" w:rsidR="008F31FB" w:rsidRPr="008F31FB" w:rsidRDefault="008F31FB" w:rsidP="00AB61A4">
            <w:pPr>
              <w:spacing w:line="360" w:lineRule="auto"/>
              <w:rPr>
                <w:rFonts w:eastAsia="DengXian"/>
                <w:color w:val="000000"/>
              </w:rPr>
            </w:pPr>
            <w:r w:rsidRPr="008F31FB">
              <w:rPr>
                <w:rFonts w:eastAsia="DengXian"/>
                <w:color w:val="000000"/>
              </w:rPr>
              <w:t>2019</w:t>
            </w:r>
          </w:p>
        </w:tc>
        <w:tc>
          <w:tcPr>
            <w:tcW w:w="2268" w:type="dxa"/>
            <w:noWrap/>
            <w:vAlign w:val="center"/>
            <w:hideMark/>
          </w:tcPr>
          <w:p w14:paraId="34286E21"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1B0E3F01" w14:textId="77777777" w:rsidTr="008F31FB">
        <w:trPr>
          <w:trHeight w:val="320"/>
        </w:trPr>
        <w:tc>
          <w:tcPr>
            <w:tcW w:w="4535" w:type="dxa"/>
            <w:noWrap/>
            <w:vAlign w:val="center"/>
            <w:hideMark/>
          </w:tcPr>
          <w:p w14:paraId="74776B26" w14:textId="77777777" w:rsidR="008F31FB" w:rsidRPr="008F31FB" w:rsidRDefault="008F31FB" w:rsidP="00AB61A4">
            <w:pPr>
              <w:spacing w:line="360" w:lineRule="auto"/>
              <w:rPr>
                <w:rFonts w:eastAsia="DengXian"/>
                <w:color w:val="000000"/>
              </w:rPr>
            </w:pPr>
            <w:r w:rsidRPr="008F31FB">
              <w:rPr>
                <w:rFonts w:eastAsia="DengXian"/>
                <w:color w:val="000000"/>
              </w:rPr>
              <w:t>A self-monitoring urinary salt excretion level measurement device for educating young women about salt reduction: A parallel randomized trial involving two  groups.</w:t>
            </w:r>
          </w:p>
        </w:tc>
        <w:tc>
          <w:tcPr>
            <w:tcW w:w="1134" w:type="dxa"/>
            <w:noWrap/>
            <w:vAlign w:val="center"/>
            <w:hideMark/>
          </w:tcPr>
          <w:p w14:paraId="24568D1D" w14:textId="77777777" w:rsidR="008F31FB" w:rsidRPr="008F31FB" w:rsidRDefault="008F31FB" w:rsidP="00AB61A4">
            <w:pPr>
              <w:spacing w:line="360" w:lineRule="auto"/>
              <w:rPr>
                <w:rFonts w:eastAsia="DengXian"/>
                <w:color w:val="000000"/>
              </w:rPr>
            </w:pPr>
            <w:r w:rsidRPr="008F31FB">
              <w:rPr>
                <w:rFonts w:eastAsia="DengXian"/>
                <w:color w:val="000000"/>
              </w:rPr>
              <w:t>2019</w:t>
            </w:r>
          </w:p>
        </w:tc>
        <w:tc>
          <w:tcPr>
            <w:tcW w:w="2268" w:type="dxa"/>
            <w:noWrap/>
            <w:vAlign w:val="center"/>
            <w:hideMark/>
          </w:tcPr>
          <w:p w14:paraId="2770523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4520C51" w14:textId="77777777" w:rsidTr="008F31FB">
        <w:trPr>
          <w:trHeight w:val="320"/>
        </w:trPr>
        <w:tc>
          <w:tcPr>
            <w:tcW w:w="4535" w:type="dxa"/>
            <w:noWrap/>
            <w:vAlign w:val="center"/>
            <w:hideMark/>
          </w:tcPr>
          <w:p w14:paraId="0C93BFFD" w14:textId="77777777" w:rsidR="008F31FB" w:rsidRPr="008F31FB" w:rsidRDefault="008F31FB" w:rsidP="00AB61A4">
            <w:pPr>
              <w:spacing w:line="360" w:lineRule="auto"/>
              <w:rPr>
                <w:rFonts w:eastAsia="DengXian"/>
                <w:color w:val="000000"/>
              </w:rPr>
            </w:pPr>
            <w:r w:rsidRPr="008F31FB">
              <w:rPr>
                <w:rFonts w:eastAsia="DengXian"/>
                <w:color w:val="000000"/>
              </w:rPr>
              <w:t>Clinical factors related to morbidity and mortality in high-risk heart failure patients: the GUIDE-IT predictive model and risk score.</w:t>
            </w:r>
          </w:p>
        </w:tc>
        <w:tc>
          <w:tcPr>
            <w:tcW w:w="1134" w:type="dxa"/>
            <w:noWrap/>
            <w:vAlign w:val="center"/>
            <w:hideMark/>
          </w:tcPr>
          <w:p w14:paraId="1B391059" w14:textId="77777777" w:rsidR="008F31FB" w:rsidRPr="008F31FB" w:rsidRDefault="008F31FB" w:rsidP="00AB61A4">
            <w:pPr>
              <w:spacing w:line="360" w:lineRule="auto"/>
              <w:rPr>
                <w:rFonts w:eastAsia="DengXian"/>
                <w:color w:val="000000"/>
              </w:rPr>
            </w:pPr>
            <w:r w:rsidRPr="008F31FB">
              <w:rPr>
                <w:rFonts w:eastAsia="DengXian"/>
                <w:color w:val="000000"/>
              </w:rPr>
              <w:t>2019</w:t>
            </w:r>
          </w:p>
        </w:tc>
        <w:tc>
          <w:tcPr>
            <w:tcW w:w="2268" w:type="dxa"/>
            <w:noWrap/>
            <w:vAlign w:val="center"/>
            <w:hideMark/>
          </w:tcPr>
          <w:p w14:paraId="7734EC1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46762D1" w14:textId="77777777" w:rsidTr="008F31FB">
        <w:trPr>
          <w:trHeight w:val="320"/>
        </w:trPr>
        <w:tc>
          <w:tcPr>
            <w:tcW w:w="4535" w:type="dxa"/>
            <w:noWrap/>
            <w:vAlign w:val="center"/>
            <w:hideMark/>
          </w:tcPr>
          <w:p w14:paraId="1AAF50BA" w14:textId="77777777" w:rsidR="008F31FB" w:rsidRPr="008F31FB" w:rsidRDefault="008F31FB" w:rsidP="00AB61A4">
            <w:pPr>
              <w:spacing w:line="360" w:lineRule="auto"/>
              <w:rPr>
                <w:rFonts w:eastAsia="DengXian"/>
                <w:color w:val="000000"/>
              </w:rPr>
            </w:pPr>
            <w:r w:rsidRPr="008F31FB">
              <w:rPr>
                <w:rFonts w:eastAsia="DengXian"/>
                <w:color w:val="000000"/>
              </w:rPr>
              <w:t>Evaluation of an education program based on the theory of planned behavior for salt intake in individuals at risk of hypertension.</w:t>
            </w:r>
          </w:p>
        </w:tc>
        <w:tc>
          <w:tcPr>
            <w:tcW w:w="1134" w:type="dxa"/>
            <w:noWrap/>
            <w:vAlign w:val="center"/>
            <w:hideMark/>
          </w:tcPr>
          <w:p w14:paraId="52B8A61E" w14:textId="77777777" w:rsidR="008F31FB" w:rsidRPr="008F31FB" w:rsidRDefault="008F31FB" w:rsidP="00AB61A4">
            <w:pPr>
              <w:spacing w:line="360" w:lineRule="auto"/>
              <w:rPr>
                <w:rFonts w:eastAsia="DengXian"/>
                <w:color w:val="000000"/>
              </w:rPr>
            </w:pPr>
            <w:r w:rsidRPr="008F31FB">
              <w:rPr>
                <w:rFonts w:eastAsia="DengXian"/>
                <w:color w:val="000000"/>
              </w:rPr>
              <w:t>2019</w:t>
            </w:r>
          </w:p>
        </w:tc>
        <w:tc>
          <w:tcPr>
            <w:tcW w:w="2268" w:type="dxa"/>
            <w:noWrap/>
            <w:vAlign w:val="center"/>
            <w:hideMark/>
          </w:tcPr>
          <w:p w14:paraId="10C9AFB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FE37AC0" w14:textId="77777777" w:rsidTr="008F31FB">
        <w:trPr>
          <w:trHeight w:val="320"/>
        </w:trPr>
        <w:tc>
          <w:tcPr>
            <w:tcW w:w="4535" w:type="dxa"/>
            <w:noWrap/>
            <w:vAlign w:val="center"/>
            <w:hideMark/>
          </w:tcPr>
          <w:p w14:paraId="2D46A326" w14:textId="77777777" w:rsidR="008F31FB" w:rsidRPr="008F31FB" w:rsidRDefault="008F31FB" w:rsidP="00AB61A4">
            <w:pPr>
              <w:spacing w:line="360" w:lineRule="auto"/>
              <w:rPr>
                <w:rFonts w:eastAsia="DengXian"/>
                <w:color w:val="000000"/>
              </w:rPr>
            </w:pPr>
            <w:r w:rsidRPr="008F31FB">
              <w:rPr>
                <w:rFonts w:eastAsia="DengXian"/>
                <w:color w:val="000000"/>
              </w:rPr>
              <w:t xml:space="preserve">Salt Reduction Intervention in Families Investigating Metabolic, Behavioral and Health Effects of Targeted Intake </w:t>
            </w:r>
            <w:r w:rsidRPr="008F31FB">
              <w:rPr>
                <w:rFonts w:eastAsia="DengXian"/>
                <w:color w:val="000000"/>
              </w:rPr>
              <w:lastRenderedPageBreak/>
              <w:t>Reductions: Study Protocol for a Four Months  Three-Armed, Randomized, Controlled "Real-Life" Trial.</w:t>
            </w:r>
          </w:p>
        </w:tc>
        <w:tc>
          <w:tcPr>
            <w:tcW w:w="1134" w:type="dxa"/>
            <w:noWrap/>
            <w:vAlign w:val="center"/>
            <w:hideMark/>
          </w:tcPr>
          <w:p w14:paraId="09EDBDA1"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2019</w:t>
            </w:r>
          </w:p>
        </w:tc>
        <w:tc>
          <w:tcPr>
            <w:tcW w:w="2268" w:type="dxa"/>
            <w:noWrap/>
            <w:vAlign w:val="center"/>
            <w:hideMark/>
          </w:tcPr>
          <w:p w14:paraId="00906E48" w14:textId="77777777" w:rsidR="008F31FB" w:rsidRPr="008F31FB" w:rsidRDefault="008F31FB" w:rsidP="00AB61A4">
            <w:pPr>
              <w:spacing w:line="360" w:lineRule="auto"/>
              <w:rPr>
                <w:rFonts w:eastAsia="DengXian"/>
                <w:color w:val="000000"/>
              </w:rPr>
            </w:pPr>
            <w:r w:rsidRPr="008F31FB">
              <w:rPr>
                <w:rFonts w:eastAsia="DengXian"/>
                <w:color w:val="000000"/>
              </w:rPr>
              <w:t>Study protocols</w:t>
            </w:r>
          </w:p>
        </w:tc>
      </w:tr>
      <w:tr w:rsidR="004C083E" w:rsidRPr="008F31FB" w14:paraId="1F911949" w14:textId="77777777" w:rsidTr="008F31FB">
        <w:trPr>
          <w:trHeight w:val="320"/>
        </w:trPr>
        <w:tc>
          <w:tcPr>
            <w:tcW w:w="4535" w:type="dxa"/>
            <w:noWrap/>
            <w:vAlign w:val="center"/>
            <w:hideMark/>
          </w:tcPr>
          <w:p w14:paraId="14E8F33E" w14:textId="77777777" w:rsidR="008F31FB" w:rsidRPr="008F31FB" w:rsidRDefault="008F31FB" w:rsidP="00AB61A4">
            <w:pPr>
              <w:spacing w:line="360" w:lineRule="auto"/>
              <w:rPr>
                <w:rFonts w:eastAsia="DengXian"/>
                <w:color w:val="000000"/>
              </w:rPr>
            </w:pPr>
            <w:r w:rsidRPr="008F31FB">
              <w:rPr>
                <w:rFonts w:eastAsia="DengXian"/>
                <w:color w:val="000000"/>
              </w:rPr>
              <w:t>Spot urine samples compared with 24-h urine samples for estimating changes in urinary sodium and potassium excretion in the China Salt Substitute and Stroke Study</w:t>
            </w:r>
          </w:p>
        </w:tc>
        <w:tc>
          <w:tcPr>
            <w:tcW w:w="1134" w:type="dxa"/>
            <w:noWrap/>
            <w:vAlign w:val="center"/>
            <w:hideMark/>
          </w:tcPr>
          <w:p w14:paraId="47C84825" w14:textId="77777777" w:rsidR="008F31FB" w:rsidRPr="008F31FB" w:rsidRDefault="008F31FB" w:rsidP="00AB61A4">
            <w:pPr>
              <w:spacing w:line="360" w:lineRule="auto"/>
              <w:rPr>
                <w:rFonts w:eastAsia="DengXian"/>
                <w:color w:val="000000"/>
              </w:rPr>
            </w:pPr>
            <w:r w:rsidRPr="008F31FB">
              <w:rPr>
                <w:rFonts w:eastAsia="DengXian"/>
                <w:color w:val="000000"/>
              </w:rPr>
              <w:t>2018</w:t>
            </w:r>
          </w:p>
        </w:tc>
        <w:tc>
          <w:tcPr>
            <w:tcW w:w="2268" w:type="dxa"/>
            <w:noWrap/>
            <w:vAlign w:val="center"/>
            <w:hideMark/>
          </w:tcPr>
          <w:p w14:paraId="69849D3D"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4C083E" w:rsidRPr="008F31FB" w14:paraId="70D94BBB" w14:textId="77777777" w:rsidTr="008F31FB">
        <w:trPr>
          <w:trHeight w:val="320"/>
        </w:trPr>
        <w:tc>
          <w:tcPr>
            <w:tcW w:w="4535" w:type="dxa"/>
            <w:noWrap/>
            <w:vAlign w:val="center"/>
            <w:hideMark/>
          </w:tcPr>
          <w:p w14:paraId="1C83BD1E" w14:textId="77777777" w:rsidR="008F31FB" w:rsidRPr="008F31FB" w:rsidRDefault="008F31FB" w:rsidP="00AB61A4">
            <w:pPr>
              <w:spacing w:line="360" w:lineRule="auto"/>
              <w:rPr>
                <w:rFonts w:eastAsia="DengXian"/>
                <w:color w:val="000000"/>
              </w:rPr>
            </w:pPr>
            <w:r w:rsidRPr="008F31FB">
              <w:rPr>
                <w:rFonts w:eastAsia="DengXian"/>
                <w:color w:val="000000"/>
              </w:rPr>
              <w:t>Renin-Angiotensin-Aldosterone Profiles in Pregnant Women With Chronic Hypertension.</w:t>
            </w:r>
          </w:p>
        </w:tc>
        <w:tc>
          <w:tcPr>
            <w:tcW w:w="1134" w:type="dxa"/>
            <w:noWrap/>
            <w:vAlign w:val="center"/>
            <w:hideMark/>
          </w:tcPr>
          <w:p w14:paraId="04FAF933" w14:textId="77777777" w:rsidR="008F31FB" w:rsidRPr="008F31FB" w:rsidRDefault="008F31FB" w:rsidP="00AB61A4">
            <w:pPr>
              <w:spacing w:line="360" w:lineRule="auto"/>
              <w:rPr>
                <w:rFonts w:eastAsia="DengXian"/>
                <w:color w:val="000000"/>
              </w:rPr>
            </w:pPr>
            <w:r w:rsidRPr="008F31FB">
              <w:rPr>
                <w:rFonts w:eastAsia="DengXian"/>
                <w:color w:val="000000"/>
              </w:rPr>
              <w:t>2018</w:t>
            </w:r>
          </w:p>
        </w:tc>
        <w:tc>
          <w:tcPr>
            <w:tcW w:w="2268" w:type="dxa"/>
            <w:noWrap/>
            <w:vAlign w:val="center"/>
            <w:hideMark/>
          </w:tcPr>
          <w:p w14:paraId="2B36D014"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4DB33218" w14:textId="77777777" w:rsidTr="008F31FB">
        <w:trPr>
          <w:trHeight w:val="320"/>
        </w:trPr>
        <w:tc>
          <w:tcPr>
            <w:tcW w:w="4535" w:type="dxa"/>
            <w:noWrap/>
            <w:vAlign w:val="center"/>
            <w:hideMark/>
          </w:tcPr>
          <w:p w14:paraId="5B3B352D" w14:textId="77777777" w:rsidR="008F31FB" w:rsidRPr="008F31FB" w:rsidRDefault="008F31FB" w:rsidP="00AB61A4">
            <w:pPr>
              <w:spacing w:line="360" w:lineRule="auto"/>
              <w:rPr>
                <w:rFonts w:eastAsia="DengXian"/>
                <w:color w:val="000000"/>
              </w:rPr>
            </w:pPr>
            <w:r w:rsidRPr="008F31FB">
              <w:rPr>
                <w:rFonts w:eastAsia="DengXian"/>
                <w:color w:val="000000"/>
              </w:rPr>
              <w:t>Aldosterone Is Not Associated With Metabolic and Microvascular Insulin Sensitivity in Abdominally Obese Men.</w:t>
            </w:r>
          </w:p>
        </w:tc>
        <w:tc>
          <w:tcPr>
            <w:tcW w:w="1134" w:type="dxa"/>
            <w:noWrap/>
            <w:vAlign w:val="center"/>
            <w:hideMark/>
          </w:tcPr>
          <w:p w14:paraId="0973DCF0" w14:textId="77777777" w:rsidR="008F31FB" w:rsidRPr="008F31FB" w:rsidRDefault="008F31FB" w:rsidP="00AB61A4">
            <w:pPr>
              <w:spacing w:line="360" w:lineRule="auto"/>
              <w:rPr>
                <w:rFonts w:eastAsia="DengXian"/>
                <w:color w:val="000000"/>
              </w:rPr>
            </w:pPr>
            <w:r w:rsidRPr="008F31FB">
              <w:rPr>
                <w:rFonts w:eastAsia="DengXian"/>
                <w:color w:val="000000"/>
              </w:rPr>
              <w:t>2018</w:t>
            </w:r>
          </w:p>
        </w:tc>
        <w:tc>
          <w:tcPr>
            <w:tcW w:w="2268" w:type="dxa"/>
            <w:noWrap/>
            <w:vAlign w:val="center"/>
            <w:hideMark/>
          </w:tcPr>
          <w:p w14:paraId="3CEF91A5"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589AA59A" w14:textId="77777777" w:rsidTr="008F31FB">
        <w:trPr>
          <w:trHeight w:val="320"/>
        </w:trPr>
        <w:tc>
          <w:tcPr>
            <w:tcW w:w="4535" w:type="dxa"/>
            <w:noWrap/>
            <w:vAlign w:val="center"/>
            <w:hideMark/>
          </w:tcPr>
          <w:p w14:paraId="6E95A3AC" w14:textId="77777777" w:rsidR="008F31FB" w:rsidRPr="008F31FB" w:rsidRDefault="008F31FB" w:rsidP="00AB61A4">
            <w:pPr>
              <w:spacing w:line="360" w:lineRule="auto"/>
              <w:rPr>
                <w:rFonts w:eastAsia="DengXian"/>
                <w:color w:val="000000"/>
              </w:rPr>
            </w:pPr>
            <w:r w:rsidRPr="008F31FB">
              <w:rPr>
                <w:rFonts w:eastAsia="DengXian"/>
                <w:color w:val="000000"/>
              </w:rPr>
              <w:t>Microvascular Permeability after an Acute and Chronic Salt Load in Healthy Subjects: A Randomized Open-label Crossover Intervention Study.</w:t>
            </w:r>
          </w:p>
        </w:tc>
        <w:tc>
          <w:tcPr>
            <w:tcW w:w="1134" w:type="dxa"/>
            <w:noWrap/>
            <w:vAlign w:val="center"/>
            <w:hideMark/>
          </w:tcPr>
          <w:p w14:paraId="7DB4FF55" w14:textId="77777777" w:rsidR="008F31FB" w:rsidRPr="008F31FB" w:rsidRDefault="008F31FB" w:rsidP="00AB61A4">
            <w:pPr>
              <w:spacing w:line="360" w:lineRule="auto"/>
              <w:rPr>
                <w:rFonts w:eastAsia="DengXian"/>
                <w:color w:val="000000"/>
              </w:rPr>
            </w:pPr>
            <w:r w:rsidRPr="008F31FB">
              <w:rPr>
                <w:rFonts w:eastAsia="DengXian"/>
                <w:color w:val="000000"/>
              </w:rPr>
              <w:t>2018</w:t>
            </w:r>
          </w:p>
        </w:tc>
        <w:tc>
          <w:tcPr>
            <w:tcW w:w="2268" w:type="dxa"/>
            <w:noWrap/>
            <w:vAlign w:val="center"/>
            <w:hideMark/>
          </w:tcPr>
          <w:p w14:paraId="23B457D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FDE6C1B" w14:textId="77777777" w:rsidTr="008F31FB">
        <w:trPr>
          <w:trHeight w:val="320"/>
        </w:trPr>
        <w:tc>
          <w:tcPr>
            <w:tcW w:w="4535" w:type="dxa"/>
            <w:noWrap/>
            <w:vAlign w:val="center"/>
            <w:hideMark/>
          </w:tcPr>
          <w:p w14:paraId="3FCFDE43" w14:textId="77777777" w:rsidR="008F31FB" w:rsidRPr="008F31FB" w:rsidRDefault="008F31FB" w:rsidP="00AB61A4">
            <w:pPr>
              <w:spacing w:line="360" w:lineRule="auto"/>
              <w:rPr>
                <w:rFonts w:eastAsia="DengXian"/>
                <w:color w:val="000000"/>
              </w:rPr>
            </w:pPr>
            <w:r w:rsidRPr="008F31FB">
              <w:rPr>
                <w:rFonts w:eastAsia="DengXian"/>
                <w:color w:val="000000"/>
              </w:rPr>
              <w:t>Moderate salt restriction with or without paricalcitol in type 2 diabetes and losartan-resistant macroalbuminuria (PROCEED): a randomised, double-blind,  placebo-controlled, crossover trial.</w:t>
            </w:r>
          </w:p>
        </w:tc>
        <w:tc>
          <w:tcPr>
            <w:tcW w:w="1134" w:type="dxa"/>
            <w:noWrap/>
            <w:vAlign w:val="center"/>
            <w:hideMark/>
          </w:tcPr>
          <w:p w14:paraId="248E7799" w14:textId="77777777" w:rsidR="008F31FB" w:rsidRPr="008F31FB" w:rsidRDefault="008F31FB" w:rsidP="00AB61A4">
            <w:pPr>
              <w:spacing w:line="360" w:lineRule="auto"/>
              <w:rPr>
                <w:rFonts w:eastAsia="DengXian"/>
                <w:color w:val="000000"/>
              </w:rPr>
            </w:pPr>
            <w:r w:rsidRPr="008F31FB">
              <w:rPr>
                <w:rFonts w:eastAsia="DengXian"/>
                <w:color w:val="000000"/>
              </w:rPr>
              <w:t>2018</w:t>
            </w:r>
          </w:p>
        </w:tc>
        <w:tc>
          <w:tcPr>
            <w:tcW w:w="2268" w:type="dxa"/>
            <w:noWrap/>
            <w:vAlign w:val="center"/>
            <w:hideMark/>
          </w:tcPr>
          <w:p w14:paraId="088EF87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3CFC06F" w14:textId="77777777" w:rsidTr="008F31FB">
        <w:trPr>
          <w:trHeight w:val="320"/>
        </w:trPr>
        <w:tc>
          <w:tcPr>
            <w:tcW w:w="4535" w:type="dxa"/>
            <w:noWrap/>
            <w:vAlign w:val="center"/>
            <w:hideMark/>
          </w:tcPr>
          <w:p w14:paraId="42E62C36" w14:textId="77777777" w:rsidR="008F31FB" w:rsidRPr="008F31FB" w:rsidRDefault="008F31FB" w:rsidP="00AB61A4">
            <w:pPr>
              <w:spacing w:line="360" w:lineRule="auto"/>
              <w:rPr>
                <w:rFonts w:eastAsia="DengXian"/>
                <w:color w:val="000000"/>
              </w:rPr>
            </w:pPr>
            <w:r w:rsidRPr="008F31FB">
              <w:rPr>
                <w:rFonts w:eastAsia="DengXian"/>
                <w:color w:val="000000"/>
              </w:rPr>
              <w:t>Effectiveness of a Self-monitoring Device for Urinary Sodium-to-Potassium Ratio on Dietary Improvement in Free-Living Adults: a Randomized Controlled Trial.</w:t>
            </w:r>
          </w:p>
        </w:tc>
        <w:tc>
          <w:tcPr>
            <w:tcW w:w="1134" w:type="dxa"/>
            <w:noWrap/>
            <w:vAlign w:val="center"/>
            <w:hideMark/>
          </w:tcPr>
          <w:p w14:paraId="133AFCBF" w14:textId="77777777" w:rsidR="008F31FB" w:rsidRPr="008F31FB" w:rsidRDefault="008F31FB" w:rsidP="00AB61A4">
            <w:pPr>
              <w:spacing w:line="360" w:lineRule="auto"/>
              <w:rPr>
                <w:rFonts w:eastAsia="DengXian"/>
                <w:color w:val="000000"/>
              </w:rPr>
            </w:pPr>
            <w:r w:rsidRPr="008F31FB">
              <w:rPr>
                <w:rFonts w:eastAsia="DengXian"/>
                <w:color w:val="000000"/>
              </w:rPr>
              <w:t>2018</w:t>
            </w:r>
          </w:p>
        </w:tc>
        <w:tc>
          <w:tcPr>
            <w:tcW w:w="2268" w:type="dxa"/>
            <w:noWrap/>
            <w:vAlign w:val="center"/>
            <w:hideMark/>
          </w:tcPr>
          <w:p w14:paraId="58FED8C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BD5682F" w14:textId="77777777" w:rsidTr="008F31FB">
        <w:trPr>
          <w:trHeight w:val="320"/>
        </w:trPr>
        <w:tc>
          <w:tcPr>
            <w:tcW w:w="4535" w:type="dxa"/>
            <w:noWrap/>
            <w:vAlign w:val="center"/>
            <w:hideMark/>
          </w:tcPr>
          <w:p w14:paraId="14163041" w14:textId="77777777" w:rsidR="008F31FB" w:rsidRPr="008F31FB" w:rsidRDefault="008F31FB" w:rsidP="00AB61A4">
            <w:pPr>
              <w:spacing w:line="360" w:lineRule="auto"/>
              <w:rPr>
                <w:rFonts w:eastAsia="DengXian"/>
                <w:color w:val="000000"/>
              </w:rPr>
            </w:pPr>
            <w:r w:rsidRPr="008F31FB">
              <w:rPr>
                <w:rFonts w:eastAsia="DengXian"/>
                <w:color w:val="000000"/>
              </w:rPr>
              <w:t>Role of dietary phosphate restriction in chronic kidney disease.</w:t>
            </w:r>
          </w:p>
        </w:tc>
        <w:tc>
          <w:tcPr>
            <w:tcW w:w="1134" w:type="dxa"/>
            <w:noWrap/>
            <w:vAlign w:val="center"/>
            <w:hideMark/>
          </w:tcPr>
          <w:p w14:paraId="3245DD7E" w14:textId="77777777" w:rsidR="008F31FB" w:rsidRPr="008F31FB" w:rsidRDefault="008F31FB" w:rsidP="00AB61A4">
            <w:pPr>
              <w:spacing w:line="360" w:lineRule="auto"/>
              <w:rPr>
                <w:rFonts w:eastAsia="DengXian"/>
                <w:color w:val="000000"/>
              </w:rPr>
            </w:pPr>
            <w:r w:rsidRPr="008F31FB">
              <w:rPr>
                <w:rFonts w:eastAsia="DengXian"/>
                <w:color w:val="000000"/>
              </w:rPr>
              <w:t>2018</w:t>
            </w:r>
          </w:p>
        </w:tc>
        <w:tc>
          <w:tcPr>
            <w:tcW w:w="2268" w:type="dxa"/>
            <w:noWrap/>
            <w:vAlign w:val="center"/>
            <w:hideMark/>
          </w:tcPr>
          <w:p w14:paraId="3D4F073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C97AC15" w14:textId="77777777" w:rsidTr="008F31FB">
        <w:trPr>
          <w:trHeight w:val="320"/>
        </w:trPr>
        <w:tc>
          <w:tcPr>
            <w:tcW w:w="4535" w:type="dxa"/>
            <w:noWrap/>
            <w:vAlign w:val="center"/>
            <w:hideMark/>
          </w:tcPr>
          <w:p w14:paraId="650A8F51"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Validation and Assessment of Three Methods to Estimate 24-h Urinary Sodium Excretion from Spot Urine Samples in High-Risk Elder Patients of Stroke from the  Rural Areas of Shaanxi Province.</w:t>
            </w:r>
          </w:p>
        </w:tc>
        <w:tc>
          <w:tcPr>
            <w:tcW w:w="1134" w:type="dxa"/>
            <w:noWrap/>
            <w:vAlign w:val="center"/>
            <w:hideMark/>
          </w:tcPr>
          <w:p w14:paraId="6128F1C3" w14:textId="77777777" w:rsidR="008F31FB" w:rsidRPr="008F31FB" w:rsidRDefault="008F31FB" w:rsidP="00AB61A4">
            <w:pPr>
              <w:spacing w:line="360" w:lineRule="auto"/>
              <w:rPr>
                <w:rFonts w:eastAsia="DengXian"/>
                <w:color w:val="000000"/>
              </w:rPr>
            </w:pPr>
            <w:r w:rsidRPr="008F31FB">
              <w:rPr>
                <w:rFonts w:eastAsia="DengXian"/>
                <w:color w:val="000000"/>
              </w:rPr>
              <w:t>2017</w:t>
            </w:r>
          </w:p>
        </w:tc>
        <w:tc>
          <w:tcPr>
            <w:tcW w:w="2268" w:type="dxa"/>
            <w:noWrap/>
            <w:vAlign w:val="center"/>
            <w:hideMark/>
          </w:tcPr>
          <w:p w14:paraId="7ACFAFC9"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10491242" w14:textId="77777777" w:rsidTr="008F31FB">
        <w:trPr>
          <w:trHeight w:val="320"/>
        </w:trPr>
        <w:tc>
          <w:tcPr>
            <w:tcW w:w="4535" w:type="dxa"/>
            <w:noWrap/>
            <w:vAlign w:val="center"/>
            <w:hideMark/>
          </w:tcPr>
          <w:p w14:paraId="31B1510F" w14:textId="77777777" w:rsidR="008F31FB" w:rsidRPr="008F31FB" w:rsidRDefault="008F31FB" w:rsidP="00AB61A4">
            <w:pPr>
              <w:spacing w:line="360" w:lineRule="auto"/>
              <w:rPr>
                <w:rFonts w:eastAsia="DengXian"/>
                <w:color w:val="000000"/>
              </w:rPr>
            </w:pPr>
            <w:r w:rsidRPr="008F31FB">
              <w:rPr>
                <w:rFonts w:eastAsia="DengXian"/>
                <w:color w:val="000000"/>
              </w:rPr>
              <w:t>Associations between Dietary Patterns and Blood Pressure in a Clinical Sample of Overweight Adults.</w:t>
            </w:r>
          </w:p>
        </w:tc>
        <w:tc>
          <w:tcPr>
            <w:tcW w:w="1134" w:type="dxa"/>
            <w:noWrap/>
            <w:vAlign w:val="center"/>
            <w:hideMark/>
          </w:tcPr>
          <w:p w14:paraId="7A7F8576" w14:textId="77777777" w:rsidR="008F31FB" w:rsidRPr="008F31FB" w:rsidRDefault="008F31FB" w:rsidP="00AB61A4">
            <w:pPr>
              <w:spacing w:line="360" w:lineRule="auto"/>
              <w:rPr>
                <w:rFonts w:eastAsia="DengXian"/>
                <w:color w:val="000000"/>
              </w:rPr>
            </w:pPr>
            <w:r w:rsidRPr="008F31FB">
              <w:rPr>
                <w:rFonts w:eastAsia="DengXian"/>
                <w:color w:val="000000"/>
              </w:rPr>
              <w:t>2017</w:t>
            </w:r>
          </w:p>
        </w:tc>
        <w:tc>
          <w:tcPr>
            <w:tcW w:w="2268" w:type="dxa"/>
            <w:noWrap/>
            <w:vAlign w:val="center"/>
            <w:hideMark/>
          </w:tcPr>
          <w:p w14:paraId="092FF7FB"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3891DB25" w14:textId="77777777" w:rsidTr="008F31FB">
        <w:trPr>
          <w:trHeight w:val="320"/>
        </w:trPr>
        <w:tc>
          <w:tcPr>
            <w:tcW w:w="4535" w:type="dxa"/>
            <w:noWrap/>
            <w:vAlign w:val="center"/>
            <w:hideMark/>
          </w:tcPr>
          <w:p w14:paraId="5E4E18AF" w14:textId="77777777" w:rsidR="008F31FB" w:rsidRPr="008F31FB" w:rsidRDefault="008F31FB" w:rsidP="00AB61A4">
            <w:pPr>
              <w:spacing w:line="360" w:lineRule="auto"/>
              <w:rPr>
                <w:rFonts w:eastAsia="DengXian"/>
                <w:color w:val="000000"/>
              </w:rPr>
            </w:pPr>
            <w:r w:rsidRPr="008F31FB">
              <w:rPr>
                <w:rFonts w:eastAsia="DengXian"/>
                <w:color w:val="000000"/>
              </w:rPr>
              <w:t>Effects of Sodium Reduction and the DASH Diet in Relation to Baseline Blood Pressure.</w:t>
            </w:r>
          </w:p>
        </w:tc>
        <w:tc>
          <w:tcPr>
            <w:tcW w:w="1134" w:type="dxa"/>
            <w:noWrap/>
            <w:vAlign w:val="center"/>
            <w:hideMark/>
          </w:tcPr>
          <w:p w14:paraId="7515DFF1" w14:textId="77777777" w:rsidR="008F31FB" w:rsidRPr="008F31FB" w:rsidRDefault="008F31FB" w:rsidP="00AB61A4">
            <w:pPr>
              <w:spacing w:line="360" w:lineRule="auto"/>
              <w:rPr>
                <w:rFonts w:eastAsia="DengXian"/>
                <w:color w:val="000000"/>
              </w:rPr>
            </w:pPr>
            <w:r w:rsidRPr="008F31FB">
              <w:rPr>
                <w:rFonts w:eastAsia="DengXian"/>
                <w:color w:val="000000"/>
              </w:rPr>
              <w:t>2017</w:t>
            </w:r>
          </w:p>
        </w:tc>
        <w:tc>
          <w:tcPr>
            <w:tcW w:w="2268" w:type="dxa"/>
            <w:noWrap/>
            <w:vAlign w:val="center"/>
            <w:hideMark/>
          </w:tcPr>
          <w:p w14:paraId="633D0FBE"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281AFEB" w14:textId="77777777" w:rsidTr="008F31FB">
        <w:trPr>
          <w:trHeight w:val="320"/>
        </w:trPr>
        <w:tc>
          <w:tcPr>
            <w:tcW w:w="4535" w:type="dxa"/>
            <w:noWrap/>
            <w:vAlign w:val="center"/>
            <w:hideMark/>
          </w:tcPr>
          <w:p w14:paraId="4E90DC3A" w14:textId="77777777" w:rsidR="008F31FB" w:rsidRPr="008F31FB" w:rsidRDefault="008F31FB" w:rsidP="00AB61A4">
            <w:pPr>
              <w:spacing w:line="360" w:lineRule="auto"/>
              <w:rPr>
                <w:rFonts w:eastAsia="DengXian"/>
                <w:color w:val="000000"/>
              </w:rPr>
            </w:pPr>
            <w:r w:rsidRPr="008F31FB">
              <w:rPr>
                <w:rFonts w:eastAsia="DengXian"/>
                <w:color w:val="000000"/>
              </w:rPr>
              <w:t>Time Course of Change in Blood Pressure From Sodium Reduction and the DASH Diet.</w:t>
            </w:r>
          </w:p>
        </w:tc>
        <w:tc>
          <w:tcPr>
            <w:tcW w:w="1134" w:type="dxa"/>
            <w:noWrap/>
            <w:vAlign w:val="center"/>
            <w:hideMark/>
          </w:tcPr>
          <w:p w14:paraId="265D8958" w14:textId="77777777" w:rsidR="008F31FB" w:rsidRPr="008F31FB" w:rsidRDefault="008F31FB" w:rsidP="00AB61A4">
            <w:pPr>
              <w:spacing w:line="360" w:lineRule="auto"/>
              <w:rPr>
                <w:rFonts w:eastAsia="DengXian"/>
                <w:color w:val="000000"/>
              </w:rPr>
            </w:pPr>
            <w:r w:rsidRPr="008F31FB">
              <w:rPr>
                <w:rFonts w:eastAsia="DengXian"/>
                <w:color w:val="000000"/>
              </w:rPr>
              <w:t>2017</w:t>
            </w:r>
          </w:p>
        </w:tc>
        <w:tc>
          <w:tcPr>
            <w:tcW w:w="2268" w:type="dxa"/>
            <w:noWrap/>
            <w:vAlign w:val="center"/>
            <w:hideMark/>
          </w:tcPr>
          <w:p w14:paraId="6D6ABA8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7DAEB34" w14:textId="77777777" w:rsidTr="008F31FB">
        <w:trPr>
          <w:trHeight w:val="320"/>
        </w:trPr>
        <w:tc>
          <w:tcPr>
            <w:tcW w:w="4535" w:type="dxa"/>
            <w:noWrap/>
            <w:vAlign w:val="center"/>
            <w:hideMark/>
          </w:tcPr>
          <w:p w14:paraId="3446A81C" w14:textId="77777777" w:rsidR="008F31FB" w:rsidRPr="008F31FB" w:rsidRDefault="008F31FB" w:rsidP="00AB61A4">
            <w:pPr>
              <w:spacing w:line="360" w:lineRule="auto"/>
              <w:rPr>
                <w:rFonts w:eastAsia="DengXian"/>
                <w:color w:val="000000"/>
              </w:rPr>
            </w:pPr>
            <w:r w:rsidRPr="008F31FB">
              <w:rPr>
                <w:rFonts w:eastAsia="DengXian"/>
                <w:color w:val="000000"/>
              </w:rPr>
              <w:t>Dietary Sodium Modifies Serum Uric Acid Concentrations in Humans.</w:t>
            </w:r>
          </w:p>
        </w:tc>
        <w:tc>
          <w:tcPr>
            <w:tcW w:w="1134" w:type="dxa"/>
            <w:noWrap/>
            <w:vAlign w:val="center"/>
            <w:hideMark/>
          </w:tcPr>
          <w:p w14:paraId="15ABF691" w14:textId="77777777" w:rsidR="008F31FB" w:rsidRPr="008F31FB" w:rsidRDefault="008F31FB" w:rsidP="00AB61A4">
            <w:pPr>
              <w:spacing w:line="360" w:lineRule="auto"/>
              <w:rPr>
                <w:rFonts w:eastAsia="DengXian"/>
                <w:color w:val="000000"/>
              </w:rPr>
            </w:pPr>
            <w:r w:rsidRPr="008F31FB">
              <w:rPr>
                <w:rFonts w:eastAsia="DengXian"/>
                <w:color w:val="000000"/>
              </w:rPr>
              <w:t>2017</w:t>
            </w:r>
          </w:p>
        </w:tc>
        <w:tc>
          <w:tcPr>
            <w:tcW w:w="2268" w:type="dxa"/>
            <w:noWrap/>
            <w:vAlign w:val="center"/>
            <w:hideMark/>
          </w:tcPr>
          <w:p w14:paraId="011EDB9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FD15DFE" w14:textId="77777777" w:rsidTr="008F31FB">
        <w:trPr>
          <w:trHeight w:val="320"/>
        </w:trPr>
        <w:tc>
          <w:tcPr>
            <w:tcW w:w="4535" w:type="dxa"/>
            <w:noWrap/>
            <w:vAlign w:val="center"/>
            <w:hideMark/>
          </w:tcPr>
          <w:p w14:paraId="447DD7F9" w14:textId="77777777" w:rsidR="008F31FB" w:rsidRPr="008F31FB" w:rsidRDefault="008F31FB" w:rsidP="00AB61A4">
            <w:pPr>
              <w:spacing w:line="360" w:lineRule="auto"/>
              <w:rPr>
                <w:rFonts w:eastAsia="DengXian"/>
                <w:color w:val="000000"/>
              </w:rPr>
            </w:pPr>
            <w:r w:rsidRPr="008F31FB">
              <w:rPr>
                <w:rFonts w:eastAsia="DengXian"/>
                <w:color w:val="000000"/>
              </w:rPr>
              <w:t>Clonidine versus Captopril for Severe Postpartum Hypertension: A Randomized Controlled Trial.</w:t>
            </w:r>
          </w:p>
        </w:tc>
        <w:tc>
          <w:tcPr>
            <w:tcW w:w="1134" w:type="dxa"/>
            <w:noWrap/>
            <w:vAlign w:val="center"/>
            <w:hideMark/>
          </w:tcPr>
          <w:p w14:paraId="2AD345A3" w14:textId="77777777" w:rsidR="008F31FB" w:rsidRPr="008F31FB" w:rsidRDefault="008F31FB" w:rsidP="00AB61A4">
            <w:pPr>
              <w:spacing w:line="360" w:lineRule="auto"/>
              <w:rPr>
                <w:rFonts w:eastAsia="DengXian"/>
                <w:color w:val="000000"/>
              </w:rPr>
            </w:pPr>
            <w:r w:rsidRPr="008F31FB">
              <w:rPr>
                <w:rFonts w:eastAsia="DengXian"/>
                <w:color w:val="000000"/>
              </w:rPr>
              <w:t>2017</w:t>
            </w:r>
          </w:p>
        </w:tc>
        <w:tc>
          <w:tcPr>
            <w:tcW w:w="2268" w:type="dxa"/>
            <w:noWrap/>
            <w:vAlign w:val="center"/>
            <w:hideMark/>
          </w:tcPr>
          <w:p w14:paraId="062335BE"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14F0ED0" w14:textId="77777777" w:rsidTr="008F31FB">
        <w:trPr>
          <w:trHeight w:val="320"/>
        </w:trPr>
        <w:tc>
          <w:tcPr>
            <w:tcW w:w="4535" w:type="dxa"/>
            <w:noWrap/>
            <w:vAlign w:val="center"/>
            <w:hideMark/>
          </w:tcPr>
          <w:p w14:paraId="6E0F93F1" w14:textId="77777777" w:rsidR="008F31FB" w:rsidRPr="008F31FB" w:rsidRDefault="008F31FB" w:rsidP="00AB61A4">
            <w:pPr>
              <w:spacing w:line="360" w:lineRule="auto"/>
              <w:rPr>
                <w:rFonts w:eastAsia="DengXian"/>
                <w:color w:val="000000"/>
              </w:rPr>
            </w:pPr>
            <w:r w:rsidRPr="008F31FB">
              <w:rPr>
                <w:rFonts w:eastAsia="DengXian"/>
                <w:color w:val="000000"/>
              </w:rPr>
              <w:t>The first-in-man randomized trial of a beta3 adrenoceptor agonist in chronic heart failure: the BEAT-HF trial.</w:t>
            </w:r>
          </w:p>
        </w:tc>
        <w:tc>
          <w:tcPr>
            <w:tcW w:w="1134" w:type="dxa"/>
            <w:noWrap/>
            <w:vAlign w:val="center"/>
            <w:hideMark/>
          </w:tcPr>
          <w:p w14:paraId="66AB6701" w14:textId="77777777" w:rsidR="008F31FB" w:rsidRPr="008F31FB" w:rsidRDefault="008F31FB" w:rsidP="00AB61A4">
            <w:pPr>
              <w:spacing w:line="360" w:lineRule="auto"/>
              <w:rPr>
                <w:rFonts w:eastAsia="DengXian"/>
                <w:color w:val="000000"/>
              </w:rPr>
            </w:pPr>
            <w:r w:rsidRPr="008F31FB">
              <w:rPr>
                <w:rFonts w:eastAsia="DengXian"/>
                <w:color w:val="000000"/>
              </w:rPr>
              <w:t>2017</w:t>
            </w:r>
          </w:p>
        </w:tc>
        <w:tc>
          <w:tcPr>
            <w:tcW w:w="2268" w:type="dxa"/>
            <w:noWrap/>
            <w:vAlign w:val="center"/>
            <w:hideMark/>
          </w:tcPr>
          <w:p w14:paraId="589B852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386D1C5" w14:textId="77777777" w:rsidTr="008F31FB">
        <w:trPr>
          <w:trHeight w:val="320"/>
        </w:trPr>
        <w:tc>
          <w:tcPr>
            <w:tcW w:w="4535" w:type="dxa"/>
            <w:noWrap/>
            <w:vAlign w:val="center"/>
            <w:hideMark/>
          </w:tcPr>
          <w:p w14:paraId="30F83ADF" w14:textId="77777777" w:rsidR="008F31FB" w:rsidRPr="008F31FB" w:rsidRDefault="008F31FB" w:rsidP="00AB61A4">
            <w:pPr>
              <w:spacing w:line="360" w:lineRule="auto"/>
              <w:rPr>
                <w:rFonts w:eastAsia="DengXian"/>
                <w:color w:val="000000"/>
              </w:rPr>
            </w:pPr>
            <w:r w:rsidRPr="008F31FB">
              <w:rPr>
                <w:rFonts w:eastAsia="DengXian"/>
                <w:color w:val="000000"/>
              </w:rPr>
              <w:t>Effects of Sacubitril/Valsartan (LCZ696) on Natriuresis, Diuresis, Blood Pressures, and NT-proBNP in Salt-Sensitive Hypertension.</w:t>
            </w:r>
          </w:p>
        </w:tc>
        <w:tc>
          <w:tcPr>
            <w:tcW w:w="1134" w:type="dxa"/>
            <w:noWrap/>
            <w:vAlign w:val="center"/>
            <w:hideMark/>
          </w:tcPr>
          <w:p w14:paraId="3DF759C6" w14:textId="77777777" w:rsidR="008F31FB" w:rsidRPr="008F31FB" w:rsidRDefault="008F31FB" w:rsidP="00AB61A4">
            <w:pPr>
              <w:spacing w:line="360" w:lineRule="auto"/>
              <w:rPr>
                <w:rFonts w:eastAsia="DengXian"/>
                <w:color w:val="000000"/>
              </w:rPr>
            </w:pPr>
            <w:r w:rsidRPr="008F31FB">
              <w:rPr>
                <w:rFonts w:eastAsia="DengXian"/>
                <w:color w:val="000000"/>
              </w:rPr>
              <w:t>2017</w:t>
            </w:r>
          </w:p>
        </w:tc>
        <w:tc>
          <w:tcPr>
            <w:tcW w:w="2268" w:type="dxa"/>
            <w:noWrap/>
            <w:vAlign w:val="center"/>
            <w:hideMark/>
          </w:tcPr>
          <w:p w14:paraId="553BD5D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53D5373" w14:textId="77777777" w:rsidTr="008F31FB">
        <w:trPr>
          <w:trHeight w:val="320"/>
        </w:trPr>
        <w:tc>
          <w:tcPr>
            <w:tcW w:w="4535" w:type="dxa"/>
            <w:noWrap/>
            <w:vAlign w:val="center"/>
            <w:hideMark/>
          </w:tcPr>
          <w:p w14:paraId="162A75C5" w14:textId="77777777" w:rsidR="008F31FB" w:rsidRPr="008F31FB" w:rsidRDefault="008F31FB" w:rsidP="00AB61A4">
            <w:pPr>
              <w:spacing w:line="360" w:lineRule="auto"/>
              <w:rPr>
                <w:rFonts w:eastAsia="DengXian"/>
                <w:color w:val="000000"/>
              </w:rPr>
            </w:pPr>
            <w:r w:rsidRPr="008F31FB">
              <w:rPr>
                <w:rFonts w:eastAsia="DengXian"/>
                <w:color w:val="000000"/>
              </w:rPr>
              <w:t xml:space="preserve">The effectiveness of an educational intervention for sodium restriction in </w:t>
            </w:r>
            <w:r w:rsidRPr="008F31FB">
              <w:rPr>
                <w:rFonts w:eastAsia="DengXian"/>
                <w:color w:val="000000"/>
              </w:rPr>
              <w:lastRenderedPageBreak/>
              <w:t>patients with hypertension: study protocol for a randomized controlled trial.</w:t>
            </w:r>
          </w:p>
        </w:tc>
        <w:tc>
          <w:tcPr>
            <w:tcW w:w="1134" w:type="dxa"/>
            <w:noWrap/>
            <w:vAlign w:val="center"/>
            <w:hideMark/>
          </w:tcPr>
          <w:p w14:paraId="75F4BC23"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2017</w:t>
            </w:r>
          </w:p>
        </w:tc>
        <w:tc>
          <w:tcPr>
            <w:tcW w:w="2268" w:type="dxa"/>
            <w:noWrap/>
            <w:vAlign w:val="center"/>
            <w:hideMark/>
          </w:tcPr>
          <w:p w14:paraId="48E2860C" w14:textId="77777777" w:rsidR="008F31FB" w:rsidRPr="008F31FB" w:rsidRDefault="008F31FB" w:rsidP="00AB61A4">
            <w:pPr>
              <w:spacing w:line="360" w:lineRule="auto"/>
              <w:rPr>
                <w:rFonts w:eastAsia="DengXian"/>
                <w:color w:val="000000"/>
              </w:rPr>
            </w:pPr>
            <w:r w:rsidRPr="008F31FB">
              <w:rPr>
                <w:rFonts w:eastAsia="DengXian"/>
                <w:color w:val="000000"/>
              </w:rPr>
              <w:t>Study protocols</w:t>
            </w:r>
          </w:p>
        </w:tc>
      </w:tr>
      <w:tr w:rsidR="004C083E" w:rsidRPr="008F31FB" w14:paraId="69DE27A4" w14:textId="77777777" w:rsidTr="008F31FB">
        <w:trPr>
          <w:trHeight w:val="320"/>
        </w:trPr>
        <w:tc>
          <w:tcPr>
            <w:tcW w:w="4535" w:type="dxa"/>
            <w:noWrap/>
            <w:vAlign w:val="center"/>
            <w:hideMark/>
          </w:tcPr>
          <w:p w14:paraId="0CB73B7F" w14:textId="77777777" w:rsidR="008F31FB" w:rsidRPr="008F31FB" w:rsidRDefault="008F31FB" w:rsidP="00AB61A4">
            <w:pPr>
              <w:spacing w:line="360" w:lineRule="auto"/>
              <w:rPr>
                <w:rFonts w:eastAsia="DengXian"/>
                <w:color w:val="000000"/>
              </w:rPr>
            </w:pPr>
            <w:r w:rsidRPr="008F31FB">
              <w:rPr>
                <w:rFonts w:eastAsia="DengXian"/>
                <w:color w:val="000000"/>
              </w:rPr>
              <w:t>Feasibility of collecting 24-h urine to monitor sodium intake in the National Health and Nutrition Examination Survey.</w:t>
            </w:r>
          </w:p>
        </w:tc>
        <w:tc>
          <w:tcPr>
            <w:tcW w:w="1134" w:type="dxa"/>
            <w:noWrap/>
            <w:vAlign w:val="center"/>
            <w:hideMark/>
          </w:tcPr>
          <w:p w14:paraId="6C722D02"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73359691"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2B0E16B9" w14:textId="77777777" w:rsidTr="008F31FB">
        <w:trPr>
          <w:trHeight w:val="320"/>
        </w:trPr>
        <w:tc>
          <w:tcPr>
            <w:tcW w:w="4535" w:type="dxa"/>
            <w:noWrap/>
            <w:vAlign w:val="center"/>
            <w:hideMark/>
          </w:tcPr>
          <w:p w14:paraId="0AA3BF3C" w14:textId="77777777" w:rsidR="008F31FB" w:rsidRPr="008F31FB" w:rsidRDefault="008F31FB" w:rsidP="00AB61A4">
            <w:pPr>
              <w:spacing w:line="360" w:lineRule="auto"/>
              <w:rPr>
                <w:rFonts w:eastAsia="DengXian"/>
                <w:color w:val="000000"/>
              </w:rPr>
            </w:pPr>
            <w:r w:rsidRPr="008F31FB">
              <w:rPr>
                <w:rFonts w:eastAsia="DengXian"/>
                <w:color w:val="000000"/>
              </w:rPr>
              <w:t>The effect of multivitamin-multimineral supplementation on the health status of inbred Wistar and spontaneously hypertensive rat strains.</w:t>
            </w:r>
          </w:p>
        </w:tc>
        <w:tc>
          <w:tcPr>
            <w:tcW w:w="1134" w:type="dxa"/>
            <w:noWrap/>
            <w:vAlign w:val="center"/>
            <w:hideMark/>
          </w:tcPr>
          <w:p w14:paraId="46EC0F8D"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691D7B3F"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F9C9959" w14:textId="77777777" w:rsidTr="008F31FB">
        <w:trPr>
          <w:trHeight w:val="320"/>
        </w:trPr>
        <w:tc>
          <w:tcPr>
            <w:tcW w:w="4535" w:type="dxa"/>
            <w:noWrap/>
            <w:vAlign w:val="center"/>
            <w:hideMark/>
          </w:tcPr>
          <w:p w14:paraId="568A9431" w14:textId="77777777" w:rsidR="008F31FB" w:rsidRPr="008F31FB" w:rsidRDefault="008F31FB" w:rsidP="00AB61A4">
            <w:pPr>
              <w:spacing w:line="360" w:lineRule="auto"/>
              <w:rPr>
                <w:rFonts w:eastAsia="DengXian"/>
                <w:color w:val="000000"/>
              </w:rPr>
            </w:pPr>
            <w:r w:rsidRPr="008F31FB">
              <w:rPr>
                <w:rFonts w:eastAsia="DengXian"/>
                <w:color w:val="000000"/>
              </w:rPr>
              <w:t>Changes in dietary intake and nutritional status associated with a significant reduction in sodium intake in patients with heart failure. A sub-analysis of the  SODIUM-HF pilot study.</w:t>
            </w:r>
          </w:p>
        </w:tc>
        <w:tc>
          <w:tcPr>
            <w:tcW w:w="1134" w:type="dxa"/>
            <w:noWrap/>
            <w:vAlign w:val="center"/>
            <w:hideMark/>
          </w:tcPr>
          <w:p w14:paraId="1D64059A"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2137AAB5"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6E9900D" w14:textId="77777777" w:rsidTr="008F31FB">
        <w:trPr>
          <w:trHeight w:val="320"/>
        </w:trPr>
        <w:tc>
          <w:tcPr>
            <w:tcW w:w="4535" w:type="dxa"/>
            <w:noWrap/>
            <w:vAlign w:val="center"/>
            <w:hideMark/>
          </w:tcPr>
          <w:p w14:paraId="65B3E2FE" w14:textId="77777777" w:rsidR="008F31FB" w:rsidRPr="008F31FB" w:rsidRDefault="008F31FB" w:rsidP="00AB61A4">
            <w:pPr>
              <w:spacing w:line="360" w:lineRule="auto"/>
              <w:rPr>
                <w:rFonts w:eastAsia="DengXian"/>
                <w:color w:val="000000"/>
              </w:rPr>
            </w:pPr>
            <w:r w:rsidRPr="008F31FB">
              <w:rPr>
                <w:rFonts w:eastAsia="DengXian"/>
                <w:color w:val="000000"/>
              </w:rPr>
              <w:t>The Effects of a Community-Based Sodium Reduction Program in Rural China - A Cluster-Randomized Trial.</w:t>
            </w:r>
          </w:p>
        </w:tc>
        <w:tc>
          <w:tcPr>
            <w:tcW w:w="1134" w:type="dxa"/>
            <w:noWrap/>
            <w:vAlign w:val="center"/>
            <w:hideMark/>
          </w:tcPr>
          <w:p w14:paraId="41180742"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51DB58C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AFB8590" w14:textId="77777777" w:rsidTr="008F31FB">
        <w:trPr>
          <w:trHeight w:val="320"/>
        </w:trPr>
        <w:tc>
          <w:tcPr>
            <w:tcW w:w="4535" w:type="dxa"/>
            <w:noWrap/>
            <w:vAlign w:val="center"/>
            <w:hideMark/>
          </w:tcPr>
          <w:p w14:paraId="294820AF" w14:textId="77777777" w:rsidR="008F31FB" w:rsidRPr="008F31FB" w:rsidRDefault="008F31FB" w:rsidP="00AB61A4">
            <w:pPr>
              <w:spacing w:line="360" w:lineRule="auto"/>
              <w:rPr>
                <w:rFonts w:eastAsia="DengXian"/>
                <w:color w:val="000000"/>
              </w:rPr>
            </w:pPr>
            <w:r w:rsidRPr="008F31FB">
              <w:rPr>
                <w:rFonts w:eastAsia="DengXian"/>
                <w:color w:val="000000"/>
              </w:rPr>
              <w:t>The role of oral sodium bicarbonate supplementation in maintaining acid-base balance and its influence on the cardiovascular system in chronic hemodialysis  patients - results of a prospective study.</w:t>
            </w:r>
          </w:p>
        </w:tc>
        <w:tc>
          <w:tcPr>
            <w:tcW w:w="1134" w:type="dxa"/>
            <w:noWrap/>
            <w:vAlign w:val="center"/>
            <w:hideMark/>
          </w:tcPr>
          <w:p w14:paraId="4F1AAADF"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4D1A09E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EF6DC9C" w14:textId="77777777" w:rsidTr="008F31FB">
        <w:trPr>
          <w:trHeight w:val="320"/>
        </w:trPr>
        <w:tc>
          <w:tcPr>
            <w:tcW w:w="4535" w:type="dxa"/>
            <w:noWrap/>
            <w:vAlign w:val="center"/>
            <w:hideMark/>
          </w:tcPr>
          <w:p w14:paraId="568399DE" w14:textId="77777777" w:rsidR="008F31FB" w:rsidRPr="008F31FB" w:rsidRDefault="008F31FB" w:rsidP="00AB61A4">
            <w:pPr>
              <w:spacing w:line="360" w:lineRule="auto"/>
              <w:rPr>
                <w:rFonts w:eastAsia="DengXian"/>
                <w:color w:val="000000"/>
              </w:rPr>
            </w:pPr>
            <w:r w:rsidRPr="008F31FB">
              <w:rPr>
                <w:rFonts w:eastAsia="DengXian"/>
                <w:color w:val="000000"/>
              </w:rPr>
              <w:t>Sodium Intake and All-Cause Mortality Over 20 Years in the Trials of Hypertension Prevention.</w:t>
            </w:r>
          </w:p>
        </w:tc>
        <w:tc>
          <w:tcPr>
            <w:tcW w:w="1134" w:type="dxa"/>
            <w:noWrap/>
            <w:vAlign w:val="center"/>
            <w:hideMark/>
          </w:tcPr>
          <w:p w14:paraId="11B2B524"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0FDBD13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7D5A2DB" w14:textId="77777777" w:rsidTr="008F31FB">
        <w:trPr>
          <w:trHeight w:val="320"/>
        </w:trPr>
        <w:tc>
          <w:tcPr>
            <w:tcW w:w="4535" w:type="dxa"/>
            <w:noWrap/>
            <w:vAlign w:val="center"/>
            <w:hideMark/>
          </w:tcPr>
          <w:p w14:paraId="5F7A4980" w14:textId="77777777" w:rsidR="008F31FB" w:rsidRPr="008F31FB" w:rsidRDefault="008F31FB" w:rsidP="00AB61A4">
            <w:pPr>
              <w:spacing w:line="360" w:lineRule="auto"/>
              <w:rPr>
                <w:rFonts w:eastAsia="DengXian"/>
                <w:color w:val="000000"/>
              </w:rPr>
            </w:pPr>
            <w:r w:rsidRPr="008F31FB">
              <w:rPr>
                <w:rFonts w:eastAsia="DengXian"/>
                <w:color w:val="000000"/>
              </w:rPr>
              <w:t xml:space="preserve">An Intervention with Mineral Water Decreases Cardiometabolic Risk </w:t>
            </w:r>
            <w:r w:rsidRPr="008F31FB">
              <w:rPr>
                <w:rFonts w:eastAsia="DengXian"/>
                <w:color w:val="000000"/>
              </w:rPr>
              <w:lastRenderedPageBreak/>
              <w:t>Biomarkers. A Crossover, Randomised, Controlled Trial with Two Mineral Waters in Moderately  Hypercholesterolaemic Adults.</w:t>
            </w:r>
          </w:p>
        </w:tc>
        <w:tc>
          <w:tcPr>
            <w:tcW w:w="1134" w:type="dxa"/>
            <w:noWrap/>
            <w:vAlign w:val="center"/>
            <w:hideMark/>
          </w:tcPr>
          <w:p w14:paraId="7162A4DD"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2016</w:t>
            </w:r>
          </w:p>
        </w:tc>
        <w:tc>
          <w:tcPr>
            <w:tcW w:w="2268" w:type="dxa"/>
            <w:noWrap/>
            <w:vAlign w:val="center"/>
            <w:hideMark/>
          </w:tcPr>
          <w:p w14:paraId="705BABA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E3C8686" w14:textId="77777777" w:rsidTr="008F31FB">
        <w:trPr>
          <w:trHeight w:val="320"/>
        </w:trPr>
        <w:tc>
          <w:tcPr>
            <w:tcW w:w="4535" w:type="dxa"/>
            <w:noWrap/>
            <w:vAlign w:val="center"/>
            <w:hideMark/>
          </w:tcPr>
          <w:p w14:paraId="29D5560B" w14:textId="77777777" w:rsidR="008F31FB" w:rsidRPr="008F31FB" w:rsidRDefault="008F31FB" w:rsidP="00AB61A4">
            <w:pPr>
              <w:spacing w:line="360" w:lineRule="auto"/>
              <w:rPr>
                <w:rFonts w:eastAsia="DengXian"/>
                <w:color w:val="000000"/>
              </w:rPr>
            </w:pPr>
            <w:r w:rsidRPr="008F31FB">
              <w:rPr>
                <w:rFonts w:eastAsia="DengXian"/>
                <w:color w:val="000000"/>
              </w:rPr>
              <w:t>Aldosterone changes after consumption of a sodium-bicarbonated mineral water in humans. A four-way randomized controlled trial.</w:t>
            </w:r>
          </w:p>
        </w:tc>
        <w:tc>
          <w:tcPr>
            <w:tcW w:w="1134" w:type="dxa"/>
            <w:noWrap/>
            <w:vAlign w:val="center"/>
            <w:hideMark/>
          </w:tcPr>
          <w:p w14:paraId="7852BD75"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193B2D1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D8C88BD" w14:textId="77777777" w:rsidTr="008F31FB">
        <w:trPr>
          <w:trHeight w:val="320"/>
        </w:trPr>
        <w:tc>
          <w:tcPr>
            <w:tcW w:w="4535" w:type="dxa"/>
            <w:noWrap/>
            <w:vAlign w:val="center"/>
            <w:hideMark/>
          </w:tcPr>
          <w:p w14:paraId="43016FA3" w14:textId="77777777" w:rsidR="008F31FB" w:rsidRPr="008F31FB" w:rsidRDefault="008F31FB" w:rsidP="00AB61A4">
            <w:pPr>
              <w:spacing w:line="360" w:lineRule="auto"/>
              <w:rPr>
                <w:rFonts w:eastAsia="DengXian"/>
                <w:color w:val="000000"/>
              </w:rPr>
            </w:pPr>
            <w:r w:rsidRPr="008F31FB">
              <w:rPr>
                <w:rFonts w:eastAsia="DengXian"/>
                <w:color w:val="000000"/>
              </w:rPr>
              <w:t>Acute renal effects of the GLP-1 receptor agonist exenatide in overweight type 2 diabetes patients: a randomised, double-blind, placebo-controlled trial.</w:t>
            </w:r>
          </w:p>
        </w:tc>
        <w:tc>
          <w:tcPr>
            <w:tcW w:w="1134" w:type="dxa"/>
            <w:noWrap/>
            <w:vAlign w:val="center"/>
            <w:hideMark/>
          </w:tcPr>
          <w:p w14:paraId="29249975"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7C1FDDC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7C42C79" w14:textId="77777777" w:rsidTr="008F31FB">
        <w:trPr>
          <w:trHeight w:val="320"/>
        </w:trPr>
        <w:tc>
          <w:tcPr>
            <w:tcW w:w="4535" w:type="dxa"/>
            <w:noWrap/>
            <w:vAlign w:val="center"/>
            <w:hideMark/>
          </w:tcPr>
          <w:p w14:paraId="4366AC54" w14:textId="77777777" w:rsidR="008F31FB" w:rsidRPr="008F31FB" w:rsidRDefault="008F31FB" w:rsidP="00AB61A4">
            <w:pPr>
              <w:spacing w:line="360" w:lineRule="auto"/>
              <w:rPr>
                <w:rFonts w:eastAsia="DengXian"/>
                <w:color w:val="000000"/>
              </w:rPr>
            </w:pPr>
            <w:r w:rsidRPr="008F31FB">
              <w:rPr>
                <w:rFonts w:eastAsia="DengXian"/>
                <w:color w:val="000000"/>
              </w:rPr>
              <w:t>Effect of low-dose spironolactone on resistant hypertension in type 2 diabetes mellitus: a randomized controlled trial in a sub-Saharan African population.</w:t>
            </w:r>
          </w:p>
        </w:tc>
        <w:tc>
          <w:tcPr>
            <w:tcW w:w="1134" w:type="dxa"/>
            <w:noWrap/>
            <w:vAlign w:val="center"/>
            <w:hideMark/>
          </w:tcPr>
          <w:p w14:paraId="54EDDB1F"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43FC0E7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1BE498F" w14:textId="77777777" w:rsidTr="008F31FB">
        <w:trPr>
          <w:trHeight w:val="320"/>
        </w:trPr>
        <w:tc>
          <w:tcPr>
            <w:tcW w:w="4535" w:type="dxa"/>
            <w:noWrap/>
            <w:vAlign w:val="center"/>
            <w:hideMark/>
          </w:tcPr>
          <w:p w14:paraId="7BEAE2BD" w14:textId="77777777" w:rsidR="008F31FB" w:rsidRPr="008F31FB" w:rsidRDefault="008F31FB" w:rsidP="00AB61A4">
            <w:pPr>
              <w:spacing w:line="360" w:lineRule="auto"/>
              <w:rPr>
                <w:rFonts w:eastAsia="DengXian"/>
                <w:color w:val="000000"/>
              </w:rPr>
            </w:pPr>
            <w:r w:rsidRPr="008F31FB">
              <w:rPr>
                <w:rFonts w:eastAsia="DengXian"/>
                <w:color w:val="000000"/>
              </w:rPr>
              <w:t>Maximum renal responses to renin inhibition in healthy study participants: VTP-27999 versus aliskiren.</w:t>
            </w:r>
          </w:p>
        </w:tc>
        <w:tc>
          <w:tcPr>
            <w:tcW w:w="1134" w:type="dxa"/>
            <w:noWrap/>
            <w:vAlign w:val="center"/>
            <w:hideMark/>
          </w:tcPr>
          <w:p w14:paraId="7D09631E"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6C2C7CD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A3CA8A8" w14:textId="77777777" w:rsidTr="008F31FB">
        <w:trPr>
          <w:trHeight w:val="320"/>
        </w:trPr>
        <w:tc>
          <w:tcPr>
            <w:tcW w:w="4535" w:type="dxa"/>
            <w:noWrap/>
            <w:vAlign w:val="center"/>
            <w:hideMark/>
          </w:tcPr>
          <w:p w14:paraId="7C189364" w14:textId="77777777" w:rsidR="008F31FB" w:rsidRPr="008F31FB" w:rsidRDefault="008F31FB" w:rsidP="00AB61A4">
            <w:pPr>
              <w:spacing w:line="360" w:lineRule="auto"/>
              <w:rPr>
                <w:rFonts w:eastAsia="DengXian"/>
                <w:color w:val="000000"/>
              </w:rPr>
            </w:pPr>
            <w:r w:rsidRPr="008F31FB">
              <w:rPr>
                <w:rFonts w:eastAsia="DengXian"/>
                <w:color w:val="000000"/>
              </w:rPr>
              <w:t>Effects of Dietary Sodium Restriction in Kidney Transplant Recipients Treated With Renin-Angiotensin-Aldosterone System Blockade: A Randomized Clinical Trial.</w:t>
            </w:r>
          </w:p>
        </w:tc>
        <w:tc>
          <w:tcPr>
            <w:tcW w:w="1134" w:type="dxa"/>
            <w:noWrap/>
            <w:vAlign w:val="center"/>
            <w:hideMark/>
          </w:tcPr>
          <w:p w14:paraId="55DB561F"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5A83B82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F7FDE40" w14:textId="77777777" w:rsidTr="008F31FB">
        <w:trPr>
          <w:trHeight w:val="320"/>
        </w:trPr>
        <w:tc>
          <w:tcPr>
            <w:tcW w:w="4535" w:type="dxa"/>
            <w:noWrap/>
            <w:vAlign w:val="center"/>
            <w:hideMark/>
          </w:tcPr>
          <w:p w14:paraId="541EEB81" w14:textId="77777777" w:rsidR="008F31FB" w:rsidRPr="008F31FB" w:rsidRDefault="008F31FB" w:rsidP="00AB61A4">
            <w:pPr>
              <w:spacing w:line="360" w:lineRule="auto"/>
              <w:rPr>
                <w:rFonts w:eastAsia="DengXian"/>
                <w:color w:val="000000"/>
              </w:rPr>
            </w:pPr>
            <w:r w:rsidRPr="008F31FB">
              <w:rPr>
                <w:rFonts w:eastAsia="DengXian"/>
                <w:color w:val="000000"/>
              </w:rPr>
              <w:t>The Brazilian Cardioprotective Nutritional Program to reduce events and risk factors in secondary prevention for cardiovascular disease: study protocol (The  BALANCE Program Trial).</w:t>
            </w:r>
          </w:p>
        </w:tc>
        <w:tc>
          <w:tcPr>
            <w:tcW w:w="1134" w:type="dxa"/>
            <w:noWrap/>
            <w:vAlign w:val="center"/>
            <w:hideMark/>
          </w:tcPr>
          <w:p w14:paraId="413D8FBA"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71BFA09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7AC62FF" w14:textId="77777777" w:rsidTr="008F31FB">
        <w:trPr>
          <w:trHeight w:val="320"/>
        </w:trPr>
        <w:tc>
          <w:tcPr>
            <w:tcW w:w="4535" w:type="dxa"/>
            <w:noWrap/>
            <w:vAlign w:val="center"/>
            <w:hideMark/>
          </w:tcPr>
          <w:p w14:paraId="477E1597"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Blood pressure and glycaemic effects of dapagliflozin versus placebo in patients with type 2 diabetes on combination antihypertensive therapy: a randomised,  double-blind, placebo-controlled, phase 3 study.</w:t>
            </w:r>
          </w:p>
        </w:tc>
        <w:tc>
          <w:tcPr>
            <w:tcW w:w="1134" w:type="dxa"/>
            <w:noWrap/>
            <w:vAlign w:val="center"/>
            <w:hideMark/>
          </w:tcPr>
          <w:p w14:paraId="4B0F219D"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1E89631F"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DAEA8D4" w14:textId="77777777" w:rsidTr="008F31FB">
        <w:trPr>
          <w:trHeight w:val="320"/>
        </w:trPr>
        <w:tc>
          <w:tcPr>
            <w:tcW w:w="4535" w:type="dxa"/>
            <w:noWrap/>
            <w:vAlign w:val="center"/>
            <w:hideMark/>
          </w:tcPr>
          <w:p w14:paraId="4B5E9618" w14:textId="77777777" w:rsidR="008F31FB" w:rsidRPr="008F31FB" w:rsidRDefault="008F31FB" w:rsidP="00AB61A4">
            <w:pPr>
              <w:spacing w:line="360" w:lineRule="auto"/>
              <w:rPr>
                <w:rFonts w:eastAsia="DengXian"/>
                <w:color w:val="000000"/>
              </w:rPr>
            </w:pPr>
            <w:r w:rsidRPr="008F31FB">
              <w:rPr>
                <w:rFonts w:eastAsia="DengXian"/>
                <w:color w:val="000000"/>
              </w:rPr>
              <w:t>Spot urine sodium excretion as prognostic marker in acutely decompensated heart failure: the spironolactone effect.</w:t>
            </w:r>
          </w:p>
        </w:tc>
        <w:tc>
          <w:tcPr>
            <w:tcW w:w="1134" w:type="dxa"/>
            <w:noWrap/>
            <w:vAlign w:val="center"/>
            <w:hideMark/>
          </w:tcPr>
          <w:p w14:paraId="06B0FF2C"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4F39F66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3EE7E39" w14:textId="77777777" w:rsidTr="008F31FB">
        <w:trPr>
          <w:trHeight w:val="320"/>
        </w:trPr>
        <w:tc>
          <w:tcPr>
            <w:tcW w:w="4535" w:type="dxa"/>
            <w:noWrap/>
            <w:vAlign w:val="center"/>
            <w:hideMark/>
          </w:tcPr>
          <w:p w14:paraId="308FBDEF" w14:textId="77777777" w:rsidR="008F31FB" w:rsidRPr="008F31FB" w:rsidRDefault="008F31FB" w:rsidP="00AB61A4">
            <w:pPr>
              <w:spacing w:line="360" w:lineRule="auto"/>
              <w:rPr>
                <w:rFonts w:eastAsia="DengXian"/>
                <w:color w:val="000000"/>
              </w:rPr>
            </w:pPr>
            <w:r w:rsidRPr="008F31FB">
              <w:rPr>
                <w:rFonts w:eastAsia="DengXian"/>
                <w:color w:val="000000"/>
              </w:rPr>
              <w:t>Effects of potassium supplementation on markers of osmoregulation and volume regulation: results of a fully controlled dietary intervention study.</w:t>
            </w:r>
          </w:p>
        </w:tc>
        <w:tc>
          <w:tcPr>
            <w:tcW w:w="1134" w:type="dxa"/>
            <w:noWrap/>
            <w:vAlign w:val="center"/>
            <w:hideMark/>
          </w:tcPr>
          <w:p w14:paraId="1576497A"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75ED840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7F38F1E" w14:textId="77777777" w:rsidTr="008F31FB">
        <w:trPr>
          <w:trHeight w:val="320"/>
        </w:trPr>
        <w:tc>
          <w:tcPr>
            <w:tcW w:w="4535" w:type="dxa"/>
            <w:noWrap/>
            <w:vAlign w:val="center"/>
            <w:hideMark/>
          </w:tcPr>
          <w:p w14:paraId="5F6D126B" w14:textId="77777777" w:rsidR="008F31FB" w:rsidRPr="008F31FB" w:rsidRDefault="008F31FB" w:rsidP="00AB61A4">
            <w:pPr>
              <w:spacing w:line="360" w:lineRule="auto"/>
              <w:rPr>
                <w:rFonts w:eastAsia="DengXian"/>
                <w:color w:val="000000"/>
              </w:rPr>
            </w:pPr>
            <w:r w:rsidRPr="008F31FB">
              <w:rPr>
                <w:rFonts w:eastAsia="DengXian"/>
                <w:color w:val="000000"/>
              </w:rPr>
              <w:t>Safety and Tolerability of Acetazolamide in the Idiopathic Intracranial Hypertension Treatment Trial.</w:t>
            </w:r>
          </w:p>
        </w:tc>
        <w:tc>
          <w:tcPr>
            <w:tcW w:w="1134" w:type="dxa"/>
            <w:noWrap/>
            <w:vAlign w:val="center"/>
            <w:hideMark/>
          </w:tcPr>
          <w:p w14:paraId="7668782C"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20D7200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CEF3505" w14:textId="77777777" w:rsidTr="008F31FB">
        <w:trPr>
          <w:trHeight w:val="320"/>
        </w:trPr>
        <w:tc>
          <w:tcPr>
            <w:tcW w:w="4535" w:type="dxa"/>
            <w:noWrap/>
            <w:vAlign w:val="center"/>
            <w:hideMark/>
          </w:tcPr>
          <w:p w14:paraId="55C65A0C" w14:textId="77777777" w:rsidR="008F31FB" w:rsidRPr="008F31FB" w:rsidRDefault="008F31FB" w:rsidP="00AB61A4">
            <w:pPr>
              <w:spacing w:line="360" w:lineRule="auto"/>
              <w:rPr>
                <w:rFonts w:eastAsia="DengXian"/>
                <w:color w:val="000000"/>
              </w:rPr>
            </w:pPr>
            <w:r w:rsidRPr="008F31FB">
              <w:rPr>
                <w:rFonts w:eastAsia="DengXian"/>
                <w:color w:val="000000"/>
              </w:rPr>
              <w:t>Common variants in the Na(+)-coupled bicarbonate transporter genes and salt sensitivity of blood pressure: the GenSalt study.</w:t>
            </w:r>
          </w:p>
        </w:tc>
        <w:tc>
          <w:tcPr>
            <w:tcW w:w="1134" w:type="dxa"/>
            <w:noWrap/>
            <w:vAlign w:val="center"/>
            <w:hideMark/>
          </w:tcPr>
          <w:p w14:paraId="35796AA2"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0DFC8E6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8C89B18" w14:textId="77777777" w:rsidTr="008F31FB">
        <w:trPr>
          <w:trHeight w:val="320"/>
        </w:trPr>
        <w:tc>
          <w:tcPr>
            <w:tcW w:w="4535" w:type="dxa"/>
            <w:noWrap/>
            <w:vAlign w:val="center"/>
            <w:hideMark/>
          </w:tcPr>
          <w:p w14:paraId="6FD1DE79" w14:textId="77777777" w:rsidR="008F31FB" w:rsidRPr="008F31FB" w:rsidRDefault="008F31FB" w:rsidP="00AB61A4">
            <w:pPr>
              <w:spacing w:line="360" w:lineRule="auto"/>
              <w:rPr>
                <w:rFonts w:eastAsia="DengXian"/>
                <w:color w:val="000000"/>
              </w:rPr>
            </w:pPr>
            <w:r w:rsidRPr="008F31FB">
              <w:rPr>
                <w:rFonts w:eastAsia="DengXian"/>
                <w:color w:val="000000"/>
              </w:rPr>
              <w:t>A Dietary Intervention in Urban African Americans: Results of the "Five Plus Nuts and Beans" Randomized Trial.</w:t>
            </w:r>
          </w:p>
        </w:tc>
        <w:tc>
          <w:tcPr>
            <w:tcW w:w="1134" w:type="dxa"/>
            <w:noWrap/>
            <w:vAlign w:val="center"/>
            <w:hideMark/>
          </w:tcPr>
          <w:p w14:paraId="6150CA1B"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73665B4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126C22D" w14:textId="77777777" w:rsidTr="008F31FB">
        <w:trPr>
          <w:trHeight w:val="320"/>
        </w:trPr>
        <w:tc>
          <w:tcPr>
            <w:tcW w:w="4535" w:type="dxa"/>
            <w:noWrap/>
            <w:vAlign w:val="center"/>
            <w:hideMark/>
          </w:tcPr>
          <w:p w14:paraId="02F2BB91" w14:textId="77777777" w:rsidR="008F31FB" w:rsidRPr="008F31FB" w:rsidRDefault="008F31FB" w:rsidP="00AB61A4">
            <w:pPr>
              <w:spacing w:line="360" w:lineRule="auto"/>
              <w:rPr>
                <w:rFonts w:eastAsia="DengXian"/>
                <w:color w:val="000000"/>
              </w:rPr>
            </w:pPr>
            <w:r w:rsidRPr="008F31FB">
              <w:rPr>
                <w:rFonts w:eastAsia="DengXian"/>
                <w:color w:val="000000"/>
              </w:rPr>
              <w:t>Long-Term Effects of Low-Dose Spironolactone on Chronic Dialysis Patients: A Randomized Placebo-Controlled Study.</w:t>
            </w:r>
          </w:p>
        </w:tc>
        <w:tc>
          <w:tcPr>
            <w:tcW w:w="1134" w:type="dxa"/>
            <w:noWrap/>
            <w:vAlign w:val="center"/>
            <w:hideMark/>
          </w:tcPr>
          <w:p w14:paraId="351266F8"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1E0501E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E116B92" w14:textId="77777777" w:rsidTr="008F31FB">
        <w:trPr>
          <w:trHeight w:val="320"/>
        </w:trPr>
        <w:tc>
          <w:tcPr>
            <w:tcW w:w="4535" w:type="dxa"/>
            <w:noWrap/>
            <w:vAlign w:val="center"/>
            <w:hideMark/>
          </w:tcPr>
          <w:p w14:paraId="06F4083A"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The Renin-Angiotensin and Renal Dopaminergic Systems Interact in Normotensive Humans.</w:t>
            </w:r>
          </w:p>
        </w:tc>
        <w:tc>
          <w:tcPr>
            <w:tcW w:w="1134" w:type="dxa"/>
            <w:noWrap/>
            <w:vAlign w:val="center"/>
            <w:hideMark/>
          </w:tcPr>
          <w:p w14:paraId="5AEC3E4F"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341F411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6708485" w14:textId="77777777" w:rsidTr="008F31FB">
        <w:trPr>
          <w:trHeight w:val="320"/>
        </w:trPr>
        <w:tc>
          <w:tcPr>
            <w:tcW w:w="4535" w:type="dxa"/>
            <w:noWrap/>
            <w:vAlign w:val="center"/>
            <w:hideMark/>
          </w:tcPr>
          <w:p w14:paraId="6D5893CE" w14:textId="77777777" w:rsidR="008F31FB" w:rsidRPr="008F31FB" w:rsidRDefault="008F31FB" w:rsidP="00AB61A4">
            <w:pPr>
              <w:spacing w:line="360" w:lineRule="auto"/>
              <w:rPr>
                <w:rFonts w:eastAsia="DengXian"/>
                <w:color w:val="000000"/>
              </w:rPr>
            </w:pPr>
            <w:r w:rsidRPr="008F31FB">
              <w:rPr>
                <w:rFonts w:eastAsia="DengXian"/>
                <w:color w:val="000000"/>
              </w:rPr>
              <w:t>Family partner intervention influences self-care confidence and treatment self-regulation in patients with heart failure.</w:t>
            </w:r>
          </w:p>
        </w:tc>
        <w:tc>
          <w:tcPr>
            <w:tcW w:w="1134" w:type="dxa"/>
            <w:noWrap/>
            <w:vAlign w:val="center"/>
            <w:hideMark/>
          </w:tcPr>
          <w:p w14:paraId="7A2B48E2" w14:textId="77777777" w:rsidR="008F31FB" w:rsidRPr="008F31FB" w:rsidRDefault="008F31FB" w:rsidP="00AB61A4">
            <w:pPr>
              <w:spacing w:line="360" w:lineRule="auto"/>
              <w:rPr>
                <w:rFonts w:eastAsia="DengXian"/>
                <w:color w:val="000000"/>
              </w:rPr>
            </w:pPr>
            <w:r w:rsidRPr="008F31FB">
              <w:rPr>
                <w:rFonts w:eastAsia="DengXian"/>
                <w:color w:val="000000"/>
              </w:rPr>
              <w:t>2016</w:t>
            </w:r>
          </w:p>
        </w:tc>
        <w:tc>
          <w:tcPr>
            <w:tcW w:w="2268" w:type="dxa"/>
            <w:noWrap/>
            <w:vAlign w:val="center"/>
            <w:hideMark/>
          </w:tcPr>
          <w:p w14:paraId="6997FA7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2429F5E" w14:textId="77777777" w:rsidTr="008F31FB">
        <w:trPr>
          <w:trHeight w:val="320"/>
        </w:trPr>
        <w:tc>
          <w:tcPr>
            <w:tcW w:w="4535" w:type="dxa"/>
            <w:noWrap/>
            <w:vAlign w:val="center"/>
            <w:hideMark/>
          </w:tcPr>
          <w:p w14:paraId="25989B44" w14:textId="77777777" w:rsidR="008F31FB" w:rsidRPr="008F31FB" w:rsidRDefault="008F31FB" w:rsidP="00AB61A4">
            <w:pPr>
              <w:spacing w:line="360" w:lineRule="auto"/>
              <w:rPr>
                <w:rFonts w:eastAsia="DengXian"/>
                <w:color w:val="000000"/>
              </w:rPr>
            </w:pPr>
            <w:r w:rsidRPr="008F31FB">
              <w:rPr>
                <w:rFonts w:eastAsia="DengXian"/>
                <w:color w:val="000000"/>
              </w:rPr>
              <w:t>Examination of Potential Modifiers of the Association of APOL1 Alleles with CKD Progression.</w:t>
            </w:r>
          </w:p>
        </w:tc>
        <w:tc>
          <w:tcPr>
            <w:tcW w:w="1134" w:type="dxa"/>
            <w:noWrap/>
            <w:vAlign w:val="center"/>
            <w:hideMark/>
          </w:tcPr>
          <w:p w14:paraId="6A8934FA"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2CC23A48"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55A66B72" w14:textId="77777777" w:rsidTr="008F31FB">
        <w:trPr>
          <w:trHeight w:val="320"/>
        </w:trPr>
        <w:tc>
          <w:tcPr>
            <w:tcW w:w="4535" w:type="dxa"/>
            <w:noWrap/>
            <w:vAlign w:val="center"/>
            <w:hideMark/>
          </w:tcPr>
          <w:p w14:paraId="40E8B05E" w14:textId="77777777" w:rsidR="008F31FB" w:rsidRPr="008F31FB" w:rsidRDefault="008F31FB" w:rsidP="00AB61A4">
            <w:pPr>
              <w:spacing w:line="360" w:lineRule="auto"/>
              <w:rPr>
                <w:rFonts w:eastAsia="DengXian"/>
                <w:color w:val="000000"/>
              </w:rPr>
            </w:pPr>
            <w:r w:rsidRPr="008F31FB">
              <w:rPr>
                <w:rFonts w:eastAsia="DengXian"/>
                <w:color w:val="000000"/>
              </w:rPr>
              <w:t>Why Your Mother Was Right: How Potassium Intake Reduces Blood Pressure.</w:t>
            </w:r>
          </w:p>
        </w:tc>
        <w:tc>
          <w:tcPr>
            <w:tcW w:w="1134" w:type="dxa"/>
            <w:noWrap/>
            <w:vAlign w:val="center"/>
            <w:hideMark/>
          </w:tcPr>
          <w:p w14:paraId="39C2CA1C"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00D06459"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24B39420" w14:textId="77777777" w:rsidTr="008F31FB">
        <w:trPr>
          <w:trHeight w:val="320"/>
        </w:trPr>
        <w:tc>
          <w:tcPr>
            <w:tcW w:w="4535" w:type="dxa"/>
            <w:noWrap/>
            <w:vAlign w:val="center"/>
            <w:hideMark/>
          </w:tcPr>
          <w:p w14:paraId="6C74C855" w14:textId="77777777" w:rsidR="008F31FB" w:rsidRPr="008F31FB" w:rsidRDefault="008F31FB" w:rsidP="00AB61A4">
            <w:pPr>
              <w:spacing w:line="360" w:lineRule="auto"/>
              <w:rPr>
                <w:rFonts w:eastAsia="DengXian"/>
                <w:color w:val="000000"/>
              </w:rPr>
            </w:pPr>
            <w:r w:rsidRPr="008F31FB">
              <w:rPr>
                <w:rFonts w:eastAsia="DengXian"/>
                <w:color w:val="000000"/>
              </w:rPr>
              <w:t>Roux-en-Y gastric bypass alleviates hypertension and is associated with an increase in mid-regional pro-atrial natriuretic peptide in morbid obese patients.</w:t>
            </w:r>
          </w:p>
        </w:tc>
        <w:tc>
          <w:tcPr>
            <w:tcW w:w="1134" w:type="dxa"/>
            <w:noWrap/>
            <w:vAlign w:val="center"/>
            <w:hideMark/>
          </w:tcPr>
          <w:p w14:paraId="57365AF7"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5B4C99C2"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3A3BA272" w14:textId="77777777" w:rsidTr="008F31FB">
        <w:trPr>
          <w:trHeight w:val="320"/>
        </w:trPr>
        <w:tc>
          <w:tcPr>
            <w:tcW w:w="4535" w:type="dxa"/>
            <w:noWrap/>
            <w:vAlign w:val="center"/>
            <w:hideMark/>
          </w:tcPr>
          <w:p w14:paraId="184651A4" w14:textId="77777777" w:rsidR="008F31FB" w:rsidRPr="008F31FB" w:rsidRDefault="008F31FB" w:rsidP="00AB61A4">
            <w:pPr>
              <w:spacing w:line="360" w:lineRule="auto"/>
              <w:rPr>
                <w:rFonts w:eastAsia="DengXian"/>
                <w:color w:val="000000"/>
              </w:rPr>
            </w:pPr>
            <w:r w:rsidRPr="008F31FB">
              <w:rPr>
                <w:rFonts w:eastAsia="DengXian"/>
                <w:color w:val="000000"/>
              </w:rPr>
              <w:t>A comparison of the quality of hypertension management in primary care between Shanghai and Shenzhen: a cohort study of 3196 patients.</w:t>
            </w:r>
          </w:p>
        </w:tc>
        <w:tc>
          <w:tcPr>
            <w:tcW w:w="1134" w:type="dxa"/>
            <w:noWrap/>
            <w:vAlign w:val="center"/>
            <w:hideMark/>
          </w:tcPr>
          <w:p w14:paraId="5CB6B507"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684BAD13"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1F49BFA0" w14:textId="77777777" w:rsidTr="008F31FB">
        <w:trPr>
          <w:trHeight w:val="320"/>
        </w:trPr>
        <w:tc>
          <w:tcPr>
            <w:tcW w:w="4535" w:type="dxa"/>
            <w:noWrap/>
            <w:vAlign w:val="center"/>
            <w:hideMark/>
          </w:tcPr>
          <w:p w14:paraId="1CD3C283" w14:textId="77777777" w:rsidR="008F31FB" w:rsidRPr="008F31FB" w:rsidRDefault="008F31FB" w:rsidP="00AB61A4">
            <w:pPr>
              <w:spacing w:line="360" w:lineRule="auto"/>
              <w:rPr>
                <w:rFonts w:eastAsia="DengXian"/>
                <w:color w:val="000000"/>
              </w:rPr>
            </w:pPr>
            <w:r w:rsidRPr="008F31FB">
              <w:rPr>
                <w:rFonts w:eastAsia="DengXian"/>
                <w:color w:val="000000"/>
              </w:rPr>
              <w:t>Marinobufagenin in essential hypertension and primary aldosteronism: a cardiotonic steroid with clinical and diagnostic implications.</w:t>
            </w:r>
          </w:p>
        </w:tc>
        <w:tc>
          <w:tcPr>
            <w:tcW w:w="1134" w:type="dxa"/>
            <w:noWrap/>
            <w:vAlign w:val="center"/>
            <w:hideMark/>
          </w:tcPr>
          <w:p w14:paraId="02D9DFEE"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7B7053BF"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299FD1C8" w14:textId="77777777" w:rsidTr="008F31FB">
        <w:trPr>
          <w:trHeight w:val="320"/>
        </w:trPr>
        <w:tc>
          <w:tcPr>
            <w:tcW w:w="4535" w:type="dxa"/>
            <w:noWrap/>
            <w:vAlign w:val="center"/>
            <w:hideMark/>
          </w:tcPr>
          <w:p w14:paraId="6B49237B" w14:textId="77777777" w:rsidR="008F31FB" w:rsidRPr="008F31FB" w:rsidRDefault="008F31FB" w:rsidP="00AB61A4">
            <w:pPr>
              <w:spacing w:line="360" w:lineRule="auto"/>
              <w:rPr>
                <w:rFonts w:eastAsia="DengXian"/>
                <w:color w:val="000000"/>
              </w:rPr>
            </w:pPr>
            <w:r w:rsidRPr="008F31FB">
              <w:rPr>
                <w:rFonts w:eastAsia="DengXian"/>
                <w:color w:val="000000"/>
              </w:rPr>
              <w:t>[Effect of Individualized Low-protein Diet Intervention on Renal Function of Patients with Chronic Kidney Disease].</w:t>
            </w:r>
          </w:p>
        </w:tc>
        <w:tc>
          <w:tcPr>
            <w:tcW w:w="1134" w:type="dxa"/>
            <w:noWrap/>
            <w:vAlign w:val="center"/>
            <w:hideMark/>
          </w:tcPr>
          <w:p w14:paraId="6FE31506"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75AA843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769704F" w14:textId="77777777" w:rsidTr="008F31FB">
        <w:trPr>
          <w:trHeight w:val="320"/>
        </w:trPr>
        <w:tc>
          <w:tcPr>
            <w:tcW w:w="4535" w:type="dxa"/>
            <w:noWrap/>
            <w:vAlign w:val="center"/>
            <w:hideMark/>
          </w:tcPr>
          <w:p w14:paraId="733FB35B"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The effect of a dietary portfolio compared to a DASH-type diet on blood pressure.</w:t>
            </w:r>
          </w:p>
        </w:tc>
        <w:tc>
          <w:tcPr>
            <w:tcW w:w="1134" w:type="dxa"/>
            <w:noWrap/>
            <w:vAlign w:val="center"/>
            <w:hideMark/>
          </w:tcPr>
          <w:p w14:paraId="6DD091C2"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7574A84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AC4CDDB" w14:textId="77777777" w:rsidTr="008F31FB">
        <w:trPr>
          <w:trHeight w:val="320"/>
        </w:trPr>
        <w:tc>
          <w:tcPr>
            <w:tcW w:w="4535" w:type="dxa"/>
            <w:noWrap/>
            <w:vAlign w:val="center"/>
            <w:hideMark/>
          </w:tcPr>
          <w:p w14:paraId="4306548D" w14:textId="77777777" w:rsidR="008F31FB" w:rsidRPr="008F31FB" w:rsidRDefault="008F31FB" w:rsidP="00AB61A4">
            <w:pPr>
              <w:spacing w:line="360" w:lineRule="auto"/>
              <w:rPr>
                <w:rFonts w:eastAsia="DengXian"/>
                <w:color w:val="000000"/>
              </w:rPr>
            </w:pPr>
            <w:r w:rsidRPr="008F31FB">
              <w:rPr>
                <w:rFonts w:eastAsia="DengXian"/>
                <w:color w:val="000000"/>
              </w:rPr>
              <w:t>A randomized, double-blind, placebo-controlled trial to evaluate the safety and effectiveness of intracoronary application of a novel bioabsorbable cardiac  matrix for the prevention of ventricular remodeling after large ST-segment  elevation myocardial infarction: Rationale and design of the PRESERVATION I  trial.</w:t>
            </w:r>
          </w:p>
        </w:tc>
        <w:tc>
          <w:tcPr>
            <w:tcW w:w="1134" w:type="dxa"/>
            <w:noWrap/>
            <w:vAlign w:val="center"/>
            <w:hideMark/>
          </w:tcPr>
          <w:p w14:paraId="64E6747F"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78100CB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6749B08" w14:textId="77777777" w:rsidTr="008F31FB">
        <w:trPr>
          <w:trHeight w:val="320"/>
        </w:trPr>
        <w:tc>
          <w:tcPr>
            <w:tcW w:w="4535" w:type="dxa"/>
            <w:noWrap/>
            <w:vAlign w:val="center"/>
            <w:hideMark/>
          </w:tcPr>
          <w:p w14:paraId="0B1A0A53" w14:textId="77777777" w:rsidR="008F31FB" w:rsidRPr="008F31FB" w:rsidRDefault="008F31FB" w:rsidP="00AB61A4">
            <w:pPr>
              <w:spacing w:line="360" w:lineRule="auto"/>
              <w:rPr>
                <w:rFonts w:eastAsia="DengXian"/>
                <w:color w:val="000000"/>
              </w:rPr>
            </w:pPr>
            <w:r w:rsidRPr="008F31FB">
              <w:rPr>
                <w:rFonts w:eastAsia="DengXian"/>
                <w:color w:val="000000"/>
              </w:rPr>
              <w:t>The role of cyclo-oxygenase-1 in high-salt diet-induced microvascular dysfunction in humans.</w:t>
            </w:r>
          </w:p>
        </w:tc>
        <w:tc>
          <w:tcPr>
            <w:tcW w:w="1134" w:type="dxa"/>
            <w:noWrap/>
            <w:vAlign w:val="center"/>
            <w:hideMark/>
          </w:tcPr>
          <w:p w14:paraId="010ADBBC"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189C7D0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566F59B" w14:textId="77777777" w:rsidTr="008F31FB">
        <w:trPr>
          <w:trHeight w:val="320"/>
        </w:trPr>
        <w:tc>
          <w:tcPr>
            <w:tcW w:w="4535" w:type="dxa"/>
            <w:noWrap/>
            <w:vAlign w:val="center"/>
            <w:hideMark/>
          </w:tcPr>
          <w:p w14:paraId="026C5711" w14:textId="77777777" w:rsidR="008F31FB" w:rsidRPr="008F31FB" w:rsidRDefault="008F31FB" w:rsidP="00AB61A4">
            <w:pPr>
              <w:spacing w:line="360" w:lineRule="auto"/>
              <w:rPr>
                <w:rFonts w:eastAsia="DengXian"/>
                <w:color w:val="000000"/>
              </w:rPr>
            </w:pPr>
            <w:r w:rsidRPr="008F31FB">
              <w:rPr>
                <w:rFonts w:eastAsia="DengXian"/>
                <w:color w:val="000000"/>
              </w:rPr>
              <w:t>Agreement of measured and calculated serum osmolality during the infusion of mannitol or hypertonic saline in patients after craniotomy: a prospective,  double-blinded, randomised controlled trial.</w:t>
            </w:r>
          </w:p>
        </w:tc>
        <w:tc>
          <w:tcPr>
            <w:tcW w:w="1134" w:type="dxa"/>
            <w:noWrap/>
            <w:vAlign w:val="center"/>
            <w:hideMark/>
          </w:tcPr>
          <w:p w14:paraId="1154D82F"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7EF62E9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408E3F2" w14:textId="77777777" w:rsidTr="008F31FB">
        <w:trPr>
          <w:trHeight w:val="320"/>
        </w:trPr>
        <w:tc>
          <w:tcPr>
            <w:tcW w:w="4535" w:type="dxa"/>
            <w:noWrap/>
            <w:vAlign w:val="center"/>
            <w:hideMark/>
          </w:tcPr>
          <w:p w14:paraId="19E91A8C" w14:textId="77777777" w:rsidR="008F31FB" w:rsidRPr="008F31FB" w:rsidRDefault="008F31FB" w:rsidP="00AB61A4">
            <w:pPr>
              <w:spacing w:line="360" w:lineRule="auto"/>
              <w:rPr>
                <w:rFonts w:eastAsia="DengXian"/>
                <w:color w:val="000000"/>
              </w:rPr>
            </w:pPr>
            <w:r w:rsidRPr="008F31FB">
              <w:rPr>
                <w:rFonts w:eastAsia="DengXian"/>
                <w:color w:val="000000"/>
              </w:rPr>
              <w:t>Statin Use and Adrenal Aldosterone Production in Hypertensive and Diabetic Subjects.</w:t>
            </w:r>
          </w:p>
        </w:tc>
        <w:tc>
          <w:tcPr>
            <w:tcW w:w="1134" w:type="dxa"/>
            <w:noWrap/>
            <w:vAlign w:val="center"/>
            <w:hideMark/>
          </w:tcPr>
          <w:p w14:paraId="1EAC1B2B"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4B9AFDD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CFE45FD" w14:textId="77777777" w:rsidTr="008F31FB">
        <w:trPr>
          <w:trHeight w:val="320"/>
        </w:trPr>
        <w:tc>
          <w:tcPr>
            <w:tcW w:w="4535" w:type="dxa"/>
            <w:noWrap/>
            <w:vAlign w:val="center"/>
            <w:hideMark/>
          </w:tcPr>
          <w:p w14:paraId="341D6F4A" w14:textId="77777777" w:rsidR="008F31FB" w:rsidRPr="008F31FB" w:rsidRDefault="008F31FB" w:rsidP="00AB61A4">
            <w:pPr>
              <w:spacing w:line="360" w:lineRule="auto"/>
              <w:rPr>
                <w:rFonts w:eastAsia="DengXian"/>
                <w:color w:val="000000"/>
              </w:rPr>
            </w:pPr>
            <w:r w:rsidRPr="008F31FB">
              <w:rPr>
                <w:rFonts w:eastAsia="DengXian"/>
                <w:color w:val="000000"/>
              </w:rPr>
              <w:t>Effects of a behavioral intervention that emphasizes spices and herbs on adherence to recommended sodium intake: results of the SPICE randomized clinical  trial.</w:t>
            </w:r>
          </w:p>
        </w:tc>
        <w:tc>
          <w:tcPr>
            <w:tcW w:w="1134" w:type="dxa"/>
            <w:noWrap/>
            <w:vAlign w:val="center"/>
            <w:hideMark/>
          </w:tcPr>
          <w:p w14:paraId="68434272"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7759041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02732AF" w14:textId="77777777" w:rsidTr="008F31FB">
        <w:trPr>
          <w:trHeight w:val="320"/>
        </w:trPr>
        <w:tc>
          <w:tcPr>
            <w:tcW w:w="4535" w:type="dxa"/>
            <w:noWrap/>
            <w:vAlign w:val="center"/>
            <w:hideMark/>
          </w:tcPr>
          <w:p w14:paraId="31CFC2C5" w14:textId="77777777" w:rsidR="008F31FB" w:rsidRPr="008F31FB" w:rsidRDefault="008F31FB" w:rsidP="00AB61A4">
            <w:pPr>
              <w:spacing w:line="360" w:lineRule="auto"/>
              <w:rPr>
                <w:rFonts w:eastAsia="DengXian"/>
                <w:color w:val="000000"/>
              </w:rPr>
            </w:pPr>
            <w:r w:rsidRPr="008F31FB">
              <w:rPr>
                <w:rFonts w:eastAsia="DengXian"/>
                <w:color w:val="000000"/>
              </w:rPr>
              <w:t xml:space="preserve">Barnidipine or Lercanidipine on Echocardiographic Parameters in Hypertensive, Type 2 Diabetics with Left </w:t>
            </w:r>
            <w:r w:rsidRPr="008F31FB">
              <w:rPr>
                <w:rFonts w:eastAsia="DengXian"/>
                <w:color w:val="000000"/>
              </w:rPr>
              <w:lastRenderedPageBreak/>
              <w:t>Ventricular Hypertrophy: A Randomized Clinical Trial.</w:t>
            </w:r>
          </w:p>
        </w:tc>
        <w:tc>
          <w:tcPr>
            <w:tcW w:w="1134" w:type="dxa"/>
            <w:noWrap/>
            <w:vAlign w:val="center"/>
            <w:hideMark/>
          </w:tcPr>
          <w:p w14:paraId="0A6FBA77"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2015</w:t>
            </w:r>
          </w:p>
        </w:tc>
        <w:tc>
          <w:tcPr>
            <w:tcW w:w="2268" w:type="dxa"/>
            <w:noWrap/>
            <w:vAlign w:val="center"/>
            <w:hideMark/>
          </w:tcPr>
          <w:p w14:paraId="7B5111D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2382D80" w14:textId="77777777" w:rsidTr="008F31FB">
        <w:trPr>
          <w:trHeight w:val="320"/>
        </w:trPr>
        <w:tc>
          <w:tcPr>
            <w:tcW w:w="4535" w:type="dxa"/>
            <w:noWrap/>
            <w:vAlign w:val="center"/>
            <w:hideMark/>
          </w:tcPr>
          <w:p w14:paraId="2AD056E4" w14:textId="77777777" w:rsidR="008F31FB" w:rsidRPr="008F31FB" w:rsidRDefault="008F31FB" w:rsidP="00AB61A4">
            <w:pPr>
              <w:spacing w:line="360" w:lineRule="auto"/>
              <w:rPr>
                <w:rFonts w:eastAsia="DengXian"/>
                <w:color w:val="000000"/>
              </w:rPr>
            </w:pPr>
            <w:r w:rsidRPr="008F31FB">
              <w:rPr>
                <w:rFonts w:eastAsia="DengXian"/>
                <w:color w:val="000000"/>
              </w:rPr>
              <w:t>Diabetes as a risk factor for hepatic encephalopathy in cirrhosis patients.</w:t>
            </w:r>
          </w:p>
        </w:tc>
        <w:tc>
          <w:tcPr>
            <w:tcW w:w="1134" w:type="dxa"/>
            <w:noWrap/>
            <w:vAlign w:val="center"/>
            <w:hideMark/>
          </w:tcPr>
          <w:p w14:paraId="15A23149"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0A4989C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ADF657E" w14:textId="77777777" w:rsidTr="008F31FB">
        <w:trPr>
          <w:trHeight w:val="320"/>
        </w:trPr>
        <w:tc>
          <w:tcPr>
            <w:tcW w:w="4535" w:type="dxa"/>
            <w:noWrap/>
            <w:vAlign w:val="center"/>
            <w:hideMark/>
          </w:tcPr>
          <w:p w14:paraId="003671E7" w14:textId="77777777" w:rsidR="008F31FB" w:rsidRPr="008F31FB" w:rsidRDefault="008F31FB" w:rsidP="00AB61A4">
            <w:pPr>
              <w:spacing w:line="360" w:lineRule="auto"/>
              <w:rPr>
                <w:rFonts w:eastAsia="DengXian"/>
                <w:color w:val="000000"/>
              </w:rPr>
            </w:pPr>
            <w:r w:rsidRPr="008F31FB">
              <w:rPr>
                <w:rFonts w:eastAsia="DengXian"/>
                <w:color w:val="000000"/>
              </w:rPr>
              <w:t>Choice of Antihypertensive Combination Therapy Based on Daily Salt Intake.</w:t>
            </w:r>
          </w:p>
        </w:tc>
        <w:tc>
          <w:tcPr>
            <w:tcW w:w="1134" w:type="dxa"/>
            <w:noWrap/>
            <w:vAlign w:val="center"/>
            <w:hideMark/>
          </w:tcPr>
          <w:p w14:paraId="43BC5BB2"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2C169F0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619D166" w14:textId="77777777" w:rsidTr="008F31FB">
        <w:trPr>
          <w:trHeight w:val="320"/>
        </w:trPr>
        <w:tc>
          <w:tcPr>
            <w:tcW w:w="4535" w:type="dxa"/>
            <w:noWrap/>
            <w:vAlign w:val="center"/>
            <w:hideMark/>
          </w:tcPr>
          <w:p w14:paraId="67459B71" w14:textId="77777777" w:rsidR="008F31FB" w:rsidRPr="008F31FB" w:rsidRDefault="008F31FB" w:rsidP="00AB61A4">
            <w:pPr>
              <w:spacing w:line="360" w:lineRule="auto"/>
              <w:rPr>
                <w:rFonts w:eastAsia="DengXian"/>
                <w:color w:val="000000"/>
              </w:rPr>
            </w:pPr>
            <w:r w:rsidRPr="008F31FB">
              <w:rPr>
                <w:rFonts w:eastAsia="DengXian"/>
                <w:color w:val="000000"/>
              </w:rPr>
              <w:t>Effects of the DASH Diet and Walking on Blood Pressure in Patients With Type 2 Diabetes and Uncontrolled Hypertension: A Randomized Controlled Trial.</w:t>
            </w:r>
          </w:p>
        </w:tc>
        <w:tc>
          <w:tcPr>
            <w:tcW w:w="1134" w:type="dxa"/>
            <w:noWrap/>
            <w:vAlign w:val="center"/>
            <w:hideMark/>
          </w:tcPr>
          <w:p w14:paraId="746923E0"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009242D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324347B" w14:textId="77777777" w:rsidTr="008F31FB">
        <w:trPr>
          <w:trHeight w:val="320"/>
        </w:trPr>
        <w:tc>
          <w:tcPr>
            <w:tcW w:w="4535" w:type="dxa"/>
            <w:noWrap/>
            <w:vAlign w:val="center"/>
            <w:hideMark/>
          </w:tcPr>
          <w:p w14:paraId="2782F380" w14:textId="77777777" w:rsidR="008F31FB" w:rsidRPr="008F31FB" w:rsidRDefault="008F31FB" w:rsidP="00AB61A4">
            <w:pPr>
              <w:spacing w:line="360" w:lineRule="auto"/>
              <w:rPr>
                <w:rFonts w:eastAsia="DengXian"/>
                <w:color w:val="000000"/>
              </w:rPr>
            </w:pPr>
            <w:r w:rsidRPr="008F31FB">
              <w:rPr>
                <w:rFonts w:eastAsia="DengXian"/>
                <w:color w:val="000000"/>
              </w:rPr>
              <w:t>Maintenance of serum potassium with sodium zirconium cyclosilicate (ZS-9) in heart failure patients: results from a phase 3 randomized, double-blind,  placebo-controlled trial.</w:t>
            </w:r>
          </w:p>
        </w:tc>
        <w:tc>
          <w:tcPr>
            <w:tcW w:w="1134" w:type="dxa"/>
            <w:noWrap/>
            <w:vAlign w:val="center"/>
            <w:hideMark/>
          </w:tcPr>
          <w:p w14:paraId="65C43261"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32CD904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927A799" w14:textId="77777777" w:rsidTr="008F31FB">
        <w:trPr>
          <w:trHeight w:val="320"/>
        </w:trPr>
        <w:tc>
          <w:tcPr>
            <w:tcW w:w="4535" w:type="dxa"/>
            <w:noWrap/>
            <w:vAlign w:val="center"/>
            <w:hideMark/>
          </w:tcPr>
          <w:p w14:paraId="6EFE19DD" w14:textId="77777777" w:rsidR="008F31FB" w:rsidRPr="008F31FB" w:rsidRDefault="008F31FB" w:rsidP="00AB61A4">
            <w:pPr>
              <w:spacing w:line="360" w:lineRule="auto"/>
              <w:rPr>
                <w:rFonts w:eastAsia="DengXian"/>
                <w:color w:val="000000"/>
              </w:rPr>
            </w:pPr>
            <w:r w:rsidRPr="008F31FB">
              <w:rPr>
                <w:rFonts w:eastAsia="DengXian"/>
                <w:color w:val="000000"/>
              </w:rPr>
              <w:t>Effects of a selective aldosterone blocker and thiazide-type diuretic on blood pressure and organ damage in hypertensive patients.</w:t>
            </w:r>
          </w:p>
        </w:tc>
        <w:tc>
          <w:tcPr>
            <w:tcW w:w="1134" w:type="dxa"/>
            <w:noWrap/>
            <w:vAlign w:val="center"/>
            <w:hideMark/>
          </w:tcPr>
          <w:p w14:paraId="2533228E"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35C1716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3AE3F73" w14:textId="77777777" w:rsidTr="008F31FB">
        <w:trPr>
          <w:trHeight w:val="320"/>
        </w:trPr>
        <w:tc>
          <w:tcPr>
            <w:tcW w:w="4535" w:type="dxa"/>
            <w:noWrap/>
            <w:vAlign w:val="center"/>
            <w:hideMark/>
          </w:tcPr>
          <w:p w14:paraId="6155811B" w14:textId="77777777" w:rsidR="008F31FB" w:rsidRPr="008F31FB" w:rsidRDefault="008F31FB" w:rsidP="00AB61A4">
            <w:pPr>
              <w:spacing w:line="360" w:lineRule="auto"/>
              <w:rPr>
                <w:rFonts w:eastAsia="DengXian"/>
                <w:color w:val="000000"/>
              </w:rPr>
            </w:pPr>
            <w:r w:rsidRPr="008F31FB">
              <w:rPr>
                <w:rFonts w:eastAsia="DengXian"/>
                <w:color w:val="000000"/>
              </w:rPr>
              <w:t>Impact of the quality of bowel cleansing on the efficacy of colonic cancer screening: a prospective, randomized, blinded study.</w:t>
            </w:r>
          </w:p>
        </w:tc>
        <w:tc>
          <w:tcPr>
            <w:tcW w:w="1134" w:type="dxa"/>
            <w:noWrap/>
            <w:vAlign w:val="center"/>
            <w:hideMark/>
          </w:tcPr>
          <w:p w14:paraId="2846D18F"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3FE2323E"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E424932" w14:textId="77777777" w:rsidTr="008F31FB">
        <w:trPr>
          <w:trHeight w:val="320"/>
        </w:trPr>
        <w:tc>
          <w:tcPr>
            <w:tcW w:w="4535" w:type="dxa"/>
            <w:noWrap/>
            <w:vAlign w:val="center"/>
            <w:hideMark/>
          </w:tcPr>
          <w:p w14:paraId="2EC51132" w14:textId="77777777" w:rsidR="008F31FB" w:rsidRPr="008F31FB" w:rsidRDefault="008F31FB" w:rsidP="00AB61A4">
            <w:pPr>
              <w:spacing w:line="360" w:lineRule="auto"/>
              <w:rPr>
                <w:rFonts w:eastAsia="DengXian"/>
                <w:color w:val="000000"/>
              </w:rPr>
            </w:pPr>
            <w:r w:rsidRPr="008F31FB">
              <w:rPr>
                <w:rFonts w:eastAsia="DengXian"/>
                <w:color w:val="000000"/>
              </w:rPr>
              <w:t>Intraoperative fluid management in children - a comparison of three fluid regimens.</w:t>
            </w:r>
          </w:p>
        </w:tc>
        <w:tc>
          <w:tcPr>
            <w:tcW w:w="1134" w:type="dxa"/>
            <w:noWrap/>
            <w:vAlign w:val="center"/>
            <w:hideMark/>
          </w:tcPr>
          <w:p w14:paraId="59316CA6"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5822131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1E6E325" w14:textId="77777777" w:rsidTr="008F31FB">
        <w:trPr>
          <w:trHeight w:val="320"/>
        </w:trPr>
        <w:tc>
          <w:tcPr>
            <w:tcW w:w="4535" w:type="dxa"/>
            <w:noWrap/>
            <w:vAlign w:val="center"/>
            <w:hideMark/>
          </w:tcPr>
          <w:p w14:paraId="3FFECAB9" w14:textId="77777777" w:rsidR="008F31FB" w:rsidRPr="008F31FB" w:rsidRDefault="008F31FB" w:rsidP="00AB61A4">
            <w:pPr>
              <w:spacing w:line="360" w:lineRule="auto"/>
              <w:rPr>
                <w:rFonts w:eastAsia="DengXian"/>
                <w:color w:val="000000"/>
              </w:rPr>
            </w:pPr>
            <w:r w:rsidRPr="008F31FB">
              <w:rPr>
                <w:rFonts w:eastAsia="DengXian"/>
                <w:color w:val="000000"/>
              </w:rPr>
              <w:t>Effect of dietary sodium restriction on human urinary metabolomic profiles.</w:t>
            </w:r>
          </w:p>
        </w:tc>
        <w:tc>
          <w:tcPr>
            <w:tcW w:w="1134" w:type="dxa"/>
            <w:noWrap/>
            <w:vAlign w:val="center"/>
            <w:hideMark/>
          </w:tcPr>
          <w:p w14:paraId="2CB3E098"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0BBBE25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E9ACC40" w14:textId="77777777" w:rsidTr="008F31FB">
        <w:trPr>
          <w:trHeight w:val="320"/>
        </w:trPr>
        <w:tc>
          <w:tcPr>
            <w:tcW w:w="4535" w:type="dxa"/>
            <w:noWrap/>
            <w:vAlign w:val="center"/>
            <w:hideMark/>
          </w:tcPr>
          <w:p w14:paraId="51A4DD7B" w14:textId="77777777" w:rsidR="008F31FB" w:rsidRPr="008F31FB" w:rsidRDefault="008F31FB" w:rsidP="00AB61A4">
            <w:pPr>
              <w:spacing w:line="360" w:lineRule="auto"/>
              <w:rPr>
                <w:rFonts w:eastAsia="DengXian"/>
                <w:color w:val="000000"/>
              </w:rPr>
            </w:pPr>
            <w:r w:rsidRPr="008F31FB">
              <w:rPr>
                <w:rFonts w:eastAsia="DengXian"/>
                <w:color w:val="000000"/>
              </w:rPr>
              <w:t xml:space="preserve">[Effect of rhubarb as the main composition of sequential treatment in patients with acute </w:t>
            </w:r>
            <w:r w:rsidRPr="008F31FB">
              <w:rPr>
                <w:rFonts w:eastAsia="DengXian"/>
                <w:color w:val="000000"/>
              </w:rPr>
              <w:lastRenderedPageBreak/>
              <w:t>paraquat poisoning: a prospective clinical research].</w:t>
            </w:r>
          </w:p>
        </w:tc>
        <w:tc>
          <w:tcPr>
            <w:tcW w:w="1134" w:type="dxa"/>
            <w:noWrap/>
            <w:vAlign w:val="center"/>
            <w:hideMark/>
          </w:tcPr>
          <w:p w14:paraId="3CD185C2"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2015</w:t>
            </w:r>
          </w:p>
        </w:tc>
        <w:tc>
          <w:tcPr>
            <w:tcW w:w="2268" w:type="dxa"/>
            <w:noWrap/>
            <w:vAlign w:val="center"/>
            <w:hideMark/>
          </w:tcPr>
          <w:p w14:paraId="4D0547A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96B4615" w14:textId="77777777" w:rsidTr="008F31FB">
        <w:trPr>
          <w:trHeight w:val="320"/>
        </w:trPr>
        <w:tc>
          <w:tcPr>
            <w:tcW w:w="4535" w:type="dxa"/>
            <w:noWrap/>
            <w:vAlign w:val="center"/>
            <w:hideMark/>
          </w:tcPr>
          <w:p w14:paraId="739A9361" w14:textId="77777777" w:rsidR="008F31FB" w:rsidRPr="008F31FB" w:rsidRDefault="008F31FB" w:rsidP="00AB61A4">
            <w:pPr>
              <w:spacing w:line="360" w:lineRule="auto"/>
              <w:rPr>
                <w:rFonts w:eastAsia="DengXian"/>
                <w:color w:val="000000"/>
              </w:rPr>
            </w:pPr>
            <w:r w:rsidRPr="008F31FB">
              <w:rPr>
                <w:rFonts w:eastAsia="DengXian"/>
                <w:color w:val="000000"/>
              </w:rPr>
              <w:t>Effect of sodium and potassium supplementation on vascular and endothelial function: a randomized controlled trial.</w:t>
            </w:r>
          </w:p>
        </w:tc>
        <w:tc>
          <w:tcPr>
            <w:tcW w:w="1134" w:type="dxa"/>
            <w:noWrap/>
            <w:vAlign w:val="center"/>
            <w:hideMark/>
          </w:tcPr>
          <w:p w14:paraId="0C14F22B"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1A9B0DC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2CC96D5" w14:textId="77777777" w:rsidTr="008F31FB">
        <w:trPr>
          <w:trHeight w:val="320"/>
        </w:trPr>
        <w:tc>
          <w:tcPr>
            <w:tcW w:w="4535" w:type="dxa"/>
            <w:noWrap/>
            <w:vAlign w:val="center"/>
            <w:hideMark/>
          </w:tcPr>
          <w:p w14:paraId="336C6A79" w14:textId="77777777" w:rsidR="008F31FB" w:rsidRPr="008F31FB" w:rsidRDefault="008F31FB" w:rsidP="00AB61A4">
            <w:pPr>
              <w:spacing w:line="360" w:lineRule="auto"/>
              <w:rPr>
                <w:rFonts w:eastAsia="DengXian"/>
                <w:color w:val="000000"/>
              </w:rPr>
            </w:pPr>
            <w:r w:rsidRPr="008F31FB">
              <w:rPr>
                <w:rFonts w:eastAsia="DengXian"/>
                <w:color w:val="000000"/>
              </w:rPr>
              <w:t>Corn silk aqueous extracts and intraocular pressure of systemic and non-systemic hypertensive subjects.</w:t>
            </w:r>
          </w:p>
        </w:tc>
        <w:tc>
          <w:tcPr>
            <w:tcW w:w="1134" w:type="dxa"/>
            <w:noWrap/>
            <w:vAlign w:val="center"/>
            <w:hideMark/>
          </w:tcPr>
          <w:p w14:paraId="613D6B70"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0C4F8C7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12A2B53" w14:textId="77777777" w:rsidTr="008F31FB">
        <w:trPr>
          <w:trHeight w:val="320"/>
        </w:trPr>
        <w:tc>
          <w:tcPr>
            <w:tcW w:w="4535" w:type="dxa"/>
            <w:noWrap/>
            <w:vAlign w:val="center"/>
            <w:hideMark/>
          </w:tcPr>
          <w:p w14:paraId="5DC34EE8" w14:textId="77777777" w:rsidR="008F31FB" w:rsidRPr="008F31FB" w:rsidRDefault="008F31FB" w:rsidP="00AB61A4">
            <w:pPr>
              <w:spacing w:line="360" w:lineRule="auto"/>
              <w:rPr>
                <w:rFonts w:eastAsia="DengXian"/>
                <w:color w:val="000000"/>
              </w:rPr>
            </w:pPr>
            <w:r w:rsidRPr="008F31FB">
              <w:rPr>
                <w:rFonts w:eastAsia="DengXian"/>
                <w:color w:val="000000"/>
              </w:rPr>
              <w:t>Effects of sodium and potassium supplementation on blood pressure and arterial stiffness: a fully controlled dietary intervention study.</w:t>
            </w:r>
          </w:p>
        </w:tc>
        <w:tc>
          <w:tcPr>
            <w:tcW w:w="1134" w:type="dxa"/>
            <w:noWrap/>
            <w:vAlign w:val="center"/>
            <w:hideMark/>
          </w:tcPr>
          <w:p w14:paraId="28B6F8D8"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0E7532C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E405902" w14:textId="77777777" w:rsidTr="008F31FB">
        <w:trPr>
          <w:trHeight w:val="320"/>
        </w:trPr>
        <w:tc>
          <w:tcPr>
            <w:tcW w:w="4535" w:type="dxa"/>
            <w:noWrap/>
            <w:vAlign w:val="center"/>
            <w:hideMark/>
          </w:tcPr>
          <w:p w14:paraId="09CCF4FC" w14:textId="77777777" w:rsidR="008F31FB" w:rsidRPr="008F31FB" w:rsidRDefault="008F31FB" w:rsidP="00AB61A4">
            <w:pPr>
              <w:spacing w:line="360" w:lineRule="auto"/>
              <w:rPr>
                <w:rFonts w:eastAsia="DengXian"/>
                <w:color w:val="000000"/>
              </w:rPr>
            </w:pPr>
            <w:r w:rsidRPr="008F31FB">
              <w:rPr>
                <w:rFonts w:eastAsia="DengXian"/>
                <w:color w:val="000000"/>
              </w:rPr>
              <w:t>Sodium zirconium cyclosilicate in hyperkalemia.</w:t>
            </w:r>
          </w:p>
        </w:tc>
        <w:tc>
          <w:tcPr>
            <w:tcW w:w="1134" w:type="dxa"/>
            <w:noWrap/>
            <w:vAlign w:val="center"/>
            <w:hideMark/>
          </w:tcPr>
          <w:p w14:paraId="16DF1542"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073F30D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A71BFEF" w14:textId="77777777" w:rsidTr="008F31FB">
        <w:trPr>
          <w:trHeight w:val="320"/>
        </w:trPr>
        <w:tc>
          <w:tcPr>
            <w:tcW w:w="4535" w:type="dxa"/>
            <w:noWrap/>
            <w:vAlign w:val="center"/>
            <w:hideMark/>
          </w:tcPr>
          <w:p w14:paraId="25A3531B" w14:textId="77777777" w:rsidR="008F31FB" w:rsidRPr="008F31FB" w:rsidRDefault="008F31FB" w:rsidP="00AB61A4">
            <w:pPr>
              <w:spacing w:line="360" w:lineRule="auto"/>
              <w:rPr>
                <w:rFonts w:eastAsia="DengXian"/>
                <w:color w:val="000000"/>
              </w:rPr>
            </w:pPr>
            <w:r w:rsidRPr="008F31FB">
              <w:rPr>
                <w:rFonts w:eastAsia="DengXian"/>
                <w:color w:val="000000"/>
              </w:rPr>
              <w:t>The effect of vitamin D supplementation on blood pressure in patients with elevated blood pressure and vitamin D deficiency: a randomized, double-blind,  placebo-controlled trial.</w:t>
            </w:r>
          </w:p>
        </w:tc>
        <w:tc>
          <w:tcPr>
            <w:tcW w:w="1134" w:type="dxa"/>
            <w:noWrap/>
            <w:vAlign w:val="center"/>
            <w:hideMark/>
          </w:tcPr>
          <w:p w14:paraId="05B80130"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7F1241C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E339695" w14:textId="77777777" w:rsidTr="008F31FB">
        <w:trPr>
          <w:trHeight w:val="320"/>
        </w:trPr>
        <w:tc>
          <w:tcPr>
            <w:tcW w:w="4535" w:type="dxa"/>
            <w:noWrap/>
            <w:vAlign w:val="center"/>
            <w:hideMark/>
          </w:tcPr>
          <w:p w14:paraId="78DD3BD1" w14:textId="77777777" w:rsidR="008F31FB" w:rsidRPr="008F31FB" w:rsidRDefault="008F31FB" w:rsidP="00AB61A4">
            <w:pPr>
              <w:spacing w:line="360" w:lineRule="auto"/>
              <w:rPr>
                <w:rFonts w:eastAsia="DengXian"/>
                <w:color w:val="000000"/>
              </w:rPr>
            </w:pPr>
            <w:r w:rsidRPr="008F31FB">
              <w:rPr>
                <w:rFonts w:eastAsia="DengXian"/>
                <w:color w:val="000000"/>
              </w:rPr>
              <w:t>Effect of losartan on serum uric acid in hypertension treated with a diuretic: the COMFORT study.</w:t>
            </w:r>
          </w:p>
        </w:tc>
        <w:tc>
          <w:tcPr>
            <w:tcW w:w="1134" w:type="dxa"/>
            <w:noWrap/>
            <w:vAlign w:val="center"/>
            <w:hideMark/>
          </w:tcPr>
          <w:p w14:paraId="5A4CB4D7"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4BC275F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9C347EF" w14:textId="77777777" w:rsidTr="008F31FB">
        <w:trPr>
          <w:trHeight w:val="320"/>
        </w:trPr>
        <w:tc>
          <w:tcPr>
            <w:tcW w:w="4535" w:type="dxa"/>
            <w:noWrap/>
            <w:vAlign w:val="center"/>
            <w:hideMark/>
          </w:tcPr>
          <w:p w14:paraId="1C24D1E2" w14:textId="77777777" w:rsidR="008F31FB" w:rsidRPr="008F31FB" w:rsidRDefault="008F31FB" w:rsidP="00AB61A4">
            <w:pPr>
              <w:spacing w:line="360" w:lineRule="auto"/>
              <w:rPr>
                <w:rFonts w:eastAsia="DengXian"/>
                <w:color w:val="000000"/>
              </w:rPr>
            </w:pPr>
            <w:r w:rsidRPr="008F31FB">
              <w:rPr>
                <w:rFonts w:eastAsia="DengXian"/>
                <w:color w:val="000000"/>
              </w:rPr>
              <w:t>Effects of ranolazine on noninvasive coronary flow reserve in patients with myocardial ischemia but without obstructive coronary artery disease.</w:t>
            </w:r>
          </w:p>
        </w:tc>
        <w:tc>
          <w:tcPr>
            <w:tcW w:w="1134" w:type="dxa"/>
            <w:noWrap/>
            <w:vAlign w:val="center"/>
            <w:hideMark/>
          </w:tcPr>
          <w:p w14:paraId="4B949967"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1ECDD72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6145C00" w14:textId="77777777" w:rsidTr="008F31FB">
        <w:trPr>
          <w:trHeight w:val="320"/>
        </w:trPr>
        <w:tc>
          <w:tcPr>
            <w:tcW w:w="4535" w:type="dxa"/>
            <w:noWrap/>
            <w:vAlign w:val="center"/>
            <w:hideMark/>
          </w:tcPr>
          <w:p w14:paraId="33AB7D15"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Does pragmatically structured outpatient dietary counselling reduce sodium intake in hypertensive patients? Study protocol for a randomized controlled trial.</w:t>
            </w:r>
          </w:p>
        </w:tc>
        <w:tc>
          <w:tcPr>
            <w:tcW w:w="1134" w:type="dxa"/>
            <w:noWrap/>
            <w:vAlign w:val="center"/>
            <w:hideMark/>
          </w:tcPr>
          <w:p w14:paraId="54EA5FA0" w14:textId="77777777" w:rsidR="008F31FB" w:rsidRPr="008F31FB" w:rsidRDefault="008F31FB" w:rsidP="00AB61A4">
            <w:pPr>
              <w:spacing w:line="360" w:lineRule="auto"/>
              <w:rPr>
                <w:rFonts w:eastAsia="DengXian"/>
                <w:color w:val="000000"/>
              </w:rPr>
            </w:pPr>
            <w:r w:rsidRPr="008F31FB">
              <w:rPr>
                <w:rFonts w:eastAsia="DengXian"/>
                <w:color w:val="000000"/>
              </w:rPr>
              <w:t>2015</w:t>
            </w:r>
          </w:p>
        </w:tc>
        <w:tc>
          <w:tcPr>
            <w:tcW w:w="2268" w:type="dxa"/>
            <w:noWrap/>
            <w:vAlign w:val="center"/>
            <w:hideMark/>
          </w:tcPr>
          <w:p w14:paraId="3E636487" w14:textId="77777777" w:rsidR="008F31FB" w:rsidRPr="008F31FB" w:rsidRDefault="008F31FB" w:rsidP="00AB61A4">
            <w:pPr>
              <w:spacing w:line="360" w:lineRule="auto"/>
              <w:rPr>
                <w:rFonts w:eastAsia="DengXian"/>
                <w:color w:val="000000"/>
              </w:rPr>
            </w:pPr>
            <w:r w:rsidRPr="008F31FB">
              <w:rPr>
                <w:rFonts w:eastAsia="DengXian"/>
                <w:color w:val="000000"/>
              </w:rPr>
              <w:t>Study protocols</w:t>
            </w:r>
          </w:p>
        </w:tc>
      </w:tr>
      <w:tr w:rsidR="004C083E" w:rsidRPr="008F31FB" w14:paraId="166029BE" w14:textId="77777777" w:rsidTr="008F31FB">
        <w:trPr>
          <w:trHeight w:val="320"/>
        </w:trPr>
        <w:tc>
          <w:tcPr>
            <w:tcW w:w="4535" w:type="dxa"/>
            <w:noWrap/>
            <w:vAlign w:val="center"/>
            <w:hideMark/>
          </w:tcPr>
          <w:p w14:paraId="561A0E04" w14:textId="77777777" w:rsidR="008F31FB" w:rsidRPr="008F31FB" w:rsidRDefault="008F31FB" w:rsidP="00AB61A4">
            <w:pPr>
              <w:spacing w:line="360" w:lineRule="auto"/>
              <w:rPr>
                <w:rFonts w:eastAsia="DengXian"/>
                <w:color w:val="000000"/>
              </w:rPr>
            </w:pPr>
            <w:r w:rsidRPr="008F31FB">
              <w:rPr>
                <w:rFonts w:eastAsia="DengXian"/>
                <w:color w:val="000000"/>
              </w:rPr>
              <w:t>Comparison of the effects of lidocaine and fentanyl in epidural anesthesia in dogs.</w:t>
            </w:r>
          </w:p>
        </w:tc>
        <w:tc>
          <w:tcPr>
            <w:tcW w:w="1134" w:type="dxa"/>
            <w:noWrap/>
            <w:vAlign w:val="center"/>
            <w:hideMark/>
          </w:tcPr>
          <w:p w14:paraId="40989B20" w14:textId="77777777" w:rsidR="008F31FB" w:rsidRPr="008F31FB" w:rsidRDefault="008F31FB" w:rsidP="00AB61A4">
            <w:pPr>
              <w:spacing w:line="360" w:lineRule="auto"/>
              <w:rPr>
                <w:rFonts w:eastAsia="DengXian"/>
                <w:color w:val="000000"/>
              </w:rPr>
            </w:pPr>
            <w:r w:rsidRPr="008F31FB">
              <w:rPr>
                <w:rFonts w:eastAsia="DengXian"/>
                <w:color w:val="000000"/>
              </w:rPr>
              <w:t>2014</w:t>
            </w:r>
          </w:p>
        </w:tc>
        <w:tc>
          <w:tcPr>
            <w:tcW w:w="2268" w:type="dxa"/>
            <w:noWrap/>
            <w:vAlign w:val="center"/>
            <w:hideMark/>
          </w:tcPr>
          <w:p w14:paraId="3983F524"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F871C55" w14:textId="77777777" w:rsidTr="008F31FB">
        <w:trPr>
          <w:trHeight w:val="320"/>
        </w:trPr>
        <w:tc>
          <w:tcPr>
            <w:tcW w:w="4535" w:type="dxa"/>
            <w:noWrap/>
            <w:vAlign w:val="center"/>
            <w:hideMark/>
          </w:tcPr>
          <w:p w14:paraId="022E1254" w14:textId="77777777" w:rsidR="008F31FB" w:rsidRPr="008F31FB" w:rsidRDefault="008F31FB" w:rsidP="00AB61A4">
            <w:pPr>
              <w:spacing w:line="360" w:lineRule="auto"/>
              <w:rPr>
                <w:rFonts w:eastAsia="DengXian"/>
                <w:color w:val="000000"/>
              </w:rPr>
            </w:pPr>
            <w:r w:rsidRPr="008F31FB">
              <w:rPr>
                <w:rFonts w:eastAsia="DengXian"/>
                <w:color w:val="000000"/>
              </w:rPr>
              <w:t>Treatment of hyperkalemia in patients with chronic kidney disease: a comparison of calcium polystyrene sulphonate and sodium polystyrene sulphonate.</w:t>
            </w:r>
          </w:p>
        </w:tc>
        <w:tc>
          <w:tcPr>
            <w:tcW w:w="1134" w:type="dxa"/>
            <w:noWrap/>
            <w:vAlign w:val="center"/>
            <w:hideMark/>
          </w:tcPr>
          <w:p w14:paraId="3C81CBC0" w14:textId="77777777" w:rsidR="008F31FB" w:rsidRPr="008F31FB" w:rsidRDefault="008F31FB" w:rsidP="00AB61A4">
            <w:pPr>
              <w:spacing w:line="360" w:lineRule="auto"/>
              <w:rPr>
                <w:rFonts w:eastAsia="DengXian"/>
                <w:color w:val="000000"/>
              </w:rPr>
            </w:pPr>
            <w:r w:rsidRPr="008F31FB">
              <w:rPr>
                <w:rFonts w:eastAsia="DengXian"/>
                <w:color w:val="000000"/>
              </w:rPr>
              <w:t>2014</w:t>
            </w:r>
          </w:p>
        </w:tc>
        <w:tc>
          <w:tcPr>
            <w:tcW w:w="2268" w:type="dxa"/>
            <w:noWrap/>
            <w:vAlign w:val="center"/>
            <w:hideMark/>
          </w:tcPr>
          <w:p w14:paraId="5A72572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9F33B3C" w14:textId="77777777" w:rsidTr="008F31FB">
        <w:trPr>
          <w:trHeight w:val="320"/>
        </w:trPr>
        <w:tc>
          <w:tcPr>
            <w:tcW w:w="4535" w:type="dxa"/>
            <w:noWrap/>
            <w:vAlign w:val="center"/>
            <w:hideMark/>
          </w:tcPr>
          <w:p w14:paraId="2D56D18E" w14:textId="77777777" w:rsidR="008F31FB" w:rsidRPr="008F31FB" w:rsidRDefault="008F31FB" w:rsidP="00AB61A4">
            <w:pPr>
              <w:spacing w:line="360" w:lineRule="auto"/>
              <w:rPr>
                <w:rFonts w:eastAsia="DengXian"/>
                <w:color w:val="000000"/>
              </w:rPr>
            </w:pPr>
            <w:r w:rsidRPr="008F31FB">
              <w:rPr>
                <w:rFonts w:eastAsia="DengXian"/>
                <w:color w:val="000000"/>
              </w:rPr>
              <w:t>Effects of dietary sodium and the DASH diet on the occurrence of headaches: results from randomised multicentre DASH-Sodium clinical trial.</w:t>
            </w:r>
          </w:p>
        </w:tc>
        <w:tc>
          <w:tcPr>
            <w:tcW w:w="1134" w:type="dxa"/>
            <w:noWrap/>
            <w:vAlign w:val="center"/>
            <w:hideMark/>
          </w:tcPr>
          <w:p w14:paraId="76B204FB" w14:textId="77777777" w:rsidR="008F31FB" w:rsidRPr="008F31FB" w:rsidRDefault="008F31FB" w:rsidP="00AB61A4">
            <w:pPr>
              <w:spacing w:line="360" w:lineRule="auto"/>
              <w:rPr>
                <w:rFonts w:eastAsia="DengXian"/>
                <w:color w:val="000000"/>
              </w:rPr>
            </w:pPr>
            <w:r w:rsidRPr="008F31FB">
              <w:rPr>
                <w:rFonts w:eastAsia="DengXian"/>
                <w:color w:val="000000"/>
              </w:rPr>
              <w:t>2014</w:t>
            </w:r>
          </w:p>
        </w:tc>
        <w:tc>
          <w:tcPr>
            <w:tcW w:w="2268" w:type="dxa"/>
            <w:noWrap/>
            <w:vAlign w:val="center"/>
            <w:hideMark/>
          </w:tcPr>
          <w:p w14:paraId="26760D9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5596D6E" w14:textId="77777777" w:rsidTr="008F31FB">
        <w:trPr>
          <w:trHeight w:val="320"/>
        </w:trPr>
        <w:tc>
          <w:tcPr>
            <w:tcW w:w="4535" w:type="dxa"/>
            <w:noWrap/>
            <w:vAlign w:val="center"/>
            <w:hideMark/>
          </w:tcPr>
          <w:p w14:paraId="2334322F" w14:textId="77777777" w:rsidR="008F31FB" w:rsidRPr="008F31FB" w:rsidRDefault="008F31FB" w:rsidP="00AB61A4">
            <w:pPr>
              <w:spacing w:line="360" w:lineRule="auto"/>
              <w:rPr>
                <w:rFonts w:eastAsia="DengXian"/>
                <w:color w:val="000000"/>
              </w:rPr>
            </w:pPr>
            <w:r w:rsidRPr="008F31FB">
              <w:rPr>
                <w:rFonts w:eastAsia="DengXian"/>
                <w:color w:val="000000"/>
              </w:rPr>
              <w:t>Long-term effects and prognosis in acute heart failure treated with tolvaptan: the AVCMA trial.</w:t>
            </w:r>
          </w:p>
        </w:tc>
        <w:tc>
          <w:tcPr>
            <w:tcW w:w="1134" w:type="dxa"/>
            <w:noWrap/>
            <w:vAlign w:val="center"/>
            <w:hideMark/>
          </w:tcPr>
          <w:p w14:paraId="2475F032" w14:textId="77777777" w:rsidR="008F31FB" w:rsidRPr="008F31FB" w:rsidRDefault="008F31FB" w:rsidP="00AB61A4">
            <w:pPr>
              <w:spacing w:line="360" w:lineRule="auto"/>
              <w:rPr>
                <w:rFonts w:eastAsia="DengXian"/>
                <w:color w:val="000000"/>
              </w:rPr>
            </w:pPr>
            <w:r w:rsidRPr="008F31FB">
              <w:rPr>
                <w:rFonts w:eastAsia="DengXian"/>
                <w:color w:val="000000"/>
              </w:rPr>
              <w:t>2014</w:t>
            </w:r>
          </w:p>
        </w:tc>
        <w:tc>
          <w:tcPr>
            <w:tcW w:w="2268" w:type="dxa"/>
            <w:noWrap/>
            <w:vAlign w:val="center"/>
            <w:hideMark/>
          </w:tcPr>
          <w:p w14:paraId="5B8C6DB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FCEDDC5" w14:textId="77777777" w:rsidTr="008F31FB">
        <w:trPr>
          <w:trHeight w:val="320"/>
        </w:trPr>
        <w:tc>
          <w:tcPr>
            <w:tcW w:w="4535" w:type="dxa"/>
            <w:noWrap/>
            <w:vAlign w:val="center"/>
            <w:hideMark/>
          </w:tcPr>
          <w:p w14:paraId="42C7E309" w14:textId="77777777" w:rsidR="008F31FB" w:rsidRPr="008F31FB" w:rsidRDefault="008F31FB" w:rsidP="00AB61A4">
            <w:pPr>
              <w:spacing w:line="360" w:lineRule="auto"/>
              <w:rPr>
                <w:rFonts w:eastAsia="DengXian"/>
                <w:color w:val="000000"/>
              </w:rPr>
            </w:pPr>
            <w:r w:rsidRPr="008F31FB">
              <w:rPr>
                <w:rFonts w:eastAsia="DengXian"/>
                <w:color w:val="000000"/>
              </w:rPr>
              <w:t>The effect of mannitol administration to kidney donor on short-term outcomes of kidney transplantation.</w:t>
            </w:r>
          </w:p>
        </w:tc>
        <w:tc>
          <w:tcPr>
            <w:tcW w:w="1134" w:type="dxa"/>
            <w:noWrap/>
            <w:vAlign w:val="center"/>
            <w:hideMark/>
          </w:tcPr>
          <w:p w14:paraId="095DB474" w14:textId="77777777" w:rsidR="008F31FB" w:rsidRPr="008F31FB" w:rsidRDefault="008F31FB" w:rsidP="00AB61A4">
            <w:pPr>
              <w:spacing w:line="360" w:lineRule="auto"/>
              <w:rPr>
                <w:rFonts w:eastAsia="DengXian"/>
                <w:color w:val="000000"/>
              </w:rPr>
            </w:pPr>
            <w:r w:rsidRPr="008F31FB">
              <w:rPr>
                <w:rFonts w:eastAsia="DengXian"/>
                <w:color w:val="000000"/>
              </w:rPr>
              <w:t>2014</w:t>
            </w:r>
          </w:p>
        </w:tc>
        <w:tc>
          <w:tcPr>
            <w:tcW w:w="2268" w:type="dxa"/>
            <w:noWrap/>
            <w:vAlign w:val="center"/>
            <w:hideMark/>
          </w:tcPr>
          <w:p w14:paraId="6AE073FF"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D374A93" w14:textId="77777777" w:rsidTr="008F31FB">
        <w:trPr>
          <w:trHeight w:val="320"/>
        </w:trPr>
        <w:tc>
          <w:tcPr>
            <w:tcW w:w="4535" w:type="dxa"/>
            <w:noWrap/>
            <w:vAlign w:val="center"/>
            <w:hideMark/>
          </w:tcPr>
          <w:p w14:paraId="7E1EAA33" w14:textId="77777777" w:rsidR="008F31FB" w:rsidRPr="008F31FB" w:rsidRDefault="008F31FB" w:rsidP="00AB61A4">
            <w:pPr>
              <w:spacing w:line="360" w:lineRule="auto"/>
              <w:rPr>
                <w:rFonts w:eastAsia="DengXian"/>
                <w:color w:val="000000"/>
              </w:rPr>
            </w:pPr>
            <w:r w:rsidRPr="008F31FB">
              <w:rPr>
                <w:rFonts w:eastAsia="DengXian"/>
                <w:color w:val="000000"/>
              </w:rPr>
              <w:t>Intracoronary delivery of injectable bioabsorbable scaffold (IK-5001) to treat left ventricular remodeling after ST-elevation myocardial infarction: a  first-in-man study.</w:t>
            </w:r>
          </w:p>
        </w:tc>
        <w:tc>
          <w:tcPr>
            <w:tcW w:w="1134" w:type="dxa"/>
            <w:noWrap/>
            <w:vAlign w:val="center"/>
            <w:hideMark/>
          </w:tcPr>
          <w:p w14:paraId="79746C59" w14:textId="77777777" w:rsidR="008F31FB" w:rsidRPr="008F31FB" w:rsidRDefault="008F31FB" w:rsidP="00AB61A4">
            <w:pPr>
              <w:spacing w:line="360" w:lineRule="auto"/>
              <w:rPr>
                <w:rFonts w:eastAsia="DengXian"/>
                <w:color w:val="000000"/>
              </w:rPr>
            </w:pPr>
            <w:r w:rsidRPr="008F31FB">
              <w:rPr>
                <w:rFonts w:eastAsia="DengXian"/>
                <w:color w:val="000000"/>
              </w:rPr>
              <w:t>2014</w:t>
            </w:r>
          </w:p>
        </w:tc>
        <w:tc>
          <w:tcPr>
            <w:tcW w:w="2268" w:type="dxa"/>
            <w:noWrap/>
            <w:vAlign w:val="center"/>
            <w:hideMark/>
          </w:tcPr>
          <w:p w14:paraId="026D7BE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2F61FE5" w14:textId="77777777" w:rsidTr="008F31FB">
        <w:trPr>
          <w:trHeight w:val="320"/>
        </w:trPr>
        <w:tc>
          <w:tcPr>
            <w:tcW w:w="4535" w:type="dxa"/>
            <w:noWrap/>
            <w:vAlign w:val="center"/>
            <w:hideMark/>
          </w:tcPr>
          <w:p w14:paraId="0D34B456" w14:textId="77777777" w:rsidR="008F31FB" w:rsidRPr="008F31FB" w:rsidRDefault="008F31FB" w:rsidP="00AB61A4">
            <w:pPr>
              <w:spacing w:line="360" w:lineRule="auto"/>
              <w:rPr>
                <w:rFonts w:eastAsia="DengXian"/>
                <w:color w:val="000000"/>
              </w:rPr>
            </w:pPr>
            <w:r w:rsidRPr="008F31FB">
              <w:rPr>
                <w:rFonts w:eastAsia="DengXian"/>
                <w:color w:val="000000"/>
              </w:rPr>
              <w:t>Dietary sodium restriction decreases insulin secretion without affecting insulin sensitivity in humans.</w:t>
            </w:r>
          </w:p>
        </w:tc>
        <w:tc>
          <w:tcPr>
            <w:tcW w:w="1134" w:type="dxa"/>
            <w:noWrap/>
            <w:vAlign w:val="center"/>
            <w:hideMark/>
          </w:tcPr>
          <w:p w14:paraId="39F703EF" w14:textId="77777777" w:rsidR="008F31FB" w:rsidRPr="008F31FB" w:rsidRDefault="008F31FB" w:rsidP="00AB61A4">
            <w:pPr>
              <w:spacing w:line="360" w:lineRule="auto"/>
              <w:rPr>
                <w:rFonts w:eastAsia="DengXian"/>
                <w:color w:val="000000"/>
              </w:rPr>
            </w:pPr>
            <w:r w:rsidRPr="008F31FB">
              <w:rPr>
                <w:rFonts w:eastAsia="DengXian"/>
                <w:color w:val="000000"/>
              </w:rPr>
              <w:t>2014</w:t>
            </w:r>
          </w:p>
        </w:tc>
        <w:tc>
          <w:tcPr>
            <w:tcW w:w="2268" w:type="dxa"/>
            <w:noWrap/>
            <w:vAlign w:val="center"/>
            <w:hideMark/>
          </w:tcPr>
          <w:p w14:paraId="545EC69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537574B" w14:textId="77777777" w:rsidTr="008F31FB">
        <w:trPr>
          <w:trHeight w:val="320"/>
        </w:trPr>
        <w:tc>
          <w:tcPr>
            <w:tcW w:w="4535" w:type="dxa"/>
            <w:noWrap/>
            <w:vAlign w:val="center"/>
            <w:hideMark/>
          </w:tcPr>
          <w:p w14:paraId="47326A22"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Clinical effects and safety of different strategies for administering intravenous diuretics in acutely decompensated heart failure: a randomised clinical trial.</w:t>
            </w:r>
          </w:p>
        </w:tc>
        <w:tc>
          <w:tcPr>
            <w:tcW w:w="1134" w:type="dxa"/>
            <w:noWrap/>
            <w:vAlign w:val="center"/>
            <w:hideMark/>
          </w:tcPr>
          <w:p w14:paraId="741E814D" w14:textId="77777777" w:rsidR="008F31FB" w:rsidRPr="008F31FB" w:rsidRDefault="008F31FB" w:rsidP="00AB61A4">
            <w:pPr>
              <w:spacing w:line="360" w:lineRule="auto"/>
              <w:rPr>
                <w:rFonts w:eastAsia="DengXian"/>
                <w:color w:val="000000"/>
              </w:rPr>
            </w:pPr>
            <w:r w:rsidRPr="008F31FB">
              <w:rPr>
                <w:rFonts w:eastAsia="DengXian"/>
                <w:color w:val="000000"/>
              </w:rPr>
              <w:t>2014</w:t>
            </w:r>
          </w:p>
        </w:tc>
        <w:tc>
          <w:tcPr>
            <w:tcW w:w="2268" w:type="dxa"/>
            <w:noWrap/>
            <w:vAlign w:val="center"/>
            <w:hideMark/>
          </w:tcPr>
          <w:p w14:paraId="515356D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479636E" w14:textId="77777777" w:rsidTr="008F31FB">
        <w:trPr>
          <w:trHeight w:val="320"/>
        </w:trPr>
        <w:tc>
          <w:tcPr>
            <w:tcW w:w="4535" w:type="dxa"/>
            <w:noWrap/>
            <w:vAlign w:val="center"/>
            <w:hideMark/>
          </w:tcPr>
          <w:p w14:paraId="371C7BEA" w14:textId="77777777" w:rsidR="008F31FB" w:rsidRPr="008F31FB" w:rsidRDefault="008F31FB" w:rsidP="00AB61A4">
            <w:pPr>
              <w:spacing w:line="360" w:lineRule="auto"/>
              <w:rPr>
                <w:rFonts w:eastAsia="DengXian"/>
                <w:color w:val="000000"/>
              </w:rPr>
            </w:pPr>
            <w:r w:rsidRPr="008F31FB">
              <w:rPr>
                <w:rFonts w:eastAsia="DengXian"/>
                <w:color w:val="000000"/>
              </w:rPr>
              <w:t>Saline versus Plasma-Lyte A in initial resuscitation of trauma patients: a randomized trial.</w:t>
            </w:r>
          </w:p>
        </w:tc>
        <w:tc>
          <w:tcPr>
            <w:tcW w:w="1134" w:type="dxa"/>
            <w:noWrap/>
            <w:vAlign w:val="center"/>
            <w:hideMark/>
          </w:tcPr>
          <w:p w14:paraId="5ACA852A" w14:textId="77777777" w:rsidR="008F31FB" w:rsidRPr="008F31FB" w:rsidRDefault="008F31FB" w:rsidP="00AB61A4">
            <w:pPr>
              <w:spacing w:line="360" w:lineRule="auto"/>
              <w:rPr>
                <w:rFonts w:eastAsia="DengXian"/>
                <w:color w:val="000000"/>
              </w:rPr>
            </w:pPr>
            <w:r w:rsidRPr="008F31FB">
              <w:rPr>
                <w:rFonts w:eastAsia="DengXian"/>
                <w:color w:val="000000"/>
              </w:rPr>
              <w:t>2014</w:t>
            </w:r>
          </w:p>
        </w:tc>
        <w:tc>
          <w:tcPr>
            <w:tcW w:w="2268" w:type="dxa"/>
            <w:noWrap/>
            <w:vAlign w:val="center"/>
            <w:hideMark/>
          </w:tcPr>
          <w:p w14:paraId="26638F3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DFA33CE" w14:textId="77777777" w:rsidTr="008F31FB">
        <w:trPr>
          <w:trHeight w:val="320"/>
        </w:trPr>
        <w:tc>
          <w:tcPr>
            <w:tcW w:w="4535" w:type="dxa"/>
            <w:noWrap/>
            <w:vAlign w:val="center"/>
            <w:hideMark/>
          </w:tcPr>
          <w:p w14:paraId="4FE84CE0" w14:textId="77777777" w:rsidR="008F31FB" w:rsidRPr="008F31FB" w:rsidRDefault="008F31FB" w:rsidP="00AB61A4">
            <w:pPr>
              <w:spacing w:line="360" w:lineRule="auto"/>
              <w:rPr>
                <w:rFonts w:eastAsia="DengXian"/>
                <w:color w:val="000000"/>
              </w:rPr>
            </w:pPr>
            <w:r w:rsidRPr="008F31FB">
              <w:rPr>
                <w:rFonts w:eastAsia="DengXian"/>
                <w:color w:val="000000"/>
              </w:rPr>
              <w:t>Hyponatremia and anti-diuretic hormone in Legionnaires' disease.</w:t>
            </w:r>
          </w:p>
        </w:tc>
        <w:tc>
          <w:tcPr>
            <w:tcW w:w="1134" w:type="dxa"/>
            <w:noWrap/>
            <w:vAlign w:val="center"/>
            <w:hideMark/>
          </w:tcPr>
          <w:p w14:paraId="1DDA0605" w14:textId="77777777" w:rsidR="008F31FB" w:rsidRPr="008F31FB" w:rsidRDefault="008F31FB" w:rsidP="00AB61A4">
            <w:pPr>
              <w:spacing w:line="360" w:lineRule="auto"/>
              <w:rPr>
                <w:rFonts w:eastAsia="DengXian"/>
                <w:color w:val="000000"/>
              </w:rPr>
            </w:pPr>
            <w:r w:rsidRPr="008F31FB">
              <w:rPr>
                <w:rFonts w:eastAsia="DengXian"/>
                <w:color w:val="000000"/>
              </w:rPr>
              <w:t>2013</w:t>
            </w:r>
          </w:p>
        </w:tc>
        <w:tc>
          <w:tcPr>
            <w:tcW w:w="2268" w:type="dxa"/>
            <w:noWrap/>
            <w:vAlign w:val="center"/>
            <w:hideMark/>
          </w:tcPr>
          <w:p w14:paraId="50259CB9"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1E416A26" w14:textId="77777777" w:rsidTr="008F31FB">
        <w:trPr>
          <w:trHeight w:val="320"/>
        </w:trPr>
        <w:tc>
          <w:tcPr>
            <w:tcW w:w="4535" w:type="dxa"/>
            <w:noWrap/>
            <w:vAlign w:val="center"/>
            <w:hideMark/>
          </w:tcPr>
          <w:p w14:paraId="12A2546F" w14:textId="77777777" w:rsidR="008F31FB" w:rsidRPr="008F31FB" w:rsidRDefault="008F31FB" w:rsidP="00AB61A4">
            <w:pPr>
              <w:spacing w:line="360" w:lineRule="auto"/>
              <w:rPr>
                <w:rFonts w:eastAsia="DengXian"/>
                <w:color w:val="000000"/>
              </w:rPr>
            </w:pPr>
            <w:r w:rsidRPr="008F31FB">
              <w:rPr>
                <w:rFonts w:eastAsia="DengXian"/>
                <w:color w:val="000000"/>
              </w:rPr>
              <w:t>Fruit intake and incident diabetic retinopathy with type 2 diabetes.</w:t>
            </w:r>
          </w:p>
        </w:tc>
        <w:tc>
          <w:tcPr>
            <w:tcW w:w="1134" w:type="dxa"/>
            <w:noWrap/>
            <w:vAlign w:val="center"/>
            <w:hideMark/>
          </w:tcPr>
          <w:p w14:paraId="788DDDB1" w14:textId="77777777" w:rsidR="008F31FB" w:rsidRPr="008F31FB" w:rsidRDefault="008F31FB" w:rsidP="00AB61A4">
            <w:pPr>
              <w:spacing w:line="360" w:lineRule="auto"/>
              <w:rPr>
                <w:rFonts w:eastAsia="DengXian"/>
                <w:color w:val="000000"/>
              </w:rPr>
            </w:pPr>
            <w:r w:rsidRPr="008F31FB">
              <w:rPr>
                <w:rFonts w:eastAsia="DengXian"/>
                <w:color w:val="000000"/>
              </w:rPr>
              <w:t>2013</w:t>
            </w:r>
          </w:p>
        </w:tc>
        <w:tc>
          <w:tcPr>
            <w:tcW w:w="2268" w:type="dxa"/>
            <w:noWrap/>
            <w:vAlign w:val="center"/>
            <w:hideMark/>
          </w:tcPr>
          <w:p w14:paraId="757ED86B"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39A83580" w14:textId="77777777" w:rsidTr="008F31FB">
        <w:trPr>
          <w:trHeight w:val="320"/>
        </w:trPr>
        <w:tc>
          <w:tcPr>
            <w:tcW w:w="4535" w:type="dxa"/>
            <w:noWrap/>
            <w:vAlign w:val="center"/>
            <w:hideMark/>
          </w:tcPr>
          <w:p w14:paraId="4E91EF39" w14:textId="77777777" w:rsidR="008F31FB" w:rsidRPr="008F31FB" w:rsidRDefault="008F31FB" w:rsidP="00AB61A4">
            <w:pPr>
              <w:spacing w:line="360" w:lineRule="auto"/>
              <w:rPr>
                <w:rFonts w:eastAsia="DengXian"/>
                <w:color w:val="000000"/>
              </w:rPr>
            </w:pPr>
            <w:r w:rsidRPr="008F31FB">
              <w:rPr>
                <w:rFonts w:eastAsia="DengXian"/>
                <w:color w:val="000000"/>
              </w:rPr>
              <w:t>Changes in serum aldosterone are associated with changes in obesity-related factors in normotensive overweight and obese young adults.</w:t>
            </w:r>
          </w:p>
        </w:tc>
        <w:tc>
          <w:tcPr>
            <w:tcW w:w="1134" w:type="dxa"/>
            <w:noWrap/>
            <w:vAlign w:val="center"/>
            <w:hideMark/>
          </w:tcPr>
          <w:p w14:paraId="4F93391E" w14:textId="77777777" w:rsidR="008F31FB" w:rsidRPr="008F31FB" w:rsidRDefault="008F31FB" w:rsidP="00AB61A4">
            <w:pPr>
              <w:spacing w:line="360" w:lineRule="auto"/>
              <w:rPr>
                <w:rFonts w:eastAsia="DengXian"/>
                <w:color w:val="000000"/>
              </w:rPr>
            </w:pPr>
            <w:r w:rsidRPr="008F31FB">
              <w:rPr>
                <w:rFonts w:eastAsia="DengXian"/>
                <w:color w:val="000000"/>
              </w:rPr>
              <w:t>2013</w:t>
            </w:r>
          </w:p>
        </w:tc>
        <w:tc>
          <w:tcPr>
            <w:tcW w:w="2268" w:type="dxa"/>
            <w:noWrap/>
            <w:vAlign w:val="center"/>
            <w:hideMark/>
          </w:tcPr>
          <w:p w14:paraId="5E0324D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2C4F82A" w14:textId="77777777" w:rsidTr="008F31FB">
        <w:trPr>
          <w:trHeight w:val="320"/>
        </w:trPr>
        <w:tc>
          <w:tcPr>
            <w:tcW w:w="4535" w:type="dxa"/>
            <w:noWrap/>
            <w:vAlign w:val="center"/>
            <w:hideMark/>
          </w:tcPr>
          <w:p w14:paraId="05194599" w14:textId="77777777" w:rsidR="008F31FB" w:rsidRPr="008F31FB" w:rsidRDefault="008F31FB" w:rsidP="00AB61A4">
            <w:pPr>
              <w:spacing w:line="360" w:lineRule="auto"/>
              <w:rPr>
                <w:rFonts w:eastAsia="DengXian"/>
                <w:color w:val="000000"/>
              </w:rPr>
            </w:pPr>
            <w:r w:rsidRPr="008F31FB">
              <w:rPr>
                <w:rFonts w:eastAsia="DengXian"/>
                <w:color w:val="000000"/>
              </w:rPr>
              <w:t>Pharmacokinetics, pharmacodynamics, and tolerability of ACT-077825, a new direct renin inhibitor after multiple-ascending doses in healthy subjects.</w:t>
            </w:r>
          </w:p>
        </w:tc>
        <w:tc>
          <w:tcPr>
            <w:tcW w:w="1134" w:type="dxa"/>
            <w:noWrap/>
            <w:vAlign w:val="center"/>
            <w:hideMark/>
          </w:tcPr>
          <w:p w14:paraId="358FA6BF" w14:textId="77777777" w:rsidR="008F31FB" w:rsidRPr="008F31FB" w:rsidRDefault="008F31FB" w:rsidP="00AB61A4">
            <w:pPr>
              <w:spacing w:line="360" w:lineRule="auto"/>
              <w:rPr>
                <w:rFonts w:eastAsia="DengXian"/>
                <w:color w:val="000000"/>
              </w:rPr>
            </w:pPr>
            <w:r w:rsidRPr="008F31FB">
              <w:rPr>
                <w:rFonts w:eastAsia="DengXian"/>
                <w:color w:val="000000"/>
              </w:rPr>
              <w:t>2013</w:t>
            </w:r>
          </w:p>
        </w:tc>
        <w:tc>
          <w:tcPr>
            <w:tcW w:w="2268" w:type="dxa"/>
            <w:noWrap/>
            <w:vAlign w:val="center"/>
            <w:hideMark/>
          </w:tcPr>
          <w:p w14:paraId="62FCAEA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4154477" w14:textId="77777777" w:rsidTr="008F31FB">
        <w:trPr>
          <w:trHeight w:val="320"/>
        </w:trPr>
        <w:tc>
          <w:tcPr>
            <w:tcW w:w="4535" w:type="dxa"/>
            <w:noWrap/>
            <w:vAlign w:val="center"/>
            <w:hideMark/>
          </w:tcPr>
          <w:p w14:paraId="29711F47" w14:textId="77777777" w:rsidR="008F31FB" w:rsidRPr="008F31FB" w:rsidRDefault="008F31FB" w:rsidP="00AB61A4">
            <w:pPr>
              <w:spacing w:line="360" w:lineRule="auto"/>
              <w:rPr>
                <w:rFonts w:eastAsia="DengXian"/>
                <w:color w:val="000000"/>
              </w:rPr>
            </w:pPr>
            <w:r w:rsidRPr="008F31FB">
              <w:rPr>
                <w:rFonts w:eastAsia="DengXian"/>
                <w:color w:val="000000"/>
              </w:rPr>
              <w:t>Effect of amiloride and spironolactone on renal tubular function and central blood pressure in patients with arterial hypertension during baseline conditions  and after furosemide: a double-blinded, randomized, placebo-controlled crossover  trial.</w:t>
            </w:r>
          </w:p>
        </w:tc>
        <w:tc>
          <w:tcPr>
            <w:tcW w:w="1134" w:type="dxa"/>
            <w:noWrap/>
            <w:vAlign w:val="center"/>
            <w:hideMark/>
          </w:tcPr>
          <w:p w14:paraId="73C9AD39" w14:textId="77777777" w:rsidR="008F31FB" w:rsidRPr="008F31FB" w:rsidRDefault="008F31FB" w:rsidP="00AB61A4">
            <w:pPr>
              <w:spacing w:line="360" w:lineRule="auto"/>
              <w:rPr>
                <w:rFonts w:eastAsia="DengXian"/>
                <w:color w:val="000000"/>
              </w:rPr>
            </w:pPr>
            <w:r w:rsidRPr="008F31FB">
              <w:rPr>
                <w:rFonts w:eastAsia="DengXian"/>
                <w:color w:val="000000"/>
              </w:rPr>
              <w:t>2013</w:t>
            </w:r>
          </w:p>
        </w:tc>
        <w:tc>
          <w:tcPr>
            <w:tcW w:w="2268" w:type="dxa"/>
            <w:noWrap/>
            <w:vAlign w:val="center"/>
            <w:hideMark/>
          </w:tcPr>
          <w:p w14:paraId="1B075A0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3D6E76F" w14:textId="77777777" w:rsidTr="008F31FB">
        <w:trPr>
          <w:trHeight w:val="320"/>
        </w:trPr>
        <w:tc>
          <w:tcPr>
            <w:tcW w:w="4535" w:type="dxa"/>
            <w:noWrap/>
            <w:vAlign w:val="center"/>
            <w:hideMark/>
          </w:tcPr>
          <w:p w14:paraId="3EF04A1E"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Magnesium sulphate at 30 to 34 weeks' gestational age: neuroprotection trial (MAGENTA)--study protocol.</w:t>
            </w:r>
          </w:p>
        </w:tc>
        <w:tc>
          <w:tcPr>
            <w:tcW w:w="1134" w:type="dxa"/>
            <w:noWrap/>
            <w:vAlign w:val="center"/>
            <w:hideMark/>
          </w:tcPr>
          <w:p w14:paraId="23584647" w14:textId="77777777" w:rsidR="008F31FB" w:rsidRPr="008F31FB" w:rsidRDefault="008F31FB" w:rsidP="00AB61A4">
            <w:pPr>
              <w:spacing w:line="360" w:lineRule="auto"/>
              <w:rPr>
                <w:rFonts w:eastAsia="DengXian"/>
                <w:color w:val="000000"/>
              </w:rPr>
            </w:pPr>
            <w:r w:rsidRPr="008F31FB">
              <w:rPr>
                <w:rFonts w:eastAsia="DengXian"/>
                <w:color w:val="000000"/>
              </w:rPr>
              <w:t>2013</w:t>
            </w:r>
          </w:p>
        </w:tc>
        <w:tc>
          <w:tcPr>
            <w:tcW w:w="2268" w:type="dxa"/>
            <w:noWrap/>
            <w:vAlign w:val="center"/>
            <w:hideMark/>
          </w:tcPr>
          <w:p w14:paraId="0C8CE26B" w14:textId="77777777" w:rsidR="008F31FB" w:rsidRPr="008F31FB" w:rsidRDefault="008F31FB" w:rsidP="00AB61A4">
            <w:pPr>
              <w:spacing w:line="360" w:lineRule="auto"/>
              <w:rPr>
                <w:rFonts w:eastAsia="DengXian"/>
                <w:color w:val="000000"/>
              </w:rPr>
            </w:pPr>
            <w:r w:rsidRPr="008F31FB">
              <w:rPr>
                <w:rFonts w:eastAsia="DengXian"/>
                <w:color w:val="000000"/>
              </w:rPr>
              <w:t>Study protocols</w:t>
            </w:r>
          </w:p>
        </w:tc>
      </w:tr>
      <w:tr w:rsidR="004C083E" w:rsidRPr="008F31FB" w14:paraId="79D6EC7C" w14:textId="77777777" w:rsidTr="008F31FB">
        <w:trPr>
          <w:trHeight w:val="320"/>
        </w:trPr>
        <w:tc>
          <w:tcPr>
            <w:tcW w:w="4535" w:type="dxa"/>
            <w:noWrap/>
            <w:vAlign w:val="center"/>
            <w:hideMark/>
          </w:tcPr>
          <w:p w14:paraId="36794885" w14:textId="77777777" w:rsidR="008F31FB" w:rsidRPr="008F31FB" w:rsidRDefault="008F31FB" w:rsidP="00AB61A4">
            <w:pPr>
              <w:spacing w:line="360" w:lineRule="auto"/>
              <w:rPr>
                <w:rFonts w:eastAsia="DengXian"/>
                <w:color w:val="000000"/>
              </w:rPr>
            </w:pPr>
            <w:r w:rsidRPr="008F31FB">
              <w:rPr>
                <w:rFonts w:eastAsia="DengXian"/>
                <w:color w:val="000000"/>
              </w:rPr>
              <w:t>A nutrient-wide association study on blood pressure.</w:t>
            </w:r>
          </w:p>
        </w:tc>
        <w:tc>
          <w:tcPr>
            <w:tcW w:w="1134" w:type="dxa"/>
            <w:noWrap/>
            <w:vAlign w:val="center"/>
            <w:hideMark/>
          </w:tcPr>
          <w:p w14:paraId="65DFDCD2" w14:textId="77777777" w:rsidR="008F31FB" w:rsidRPr="008F31FB" w:rsidRDefault="008F31FB" w:rsidP="00AB61A4">
            <w:pPr>
              <w:spacing w:line="360" w:lineRule="auto"/>
              <w:rPr>
                <w:rFonts w:eastAsia="DengXian"/>
                <w:color w:val="000000"/>
              </w:rPr>
            </w:pPr>
            <w:r w:rsidRPr="008F31FB">
              <w:rPr>
                <w:rFonts w:eastAsia="DengXian"/>
                <w:color w:val="000000"/>
              </w:rPr>
              <w:t>2012</w:t>
            </w:r>
          </w:p>
        </w:tc>
        <w:tc>
          <w:tcPr>
            <w:tcW w:w="2268" w:type="dxa"/>
            <w:noWrap/>
            <w:vAlign w:val="center"/>
            <w:hideMark/>
          </w:tcPr>
          <w:p w14:paraId="58276191"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2BB0544E" w14:textId="77777777" w:rsidTr="008F31FB">
        <w:trPr>
          <w:trHeight w:val="320"/>
        </w:trPr>
        <w:tc>
          <w:tcPr>
            <w:tcW w:w="4535" w:type="dxa"/>
            <w:noWrap/>
            <w:vAlign w:val="center"/>
            <w:hideMark/>
          </w:tcPr>
          <w:p w14:paraId="453B5811" w14:textId="77777777" w:rsidR="008F31FB" w:rsidRPr="008F31FB" w:rsidRDefault="008F31FB" w:rsidP="00AB61A4">
            <w:pPr>
              <w:spacing w:line="360" w:lineRule="auto"/>
              <w:rPr>
                <w:rFonts w:eastAsia="DengXian"/>
                <w:color w:val="000000"/>
              </w:rPr>
            </w:pPr>
            <w:r w:rsidRPr="008F31FB">
              <w:rPr>
                <w:rFonts w:eastAsia="DengXian"/>
                <w:color w:val="000000"/>
              </w:rPr>
              <w:t>Coronary arterial 18F-sodium fluoride uptake: a novel marker of plaque biology.</w:t>
            </w:r>
          </w:p>
        </w:tc>
        <w:tc>
          <w:tcPr>
            <w:tcW w:w="1134" w:type="dxa"/>
            <w:noWrap/>
            <w:vAlign w:val="center"/>
            <w:hideMark/>
          </w:tcPr>
          <w:p w14:paraId="10AE6A28" w14:textId="77777777" w:rsidR="008F31FB" w:rsidRPr="008F31FB" w:rsidRDefault="008F31FB" w:rsidP="00AB61A4">
            <w:pPr>
              <w:spacing w:line="360" w:lineRule="auto"/>
              <w:rPr>
                <w:rFonts w:eastAsia="DengXian"/>
                <w:color w:val="000000"/>
              </w:rPr>
            </w:pPr>
            <w:r w:rsidRPr="008F31FB">
              <w:rPr>
                <w:rFonts w:eastAsia="DengXian"/>
                <w:color w:val="000000"/>
              </w:rPr>
              <w:t>2012</w:t>
            </w:r>
          </w:p>
        </w:tc>
        <w:tc>
          <w:tcPr>
            <w:tcW w:w="2268" w:type="dxa"/>
            <w:noWrap/>
            <w:vAlign w:val="center"/>
            <w:hideMark/>
          </w:tcPr>
          <w:p w14:paraId="0E2B3C2D"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4730FA8" w14:textId="77777777" w:rsidTr="008F31FB">
        <w:trPr>
          <w:trHeight w:val="320"/>
        </w:trPr>
        <w:tc>
          <w:tcPr>
            <w:tcW w:w="4535" w:type="dxa"/>
            <w:noWrap/>
            <w:vAlign w:val="center"/>
            <w:hideMark/>
          </w:tcPr>
          <w:p w14:paraId="269EF287" w14:textId="77777777" w:rsidR="008F31FB" w:rsidRPr="008F31FB" w:rsidRDefault="008F31FB" w:rsidP="00AB61A4">
            <w:pPr>
              <w:spacing w:line="360" w:lineRule="auto"/>
              <w:rPr>
                <w:rFonts w:eastAsia="DengXian"/>
                <w:color w:val="000000"/>
              </w:rPr>
            </w:pPr>
            <w:r w:rsidRPr="008F31FB">
              <w:rPr>
                <w:rFonts w:eastAsia="DengXian"/>
                <w:color w:val="000000"/>
              </w:rPr>
              <w:t>Increased dietary sodium is independently associated with greater mortality among prevalent hemodialysis patients.</w:t>
            </w:r>
          </w:p>
        </w:tc>
        <w:tc>
          <w:tcPr>
            <w:tcW w:w="1134" w:type="dxa"/>
            <w:noWrap/>
            <w:vAlign w:val="center"/>
            <w:hideMark/>
          </w:tcPr>
          <w:p w14:paraId="3ACAF5BE" w14:textId="77777777" w:rsidR="008F31FB" w:rsidRPr="008F31FB" w:rsidRDefault="008F31FB" w:rsidP="00AB61A4">
            <w:pPr>
              <w:spacing w:line="360" w:lineRule="auto"/>
              <w:rPr>
                <w:rFonts w:eastAsia="DengXian"/>
                <w:color w:val="000000"/>
              </w:rPr>
            </w:pPr>
            <w:r w:rsidRPr="008F31FB">
              <w:rPr>
                <w:rFonts w:eastAsia="DengXian"/>
                <w:color w:val="000000"/>
              </w:rPr>
              <w:t>2012</w:t>
            </w:r>
          </w:p>
        </w:tc>
        <w:tc>
          <w:tcPr>
            <w:tcW w:w="2268" w:type="dxa"/>
            <w:noWrap/>
            <w:vAlign w:val="center"/>
            <w:hideMark/>
          </w:tcPr>
          <w:p w14:paraId="1742458E"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3443F979" w14:textId="77777777" w:rsidTr="008F31FB">
        <w:trPr>
          <w:trHeight w:val="320"/>
        </w:trPr>
        <w:tc>
          <w:tcPr>
            <w:tcW w:w="4535" w:type="dxa"/>
            <w:noWrap/>
            <w:vAlign w:val="center"/>
            <w:hideMark/>
          </w:tcPr>
          <w:p w14:paraId="2D2C8D47" w14:textId="77777777" w:rsidR="008F31FB" w:rsidRPr="008F31FB" w:rsidRDefault="008F31FB" w:rsidP="00AB61A4">
            <w:pPr>
              <w:spacing w:line="360" w:lineRule="auto"/>
              <w:rPr>
                <w:rFonts w:eastAsia="DengXian"/>
                <w:color w:val="000000"/>
              </w:rPr>
            </w:pPr>
            <w:r w:rsidRPr="008F31FB">
              <w:rPr>
                <w:rFonts w:eastAsia="DengXian"/>
                <w:color w:val="000000"/>
              </w:rPr>
              <w:t>Dietary tryptophan changes serum stress markers, enzyme activity, and ions concentration of wild common carp Cyprinus carpio exposed to ambient copper.</w:t>
            </w:r>
          </w:p>
        </w:tc>
        <w:tc>
          <w:tcPr>
            <w:tcW w:w="1134" w:type="dxa"/>
            <w:noWrap/>
            <w:vAlign w:val="center"/>
            <w:hideMark/>
          </w:tcPr>
          <w:p w14:paraId="2134B031" w14:textId="77777777" w:rsidR="008F31FB" w:rsidRPr="008F31FB" w:rsidRDefault="008F31FB" w:rsidP="00AB61A4">
            <w:pPr>
              <w:spacing w:line="360" w:lineRule="auto"/>
              <w:rPr>
                <w:rFonts w:eastAsia="DengXian"/>
                <w:color w:val="000000"/>
              </w:rPr>
            </w:pPr>
            <w:r w:rsidRPr="008F31FB">
              <w:rPr>
                <w:rFonts w:eastAsia="DengXian"/>
                <w:color w:val="000000"/>
              </w:rPr>
              <w:t>2012</w:t>
            </w:r>
          </w:p>
        </w:tc>
        <w:tc>
          <w:tcPr>
            <w:tcW w:w="2268" w:type="dxa"/>
            <w:noWrap/>
            <w:vAlign w:val="center"/>
            <w:hideMark/>
          </w:tcPr>
          <w:p w14:paraId="7D5801A4"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2DA40FC" w14:textId="77777777" w:rsidTr="008F31FB">
        <w:trPr>
          <w:trHeight w:val="320"/>
        </w:trPr>
        <w:tc>
          <w:tcPr>
            <w:tcW w:w="4535" w:type="dxa"/>
            <w:noWrap/>
            <w:vAlign w:val="center"/>
            <w:hideMark/>
          </w:tcPr>
          <w:p w14:paraId="2EC66B67" w14:textId="77777777" w:rsidR="008F31FB" w:rsidRPr="008F31FB" w:rsidRDefault="008F31FB" w:rsidP="00AB61A4">
            <w:pPr>
              <w:spacing w:line="360" w:lineRule="auto"/>
              <w:rPr>
                <w:rFonts w:eastAsia="DengXian"/>
                <w:color w:val="000000"/>
              </w:rPr>
            </w:pPr>
            <w:r w:rsidRPr="008F31FB">
              <w:rPr>
                <w:rFonts w:eastAsia="DengXian"/>
                <w:color w:val="000000"/>
              </w:rPr>
              <w:t>Dietary sodium loading impairs microvascular function independent of blood pressure in humans: role of oxidative stress.</w:t>
            </w:r>
          </w:p>
        </w:tc>
        <w:tc>
          <w:tcPr>
            <w:tcW w:w="1134" w:type="dxa"/>
            <w:noWrap/>
            <w:vAlign w:val="center"/>
            <w:hideMark/>
          </w:tcPr>
          <w:p w14:paraId="0D131D19" w14:textId="77777777" w:rsidR="008F31FB" w:rsidRPr="008F31FB" w:rsidRDefault="008F31FB" w:rsidP="00AB61A4">
            <w:pPr>
              <w:spacing w:line="360" w:lineRule="auto"/>
              <w:rPr>
                <w:rFonts w:eastAsia="DengXian"/>
                <w:color w:val="000000"/>
              </w:rPr>
            </w:pPr>
            <w:r w:rsidRPr="008F31FB">
              <w:rPr>
                <w:rFonts w:eastAsia="DengXian"/>
                <w:color w:val="000000"/>
              </w:rPr>
              <w:t>2012</w:t>
            </w:r>
          </w:p>
        </w:tc>
        <w:tc>
          <w:tcPr>
            <w:tcW w:w="2268" w:type="dxa"/>
            <w:noWrap/>
            <w:vAlign w:val="center"/>
            <w:hideMark/>
          </w:tcPr>
          <w:p w14:paraId="314FF0E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29DBFC0" w14:textId="77777777" w:rsidTr="008F31FB">
        <w:trPr>
          <w:trHeight w:val="320"/>
        </w:trPr>
        <w:tc>
          <w:tcPr>
            <w:tcW w:w="4535" w:type="dxa"/>
            <w:noWrap/>
            <w:vAlign w:val="center"/>
            <w:hideMark/>
          </w:tcPr>
          <w:p w14:paraId="69FBE6AD" w14:textId="77777777" w:rsidR="008F31FB" w:rsidRPr="008F31FB" w:rsidRDefault="008F31FB" w:rsidP="00AB61A4">
            <w:pPr>
              <w:spacing w:line="360" w:lineRule="auto"/>
              <w:rPr>
                <w:rFonts w:eastAsia="DengXian"/>
                <w:color w:val="000000"/>
              </w:rPr>
            </w:pPr>
            <w:r w:rsidRPr="008F31FB">
              <w:rPr>
                <w:rFonts w:eastAsia="DengXian"/>
                <w:color w:val="000000"/>
              </w:rPr>
              <w:t>Sodium challenge does not support an acute gastrointestinal-renal natriuretic signaling axis in humans.</w:t>
            </w:r>
          </w:p>
        </w:tc>
        <w:tc>
          <w:tcPr>
            <w:tcW w:w="1134" w:type="dxa"/>
            <w:noWrap/>
            <w:vAlign w:val="center"/>
            <w:hideMark/>
          </w:tcPr>
          <w:p w14:paraId="7FCD6099" w14:textId="77777777" w:rsidR="008F31FB" w:rsidRPr="008F31FB" w:rsidRDefault="008F31FB" w:rsidP="00AB61A4">
            <w:pPr>
              <w:spacing w:line="360" w:lineRule="auto"/>
              <w:rPr>
                <w:rFonts w:eastAsia="DengXian"/>
                <w:color w:val="000000"/>
              </w:rPr>
            </w:pPr>
            <w:r w:rsidRPr="008F31FB">
              <w:rPr>
                <w:rFonts w:eastAsia="DengXian"/>
                <w:color w:val="000000"/>
              </w:rPr>
              <w:t>2012</w:t>
            </w:r>
          </w:p>
        </w:tc>
        <w:tc>
          <w:tcPr>
            <w:tcW w:w="2268" w:type="dxa"/>
            <w:noWrap/>
            <w:vAlign w:val="center"/>
            <w:hideMark/>
          </w:tcPr>
          <w:p w14:paraId="04FFC10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3A37D5D" w14:textId="77777777" w:rsidTr="008F31FB">
        <w:trPr>
          <w:trHeight w:val="320"/>
        </w:trPr>
        <w:tc>
          <w:tcPr>
            <w:tcW w:w="4535" w:type="dxa"/>
            <w:noWrap/>
            <w:vAlign w:val="center"/>
            <w:hideMark/>
          </w:tcPr>
          <w:p w14:paraId="58D21326" w14:textId="77777777" w:rsidR="008F31FB" w:rsidRPr="008F31FB" w:rsidRDefault="008F31FB" w:rsidP="00AB61A4">
            <w:pPr>
              <w:spacing w:line="360" w:lineRule="auto"/>
              <w:rPr>
                <w:rFonts w:eastAsia="DengXian"/>
                <w:color w:val="000000"/>
              </w:rPr>
            </w:pPr>
            <w:r w:rsidRPr="008F31FB">
              <w:rPr>
                <w:rFonts w:eastAsia="DengXian"/>
                <w:color w:val="000000"/>
              </w:rPr>
              <w:t>Role of mixed ion channel effects in the cardiovascular safety assessment of the novel anti-MRSA fluoroquinolone JNJ-Q2.</w:t>
            </w:r>
          </w:p>
        </w:tc>
        <w:tc>
          <w:tcPr>
            <w:tcW w:w="1134" w:type="dxa"/>
            <w:noWrap/>
            <w:vAlign w:val="center"/>
            <w:hideMark/>
          </w:tcPr>
          <w:p w14:paraId="0E356FF3" w14:textId="77777777" w:rsidR="008F31FB" w:rsidRPr="008F31FB" w:rsidRDefault="008F31FB" w:rsidP="00AB61A4">
            <w:pPr>
              <w:spacing w:line="360" w:lineRule="auto"/>
              <w:rPr>
                <w:rFonts w:eastAsia="DengXian"/>
                <w:color w:val="000000"/>
              </w:rPr>
            </w:pPr>
            <w:r w:rsidRPr="008F31FB">
              <w:rPr>
                <w:rFonts w:eastAsia="DengXian"/>
                <w:color w:val="000000"/>
              </w:rPr>
              <w:t>2012</w:t>
            </w:r>
          </w:p>
        </w:tc>
        <w:tc>
          <w:tcPr>
            <w:tcW w:w="2268" w:type="dxa"/>
            <w:noWrap/>
            <w:vAlign w:val="center"/>
            <w:hideMark/>
          </w:tcPr>
          <w:p w14:paraId="33147A4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8FF44CD" w14:textId="77777777" w:rsidTr="008F31FB">
        <w:trPr>
          <w:trHeight w:val="320"/>
        </w:trPr>
        <w:tc>
          <w:tcPr>
            <w:tcW w:w="4535" w:type="dxa"/>
            <w:noWrap/>
            <w:vAlign w:val="center"/>
            <w:hideMark/>
          </w:tcPr>
          <w:p w14:paraId="220D1986" w14:textId="77777777" w:rsidR="008F31FB" w:rsidRPr="008F31FB" w:rsidRDefault="008F31FB" w:rsidP="00AB61A4">
            <w:pPr>
              <w:spacing w:line="360" w:lineRule="auto"/>
              <w:rPr>
                <w:rFonts w:eastAsia="DengXian"/>
                <w:color w:val="000000"/>
              </w:rPr>
            </w:pPr>
            <w:r w:rsidRPr="008F31FB">
              <w:rPr>
                <w:rFonts w:eastAsia="DengXian"/>
                <w:color w:val="000000"/>
              </w:rPr>
              <w:t>A comparison of the natriuretic and kaliuretic effects of cicletanine and hydrochlorothiazide in prehypertensive and hypertensive humans.</w:t>
            </w:r>
          </w:p>
        </w:tc>
        <w:tc>
          <w:tcPr>
            <w:tcW w:w="1134" w:type="dxa"/>
            <w:noWrap/>
            <w:vAlign w:val="center"/>
            <w:hideMark/>
          </w:tcPr>
          <w:p w14:paraId="6B99011E" w14:textId="77777777" w:rsidR="008F31FB" w:rsidRPr="008F31FB" w:rsidRDefault="008F31FB" w:rsidP="00AB61A4">
            <w:pPr>
              <w:spacing w:line="360" w:lineRule="auto"/>
              <w:rPr>
                <w:rFonts w:eastAsia="DengXian"/>
                <w:color w:val="000000"/>
              </w:rPr>
            </w:pPr>
            <w:r w:rsidRPr="008F31FB">
              <w:rPr>
                <w:rFonts w:eastAsia="DengXian"/>
                <w:color w:val="000000"/>
              </w:rPr>
              <w:t>2012</w:t>
            </w:r>
          </w:p>
        </w:tc>
        <w:tc>
          <w:tcPr>
            <w:tcW w:w="2268" w:type="dxa"/>
            <w:noWrap/>
            <w:vAlign w:val="center"/>
            <w:hideMark/>
          </w:tcPr>
          <w:p w14:paraId="67CCDB2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E216B4A" w14:textId="77777777" w:rsidTr="008F31FB">
        <w:trPr>
          <w:trHeight w:val="320"/>
        </w:trPr>
        <w:tc>
          <w:tcPr>
            <w:tcW w:w="4535" w:type="dxa"/>
            <w:noWrap/>
            <w:vAlign w:val="center"/>
            <w:hideMark/>
          </w:tcPr>
          <w:p w14:paraId="33FF2EB6"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Improving self-care for heart failure for seniors: the impact of video and written education and decision aids.</w:t>
            </w:r>
          </w:p>
        </w:tc>
        <w:tc>
          <w:tcPr>
            <w:tcW w:w="1134" w:type="dxa"/>
            <w:noWrap/>
            <w:vAlign w:val="center"/>
            <w:hideMark/>
          </w:tcPr>
          <w:p w14:paraId="5FAFC578" w14:textId="77777777" w:rsidR="008F31FB" w:rsidRPr="008F31FB" w:rsidRDefault="008F31FB" w:rsidP="00AB61A4">
            <w:pPr>
              <w:spacing w:line="360" w:lineRule="auto"/>
              <w:rPr>
                <w:rFonts w:eastAsia="DengXian"/>
                <w:color w:val="000000"/>
              </w:rPr>
            </w:pPr>
            <w:r w:rsidRPr="008F31FB">
              <w:rPr>
                <w:rFonts w:eastAsia="DengXian"/>
                <w:color w:val="000000"/>
              </w:rPr>
              <w:t>2012</w:t>
            </w:r>
          </w:p>
        </w:tc>
        <w:tc>
          <w:tcPr>
            <w:tcW w:w="2268" w:type="dxa"/>
            <w:noWrap/>
            <w:vAlign w:val="center"/>
            <w:hideMark/>
          </w:tcPr>
          <w:p w14:paraId="7537862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1DC9548" w14:textId="77777777" w:rsidTr="008F31FB">
        <w:trPr>
          <w:trHeight w:val="320"/>
        </w:trPr>
        <w:tc>
          <w:tcPr>
            <w:tcW w:w="4535" w:type="dxa"/>
            <w:noWrap/>
            <w:vAlign w:val="center"/>
            <w:hideMark/>
          </w:tcPr>
          <w:p w14:paraId="131DE4DB" w14:textId="77777777" w:rsidR="008F31FB" w:rsidRPr="008F31FB" w:rsidRDefault="008F31FB" w:rsidP="00AB61A4">
            <w:pPr>
              <w:spacing w:line="360" w:lineRule="auto"/>
              <w:rPr>
                <w:rFonts w:eastAsia="DengXian"/>
                <w:color w:val="000000"/>
              </w:rPr>
            </w:pPr>
            <w:r w:rsidRPr="008F31FB">
              <w:rPr>
                <w:rFonts w:eastAsia="DengXian"/>
                <w:color w:val="000000"/>
              </w:rPr>
              <w:t>Estimated net endogenous acid production and serum bicarbonate in African Americans with chronic kidney disease.</w:t>
            </w:r>
          </w:p>
        </w:tc>
        <w:tc>
          <w:tcPr>
            <w:tcW w:w="1134" w:type="dxa"/>
            <w:noWrap/>
            <w:vAlign w:val="center"/>
            <w:hideMark/>
          </w:tcPr>
          <w:p w14:paraId="7CE1597B" w14:textId="77777777" w:rsidR="008F31FB" w:rsidRPr="008F31FB" w:rsidRDefault="008F31FB" w:rsidP="00AB61A4">
            <w:pPr>
              <w:spacing w:line="360" w:lineRule="auto"/>
              <w:rPr>
                <w:rFonts w:eastAsia="DengXian"/>
                <w:color w:val="000000"/>
              </w:rPr>
            </w:pPr>
            <w:r w:rsidRPr="008F31FB">
              <w:rPr>
                <w:rFonts w:eastAsia="DengXian"/>
                <w:color w:val="000000"/>
              </w:rPr>
              <w:t>2011</w:t>
            </w:r>
          </w:p>
        </w:tc>
        <w:tc>
          <w:tcPr>
            <w:tcW w:w="2268" w:type="dxa"/>
            <w:noWrap/>
            <w:vAlign w:val="center"/>
            <w:hideMark/>
          </w:tcPr>
          <w:p w14:paraId="6C32BF2A"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37E84525" w14:textId="77777777" w:rsidTr="008F31FB">
        <w:trPr>
          <w:trHeight w:val="320"/>
        </w:trPr>
        <w:tc>
          <w:tcPr>
            <w:tcW w:w="4535" w:type="dxa"/>
            <w:noWrap/>
            <w:vAlign w:val="center"/>
            <w:hideMark/>
          </w:tcPr>
          <w:p w14:paraId="3657E212" w14:textId="77777777" w:rsidR="008F31FB" w:rsidRPr="008F31FB" w:rsidRDefault="008F31FB" w:rsidP="00AB61A4">
            <w:pPr>
              <w:spacing w:line="360" w:lineRule="auto"/>
              <w:rPr>
                <w:rFonts w:eastAsia="DengXian"/>
                <w:color w:val="000000"/>
              </w:rPr>
            </w:pPr>
            <w:r w:rsidRPr="008F31FB">
              <w:rPr>
                <w:rFonts w:eastAsia="DengXian"/>
                <w:color w:val="000000"/>
              </w:rPr>
              <w:t>The use of plasma aldosterone and urinary sodium to potassium ratio as translatable quantitative biomarkers of mineralocorticoid receptor antagonism.</w:t>
            </w:r>
          </w:p>
        </w:tc>
        <w:tc>
          <w:tcPr>
            <w:tcW w:w="1134" w:type="dxa"/>
            <w:noWrap/>
            <w:vAlign w:val="center"/>
            <w:hideMark/>
          </w:tcPr>
          <w:p w14:paraId="64888A34" w14:textId="77777777" w:rsidR="008F31FB" w:rsidRPr="008F31FB" w:rsidRDefault="008F31FB" w:rsidP="00AB61A4">
            <w:pPr>
              <w:spacing w:line="360" w:lineRule="auto"/>
              <w:rPr>
                <w:rFonts w:eastAsia="DengXian"/>
                <w:color w:val="000000"/>
              </w:rPr>
            </w:pPr>
            <w:r w:rsidRPr="008F31FB">
              <w:rPr>
                <w:rFonts w:eastAsia="DengXian"/>
                <w:color w:val="000000"/>
              </w:rPr>
              <w:t>2011</w:t>
            </w:r>
          </w:p>
        </w:tc>
        <w:tc>
          <w:tcPr>
            <w:tcW w:w="2268" w:type="dxa"/>
            <w:noWrap/>
            <w:vAlign w:val="center"/>
            <w:hideMark/>
          </w:tcPr>
          <w:p w14:paraId="652AD98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A44DDA4" w14:textId="77777777" w:rsidTr="008F31FB">
        <w:trPr>
          <w:trHeight w:val="320"/>
        </w:trPr>
        <w:tc>
          <w:tcPr>
            <w:tcW w:w="4535" w:type="dxa"/>
            <w:noWrap/>
            <w:vAlign w:val="center"/>
            <w:hideMark/>
          </w:tcPr>
          <w:p w14:paraId="64B17741" w14:textId="77777777" w:rsidR="008F31FB" w:rsidRPr="008F31FB" w:rsidRDefault="008F31FB" w:rsidP="00AB61A4">
            <w:pPr>
              <w:spacing w:line="360" w:lineRule="auto"/>
              <w:rPr>
                <w:rFonts w:eastAsia="DengXian"/>
                <w:color w:val="000000"/>
              </w:rPr>
            </w:pPr>
            <w:r w:rsidRPr="008F31FB">
              <w:rPr>
                <w:rFonts w:eastAsia="DengXian"/>
                <w:color w:val="000000"/>
              </w:rPr>
              <w:t>Moderate dietary sodium restriction added to angiotensin converting enzyme inhibition compared with dual blockade in lowering proteinuria and blood  pressure: randomised controlled trial.</w:t>
            </w:r>
          </w:p>
        </w:tc>
        <w:tc>
          <w:tcPr>
            <w:tcW w:w="1134" w:type="dxa"/>
            <w:noWrap/>
            <w:vAlign w:val="center"/>
            <w:hideMark/>
          </w:tcPr>
          <w:p w14:paraId="0738D827" w14:textId="77777777" w:rsidR="008F31FB" w:rsidRPr="008F31FB" w:rsidRDefault="008F31FB" w:rsidP="00AB61A4">
            <w:pPr>
              <w:spacing w:line="360" w:lineRule="auto"/>
              <w:rPr>
                <w:rFonts w:eastAsia="DengXian"/>
                <w:color w:val="000000"/>
              </w:rPr>
            </w:pPr>
            <w:r w:rsidRPr="008F31FB">
              <w:rPr>
                <w:rFonts w:eastAsia="DengXian"/>
                <w:color w:val="000000"/>
              </w:rPr>
              <w:t>2011</w:t>
            </w:r>
          </w:p>
        </w:tc>
        <w:tc>
          <w:tcPr>
            <w:tcW w:w="2268" w:type="dxa"/>
            <w:noWrap/>
            <w:vAlign w:val="center"/>
            <w:hideMark/>
          </w:tcPr>
          <w:p w14:paraId="2AC8F3F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BCAE150" w14:textId="77777777" w:rsidTr="008F31FB">
        <w:trPr>
          <w:trHeight w:val="320"/>
        </w:trPr>
        <w:tc>
          <w:tcPr>
            <w:tcW w:w="4535" w:type="dxa"/>
            <w:noWrap/>
            <w:vAlign w:val="center"/>
            <w:hideMark/>
          </w:tcPr>
          <w:p w14:paraId="3EF7C747" w14:textId="77777777" w:rsidR="008F31FB" w:rsidRPr="008F31FB" w:rsidRDefault="008F31FB" w:rsidP="00AB61A4">
            <w:pPr>
              <w:spacing w:line="360" w:lineRule="auto"/>
              <w:rPr>
                <w:rFonts w:eastAsia="DengXian"/>
                <w:color w:val="000000"/>
              </w:rPr>
            </w:pPr>
            <w:r w:rsidRPr="008F31FB">
              <w:rPr>
                <w:rFonts w:eastAsia="DengXian"/>
                <w:color w:val="000000"/>
              </w:rPr>
              <w:t>Effects of antiproteinuric intervention on elevated connective tissue growth factor (CTGF/CCN-2) plasma and urine levels in nondiabetic nephropathy.</w:t>
            </w:r>
          </w:p>
        </w:tc>
        <w:tc>
          <w:tcPr>
            <w:tcW w:w="1134" w:type="dxa"/>
            <w:noWrap/>
            <w:vAlign w:val="center"/>
            <w:hideMark/>
          </w:tcPr>
          <w:p w14:paraId="42A4BB72" w14:textId="77777777" w:rsidR="008F31FB" w:rsidRPr="008F31FB" w:rsidRDefault="008F31FB" w:rsidP="00AB61A4">
            <w:pPr>
              <w:spacing w:line="360" w:lineRule="auto"/>
              <w:rPr>
                <w:rFonts w:eastAsia="DengXian"/>
                <w:color w:val="000000"/>
              </w:rPr>
            </w:pPr>
            <w:r w:rsidRPr="008F31FB">
              <w:rPr>
                <w:rFonts w:eastAsia="DengXian"/>
                <w:color w:val="000000"/>
              </w:rPr>
              <w:t>2011</w:t>
            </w:r>
          </w:p>
        </w:tc>
        <w:tc>
          <w:tcPr>
            <w:tcW w:w="2268" w:type="dxa"/>
            <w:noWrap/>
            <w:vAlign w:val="center"/>
            <w:hideMark/>
          </w:tcPr>
          <w:p w14:paraId="44B7D74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6D424E2" w14:textId="77777777" w:rsidTr="008F31FB">
        <w:trPr>
          <w:trHeight w:val="320"/>
        </w:trPr>
        <w:tc>
          <w:tcPr>
            <w:tcW w:w="4535" w:type="dxa"/>
            <w:noWrap/>
            <w:vAlign w:val="center"/>
            <w:hideMark/>
          </w:tcPr>
          <w:p w14:paraId="11329315" w14:textId="77777777" w:rsidR="008F31FB" w:rsidRPr="008F31FB" w:rsidRDefault="008F31FB" w:rsidP="00AB61A4">
            <w:pPr>
              <w:spacing w:line="360" w:lineRule="auto"/>
              <w:rPr>
                <w:rFonts w:eastAsia="DengXian"/>
                <w:color w:val="000000"/>
              </w:rPr>
            </w:pPr>
            <w:r w:rsidRPr="008F31FB">
              <w:rPr>
                <w:rFonts w:eastAsia="DengXian"/>
                <w:color w:val="000000"/>
              </w:rPr>
              <w:t>Nutrition education guided by Dietary Guidelines for Chinese Residents on metabolic syndrome characteristics, adipokines and inflammatory markers.</w:t>
            </w:r>
          </w:p>
        </w:tc>
        <w:tc>
          <w:tcPr>
            <w:tcW w:w="1134" w:type="dxa"/>
            <w:noWrap/>
            <w:vAlign w:val="center"/>
            <w:hideMark/>
          </w:tcPr>
          <w:p w14:paraId="5C413803" w14:textId="77777777" w:rsidR="008F31FB" w:rsidRPr="008F31FB" w:rsidRDefault="008F31FB" w:rsidP="00AB61A4">
            <w:pPr>
              <w:spacing w:line="360" w:lineRule="auto"/>
              <w:rPr>
                <w:rFonts w:eastAsia="DengXian"/>
                <w:color w:val="000000"/>
              </w:rPr>
            </w:pPr>
            <w:r w:rsidRPr="008F31FB">
              <w:rPr>
                <w:rFonts w:eastAsia="DengXian"/>
                <w:color w:val="000000"/>
              </w:rPr>
              <w:t>2011</w:t>
            </w:r>
          </w:p>
        </w:tc>
        <w:tc>
          <w:tcPr>
            <w:tcW w:w="2268" w:type="dxa"/>
            <w:noWrap/>
            <w:vAlign w:val="center"/>
            <w:hideMark/>
          </w:tcPr>
          <w:p w14:paraId="4D0EAB7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78E2A34" w14:textId="77777777" w:rsidTr="008F31FB">
        <w:trPr>
          <w:trHeight w:val="320"/>
        </w:trPr>
        <w:tc>
          <w:tcPr>
            <w:tcW w:w="4535" w:type="dxa"/>
            <w:noWrap/>
            <w:vAlign w:val="center"/>
            <w:hideMark/>
          </w:tcPr>
          <w:p w14:paraId="5397BE3A" w14:textId="77777777" w:rsidR="008F31FB" w:rsidRPr="008F31FB" w:rsidRDefault="008F31FB" w:rsidP="00AB61A4">
            <w:pPr>
              <w:spacing w:line="360" w:lineRule="auto"/>
              <w:rPr>
                <w:rFonts w:eastAsia="DengXian"/>
                <w:color w:val="000000"/>
              </w:rPr>
            </w:pPr>
            <w:r w:rsidRPr="008F31FB">
              <w:rPr>
                <w:rFonts w:eastAsia="DengXian"/>
                <w:color w:val="000000"/>
              </w:rPr>
              <w:t>Warm-blood cardioplegia with low or high magnesium for coronary bypass surgery: a randomised controlled trial.</w:t>
            </w:r>
          </w:p>
        </w:tc>
        <w:tc>
          <w:tcPr>
            <w:tcW w:w="1134" w:type="dxa"/>
            <w:noWrap/>
            <w:vAlign w:val="center"/>
            <w:hideMark/>
          </w:tcPr>
          <w:p w14:paraId="7F69A5E3" w14:textId="77777777" w:rsidR="008F31FB" w:rsidRPr="008F31FB" w:rsidRDefault="008F31FB" w:rsidP="00AB61A4">
            <w:pPr>
              <w:spacing w:line="360" w:lineRule="auto"/>
              <w:rPr>
                <w:rFonts w:eastAsia="DengXian"/>
                <w:color w:val="000000"/>
              </w:rPr>
            </w:pPr>
            <w:r w:rsidRPr="008F31FB">
              <w:rPr>
                <w:rFonts w:eastAsia="DengXian"/>
                <w:color w:val="000000"/>
              </w:rPr>
              <w:t>2011</w:t>
            </w:r>
          </w:p>
        </w:tc>
        <w:tc>
          <w:tcPr>
            <w:tcW w:w="2268" w:type="dxa"/>
            <w:noWrap/>
            <w:vAlign w:val="center"/>
            <w:hideMark/>
          </w:tcPr>
          <w:p w14:paraId="130DE81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69EAA3F" w14:textId="77777777" w:rsidTr="008F31FB">
        <w:trPr>
          <w:trHeight w:val="320"/>
        </w:trPr>
        <w:tc>
          <w:tcPr>
            <w:tcW w:w="4535" w:type="dxa"/>
            <w:noWrap/>
            <w:vAlign w:val="center"/>
            <w:hideMark/>
          </w:tcPr>
          <w:p w14:paraId="43F5D0ED"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Effects of high- and low-sodium diets on ambulatory blood pressure in patients with hypertension receiving aliskiren.</w:t>
            </w:r>
          </w:p>
        </w:tc>
        <w:tc>
          <w:tcPr>
            <w:tcW w:w="1134" w:type="dxa"/>
            <w:noWrap/>
            <w:vAlign w:val="center"/>
            <w:hideMark/>
          </w:tcPr>
          <w:p w14:paraId="485CEB3D" w14:textId="77777777" w:rsidR="008F31FB" w:rsidRPr="008F31FB" w:rsidRDefault="008F31FB" w:rsidP="00AB61A4">
            <w:pPr>
              <w:spacing w:line="360" w:lineRule="auto"/>
              <w:rPr>
                <w:rFonts w:eastAsia="DengXian"/>
                <w:color w:val="000000"/>
              </w:rPr>
            </w:pPr>
            <w:r w:rsidRPr="008F31FB">
              <w:rPr>
                <w:rFonts w:eastAsia="DengXian"/>
                <w:color w:val="000000"/>
              </w:rPr>
              <w:t>2010</w:t>
            </w:r>
          </w:p>
        </w:tc>
        <w:tc>
          <w:tcPr>
            <w:tcW w:w="2268" w:type="dxa"/>
            <w:noWrap/>
            <w:vAlign w:val="center"/>
            <w:hideMark/>
          </w:tcPr>
          <w:p w14:paraId="2FB9668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CFE3F1F" w14:textId="77777777" w:rsidTr="008F31FB">
        <w:trPr>
          <w:trHeight w:val="320"/>
        </w:trPr>
        <w:tc>
          <w:tcPr>
            <w:tcW w:w="4535" w:type="dxa"/>
            <w:noWrap/>
            <w:vAlign w:val="center"/>
            <w:hideMark/>
          </w:tcPr>
          <w:p w14:paraId="3FF619FD" w14:textId="77777777" w:rsidR="008F31FB" w:rsidRPr="008F31FB" w:rsidRDefault="008F31FB" w:rsidP="00AB61A4">
            <w:pPr>
              <w:spacing w:line="360" w:lineRule="auto"/>
              <w:rPr>
                <w:rFonts w:eastAsia="DengXian"/>
                <w:color w:val="000000"/>
              </w:rPr>
            </w:pPr>
            <w:r w:rsidRPr="008F31FB">
              <w:rPr>
                <w:rFonts w:eastAsia="DengXian"/>
                <w:color w:val="000000"/>
              </w:rPr>
              <w:t>Genome-wide linkage and positional candidate gene study of blood pressure response to dietary potassium intervention: the genetic epidemiology network of  salt sensitivity study.</w:t>
            </w:r>
          </w:p>
        </w:tc>
        <w:tc>
          <w:tcPr>
            <w:tcW w:w="1134" w:type="dxa"/>
            <w:noWrap/>
            <w:vAlign w:val="center"/>
            <w:hideMark/>
          </w:tcPr>
          <w:p w14:paraId="5F4FD65A" w14:textId="77777777" w:rsidR="008F31FB" w:rsidRPr="008F31FB" w:rsidRDefault="008F31FB" w:rsidP="00AB61A4">
            <w:pPr>
              <w:spacing w:line="360" w:lineRule="auto"/>
              <w:rPr>
                <w:rFonts w:eastAsia="DengXian"/>
                <w:color w:val="000000"/>
              </w:rPr>
            </w:pPr>
            <w:r w:rsidRPr="008F31FB">
              <w:rPr>
                <w:rFonts w:eastAsia="DengXian"/>
                <w:color w:val="000000"/>
              </w:rPr>
              <w:t>2010</w:t>
            </w:r>
          </w:p>
        </w:tc>
        <w:tc>
          <w:tcPr>
            <w:tcW w:w="2268" w:type="dxa"/>
            <w:noWrap/>
            <w:vAlign w:val="center"/>
            <w:hideMark/>
          </w:tcPr>
          <w:p w14:paraId="14DF139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3E32E0E" w14:textId="77777777" w:rsidTr="008F31FB">
        <w:trPr>
          <w:trHeight w:val="320"/>
        </w:trPr>
        <w:tc>
          <w:tcPr>
            <w:tcW w:w="4535" w:type="dxa"/>
            <w:noWrap/>
            <w:vAlign w:val="center"/>
            <w:hideMark/>
          </w:tcPr>
          <w:p w14:paraId="50C870DC" w14:textId="77777777" w:rsidR="008F31FB" w:rsidRPr="008F31FB" w:rsidRDefault="008F31FB" w:rsidP="00AB61A4">
            <w:pPr>
              <w:spacing w:line="360" w:lineRule="auto"/>
              <w:rPr>
                <w:rFonts w:eastAsia="DengXian"/>
                <w:color w:val="000000"/>
              </w:rPr>
            </w:pPr>
            <w:r w:rsidRPr="008F31FB">
              <w:rPr>
                <w:rFonts w:eastAsia="DengXian"/>
                <w:color w:val="000000"/>
              </w:rPr>
              <w:t>B-type natriuretic peptide and the effect of ranolazine in patients with non-ST-segment elevation acute coronary syndromes: observations from the  MERLIN-TIMI 36 (Metabolic Efficiency With Ranolazine for Less Ischemia in Non-ST  Elevation Acute Coronary-Thrombolysis In Myocardial Infarction 36) trial.</w:t>
            </w:r>
          </w:p>
        </w:tc>
        <w:tc>
          <w:tcPr>
            <w:tcW w:w="1134" w:type="dxa"/>
            <w:noWrap/>
            <w:vAlign w:val="center"/>
            <w:hideMark/>
          </w:tcPr>
          <w:p w14:paraId="349E97A4" w14:textId="77777777" w:rsidR="008F31FB" w:rsidRPr="008F31FB" w:rsidRDefault="008F31FB" w:rsidP="00AB61A4">
            <w:pPr>
              <w:spacing w:line="360" w:lineRule="auto"/>
              <w:rPr>
                <w:rFonts w:eastAsia="DengXian"/>
                <w:color w:val="000000"/>
              </w:rPr>
            </w:pPr>
            <w:r w:rsidRPr="008F31FB">
              <w:rPr>
                <w:rFonts w:eastAsia="DengXian"/>
                <w:color w:val="000000"/>
              </w:rPr>
              <w:t>2010</w:t>
            </w:r>
          </w:p>
        </w:tc>
        <w:tc>
          <w:tcPr>
            <w:tcW w:w="2268" w:type="dxa"/>
            <w:noWrap/>
            <w:vAlign w:val="center"/>
            <w:hideMark/>
          </w:tcPr>
          <w:p w14:paraId="432C41C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AB65164" w14:textId="77777777" w:rsidTr="008F31FB">
        <w:trPr>
          <w:trHeight w:val="320"/>
        </w:trPr>
        <w:tc>
          <w:tcPr>
            <w:tcW w:w="4535" w:type="dxa"/>
            <w:noWrap/>
            <w:vAlign w:val="center"/>
            <w:hideMark/>
          </w:tcPr>
          <w:p w14:paraId="0D6A979F" w14:textId="77777777" w:rsidR="008F31FB" w:rsidRPr="008F31FB" w:rsidRDefault="008F31FB" w:rsidP="00AB61A4">
            <w:pPr>
              <w:spacing w:line="360" w:lineRule="auto"/>
              <w:rPr>
                <w:rFonts w:eastAsia="DengXian"/>
                <w:color w:val="000000"/>
              </w:rPr>
            </w:pPr>
            <w:r w:rsidRPr="008F31FB">
              <w:rPr>
                <w:rFonts w:eastAsia="DengXian"/>
                <w:color w:val="000000"/>
              </w:rPr>
              <w:t>Weight loss in individuals with metabolic syndrome given DASH diet counseling when provided a low sodium vegetable juice: a randomized controlled trial.</w:t>
            </w:r>
          </w:p>
        </w:tc>
        <w:tc>
          <w:tcPr>
            <w:tcW w:w="1134" w:type="dxa"/>
            <w:noWrap/>
            <w:vAlign w:val="center"/>
            <w:hideMark/>
          </w:tcPr>
          <w:p w14:paraId="4D475BA5" w14:textId="77777777" w:rsidR="008F31FB" w:rsidRPr="008F31FB" w:rsidRDefault="008F31FB" w:rsidP="00AB61A4">
            <w:pPr>
              <w:spacing w:line="360" w:lineRule="auto"/>
              <w:rPr>
                <w:rFonts w:eastAsia="DengXian"/>
                <w:color w:val="000000"/>
              </w:rPr>
            </w:pPr>
            <w:r w:rsidRPr="008F31FB">
              <w:rPr>
                <w:rFonts w:eastAsia="DengXian"/>
                <w:color w:val="000000"/>
              </w:rPr>
              <w:t>2010</w:t>
            </w:r>
          </w:p>
        </w:tc>
        <w:tc>
          <w:tcPr>
            <w:tcW w:w="2268" w:type="dxa"/>
            <w:noWrap/>
            <w:vAlign w:val="center"/>
            <w:hideMark/>
          </w:tcPr>
          <w:p w14:paraId="45939B3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E2C229D" w14:textId="77777777" w:rsidTr="008F31FB">
        <w:trPr>
          <w:trHeight w:val="320"/>
        </w:trPr>
        <w:tc>
          <w:tcPr>
            <w:tcW w:w="4535" w:type="dxa"/>
            <w:noWrap/>
            <w:vAlign w:val="center"/>
            <w:hideMark/>
          </w:tcPr>
          <w:p w14:paraId="4F5D3CF3" w14:textId="77777777" w:rsidR="008F31FB" w:rsidRPr="008F31FB" w:rsidRDefault="008F31FB" w:rsidP="00AB61A4">
            <w:pPr>
              <w:spacing w:line="360" w:lineRule="auto"/>
              <w:rPr>
                <w:rFonts w:eastAsia="DengXian"/>
                <w:color w:val="000000"/>
              </w:rPr>
            </w:pPr>
            <w:r w:rsidRPr="008F31FB">
              <w:rPr>
                <w:rFonts w:eastAsia="DengXian"/>
                <w:color w:val="000000"/>
              </w:rPr>
              <w:t>Dietary salt loading impairs arterial vascular reactivity.</w:t>
            </w:r>
          </w:p>
        </w:tc>
        <w:tc>
          <w:tcPr>
            <w:tcW w:w="1134" w:type="dxa"/>
            <w:noWrap/>
            <w:vAlign w:val="center"/>
            <w:hideMark/>
          </w:tcPr>
          <w:p w14:paraId="46F80507" w14:textId="77777777" w:rsidR="008F31FB" w:rsidRPr="008F31FB" w:rsidRDefault="008F31FB" w:rsidP="00AB61A4">
            <w:pPr>
              <w:spacing w:line="360" w:lineRule="auto"/>
              <w:rPr>
                <w:rFonts w:eastAsia="DengXian"/>
                <w:color w:val="000000"/>
              </w:rPr>
            </w:pPr>
            <w:r w:rsidRPr="008F31FB">
              <w:rPr>
                <w:rFonts w:eastAsia="DengXian"/>
                <w:color w:val="000000"/>
              </w:rPr>
              <w:t>2010</w:t>
            </w:r>
          </w:p>
        </w:tc>
        <w:tc>
          <w:tcPr>
            <w:tcW w:w="2268" w:type="dxa"/>
            <w:noWrap/>
            <w:vAlign w:val="center"/>
            <w:hideMark/>
          </w:tcPr>
          <w:p w14:paraId="33E5B3B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6BBE451" w14:textId="77777777" w:rsidTr="008F31FB">
        <w:trPr>
          <w:trHeight w:val="320"/>
        </w:trPr>
        <w:tc>
          <w:tcPr>
            <w:tcW w:w="4535" w:type="dxa"/>
            <w:noWrap/>
            <w:vAlign w:val="center"/>
            <w:hideMark/>
          </w:tcPr>
          <w:p w14:paraId="4E389E2D" w14:textId="77777777" w:rsidR="008F31FB" w:rsidRPr="008F31FB" w:rsidRDefault="008F31FB" w:rsidP="00AB61A4">
            <w:pPr>
              <w:spacing w:line="360" w:lineRule="auto"/>
              <w:rPr>
                <w:rFonts w:eastAsia="DengXian"/>
                <w:color w:val="000000"/>
              </w:rPr>
            </w:pPr>
            <w:r w:rsidRPr="008F31FB">
              <w:rPr>
                <w:rFonts w:eastAsia="DengXian"/>
                <w:color w:val="000000"/>
              </w:rPr>
              <w:t>Impact of adopting low sodium diet on biomarkers of inflammation and coagulation: a randomised controlled trial.</w:t>
            </w:r>
          </w:p>
        </w:tc>
        <w:tc>
          <w:tcPr>
            <w:tcW w:w="1134" w:type="dxa"/>
            <w:noWrap/>
            <w:vAlign w:val="center"/>
            <w:hideMark/>
          </w:tcPr>
          <w:p w14:paraId="6D190694" w14:textId="77777777" w:rsidR="008F31FB" w:rsidRPr="008F31FB" w:rsidRDefault="008F31FB" w:rsidP="00AB61A4">
            <w:pPr>
              <w:spacing w:line="360" w:lineRule="auto"/>
              <w:rPr>
                <w:rFonts w:eastAsia="DengXian"/>
                <w:color w:val="000000"/>
              </w:rPr>
            </w:pPr>
            <w:r w:rsidRPr="008F31FB">
              <w:rPr>
                <w:rFonts w:eastAsia="DengXian"/>
                <w:color w:val="000000"/>
              </w:rPr>
              <w:t>2010</w:t>
            </w:r>
          </w:p>
        </w:tc>
        <w:tc>
          <w:tcPr>
            <w:tcW w:w="2268" w:type="dxa"/>
            <w:noWrap/>
            <w:vAlign w:val="center"/>
            <w:hideMark/>
          </w:tcPr>
          <w:p w14:paraId="741E3A9F"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D1B3C6F" w14:textId="77777777" w:rsidTr="008F31FB">
        <w:trPr>
          <w:trHeight w:val="320"/>
        </w:trPr>
        <w:tc>
          <w:tcPr>
            <w:tcW w:w="4535" w:type="dxa"/>
            <w:noWrap/>
            <w:vAlign w:val="center"/>
            <w:hideMark/>
          </w:tcPr>
          <w:p w14:paraId="3132C953" w14:textId="77777777" w:rsidR="008F31FB" w:rsidRPr="008F31FB" w:rsidRDefault="008F31FB" w:rsidP="00AB61A4">
            <w:pPr>
              <w:spacing w:line="360" w:lineRule="auto"/>
              <w:rPr>
                <w:rFonts w:eastAsia="DengXian"/>
                <w:color w:val="000000"/>
              </w:rPr>
            </w:pPr>
            <w:r w:rsidRPr="008F31FB">
              <w:rPr>
                <w:rFonts w:eastAsia="DengXian"/>
                <w:color w:val="000000"/>
              </w:rPr>
              <w:t xml:space="preserve">Effects of potassium chloride and potassium bicarbonate on endothelial function, </w:t>
            </w:r>
            <w:r w:rsidRPr="008F31FB">
              <w:rPr>
                <w:rFonts w:eastAsia="DengXian"/>
                <w:color w:val="000000"/>
              </w:rPr>
              <w:lastRenderedPageBreak/>
              <w:t>cardiovascular risk factors, and bone turnover in mild hypertensives.</w:t>
            </w:r>
          </w:p>
        </w:tc>
        <w:tc>
          <w:tcPr>
            <w:tcW w:w="1134" w:type="dxa"/>
            <w:noWrap/>
            <w:vAlign w:val="center"/>
            <w:hideMark/>
          </w:tcPr>
          <w:p w14:paraId="04623D16"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2010</w:t>
            </w:r>
          </w:p>
        </w:tc>
        <w:tc>
          <w:tcPr>
            <w:tcW w:w="2268" w:type="dxa"/>
            <w:noWrap/>
            <w:vAlign w:val="center"/>
            <w:hideMark/>
          </w:tcPr>
          <w:p w14:paraId="47CE36D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331BA24" w14:textId="77777777" w:rsidTr="008F31FB">
        <w:trPr>
          <w:trHeight w:val="320"/>
        </w:trPr>
        <w:tc>
          <w:tcPr>
            <w:tcW w:w="4535" w:type="dxa"/>
            <w:noWrap/>
            <w:vAlign w:val="center"/>
            <w:hideMark/>
          </w:tcPr>
          <w:p w14:paraId="28EA561A" w14:textId="77777777" w:rsidR="008F31FB" w:rsidRPr="008F31FB" w:rsidRDefault="008F31FB" w:rsidP="00AB61A4">
            <w:pPr>
              <w:spacing w:line="360" w:lineRule="auto"/>
              <w:rPr>
                <w:rFonts w:eastAsia="DengXian"/>
                <w:color w:val="000000"/>
              </w:rPr>
            </w:pPr>
            <w:r w:rsidRPr="008F31FB">
              <w:rPr>
                <w:rFonts w:eastAsia="DengXian"/>
                <w:color w:val="000000"/>
              </w:rPr>
              <w:t>Randomized controlled trial: lisinopril reduces proteinuria, ammonia, and renal polypeptide tubular catabolism in patients with chronic allograft nephropathy.</w:t>
            </w:r>
          </w:p>
        </w:tc>
        <w:tc>
          <w:tcPr>
            <w:tcW w:w="1134" w:type="dxa"/>
            <w:noWrap/>
            <w:vAlign w:val="center"/>
            <w:hideMark/>
          </w:tcPr>
          <w:p w14:paraId="40F5ECE0" w14:textId="77777777" w:rsidR="008F31FB" w:rsidRPr="008F31FB" w:rsidRDefault="008F31FB" w:rsidP="00AB61A4">
            <w:pPr>
              <w:spacing w:line="360" w:lineRule="auto"/>
              <w:rPr>
                <w:rFonts w:eastAsia="DengXian"/>
                <w:color w:val="000000"/>
              </w:rPr>
            </w:pPr>
            <w:r w:rsidRPr="008F31FB">
              <w:rPr>
                <w:rFonts w:eastAsia="DengXian"/>
                <w:color w:val="000000"/>
              </w:rPr>
              <w:t>2010</w:t>
            </w:r>
          </w:p>
        </w:tc>
        <w:tc>
          <w:tcPr>
            <w:tcW w:w="2268" w:type="dxa"/>
            <w:noWrap/>
            <w:vAlign w:val="center"/>
            <w:hideMark/>
          </w:tcPr>
          <w:p w14:paraId="358D278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D432AD8" w14:textId="77777777" w:rsidTr="008F31FB">
        <w:trPr>
          <w:trHeight w:val="320"/>
        </w:trPr>
        <w:tc>
          <w:tcPr>
            <w:tcW w:w="4535" w:type="dxa"/>
            <w:noWrap/>
            <w:vAlign w:val="center"/>
            <w:hideMark/>
          </w:tcPr>
          <w:p w14:paraId="25BE999F" w14:textId="77777777" w:rsidR="008F31FB" w:rsidRPr="008F31FB" w:rsidRDefault="008F31FB" w:rsidP="00AB61A4">
            <w:pPr>
              <w:spacing w:line="360" w:lineRule="auto"/>
              <w:rPr>
                <w:rFonts w:eastAsia="DengXian"/>
                <w:color w:val="000000"/>
              </w:rPr>
            </w:pPr>
            <w:r w:rsidRPr="008F31FB">
              <w:rPr>
                <w:rFonts w:eastAsia="DengXian"/>
                <w:color w:val="000000"/>
              </w:rPr>
              <w:t>Effects of the intermittent pneumatic circulator on blood pressure during hemodialysis.</w:t>
            </w:r>
          </w:p>
        </w:tc>
        <w:tc>
          <w:tcPr>
            <w:tcW w:w="1134" w:type="dxa"/>
            <w:noWrap/>
            <w:vAlign w:val="center"/>
            <w:hideMark/>
          </w:tcPr>
          <w:p w14:paraId="1C18387E" w14:textId="77777777" w:rsidR="008F31FB" w:rsidRPr="008F31FB" w:rsidRDefault="008F31FB" w:rsidP="00AB61A4">
            <w:pPr>
              <w:spacing w:line="360" w:lineRule="auto"/>
              <w:rPr>
                <w:rFonts w:eastAsia="DengXian"/>
                <w:color w:val="000000"/>
              </w:rPr>
            </w:pPr>
            <w:r w:rsidRPr="008F31FB">
              <w:rPr>
                <w:rFonts w:eastAsia="DengXian"/>
                <w:color w:val="000000"/>
              </w:rPr>
              <w:t>2010</w:t>
            </w:r>
          </w:p>
        </w:tc>
        <w:tc>
          <w:tcPr>
            <w:tcW w:w="2268" w:type="dxa"/>
            <w:noWrap/>
            <w:vAlign w:val="center"/>
            <w:hideMark/>
          </w:tcPr>
          <w:p w14:paraId="683BE81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D047094" w14:textId="77777777" w:rsidTr="008F31FB">
        <w:trPr>
          <w:trHeight w:val="320"/>
        </w:trPr>
        <w:tc>
          <w:tcPr>
            <w:tcW w:w="4535" w:type="dxa"/>
            <w:noWrap/>
            <w:vAlign w:val="center"/>
            <w:hideMark/>
          </w:tcPr>
          <w:p w14:paraId="74CF89AA" w14:textId="77777777" w:rsidR="008F31FB" w:rsidRPr="008F31FB" w:rsidRDefault="008F31FB" w:rsidP="00AB61A4">
            <w:pPr>
              <w:spacing w:line="360" w:lineRule="auto"/>
              <w:rPr>
                <w:rFonts w:eastAsia="DengXian"/>
                <w:color w:val="000000"/>
              </w:rPr>
            </w:pPr>
            <w:r w:rsidRPr="008F31FB">
              <w:rPr>
                <w:rFonts w:eastAsia="DengXian"/>
                <w:color w:val="000000"/>
              </w:rPr>
              <w:t>Racial differences in potassium homeostasis in response to differences in dietary sodium in girls.</w:t>
            </w:r>
          </w:p>
        </w:tc>
        <w:tc>
          <w:tcPr>
            <w:tcW w:w="1134" w:type="dxa"/>
            <w:noWrap/>
            <w:vAlign w:val="center"/>
            <w:hideMark/>
          </w:tcPr>
          <w:p w14:paraId="58E13FDC" w14:textId="77777777" w:rsidR="008F31FB" w:rsidRPr="008F31FB" w:rsidRDefault="008F31FB" w:rsidP="00AB61A4">
            <w:pPr>
              <w:spacing w:line="360" w:lineRule="auto"/>
              <w:rPr>
                <w:rFonts w:eastAsia="DengXian"/>
                <w:color w:val="000000"/>
              </w:rPr>
            </w:pPr>
            <w:r w:rsidRPr="008F31FB">
              <w:rPr>
                <w:rFonts w:eastAsia="DengXian"/>
                <w:color w:val="000000"/>
              </w:rPr>
              <w:t>2010</w:t>
            </w:r>
          </w:p>
        </w:tc>
        <w:tc>
          <w:tcPr>
            <w:tcW w:w="2268" w:type="dxa"/>
            <w:noWrap/>
            <w:vAlign w:val="center"/>
            <w:hideMark/>
          </w:tcPr>
          <w:p w14:paraId="545BB39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8275308" w14:textId="77777777" w:rsidTr="008F31FB">
        <w:trPr>
          <w:trHeight w:val="320"/>
        </w:trPr>
        <w:tc>
          <w:tcPr>
            <w:tcW w:w="4535" w:type="dxa"/>
            <w:noWrap/>
            <w:vAlign w:val="center"/>
            <w:hideMark/>
          </w:tcPr>
          <w:p w14:paraId="0E5FD2BB" w14:textId="77777777" w:rsidR="008F31FB" w:rsidRPr="008F31FB" w:rsidRDefault="008F31FB" w:rsidP="00AB61A4">
            <w:pPr>
              <w:spacing w:line="360" w:lineRule="auto"/>
              <w:rPr>
                <w:rFonts w:eastAsia="DengXian"/>
                <w:color w:val="000000"/>
              </w:rPr>
            </w:pPr>
            <w:r w:rsidRPr="008F31FB">
              <w:rPr>
                <w:rFonts w:eastAsia="DengXian"/>
                <w:color w:val="000000"/>
              </w:rPr>
              <w:t>Effects of salt substitute on pulse wave analysis among individuals at high cardiovascular risk in rural China: a randomized controlled trial</w:t>
            </w:r>
          </w:p>
        </w:tc>
        <w:tc>
          <w:tcPr>
            <w:tcW w:w="1134" w:type="dxa"/>
            <w:noWrap/>
            <w:vAlign w:val="center"/>
            <w:hideMark/>
          </w:tcPr>
          <w:p w14:paraId="0D24182B" w14:textId="77777777" w:rsidR="008F31FB" w:rsidRPr="008F31FB" w:rsidRDefault="008F31FB" w:rsidP="00AB61A4">
            <w:pPr>
              <w:spacing w:line="360" w:lineRule="auto"/>
              <w:rPr>
                <w:rFonts w:eastAsia="DengXian"/>
                <w:color w:val="000000"/>
              </w:rPr>
            </w:pPr>
            <w:r w:rsidRPr="008F31FB">
              <w:rPr>
                <w:rFonts w:eastAsia="DengXian"/>
                <w:color w:val="000000"/>
              </w:rPr>
              <w:t>2009</w:t>
            </w:r>
          </w:p>
        </w:tc>
        <w:tc>
          <w:tcPr>
            <w:tcW w:w="2268" w:type="dxa"/>
            <w:noWrap/>
            <w:vAlign w:val="center"/>
            <w:hideMark/>
          </w:tcPr>
          <w:p w14:paraId="3CBFE0FE" w14:textId="77777777" w:rsidR="008F31FB" w:rsidRPr="008F31FB" w:rsidRDefault="008F31FB" w:rsidP="00AB61A4">
            <w:pPr>
              <w:spacing w:line="360" w:lineRule="auto"/>
              <w:rPr>
                <w:rFonts w:eastAsia="DengXian"/>
                <w:color w:val="000000"/>
              </w:rPr>
            </w:pPr>
            <w:r w:rsidRPr="008F31FB">
              <w:rPr>
                <w:rFonts w:eastAsia="DengXian"/>
                <w:color w:val="000000"/>
              </w:rPr>
              <w:t>Duplicate data sources</w:t>
            </w:r>
          </w:p>
        </w:tc>
      </w:tr>
      <w:tr w:rsidR="004C083E" w:rsidRPr="008F31FB" w14:paraId="561D985C" w14:textId="77777777" w:rsidTr="008F31FB">
        <w:trPr>
          <w:trHeight w:val="320"/>
        </w:trPr>
        <w:tc>
          <w:tcPr>
            <w:tcW w:w="4535" w:type="dxa"/>
            <w:noWrap/>
            <w:vAlign w:val="center"/>
            <w:hideMark/>
          </w:tcPr>
          <w:p w14:paraId="07A91CD2" w14:textId="77777777" w:rsidR="008F31FB" w:rsidRPr="008F31FB" w:rsidRDefault="008F31FB" w:rsidP="00AB61A4">
            <w:pPr>
              <w:spacing w:line="360" w:lineRule="auto"/>
              <w:rPr>
                <w:rFonts w:eastAsia="DengXian"/>
                <w:color w:val="000000"/>
              </w:rPr>
            </w:pPr>
            <w:r w:rsidRPr="008F31FB">
              <w:rPr>
                <w:rFonts w:eastAsia="DengXian"/>
                <w:color w:val="000000"/>
              </w:rPr>
              <w:t>Correlation between blood pressure responses to dietary sodium and potassium intervention in a Chinese population.</w:t>
            </w:r>
          </w:p>
        </w:tc>
        <w:tc>
          <w:tcPr>
            <w:tcW w:w="1134" w:type="dxa"/>
            <w:noWrap/>
            <w:vAlign w:val="center"/>
            <w:hideMark/>
          </w:tcPr>
          <w:p w14:paraId="7DC35FA1" w14:textId="77777777" w:rsidR="008F31FB" w:rsidRPr="008F31FB" w:rsidRDefault="008F31FB" w:rsidP="00AB61A4">
            <w:pPr>
              <w:spacing w:line="360" w:lineRule="auto"/>
              <w:rPr>
                <w:rFonts w:eastAsia="DengXian"/>
                <w:color w:val="000000"/>
              </w:rPr>
            </w:pPr>
            <w:r w:rsidRPr="008F31FB">
              <w:rPr>
                <w:rFonts w:eastAsia="DengXian"/>
                <w:color w:val="000000"/>
              </w:rPr>
              <w:t>2009</w:t>
            </w:r>
          </w:p>
        </w:tc>
        <w:tc>
          <w:tcPr>
            <w:tcW w:w="2268" w:type="dxa"/>
            <w:noWrap/>
            <w:vAlign w:val="center"/>
            <w:hideMark/>
          </w:tcPr>
          <w:p w14:paraId="4B389E4C"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762D81F8" w14:textId="77777777" w:rsidTr="008F31FB">
        <w:trPr>
          <w:trHeight w:val="320"/>
        </w:trPr>
        <w:tc>
          <w:tcPr>
            <w:tcW w:w="4535" w:type="dxa"/>
            <w:noWrap/>
            <w:vAlign w:val="center"/>
            <w:hideMark/>
          </w:tcPr>
          <w:p w14:paraId="486AD797" w14:textId="77777777" w:rsidR="008F31FB" w:rsidRPr="008F31FB" w:rsidRDefault="008F31FB" w:rsidP="00AB61A4">
            <w:pPr>
              <w:spacing w:line="360" w:lineRule="auto"/>
              <w:rPr>
                <w:rFonts w:eastAsia="DengXian"/>
                <w:color w:val="000000"/>
              </w:rPr>
            </w:pPr>
            <w:r w:rsidRPr="008F31FB">
              <w:rPr>
                <w:rFonts w:eastAsia="DengXian"/>
                <w:color w:val="000000"/>
              </w:rPr>
              <w:t>Differential associations of dietary sodium and potassium intake with blood pressure: a focus on pulse pressure.</w:t>
            </w:r>
          </w:p>
        </w:tc>
        <w:tc>
          <w:tcPr>
            <w:tcW w:w="1134" w:type="dxa"/>
            <w:noWrap/>
            <w:vAlign w:val="center"/>
            <w:hideMark/>
          </w:tcPr>
          <w:p w14:paraId="45DD9159" w14:textId="77777777" w:rsidR="008F31FB" w:rsidRPr="008F31FB" w:rsidRDefault="008F31FB" w:rsidP="00AB61A4">
            <w:pPr>
              <w:spacing w:line="360" w:lineRule="auto"/>
              <w:rPr>
                <w:rFonts w:eastAsia="DengXian"/>
                <w:color w:val="000000"/>
              </w:rPr>
            </w:pPr>
            <w:r w:rsidRPr="008F31FB">
              <w:rPr>
                <w:rFonts w:eastAsia="DengXian"/>
                <w:color w:val="000000"/>
              </w:rPr>
              <w:t>2009</w:t>
            </w:r>
          </w:p>
        </w:tc>
        <w:tc>
          <w:tcPr>
            <w:tcW w:w="2268" w:type="dxa"/>
            <w:noWrap/>
            <w:vAlign w:val="center"/>
            <w:hideMark/>
          </w:tcPr>
          <w:p w14:paraId="601DE6D6"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42DDBDAC" w14:textId="77777777" w:rsidTr="008F31FB">
        <w:trPr>
          <w:trHeight w:val="320"/>
        </w:trPr>
        <w:tc>
          <w:tcPr>
            <w:tcW w:w="4535" w:type="dxa"/>
            <w:noWrap/>
            <w:vAlign w:val="center"/>
            <w:hideMark/>
          </w:tcPr>
          <w:p w14:paraId="4AE00C51" w14:textId="77777777" w:rsidR="008F31FB" w:rsidRPr="008F31FB" w:rsidRDefault="008F31FB" w:rsidP="00AB61A4">
            <w:pPr>
              <w:spacing w:line="360" w:lineRule="auto"/>
              <w:rPr>
                <w:rFonts w:eastAsia="DengXian"/>
                <w:color w:val="000000"/>
              </w:rPr>
            </w:pPr>
            <w:r w:rsidRPr="008F31FB">
              <w:rPr>
                <w:rFonts w:eastAsia="DengXian"/>
                <w:color w:val="000000"/>
              </w:rPr>
              <w:t>Long-term effects of dietary sodium intake on cytokines and neurohormonal activation in patients with recently compensated congestive heart failure.</w:t>
            </w:r>
          </w:p>
        </w:tc>
        <w:tc>
          <w:tcPr>
            <w:tcW w:w="1134" w:type="dxa"/>
            <w:noWrap/>
            <w:vAlign w:val="center"/>
            <w:hideMark/>
          </w:tcPr>
          <w:p w14:paraId="1045579F" w14:textId="77777777" w:rsidR="008F31FB" w:rsidRPr="008F31FB" w:rsidRDefault="008F31FB" w:rsidP="00AB61A4">
            <w:pPr>
              <w:spacing w:line="360" w:lineRule="auto"/>
              <w:rPr>
                <w:rFonts w:eastAsia="DengXian"/>
                <w:color w:val="000000"/>
              </w:rPr>
            </w:pPr>
            <w:r w:rsidRPr="008F31FB">
              <w:rPr>
                <w:rFonts w:eastAsia="DengXian"/>
                <w:color w:val="000000"/>
              </w:rPr>
              <w:t>2009</w:t>
            </w:r>
          </w:p>
        </w:tc>
        <w:tc>
          <w:tcPr>
            <w:tcW w:w="2268" w:type="dxa"/>
            <w:noWrap/>
            <w:vAlign w:val="center"/>
            <w:hideMark/>
          </w:tcPr>
          <w:p w14:paraId="4F3F1A3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7AB7C7E" w14:textId="77777777" w:rsidTr="008F31FB">
        <w:trPr>
          <w:trHeight w:val="320"/>
        </w:trPr>
        <w:tc>
          <w:tcPr>
            <w:tcW w:w="4535" w:type="dxa"/>
            <w:noWrap/>
            <w:vAlign w:val="center"/>
            <w:hideMark/>
          </w:tcPr>
          <w:p w14:paraId="4FC23577"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Characteristics of the Chinese subjects entered the hypertension in the very elderly trial.</w:t>
            </w:r>
          </w:p>
        </w:tc>
        <w:tc>
          <w:tcPr>
            <w:tcW w:w="1134" w:type="dxa"/>
            <w:noWrap/>
            <w:vAlign w:val="center"/>
            <w:hideMark/>
          </w:tcPr>
          <w:p w14:paraId="688A0918"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128BC905"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1AC6CD98" w14:textId="77777777" w:rsidTr="008F31FB">
        <w:trPr>
          <w:trHeight w:val="320"/>
        </w:trPr>
        <w:tc>
          <w:tcPr>
            <w:tcW w:w="4535" w:type="dxa"/>
            <w:noWrap/>
            <w:vAlign w:val="center"/>
            <w:hideMark/>
          </w:tcPr>
          <w:p w14:paraId="28D39FAD" w14:textId="77777777" w:rsidR="008F31FB" w:rsidRPr="008F31FB" w:rsidRDefault="008F31FB" w:rsidP="00AB61A4">
            <w:pPr>
              <w:spacing w:line="360" w:lineRule="auto"/>
              <w:rPr>
                <w:rFonts w:eastAsia="DengXian"/>
                <w:color w:val="000000"/>
              </w:rPr>
            </w:pPr>
            <w:r w:rsidRPr="008F31FB">
              <w:rPr>
                <w:rFonts w:eastAsia="DengXian"/>
                <w:color w:val="000000"/>
              </w:rPr>
              <w:t>Prospective randomized comparison of safety and efficacy of nicardipine and nitroprusside drip for control of hypertension in the neurosurgical intensive  care unit.</w:t>
            </w:r>
          </w:p>
        </w:tc>
        <w:tc>
          <w:tcPr>
            <w:tcW w:w="1134" w:type="dxa"/>
            <w:noWrap/>
            <w:vAlign w:val="center"/>
            <w:hideMark/>
          </w:tcPr>
          <w:p w14:paraId="59A188A3"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2503B86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9C5F845" w14:textId="77777777" w:rsidTr="008F31FB">
        <w:trPr>
          <w:trHeight w:val="320"/>
        </w:trPr>
        <w:tc>
          <w:tcPr>
            <w:tcW w:w="4535" w:type="dxa"/>
            <w:noWrap/>
            <w:vAlign w:val="center"/>
            <w:hideMark/>
          </w:tcPr>
          <w:p w14:paraId="57CA0933" w14:textId="77777777" w:rsidR="008F31FB" w:rsidRPr="008F31FB" w:rsidRDefault="008F31FB" w:rsidP="00AB61A4">
            <w:pPr>
              <w:spacing w:line="360" w:lineRule="auto"/>
              <w:rPr>
                <w:rFonts w:eastAsia="DengXian"/>
                <w:color w:val="000000"/>
              </w:rPr>
            </w:pPr>
            <w:r w:rsidRPr="008F31FB">
              <w:rPr>
                <w:rFonts w:eastAsia="DengXian"/>
                <w:color w:val="000000"/>
              </w:rPr>
              <w:t>Supportive Versus Immunosuppressive Therapy of Progressive IgA nephropathy (STOP) IgAN trial: rationale and study protocol.</w:t>
            </w:r>
          </w:p>
        </w:tc>
        <w:tc>
          <w:tcPr>
            <w:tcW w:w="1134" w:type="dxa"/>
            <w:noWrap/>
            <w:vAlign w:val="center"/>
            <w:hideMark/>
          </w:tcPr>
          <w:p w14:paraId="7CCFC037"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490E044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14AD5E2" w14:textId="77777777" w:rsidTr="008F31FB">
        <w:trPr>
          <w:trHeight w:val="320"/>
        </w:trPr>
        <w:tc>
          <w:tcPr>
            <w:tcW w:w="4535" w:type="dxa"/>
            <w:noWrap/>
            <w:vAlign w:val="center"/>
            <w:hideMark/>
          </w:tcPr>
          <w:p w14:paraId="7AD253EB" w14:textId="77777777" w:rsidR="008F31FB" w:rsidRPr="008F31FB" w:rsidRDefault="008F31FB" w:rsidP="00AB61A4">
            <w:pPr>
              <w:spacing w:line="360" w:lineRule="auto"/>
              <w:rPr>
                <w:rFonts w:eastAsia="DengXian"/>
                <w:color w:val="000000"/>
              </w:rPr>
            </w:pPr>
            <w:r w:rsidRPr="008F31FB">
              <w:rPr>
                <w:rFonts w:eastAsia="DengXian"/>
                <w:color w:val="000000"/>
              </w:rPr>
              <w:t>Controlled hypotension in adults undergoing choroidal melanoma resection: comparison between the efficacy of nitroprusside and magnesium sulphate.</w:t>
            </w:r>
          </w:p>
        </w:tc>
        <w:tc>
          <w:tcPr>
            <w:tcW w:w="1134" w:type="dxa"/>
            <w:noWrap/>
            <w:vAlign w:val="center"/>
            <w:hideMark/>
          </w:tcPr>
          <w:p w14:paraId="71EA4AF1"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4449E10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6B72668" w14:textId="77777777" w:rsidTr="008F31FB">
        <w:trPr>
          <w:trHeight w:val="320"/>
        </w:trPr>
        <w:tc>
          <w:tcPr>
            <w:tcW w:w="4535" w:type="dxa"/>
            <w:noWrap/>
            <w:vAlign w:val="center"/>
            <w:hideMark/>
          </w:tcPr>
          <w:p w14:paraId="0EFC211C" w14:textId="77777777" w:rsidR="008F31FB" w:rsidRPr="008F31FB" w:rsidRDefault="008F31FB" w:rsidP="00AB61A4">
            <w:pPr>
              <w:spacing w:line="360" w:lineRule="auto"/>
              <w:rPr>
                <w:rFonts w:eastAsia="DengXian"/>
                <w:color w:val="000000"/>
              </w:rPr>
            </w:pPr>
            <w:r w:rsidRPr="008F31FB">
              <w:rPr>
                <w:rFonts w:eastAsia="DengXian"/>
                <w:color w:val="000000"/>
              </w:rPr>
              <w:t>Physical effects of short-term recombinant human growth hormone administration in abstinent steroid dependency.</w:t>
            </w:r>
          </w:p>
        </w:tc>
        <w:tc>
          <w:tcPr>
            <w:tcW w:w="1134" w:type="dxa"/>
            <w:noWrap/>
            <w:vAlign w:val="center"/>
            <w:hideMark/>
          </w:tcPr>
          <w:p w14:paraId="798EF91F"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7CF8252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AC988FE" w14:textId="77777777" w:rsidTr="008F31FB">
        <w:trPr>
          <w:trHeight w:val="320"/>
        </w:trPr>
        <w:tc>
          <w:tcPr>
            <w:tcW w:w="4535" w:type="dxa"/>
            <w:noWrap/>
            <w:vAlign w:val="center"/>
            <w:hideMark/>
          </w:tcPr>
          <w:p w14:paraId="4B4955BF" w14:textId="77777777" w:rsidR="008F31FB" w:rsidRPr="008F31FB" w:rsidRDefault="008F31FB" w:rsidP="00AB61A4">
            <w:pPr>
              <w:spacing w:line="360" w:lineRule="auto"/>
              <w:rPr>
                <w:rFonts w:eastAsia="DengXian"/>
                <w:color w:val="000000"/>
              </w:rPr>
            </w:pPr>
            <w:r w:rsidRPr="008F31FB">
              <w:rPr>
                <w:rFonts w:eastAsia="DengXian"/>
                <w:color w:val="000000"/>
              </w:rPr>
              <w:t>Laboratory tests as predictors of the antihypertensive effects of amlodipine, bisoprolol, hydrochlorothiazide and losartan in men: results from the randomized,  double-blind, crossover GENRES Study.</w:t>
            </w:r>
          </w:p>
        </w:tc>
        <w:tc>
          <w:tcPr>
            <w:tcW w:w="1134" w:type="dxa"/>
            <w:noWrap/>
            <w:vAlign w:val="center"/>
            <w:hideMark/>
          </w:tcPr>
          <w:p w14:paraId="576B64CA"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4E06828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F743794" w14:textId="77777777" w:rsidTr="008F31FB">
        <w:trPr>
          <w:trHeight w:val="320"/>
        </w:trPr>
        <w:tc>
          <w:tcPr>
            <w:tcW w:w="4535" w:type="dxa"/>
            <w:noWrap/>
            <w:vAlign w:val="center"/>
            <w:hideMark/>
          </w:tcPr>
          <w:p w14:paraId="50997B53" w14:textId="77777777" w:rsidR="008F31FB" w:rsidRPr="008F31FB" w:rsidRDefault="008F31FB" w:rsidP="00AB61A4">
            <w:pPr>
              <w:spacing w:line="360" w:lineRule="auto"/>
              <w:rPr>
                <w:rFonts w:eastAsia="DengXian"/>
                <w:color w:val="000000"/>
              </w:rPr>
            </w:pPr>
            <w:r w:rsidRPr="008F31FB">
              <w:rPr>
                <w:rFonts w:eastAsia="DengXian"/>
                <w:color w:val="000000"/>
              </w:rPr>
              <w:t>Dietary electrolytes are related to mood.</w:t>
            </w:r>
          </w:p>
        </w:tc>
        <w:tc>
          <w:tcPr>
            <w:tcW w:w="1134" w:type="dxa"/>
            <w:noWrap/>
            <w:vAlign w:val="center"/>
            <w:hideMark/>
          </w:tcPr>
          <w:p w14:paraId="2B1CED28"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0FC2CE6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91D20A6" w14:textId="77777777" w:rsidTr="008F31FB">
        <w:trPr>
          <w:trHeight w:val="320"/>
        </w:trPr>
        <w:tc>
          <w:tcPr>
            <w:tcW w:w="4535" w:type="dxa"/>
            <w:noWrap/>
            <w:vAlign w:val="center"/>
            <w:hideMark/>
          </w:tcPr>
          <w:p w14:paraId="68850886" w14:textId="77777777" w:rsidR="008F31FB" w:rsidRPr="008F31FB" w:rsidRDefault="008F31FB" w:rsidP="00AB61A4">
            <w:pPr>
              <w:spacing w:line="360" w:lineRule="auto"/>
              <w:rPr>
                <w:rFonts w:eastAsia="DengXian"/>
                <w:color w:val="000000"/>
              </w:rPr>
            </w:pPr>
            <w:r w:rsidRPr="008F31FB">
              <w:rPr>
                <w:rFonts w:eastAsia="DengXian"/>
                <w:color w:val="000000"/>
              </w:rPr>
              <w:t xml:space="preserve">Ischaemic preconditioning attenuates haemodynamic response and lipid </w:t>
            </w:r>
            <w:r w:rsidRPr="008F31FB">
              <w:rPr>
                <w:rFonts w:eastAsia="DengXian"/>
                <w:color w:val="000000"/>
              </w:rPr>
              <w:lastRenderedPageBreak/>
              <w:t>peroxidation in lower-extremity surgery with unilateral pneumatic tourniquet application: a  clinical pilot study.</w:t>
            </w:r>
          </w:p>
        </w:tc>
        <w:tc>
          <w:tcPr>
            <w:tcW w:w="1134" w:type="dxa"/>
            <w:noWrap/>
            <w:vAlign w:val="center"/>
            <w:hideMark/>
          </w:tcPr>
          <w:p w14:paraId="52A4DBC3"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2008</w:t>
            </w:r>
          </w:p>
        </w:tc>
        <w:tc>
          <w:tcPr>
            <w:tcW w:w="2268" w:type="dxa"/>
            <w:noWrap/>
            <w:vAlign w:val="center"/>
            <w:hideMark/>
          </w:tcPr>
          <w:p w14:paraId="198FB4F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2FD960C" w14:textId="77777777" w:rsidTr="008F31FB">
        <w:trPr>
          <w:trHeight w:val="320"/>
        </w:trPr>
        <w:tc>
          <w:tcPr>
            <w:tcW w:w="4535" w:type="dxa"/>
            <w:noWrap/>
            <w:vAlign w:val="center"/>
            <w:hideMark/>
          </w:tcPr>
          <w:p w14:paraId="2D7A4265" w14:textId="77777777" w:rsidR="008F31FB" w:rsidRPr="008F31FB" w:rsidRDefault="008F31FB" w:rsidP="00AB61A4">
            <w:pPr>
              <w:spacing w:line="360" w:lineRule="auto"/>
              <w:rPr>
                <w:rFonts w:eastAsia="DengXian"/>
                <w:color w:val="000000"/>
              </w:rPr>
            </w:pPr>
            <w:r w:rsidRPr="008F31FB">
              <w:rPr>
                <w:rFonts w:eastAsia="DengXian"/>
                <w:color w:val="000000"/>
              </w:rPr>
              <w:t>Sodium-hydrogen exchange inhibition by cariporide to reduce the risk of ischemic cardiac events in patients undergoing coronary artery bypass grafting: results of  the EXPEDITION study.</w:t>
            </w:r>
          </w:p>
        </w:tc>
        <w:tc>
          <w:tcPr>
            <w:tcW w:w="1134" w:type="dxa"/>
            <w:noWrap/>
            <w:vAlign w:val="center"/>
            <w:hideMark/>
          </w:tcPr>
          <w:p w14:paraId="4651D81C"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4CDC859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3E1DCD1" w14:textId="77777777" w:rsidTr="008F31FB">
        <w:trPr>
          <w:trHeight w:val="320"/>
        </w:trPr>
        <w:tc>
          <w:tcPr>
            <w:tcW w:w="4535" w:type="dxa"/>
            <w:noWrap/>
            <w:vAlign w:val="center"/>
            <w:hideMark/>
          </w:tcPr>
          <w:p w14:paraId="157219F0" w14:textId="77777777" w:rsidR="008F31FB" w:rsidRPr="008F31FB" w:rsidRDefault="008F31FB" w:rsidP="00AB61A4">
            <w:pPr>
              <w:spacing w:line="360" w:lineRule="auto"/>
              <w:rPr>
                <w:rFonts w:eastAsia="DengXian"/>
                <w:color w:val="000000"/>
              </w:rPr>
            </w:pPr>
            <w:r w:rsidRPr="008F31FB">
              <w:rPr>
                <w:rFonts w:eastAsia="DengXian"/>
                <w:color w:val="000000"/>
              </w:rPr>
              <w:t>A new formulation of tolevamer, a novel nonantibiotic polymer, is safe and well-tolerated in healthy volunteers: a randomized phase I trial.</w:t>
            </w:r>
          </w:p>
        </w:tc>
        <w:tc>
          <w:tcPr>
            <w:tcW w:w="1134" w:type="dxa"/>
            <w:noWrap/>
            <w:vAlign w:val="center"/>
            <w:hideMark/>
          </w:tcPr>
          <w:p w14:paraId="5559BBEA"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6E8AF4E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1E1A853" w14:textId="77777777" w:rsidTr="008F31FB">
        <w:trPr>
          <w:trHeight w:val="320"/>
        </w:trPr>
        <w:tc>
          <w:tcPr>
            <w:tcW w:w="4535" w:type="dxa"/>
            <w:noWrap/>
            <w:vAlign w:val="center"/>
            <w:hideMark/>
          </w:tcPr>
          <w:p w14:paraId="6AE11FDB" w14:textId="77777777" w:rsidR="008F31FB" w:rsidRPr="008F31FB" w:rsidRDefault="008F31FB" w:rsidP="00AB61A4">
            <w:pPr>
              <w:spacing w:line="360" w:lineRule="auto"/>
              <w:rPr>
                <w:rFonts w:eastAsia="DengXian"/>
                <w:color w:val="000000"/>
              </w:rPr>
            </w:pPr>
            <w:r w:rsidRPr="008F31FB">
              <w:rPr>
                <w:rFonts w:eastAsia="DengXian"/>
                <w:color w:val="000000"/>
              </w:rPr>
              <w:t>Effects of dietary sodium and hydrochlorothiazide on the antiproteinuric efficacy of losartan.</w:t>
            </w:r>
          </w:p>
        </w:tc>
        <w:tc>
          <w:tcPr>
            <w:tcW w:w="1134" w:type="dxa"/>
            <w:noWrap/>
            <w:vAlign w:val="center"/>
            <w:hideMark/>
          </w:tcPr>
          <w:p w14:paraId="598FFDE8"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040C95F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3A2D9F0" w14:textId="77777777" w:rsidTr="008F31FB">
        <w:trPr>
          <w:trHeight w:val="320"/>
        </w:trPr>
        <w:tc>
          <w:tcPr>
            <w:tcW w:w="4535" w:type="dxa"/>
            <w:noWrap/>
            <w:vAlign w:val="center"/>
            <w:hideMark/>
          </w:tcPr>
          <w:p w14:paraId="79036D90" w14:textId="77777777" w:rsidR="008F31FB" w:rsidRPr="008F31FB" w:rsidRDefault="008F31FB" w:rsidP="00AB61A4">
            <w:pPr>
              <w:spacing w:line="360" w:lineRule="auto"/>
              <w:rPr>
                <w:rFonts w:eastAsia="DengXian"/>
                <w:color w:val="000000"/>
              </w:rPr>
            </w:pPr>
            <w:r w:rsidRPr="008F31FB">
              <w:rPr>
                <w:rFonts w:eastAsia="DengXian"/>
                <w:color w:val="000000"/>
              </w:rPr>
              <w:t>Favorable effects of berry consumption on platelet function, blood pressure, and HDL cholesterol.</w:t>
            </w:r>
          </w:p>
        </w:tc>
        <w:tc>
          <w:tcPr>
            <w:tcW w:w="1134" w:type="dxa"/>
            <w:noWrap/>
            <w:vAlign w:val="center"/>
            <w:hideMark/>
          </w:tcPr>
          <w:p w14:paraId="138F1F6E"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74B58B0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2CD49E6" w14:textId="77777777" w:rsidTr="008F31FB">
        <w:trPr>
          <w:trHeight w:val="320"/>
        </w:trPr>
        <w:tc>
          <w:tcPr>
            <w:tcW w:w="4535" w:type="dxa"/>
            <w:noWrap/>
            <w:vAlign w:val="center"/>
            <w:hideMark/>
          </w:tcPr>
          <w:p w14:paraId="498FC2F3" w14:textId="77777777" w:rsidR="008F31FB" w:rsidRPr="008F31FB" w:rsidRDefault="008F31FB" w:rsidP="00AB61A4">
            <w:pPr>
              <w:spacing w:line="360" w:lineRule="auto"/>
              <w:rPr>
                <w:rFonts w:eastAsia="DengXian"/>
                <w:color w:val="000000"/>
              </w:rPr>
            </w:pPr>
            <w:r w:rsidRPr="008F31FB">
              <w:rPr>
                <w:rFonts w:eastAsia="DengXian"/>
                <w:color w:val="000000"/>
              </w:rPr>
              <w:t>Characteristics of the diet patterns tested in the optimal macronutrient intake trial to prevent heart disease (OmniHeart): options for a heart-healthy diet.</w:t>
            </w:r>
          </w:p>
        </w:tc>
        <w:tc>
          <w:tcPr>
            <w:tcW w:w="1134" w:type="dxa"/>
            <w:noWrap/>
            <w:vAlign w:val="center"/>
            <w:hideMark/>
          </w:tcPr>
          <w:p w14:paraId="2B36BA5F" w14:textId="77777777" w:rsidR="008F31FB" w:rsidRPr="008F31FB" w:rsidRDefault="008F31FB" w:rsidP="00AB61A4">
            <w:pPr>
              <w:spacing w:line="360" w:lineRule="auto"/>
              <w:rPr>
                <w:rFonts w:eastAsia="DengXian"/>
                <w:color w:val="000000"/>
              </w:rPr>
            </w:pPr>
            <w:r w:rsidRPr="008F31FB">
              <w:rPr>
                <w:rFonts w:eastAsia="DengXian"/>
                <w:color w:val="000000"/>
              </w:rPr>
              <w:t>2008</w:t>
            </w:r>
          </w:p>
        </w:tc>
        <w:tc>
          <w:tcPr>
            <w:tcW w:w="2268" w:type="dxa"/>
            <w:noWrap/>
            <w:vAlign w:val="center"/>
            <w:hideMark/>
          </w:tcPr>
          <w:p w14:paraId="6D989D0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578C1A9" w14:textId="77777777" w:rsidTr="008F31FB">
        <w:trPr>
          <w:trHeight w:val="320"/>
        </w:trPr>
        <w:tc>
          <w:tcPr>
            <w:tcW w:w="4535" w:type="dxa"/>
            <w:noWrap/>
            <w:vAlign w:val="center"/>
            <w:hideMark/>
          </w:tcPr>
          <w:p w14:paraId="6898B81F" w14:textId="77777777" w:rsidR="008F31FB" w:rsidRPr="008F31FB" w:rsidRDefault="008F31FB" w:rsidP="00AB61A4">
            <w:pPr>
              <w:spacing w:line="360" w:lineRule="auto"/>
              <w:rPr>
                <w:rFonts w:eastAsia="DengXian"/>
                <w:color w:val="000000"/>
              </w:rPr>
            </w:pPr>
            <w:r w:rsidRPr="008F31FB">
              <w:rPr>
                <w:rFonts w:eastAsia="DengXian"/>
                <w:color w:val="000000"/>
              </w:rPr>
              <w:t>Heritability of blood pressure responses to dietary sodium and potassium intake in a Chinese population.</w:t>
            </w:r>
          </w:p>
        </w:tc>
        <w:tc>
          <w:tcPr>
            <w:tcW w:w="1134" w:type="dxa"/>
            <w:noWrap/>
            <w:vAlign w:val="center"/>
            <w:hideMark/>
          </w:tcPr>
          <w:p w14:paraId="45DC669C" w14:textId="77777777" w:rsidR="008F31FB" w:rsidRPr="008F31FB" w:rsidRDefault="008F31FB" w:rsidP="00AB61A4">
            <w:pPr>
              <w:spacing w:line="360" w:lineRule="auto"/>
              <w:rPr>
                <w:rFonts w:eastAsia="DengXian"/>
                <w:color w:val="000000"/>
              </w:rPr>
            </w:pPr>
            <w:r w:rsidRPr="008F31FB">
              <w:rPr>
                <w:rFonts w:eastAsia="DengXian"/>
                <w:color w:val="000000"/>
              </w:rPr>
              <w:t>2007</w:t>
            </w:r>
          </w:p>
        </w:tc>
        <w:tc>
          <w:tcPr>
            <w:tcW w:w="2268" w:type="dxa"/>
            <w:noWrap/>
            <w:vAlign w:val="center"/>
            <w:hideMark/>
          </w:tcPr>
          <w:p w14:paraId="33595759"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036609C3" w14:textId="77777777" w:rsidTr="008F31FB">
        <w:trPr>
          <w:trHeight w:val="320"/>
        </w:trPr>
        <w:tc>
          <w:tcPr>
            <w:tcW w:w="4535" w:type="dxa"/>
            <w:noWrap/>
            <w:vAlign w:val="center"/>
            <w:hideMark/>
          </w:tcPr>
          <w:p w14:paraId="04AA1916" w14:textId="77777777" w:rsidR="008F31FB" w:rsidRPr="008F31FB" w:rsidRDefault="008F31FB" w:rsidP="00AB61A4">
            <w:pPr>
              <w:spacing w:line="360" w:lineRule="auto"/>
              <w:rPr>
                <w:rFonts w:eastAsia="DengXian"/>
                <w:color w:val="000000"/>
              </w:rPr>
            </w:pPr>
            <w:r w:rsidRPr="008F31FB">
              <w:rPr>
                <w:rFonts w:eastAsia="DengXian"/>
                <w:color w:val="000000"/>
              </w:rPr>
              <w:t xml:space="preserve">The efficacy of terlipressin in comparison with albumin in the prevention of circulatory </w:t>
            </w:r>
            <w:r w:rsidRPr="008F31FB">
              <w:rPr>
                <w:rFonts w:eastAsia="DengXian"/>
                <w:color w:val="000000"/>
              </w:rPr>
              <w:lastRenderedPageBreak/>
              <w:t>changes after the paracentesis of tense ascites--a randomized  multicentric study.</w:t>
            </w:r>
          </w:p>
        </w:tc>
        <w:tc>
          <w:tcPr>
            <w:tcW w:w="1134" w:type="dxa"/>
            <w:noWrap/>
            <w:vAlign w:val="center"/>
            <w:hideMark/>
          </w:tcPr>
          <w:p w14:paraId="0C91064F"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2007</w:t>
            </w:r>
          </w:p>
        </w:tc>
        <w:tc>
          <w:tcPr>
            <w:tcW w:w="2268" w:type="dxa"/>
            <w:noWrap/>
            <w:vAlign w:val="center"/>
            <w:hideMark/>
          </w:tcPr>
          <w:p w14:paraId="32ABC9B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AA5AAC6" w14:textId="77777777" w:rsidTr="008F31FB">
        <w:trPr>
          <w:trHeight w:val="320"/>
        </w:trPr>
        <w:tc>
          <w:tcPr>
            <w:tcW w:w="4535" w:type="dxa"/>
            <w:noWrap/>
            <w:vAlign w:val="center"/>
            <w:hideMark/>
          </w:tcPr>
          <w:p w14:paraId="7C912B9E" w14:textId="77777777" w:rsidR="008F31FB" w:rsidRPr="008F31FB" w:rsidRDefault="008F31FB" w:rsidP="00AB61A4">
            <w:pPr>
              <w:spacing w:line="360" w:lineRule="auto"/>
              <w:rPr>
                <w:rFonts w:eastAsia="DengXian"/>
                <w:color w:val="000000"/>
              </w:rPr>
            </w:pPr>
            <w:r w:rsidRPr="008F31FB">
              <w:rPr>
                <w:rFonts w:eastAsia="DengXian"/>
                <w:color w:val="000000"/>
              </w:rPr>
              <w:t>Chronic treatment with long-acting nifedipine reduces vasoconstriction to endothelin-1 in essential hypertension.</w:t>
            </w:r>
          </w:p>
        </w:tc>
        <w:tc>
          <w:tcPr>
            <w:tcW w:w="1134" w:type="dxa"/>
            <w:noWrap/>
            <w:vAlign w:val="center"/>
            <w:hideMark/>
          </w:tcPr>
          <w:p w14:paraId="68434BED" w14:textId="77777777" w:rsidR="008F31FB" w:rsidRPr="008F31FB" w:rsidRDefault="008F31FB" w:rsidP="00AB61A4">
            <w:pPr>
              <w:spacing w:line="360" w:lineRule="auto"/>
              <w:rPr>
                <w:rFonts w:eastAsia="DengXian"/>
                <w:color w:val="000000"/>
              </w:rPr>
            </w:pPr>
            <w:r w:rsidRPr="008F31FB">
              <w:rPr>
                <w:rFonts w:eastAsia="DengXian"/>
                <w:color w:val="000000"/>
              </w:rPr>
              <w:t>2007</w:t>
            </w:r>
          </w:p>
        </w:tc>
        <w:tc>
          <w:tcPr>
            <w:tcW w:w="2268" w:type="dxa"/>
            <w:noWrap/>
            <w:vAlign w:val="center"/>
            <w:hideMark/>
          </w:tcPr>
          <w:p w14:paraId="78C4A2C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8E9E1E5" w14:textId="77777777" w:rsidTr="008F31FB">
        <w:trPr>
          <w:trHeight w:val="320"/>
        </w:trPr>
        <w:tc>
          <w:tcPr>
            <w:tcW w:w="4535" w:type="dxa"/>
            <w:noWrap/>
            <w:vAlign w:val="center"/>
            <w:hideMark/>
          </w:tcPr>
          <w:p w14:paraId="309538C9" w14:textId="77777777" w:rsidR="008F31FB" w:rsidRPr="008F31FB" w:rsidRDefault="008F31FB" w:rsidP="00AB61A4">
            <w:pPr>
              <w:spacing w:line="360" w:lineRule="auto"/>
              <w:rPr>
                <w:rFonts w:eastAsia="DengXian"/>
                <w:color w:val="000000"/>
              </w:rPr>
            </w:pPr>
            <w:r w:rsidRPr="008F31FB">
              <w:rPr>
                <w:rFonts w:eastAsia="DengXian"/>
                <w:color w:val="000000"/>
              </w:rPr>
              <w:t>Treatments with losartan or enalapril are equally sensitive to deterioration in renal function from cyclooxygenase inhibition.</w:t>
            </w:r>
          </w:p>
        </w:tc>
        <w:tc>
          <w:tcPr>
            <w:tcW w:w="1134" w:type="dxa"/>
            <w:noWrap/>
            <w:vAlign w:val="center"/>
            <w:hideMark/>
          </w:tcPr>
          <w:p w14:paraId="67B03C1A" w14:textId="77777777" w:rsidR="008F31FB" w:rsidRPr="008F31FB" w:rsidRDefault="008F31FB" w:rsidP="00AB61A4">
            <w:pPr>
              <w:spacing w:line="360" w:lineRule="auto"/>
              <w:rPr>
                <w:rFonts w:eastAsia="DengXian"/>
                <w:color w:val="000000"/>
              </w:rPr>
            </w:pPr>
            <w:r w:rsidRPr="008F31FB">
              <w:rPr>
                <w:rFonts w:eastAsia="DengXian"/>
                <w:color w:val="000000"/>
              </w:rPr>
              <w:t>2007</w:t>
            </w:r>
          </w:p>
        </w:tc>
        <w:tc>
          <w:tcPr>
            <w:tcW w:w="2268" w:type="dxa"/>
            <w:noWrap/>
            <w:vAlign w:val="center"/>
            <w:hideMark/>
          </w:tcPr>
          <w:p w14:paraId="6EFE9D6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295C2F2" w14:textId="77777777" w:rsidTr="008F31FB">
        <w:trPr>
          <w:trHeight w:val="320"/>
        </w:trPr>
        <w:tc>
          <w:tcPr>
            <w:tcW w:w="4535" w:type="dxa"/>
            <w:noWrap/>
            <w:vAlign w:val="center"/>
            <w:hideMark/>
          </w:tcPr>
          <w:p w14:paraId="7F8BE7BA" w14:textId="77777777" w:rsidR="008F31FB" w:rsidRPr="008F31FB" w:rsidRDefault="008F31FB" w:rsidP="00AB61A4">
            <w:pPr>
              <w:spacing w:line="360" w:lineRule="auto"/>
              <w:rPr>
                <w:rFonts w:eastAsia="DengXian"/>
                <w:color w:val="000000"/>
              </w:rPr>
            </w:pPr>
            <w:r w:rsidRPr="008F31FB">
              <w:rPr>
                <w:rFonts w:eastAsia="DengXian"/>
                <w:color w:val="000000"/>
              </w:rPr>
              <w:t>Potassium excretion in healthy Japanese women was increased by a dietary intervention utilizing home-parcel delivery of Okinawan vegetables.</w:t>
            </w:r>
          </w:p>
        </w:tc>
        <w:tc>
          <w:tcPr>
            <w:tcW w:w="1134" w:type="dxa"/>
            <w:noWrap/>
            <w:vAlign w:val="center"/>
            <w:hideMark/>
          </w:tcPr>
          <w:p w14:paraId="3545CD19" w14:textId="77777777" w:rsidR="008F31FB" w:rsidRPr="008F31FB" w:rsidRDefault="008F31FB" w:rsidP="00AB61A4">
            <w:pPr>
              <w:spacing w:line="360" w:lineRule="auto"/>
              <w:rPr>
                <w:rFonts w:eastAsia="DengXian"/>
                <w:color w:val="000000"/>
              </w:rPr>
            </w:pPr>
            <w:r w:rsidRPr="008F31FB">
              <w:rPr>
                <w:rFonts w:eastAsia="DengXian"/>
                <w:color w:val="000000"/>
              </w:rPr>
              <w:t>2006</w:t>
            </w:r>
          </w:p>
        </w:tc>
        <w:tc>
          <w:tcPr>
            <w:tcW w:w="2268" w:type="dxa"/>
            <w:noWrap/>
            <w:vAlign w:val="center"/>
            <w:hideMark/>
          </w:tcPr>
          <w:p w14:paraId="51D9FB9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CC5FA5F" w14:textId="77777777" w:rsidTr="008F31FB">
        <w:trPr>
          <w:trHeight w:val="320"/>
        </w:trPr>
        <w:tc>
          <w:tcPr>
            <w:tcW w:w="4535" w:type="dxa"/>
            <w:noWrap/>
            <w:vAlign w:val="center"/>
            <w:hideMark/>
          </w:tcPr>
          <w:p w14:paraId="366497C1" w14:textId="77777777" w:rsidR="008F31FB" w:rsidRPr="008F31FB" w:rsidRDefault="008F31FB" w:rsidP="00AB61A4">
            <w:pPr>
              <w:spacing w:line="360" w:lineRule="auto"/>
              <w:rPr>
                <w:rFonts w:eastAsia="DengXian"/>
                <w:color w:val="000000"/>
              </w:rPr>
            </w:pPr>
            <w:r w:rsidRPr="008F31FB">
              <w:rPr>
                <w:rFonts w:eastAsia="DengXian"/>
                <w:color w:val="000000"/>
              </w:rPr>
              <w:t>Effect of potassium canrenoate, an anti-aldosterone agent, on incidence of ascites and variceal progression in cirrhosis.</w:t>
            </w:r>
          </w:p>
        </w:tc>
        <w:tc>
          <w:tcPr>
            <w:tcW w:w="1134" w:type="dxa"/>
            <w:noWrap/>
            <w:vAlign w:val="center"/>
            <w:hideMark/>
          </w:tcPr>
          <w:p w14:paraId="4C1E98C9" w14:textId="77777777" w:rsidR="008F31FB" w:rsidRPr="008F31FB" w:rsidRDefault="008F31FB" w:rsidP="00AB61A4">
            <w:pPr>
              <w:spacing w:line="360" w:lineRule="auto"/>
              <w:rPr>
                <w:rFonts w:eastAsia="DengXian"/>
                <w:color w:val="000000"/>
              </w:rPr>
            </w:pPr>
            <w:r w:rsidRPr="008F31FB">
              <w:rPr>
                <w:rFonts w:eastAsia="DengXian"/>
                <w:color w:val="000000"/>
              </w:rPr>
              <w:t>2006</w:t>
            </w:r>
          </w:p>
        </w:tc>
        <w:tc>
          <w:tcPr>
            <w:tcW w:w="2268" w:type="dxa"/>
            <w:noWrap/>
            <w:vAlign w:val="center"/>
            <w:hideMark/>
          </w:tcPr>
          <w:p w14:paraId="4CD8306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4852F3D" w14:textId="77777777" w:rsidTr="008F31FB">
        <w:trPr>
          <w:trHeight w:val="320"/>
        </w:trPr>
        <w:tc>
          <w:tcPr>
            <w:tcW w:w="4535" w:type="dxa"/>
            <w:noWrap/>
            <w:vAlign w:val="center"/>
            <w:hideMark/>
          </w:tcPr>
          <w:p w14:paraId="7222DA43" w14:textId="77777777" w:rsidR="008F31FB" w:rsidRPr="008F31FB" w:rsidRDefault="008F31FB" w:rsidP="00AB61A4">
            <w:pPr>
              <w:spacing w:line="360" w:lineRule="auto"/>
              <w:rPr>
                <w:rFonts w:eastAsia="DengXian"/>
                <w:color w:val="000000"/>
              </w:rPr>
            </w:pPr>
            <w:r w:rsidRPr="008F31FB">
              <w:rPr>
                <w:rFonts w:eastAsia="DengXian"/>
                <w:color w:val="000000"/>
              </w:rPr>
              <w:t>The impact of daily sodium intake on posttransplant hypertension in kidney allograft recipients.</w:t>
            </w:r>
          </w:p>
        </w:tc>
        <w:tc>
          <w:tcPr>
            <w:tcW w:w="1134" w:type="dxa"/>
            <w:noWrap/>
            <w:vAlign w:val="center"/>
            <w:hideMark/>
          </w:tcPr>
          <w:p w14:paraId="3E1C2EAE" w14:textId="77777777" w:rsidR="008F31FB" w:rsidRPr="008F31FB" w:rsidRDefault="008F31FB" w:rsidP="00AB61A4">
            <w:pPr>
              <w:spacing w:line="360" w:lineRule="auto"/>
              <w:rPr>
                <w:rFonts w:eastAsia="DengXian"/>
                <w:color w:val="000000"/>
              </w:rPr>
            </w:pPr>
            <w:r w:rsidRPr="008F31FB">
              <w:rPr>
                <w:rFonts w:eastAsia="DengXian"/>
                <w:color w:val="000000"/>
              </w:rPr>
              <w:t>2006</w:t>
            </w:r>
          </w:p>
        </w:tc>
        <w:tc>
          <w:tcPr>
            <w:tcW w:w="2268" w:type="dxa"/>
            <w:noWrap/>
            <w:vAlign w:val="center"/>
            <w:hideMark/>
          </w:tcPr>
          <w:p w14:paraId="5A37AA1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3FE053E" w14:textId="77777777" w:rsidTr="008F31FB">
        <w:trPr>
          <w:trHeight w:val="320"/>
        </w:trPr>
        <w:tc>
          <w:tcPr>
            <w:tcW w:w="4535" w:type="dxa"/>
            <w:noWrap/>
            <w:vAlign w:val="center"/>
            <w:hideMark/>
          </w:tcPr>
          <w:p w14:paraId="24720CCE" w14:textId="77777777" w:rsidR="008F31FB" w:rsidRPr="008F31FB" w:rsidRDefault="008F31FB" w:rsidP="00AB61A4">
            <w:pPr>
              <w:spacing w:line="360" w:lineRule="auto"/>
              <w:rPr>
                <w:rFonts w:eastAsia="DengXian"/>
                <w:color w:val="000000"/>
              </w:rPr>
            </w:pPr>
            <w:r w:rsidRPr="008F31FB">
              <w:rPr>
                <w:rFonts w:eastAsia="DengXian"/>
                <w:color w:val="000000"/>
              </w:rPr>
              <w:t>Evaluation of a novel anti-ischemic agent in acute coronary syndromes: design and rationale for the Metabolic Efficiency with Ranolazine for Less Ischemia in  Non-ST-elevation acute coronary syndromes (MERLIN)-TIMI 36 trial.</w:t>
            </w:r>
          </w:p>
        </w:tc>
        <w:tc>
          <w:tcPr>
            <w:tcW w:w="1134" w:type="dxa"/>
            <w:noWrap/>
            <w:vAlign w:val="center"/>
            <w:hideMark/>
          </w:tcPr>
          <w:p w14:paraId="466205EA" w14:textId="77777777" w:rsidR="008F31FB" w:rsidRPr="008F31FB" w:rsidRDefault="008F31FB" w:rsidP="00AB61A4">
            <w:pPr>
              <w:spacing w:line="360" w:lineRule="auto"/>
              <w:rPr>
                <w:rFonts w:eastAsia="DengXian"/>
                <w:color w:val="000000"/>
              </w:rPr>
            </w:pPr>
            <w:r w:rsidRPr="008F31FB">
              <w:rPr>
                <w:rFonts w:eastAsia="DengXian"/>
                <w:color w:val="000000"/>
              </w:rPr>
              <w:t>2006</w:t>
            </w:r>
          </w:p>
        </w:tc>
        <w:tc>
          <w:tcPr>
            <w:tcW w:w="2268" w:type="dxa"/>
            <w:noWrap/>
            <w:vAlign w:val="center"/>
            <w:hideMark/>
          </w:tcPr>
          <w:p w14:paraId="3989BBFF"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D66087A" w14:textId="77777777" w:rsidTr="008F31FB">
        <w:trPr>
          <w:trHeight w:val="320"/>
        </w:trPr>
        <w:tc>
          <w:tcPr>
            <w:tcW w:w="4535" w:type="dxa"/>
            <w:noWrap/>
            <w:vAlign w:val="center"/>
            <w:hideMark/>
          </w:tcPr>
          <w:p w14:paraId="731C1308" w14:textId="77777777" w:rsidR="008F31FB" w:rsidRPr="008F31FB" w:rsidRDefault="008F31FB" w:rsidP="00AB61A4">
            <w:pPr>
              <w:spacing w:line="360" w:lineRule="auto"/>
              <w:rPr>
                <w:rFonts w:eastAsia="DengXian"/>
                <w:color w:val="000000"/>
              </w:rPr>
            </w:pPr>
            <w:r w:rsidRPr="008F31FB">
              <w:rPr>
                <w:rFonts w:eastAsia="DengXian"/>
                <w:color w:val="000000"/>
              </w:rPr>
              <w:t>The impact of new onset anaemia on morbidity and mortality in chronic heart failure: results from COMET.</w:t>
            </w:r>
          </w:p>
        </w:tc>
        <w:tc>
          <w:tcPr>
            <w:tcW w:w="1134" w:type="dxa"/>
            <w:noWrap/>
            <w:vAlign w:val="center"/>
            <w:hideMark/>
          </w:tcPr>
          <w:p w14:paraId="17130F52" w14:textId="77777777" w:rsidR="008F31FB" w:rsidRPr="008F31FB" w:rsidRDefault="008F31FB" w:rsidP="00AB61A4">
            <w:pPr>
              <w:spacing w:line="360" w:lineRule="auto"/>
              <w:rPr>
                <w:rFonts w:eastAsia="DengXian"/>
                <w:color w:val="000000"/>
              </w:rPr>
            </w:pPr>
            <w:r w:rsidRPr="008F31FB">
              <w:rPr>
                <w:rFonts w:eastAsia="DengXian"/>
                <w:color w:val="000000"/>
              </w:rPr>
              <w:t>2006</w:t>
            </w:r>
          </w:p>
        </w:tc>
        <w:tc>
          <w:tcPr>
            <w:tcW w:w="2268" w:type="dxa"/>
            <w:noWrap/>
            <w:vAlign w:val="center"/>
            <w:hideMark/>
          </w:tcPr>
          <w:p w14:paraId="513F888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F2D81A5" w14:textId="77777777" w:rsidTr="008F31FB">
        <w:trPr>
          <w:trHeight w:val="320"/>
        </w:trPr>
        <w:tc>
          <w:tcPr>
            <w:tcW w:w="4535" w:type="dxa"/>
            <w:noWrap/>
            <w:vAlign w:val="center"/>
            <w:hideMark/>
          </w:tcPr>
          <w:p w14:paraId="1E5FEAD7"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Maintenance of a low-sodium, high-carotene and -vitamin C diet after a 1-year dietary intervention: the Hiraka dietary intervention follow-up study.</w:t>
            </w:r>
          </w:p>
        </w:tc>
        <w:tc>
          <w:tcPr>
            <w:tcW w:w="1134" w:type="dxa"/>
            <w:noWrap/>
            <w:vAlign w:val="center"/>
            <w:hideMark/>
          </w:tcPr>
          <w:p w14:paraId="60C10E9F" w14:textId="77777777" w:rsidR="008F31FB" w:rsidRPr="008F31FB" w:rsidRDefault="008F31FB" w:rsidP="00AB61A4">
            <w:pPr>
              <w:spacing w:line="360" w:lineRule="auto"/>
              <w:rPr>
                <w:rFonts w:eastAsia="DengXian"/>
                <w:color w:val="000000"/>
              </w:rPr>
            </w:pPr>
            <w:r w:rsidRPr="008F31FB">
              <w:rPr>
                <w:rFonts w:eastAsia="DengXian"/>
                <w:color w:val="000000"/>
              </w:rPr>
              <w:t>2006</w:t>
            </w:r>
          </w:p>
        </w:tc>
        <w:tc>
          <w:tcPr>
            <w:tcW w:w="2268" w:type="dxa"/>
            <w:noWrap/>
            <w:vAlign w:val="center"/>
            <w:hideMark/>
          </w:tcPr>
          <w:p w14:paraId="695AE5C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0DB4FEA" w14:textId="77777777" w:rsidTr="008F31FB">
        <w:trPr>
          <w:trHeight w:val="320"/>
        </w:trPr>
        <w:tc>
          <w:tcPr>
            <w:tcW w:w="4535" w:type="dxa"/>
            <w:noWrap/>
            <w:vAlign w:val="center"/>
            <w:hideMark/>
          </w:tcPr>
          <w:p w14:paraId="6FD370ED" w14:textId="77777777" w:rsidR="008F31FB" w:rsidRPr="008F31FB" w:rsidRDefault="008F31FB" w:rsidP="00AB61A4">
            <w:pPr>
              <w:spacing w:line="360" w:lineRule="auto"/>
              <w:rPr>
                <w:rFonts w:eastAsia="DengXian"/>
                <w:color w:val="000000"/>
              </w:rPr>
            </w:pPr>
            <w:r w:rsidRPr="008F31FB">
              <w:rPr>
                <w:rFonts w:eastAsia="DengXian"/>
                <w:color w:val="000000"/>
              </w:rPr>
              <w:t>Hydrochlorothiazide efficacy and polymorphisms in ACE, ADD1 and GNB3 in healthy, male volunteers.</w:t>
            </w:r>
          </w:p>
        </w:tc>
        <w:tc>
          <w:tcPr>
            <w:tcW w:w="1134" w:type="dxa"/>
            <w:noWrap/>
            <w:vAlign w:val="center"/>
            <w:hideMark/>
          </w:tcPr>
          <w:p w14:paraId="1DA03A12" w14:textId="77777777" w:rsidR="008F31FB" w:rsidRPr="008F31FB" w:rsidRDefault="008F31FB" w:rsidP="00AB61A4">
            <w:pPr>
              <w:spacing w:line="360" w:lineRule="auto"/>
              <w:rPr>
                <w:rFonts w:eastAsia="DengXian"/>
                <w:color w:val="000000"/>
              </w:rPr>
            </w:pPr>
            <w:r w:rsidRPr="008F31FB">
              <w:rPr>
                <w:rFonts w:eastAsia="DengXian"/>
                <w:color w:val="000000"/>
              </w:rPr>
              <w:t>2006</w:t>
            </w:r>
          </w:p>
        </w:tc>
        <w:tc>
          <w:tcPr>
            <w:tcW w:w="2268" w:type="dxa"/>
            <w:noWrap/>
            <w:vAlign w:val="center"/>
            <w:hideMark/>
          </w:tcPr>
          <w:p w14:paraId="26E095B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8357FA8" w14:textId="77777777" w:rsidTr="008F31FB">
        <w:trPr>
          <w:trHeight w:val="320"/>
        </w:trPr>
        <w:tc>
          <w:tcPr>
            <w:tcW w:w="4535" w:type="dxa"/>
            <w:noWrap/>
            <w:vAlign w:val="center"/>
            <w:hideMark/>
          </w:tcPr>
          <w:p w14:paraId="489588B8" w14:textId="77777777" w:rsidR="008F31FB" w:rsidRPr="008F31FB" w:rsidRDefault="008F31FB" w:rsidP="00AB61A4">
            <w:pPr>
              <w:spacing w:line="360" w:lineRule="auto"/>
              <w:rPr>
                <w:rFonts w:eastAsia="DengXian"/>
                <w:color w:val="000000"/>
              </w:rPr>
            </w:pPr>
            <w:r w:rsidRPr="008F31FB">
              <w:rPr>
                <w:rFonts w:eastAsia="DengXian"/>
                <w:color w:val="000000"/>
              </w:rPr>
              <w:t>Vasopressin-2-receptor antagonism augments water excretion without changes in renal hemodynamics or sodium and potassium excretion in human heart failure.</w:t>
            </w:r>
          </w:p>
        </w:tc>
        <w:tc>
          <w:tcPr>
            <w:tcW w:w="1134" w:type="dxa"/>
            <w:noWrap/>
            <w:vAlign w:val="center"/>
            <w:hideMark/>
          </w:tcPr>
          <w:p w14:paraId="2BAAC3FA" w14:textId="77777777" w:rsidR="008F31FB" w:rsidRPr="008F31FB" w:rsidRDefault="008F31FB" w:rsidP="00AB61A4">
            <w:pPr>
              <w:spacing w:line="360" w:lineRule="auto"/>
              <w:rPr>
                <w:rFonts w:eastAsia="DengXian"/>
                <w:color w:val="000000"/>
              </w:rPr>
            </w:pPr>
            <w:r w:rsidRPr="008F31FB">
              <w:rPr>
                <w:rFonts w:eastAsia="DengXian"/>
                <w:color w:val="000000"/>
              </w:rPr>
              <w:t>2006</w:t>
            </w:r>
          </w:p>
        </w:tc>
        <w:tc>
          <w:tcPr>
            <w:tcW w:w="2268" w:type="dxa"/>
            <w:noWrap/>
            <w:vAlign w:val="center"/>
            <w:hideMark/>
          </w:tcPr>
          <w:p w14:paraId="512D0C1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8279AE3" w14:textId="77777777" w:rsidTr="008F31FB">
        <w:trPr>
          <w:trHeight w:val="320"/>
        </w:trPr>
        <w:tc>
          <w:tcPr>
            <w:tcW w:w="4535" w:type="dxa"/>
            <w:noWrap/>
            <w:vAlign w:val="center"/>
            <w:hideMark/>
          </w:tcPr>
          <w:p w14:paraId="476F3DCD" w14:textId="77777777" w:rsidR="008F31FB" w:rsidRPr="008F31FB" w:rsidRDefault="008F31FB" w:rsidP="00AB61A4">
            <w:pPr>
              <w:spacing w:line="360" w:lineRule="auto"/>
              <w:rPr>
                <w:rFonts w:eastAsia="DengXian"/>
                <w:color w:val="000000"/>
              </w:rPr>
            </w:pPr>
            <w:r w:rsidRPr="008F31FB">
              <w:rPr>
                <w:rFonts w:eastAsia="DengXian"/>
                <w:color w:val="000000"/>
              </w:rPr>
              <w:t>Rural and semi-urban differences in salt intake, and its dietary sources, in Ashanti, West Africa.</w:t>
            </w:r>
          </w:p>
        </w:tc>
        <w:tc>
          <w:tcPr>
            <w:tcW w:w="1134" w:type="dxa"/>
            <w:noWrap/>
            <w:vAlign w:val="center"/>
            <w:hideMark/>
          </w:tcPr>
          <w:p w14:paraId="11A2BF49" w14:textId="77777777" w:rsidR="008F31FB" w:rsidRPr="008F31FB" w:rsidRDefault="008F31FB" w:rsidP="00AB61A4">
            <w:pPr>
              <w:spacing w:line="360" w:lineRule="auto"/>
              <w:rPr>
                <w:rFonts w:eastAsia="DengXian"/>
                <w:color w:val="000000"/>
              </w:rPr>
            </w:pPr>
            <w:r w:rsidRPr="008F31FB">
              <w:rPr>
                <w:rFonts w:eastAsia="DengXian"/>
                <w:color w:val="000000"/>
              </w:rPr>
              <w:t>2005</w:t>
            </w:r>
          </w:p>
        </w:tc>
        <w:tc>
          <w:tcPr>
            <w:tcW w:w="2268" w:type="dxa"/>
            <w:noWrap/>
            <w:vAlign w:val="center"/>
            <w:hideMark/>
          </w:tcPr>
          <w:p w14:paraId="2B9116E2"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170A8523" w14:textId="77777777" w:rsidTr="008F31FB">
        <w:trPr>
          <w:trHeight w:val="320"/>
        </w:trPr>
        <w:tc>
          <w:tcPr>
            <w:tcW w:w="4535" w:type="dxa"/>
            <w:noWrap/>
            <w:vAlign w:val="center"/>
            <w:hideMark/>
          </w:tcPr>
          <w:p w14:paraId="226DFEE9" w14:textId="77777777" w:rsidR="008F31FB" w:rsidRPr="008F31FB" w:rsidRDefault="008F31FB" w:rsidP="00AB61A4">
            <w:pPr>
              <w:spacing w:line="360" w:lineRule="auto"/>
              <w:rPr>
                <w:rFonts w:eastAsia="DengXian"/>
                <w:color w:val="000000"/>
              </w:rPr>
            </w:pPr>
            <w:r w:rsidRPr="008F31FB">
              <w:rPr>
                <w:rFonts w:eastAsia="DengXian"/>
                <w:color w:val="000000"/>
              </w:rPr>
              <w:t>OASIS-HT: design of a pharmacogenomic dose-finding study.</w:t>
            </w:r>
          </w:p>
        </w:tc>
        <w:tc>
          <w:tcPr>
            <w:tcW w:w="1134" w:type="dxa"/>
            <w:noWrap/>
            <w:vAlign w:val="center"/>
            <w:hideMark/>
          </w:tcPr>
          <w:p w14:paraId="70D901A4" w14:textId="77777777" w:rsidR="008F31FB" w:rsidRPr="008F31FB" w:rsidRDefault="008F31FB" w:rsidP="00AB61A4">
            <w:pPr>
              <w:spacing w:line="360" w:lineRule="auto"/>
              <w:rPr>
                <w:rFonts w:eastAsia="DengXian"/>
                <w:color w:val="000000"/>
              </w:rPr>
            </w:pPr>
            <w:r w:rsidRPr="008F31FB">
              <w:rPr>
                <w:rFonts w:eastAsia="DengXian"/>
                <w:color w:val="000000"/>
              </w:rPr>
              <w:t>2005</w:t>
            </w:r>
          </w:p>
        </w:tc>
        <w:tc>
          <w:tcPr>
            <w:tcW w:w="2268" w:type="dxa"/>
            <w:noWrap/>
            <w:vAlign w:val="center"/>
            <w:hideMark/>
          </w:tcPr>
          <w:p w14:paraId="5020D7F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0653C22" w14:textId="77777777" w:rsidTr="008F31FB">
        <w:trPr>
          <w:trHeight w:val="320"/>
        </w:trPr>
        <w:tc>
          <w:tcPr>
            <w:tcW w:w="4535" w:type="dxa"/>
            <w:noWrap/>
            <w:vAlign w:val="center"/>
            <w:hideMark/>
          </w:tcPr>
          <w:p w14:paraId="09A25819" w14:textId="77777777" w:rsidR="008F31FB" w:rsidRPr="008F31FB" w:rsidRDefault="008F31FB" w:rsidP="00AB61A4">
            <w:pPr>
              <w:spacing w:line="360" w:lineRule="auto"/>
              <w:rPr>
                <w:rFonts w:eastAsia="DengXian"/>
                <w:color w:val="000000"/>
              </w:rPr>
            </w:pPr>
            <w:r w:rsidRPr="008F31FB">
              <w:rPr>
                <w:rFonts w:eastAsia="DengXian"/>
                <w:color w:val="000000"/>
              </w:rPr>
              <w:t>Effect of indapamide on urinary calcium excretion in patients with and without urinary stone disease.</w:t>
            </w:r>
          </w:p>
        </w:tc>
        <w:tc>
          <w:tcPr>
            <w:tcW w:w="1134" w:type="dxa"/>
            <w:noWrap/>
            <w:vAlign w:val="center"/>
            <w:hideMark/>
          </w:tcPr>
          <w:p w14:paraId="341A7C64" w14:textId="77777777" w:rsidR="008F31FB" w:rsidRPr="008F31FB" w:rsidRDefault="008F31FB" w:rsidP="00AB61A4">
            <w:pPr>
              <w:spacing w:line="360" w:lineRule="auto"/>
              <w:rPr>
                <w:rFonts w:eastAsia="DengXian"/>
                <w:color w:val="000000"/>
              </w:rPr>
            </w:pPr>
            <w:r w:rsidRPr="008F31FB">
              <w:rPr>
                <w:rFonts w:eastAsia="DengXian"/>
                <w:color w:val="000000"/>
              </w:rPr>
              <w:t>2005</w:t>
            </w:r>
          </w:p>
        </w:tc>
        <w:tc>
          <w:tcPr>
            <w:tcW w:w="2268" w:type="dxa"/>
            <w:noWrap/>
            <w:vAlign w:val="center"/>
            <w:hideMark/>
          </w:tcPr>
          <w:p w14:paraId="7722E2D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9DD953F" w14:textId="77777777" w:rsidTr="008F31FB">
        <w:trPr>
          <w:trHeight w:val="320"/>
        </w:trPr>
        <w:tc>
          <w:tcPr>
            <w:tcW w:w="4535" w:type="dxa"/>
            <w:noWrap/>
            <w:vAlign w:val="center"/>
            <w:hideMark/>
          </w:tcPr>
          <w:p w14:paraId="16C098BB" w14:textId="77777777" w:rsidR="008F31FB" w:rsidRPr="008F31FB" w:rsidRDefault="008F31FB" w:rsidP="00AB61A4">
            <w:pPr>
              <w:spacing w:line="360" w:lineRule="auto"/>
              <w:rPr>
                <w:rFonts w:eastAsia="DengXian"/>
                <w:color w:val="000000"/>
              </w:rPr>
            </w:pPr>
            <w:r w:rsidRPr="008F31FB">
              <w:rPr>
                <w:rFonts w:eastAsia="DengXian"/>
                <w:color w:val="000000"/>
              </w:rPr>
              <w:t>Prolonged inhibition of nitric oxide synthesis in pregnant rats: effects on blood pressure, fetal growth and litter size.</w:t>
            </w:r>
          </w:p>
        </w:tc>
        <w:tc>
          <w:tcPr>
            <w:tcW w:w="1134" w:type="dxa"/>
            <w:noWrap/>
            <w:vAlign w:val="center"/>
            <w:hideMark/>
          </w:tcPr>
          <w:p w14:paraId="75AFF022" w14:textId="77777777" w:rsidR="008F31FB" w:rsidRPr="008F31FB" w:rsidRDefault="008F31FB" w:rsidP="00AB61A4">
            <w:pPr>
              <w:spacing w:line="360" w:lineRule="auto"/>
              <w:rPr>
                <w:rFonts w:eastAsia="DengXian"/>
                <w:color w:val="000000"/>
              </w:rPr>
            </w:pPr>
            <w:r w:rsidRPr="008F31FB">
              <w:rPr>
                <w:rFonts w:eastAsia="DengXian"/>
                <w:color w:val="000000"/>
              </w:rPr>
              <w:t>2005</w:t>
            </w:r>
          </w:p>
        </w:tc>
        <w:tc>
          <w:tcPr>
            <w:tcW w:w="2268" w:type="dxa"/>
            <w:noWrap/>
            <w:vAlign w:val="center"/>
            <w:hideMark/>
          </w:tcPr>
          <w:p w14:paraId="799C3D0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186BA57" w14:textId="77777777" w:rsidTr="008F31FB">
        <w:trPr>
          <w:trHeight w:val="320"/>
        </w:trPr>
        <w:tc>
          <w:tcPr>
            <w:tcW w:w="4535" w:type="dxa"/>
            <w:noWrap/>
            <w:vAlign w:val="center"/>
            <w:hideMark/>
          </w:tcPr>
          <w:p w14:paraId="44B38726" w14:textId="77777777" w:rsidR="008F31FB" w:rsidRPr="008F31FB" w:rsidRDefault="008F31FB" w:rsidP="00AB61A4">
            <w:pPr>
              <w:spacing w:line="360" w:lineRule="auto"/>
              <w:rPr>
                <w:rFonts w:eastAsia="DengXian"/>
                <w:color w:val="000000"/>
              </w:rPr>
            </w:pPr>
            <w:r w:rsidRPr="008F31FB">
              <w:rPr>
                <w:rFonts w:eastAsia="DengXian"/>
                <w:color w:val="000000"/>
              </w:rPr>
              <w:t>Reduction of blood pressure with calcium and potassium supplementation in children with salt sensitivity: a 2-year double-blinded placebo-controlled trial.</w:t>
            </w:r>
          </w:p>
        </w:tc>
        <w:tc>
          <w:tcPr>
            <w:tcW w:w="1134" w:type="dxa"/>
            <w:noWrap/>
            <w:vAlign w:val="center"/>
            <w:hideMark/>
          </w:tcPr>
          <w:p w14:paraId="3654A0FC" w14:textId="77777777" w:rsidR="008F31FB" w:rsidRPr="008F31FB" w:rsidRDefault="008F31FB" w:rsidP="00AB61A4">
            <w:pPr>
              <w:spacing w:line="360" w:lineRule="auto"/>
              <w:rPr>
                <w:rFonts w:eastAsia="DengXian"/>
                <w:color w:val="000000"/>
              </w:rPr>
            </w:pPr>
            <w:r w:rsidRPr="008F31FB">
              <w:rPr>
                <w:rFonts w:eastAsia="DengXian"/>
                <w:color w:val="000000"/>
              </w:rPr>
              <w:t>2005</w:t>
            </w:r>
          </w:p>
        </w:tc>
        <w:tc>
          <w:tcPr>
            <w:tcW w:w="2268" w:type="dxa"/>
            <w:noWrap/>
            <w:vAlign w:val="center"/>
            <w:hideMark/>
          </w:tcPr>
          <w:p w14:paraId="67B0B7C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F1D9FDC" w14:textId="77777777" w:rsidTr="008F31FB">
        <w:trPr>
          <w:trHeight w:val="320"/>
        </w:trPr>
        <w:tc>
          <w:tcPr>
            <w:tcW w:w="4535" w:type="dxa"/>
            <w:noWrap/>
            <w:vAlign w:val="center"/>
            <w:hideMark/>
          </w:tcPr>
          <w:p w14:paraId="28A750CE"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Modafinil elicits sympathomedullary activation.</w:t>
            </w:r>
          </w:p>
        </w:tc>
        <w:tc>
          <w:tcPr>
            <w:tcW w:w="1134" w:type="dxa"/>
            <w:noWrap/>
            <w:vAlign w:val="center"/>
            <w:hideMark/>
          </w:tcPr>
          <w:p w14:paraId="35D3C754" w14:textId="77777777" w:rsidR="008F31FB" w:rsidRPr="008F31FB" w:rsidRDefault="008F31FB" w:rsidP="00AB61A4">
            <w:pPr>
              <w:spacing w:line="360" w:lineRule="auto"/>
              <w:rPr>
                <w:rFonts w:eastAsia="DengXian"/>
                <w:color w:val="000000"/>
              </w:rPr>
            </w:pPr>
            <w:r w:rsidRPr="008F31FB">
              <w:rPr>
                <w:rFonts w:eastAsia="DengXian"/>
                <w:color w:val="000000"/>
              </w:rPr>
              <w:t>2005</w:t>
            </w:r>
          </w:p>
        </w:tc>
        <w:tc>
          <w:tcPr>
            <w:tcW w:w="2268" w:type="dxa"/>
            <w:noWrap/>
            <w:vAlign w:val="center"/>
            <w:hideMark/>
          </w:tcPr>
          <w:p w14:paraId="1892B45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39B382E" w14:textId="77777777" w:rsidTr="008F31FB">
        <w:trPr>
          <w:trHeight w:val="320"/>
        </w:trPr>
        <w:tc>
          <w:tcPr>
            <w:tcW w:w="4535" w:type="dxa"/>
            <w:noWrap/>
            <w:vAlign w:val="center"/>
            <w:hideMark/>
          </w:tcPr>
          <w:p w14:paraId="3E8A997B" w14:textId="77777777" w:rsidR="008F31FB" w:rsidRPr="008F31FB" w:rsidRDefault="008F31FB" w:rsidP="00AB61A4">
            <w:pPr>
              <w:spacing w:line="360" w:lineRule="auto"/>
              <w:rPr>
                <w:rFonts w:eastAsia="DengXian"/>
                <w:color w:val="000000"/>
              </w:rPr>
            </w:pPr>
            <w:r w:rsidRPr="008F31FB">
              <w:rPr>
                <w:rFonts w:eastAsia="DengXian"/>
                <w:color w:val="000000"/>
              </w:rPr>
              <w:t>Effect of short-term supplementation of potassium chloride and potassium citrate on blood pressure in hypertensives.</w:t>
            </w:r>
          </w:p>
        </w:tc>
        <w:tc>
          <w:tcPr>
            <w:tcW w:w="1134" w:type="dxa"/>
            <w:noWrap/>
            <w:vAlign w:val="center"/>
            <w:hideMark/>
          </w:tcPr>
          <w:p w14:paraId="662EE65D" w14:textId="77777777" w:rsidR="008F31FB" w:rsidRPr="008F31FB" w:rsidRDefault="008F31FB" w:rsidP="00AB61A4">
            <w:pPr>
              <w:spacing w:line="360" w:lineRule="auto"/>
              <w:rPr>
                <w:rFonts w:eastAsia="DengXian"/>
                <w:color w:val="000000"/>
              </w:rPr>
            </w:pPr>
            <w:r w:rsidRPr="008F31FB">
              <w:rPr>
                <w:rFonts w:eastAsia="DengXian"/>
                <w:color w:val="000000"/>
              </w:rPr>
              <w:t>2005</w:t>
            </w:r>
          </w:p>
        </w:tc>
        <w:tc>
          <w:tcPr>
            <w:tcW w:w="2268" w:type="dxa"/>
            <w:noWrap/>
            <w:vAlign w:val="center"/>
            <w:hideMark/>
          </w:tcPr>
          <w:p w14:paraId="3048601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4921C8E" w14:textId="77777777" w:rsidTr="008F31FB">
        <w:trPr>
          <w:trHeight w:val="320"/>
        </w:trPr>
        <w:tc>
          <w:tcPr>
            <w:tcW w:w="4535" w:type="dxa"/>
            <w:noWrap/>
            <w:vAlign w:val="center"/>
            <w:hideMark/>
          </w:tcPr>
          <w:p w14:paraId="54C73725" w14:textId="77777777" w:rsidR="008F31FB" w:rsidRPr="008F31FB" w:rsidRDefault="008F31FB" w:rsidP="00AB61A4">
            <w:pPr>
              <w:spacing w:line="360" w:lineRule="auto"/>
              <w:rPr>
                <w:rFonts w:eastAsia="DengXian"/>
                <w:color w:val="000000"/>
              </w:rPr>
            </w:pPr>
            <w:r w:rsidRPr="008F31FB">
              <w:rPr>
                <w:rFonts w:eastAsia="DengXian"/>
                <w:color w:val="000000"/>
              </w:rPr>
              <w:t>Alpha-adducin Gly460Trp polymorphism and renal hemodynamics in essential hypertension.</w:t>
            </w:r>
          </w:p>
        </w:tc>
        <w:tc>
          <w:tcPr>
            <w:tcW w:w="1134" w:type="dxa"/>
            <w:noWrap/>
            <w:vAlign w:val="center"/>
            <w:hideMark/>
          </w:tcPr>
          <w:p w14:paraId="799B58A2" w14:textId="77777777" w:rsidR="008F31FB" w:rsidRPr="008F31FB" w:rsidRDefault="008F31FB" w:rsidP="00AB61A4">
            <w:pPr>
              <w:spacing w:line="360" w:lineRule="auto"/>
              <w:rPr>
                <w:rFonts w:eastAsia="DengXian"/>
                <w:color w:val="000000"/>
              </w:rPr>
            </w:pPr>
            <w:r w:rsidRPr="008F31FB">
              <w:rPr>
                <w:rFonts w:eastAsia="DengXian"/>
                <w:color w:val="000000"/>
              </w:rPr>
              <w:t>2004</w:t>
            </w:r>
          </w:p>
        </w:tc>
        <w:tc>
          <w:tcPr>
            <w:tcW w:w="2268" w:type="dxa"/>
            <w:noWrap/>
            <w:vAlign w:val="center"/>
            <w:hideMark/>
          </w:tcPr>
          <w:p w14:paraId="57A4490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55D5F86" w14:textId="77777777" w:rsidTr="008F31FB">
        <w:trPr>
          <w:trHeight w:val="320"/>
        </w:trPr>
        <w:tc>
          <w:tcPr>
            <w:tcW w:w="4535" w:type="dxa"/>
            <w:noWrap/>
            <w:vAlign w:val="center"/>
            <w:hideMark/>
          </w:tcPr>
          <w:p w14:paraId="045E6854" w14:textId="77777777" w:rsidR="008F31FB" w:rsidRPr="008F31FB" w:rsidRDefault="008F31FB" w:rsidP="00AB61A4">
            <w:pPr>
              <w:spacing w:line="360" w:lineRule="auto"/>
              <w:rPr>
                <w:rFonts w:eastAsia="DengXian"/>
                <w:color w:val="000000"/>
              </w:rPr>
            </w:pPr>
            <w:r w:rsidRPr="008F31FB">
              <w:rPr>
                <w:rFonts w:eastAsia="DengXian"/>
                <w:color w:val="000000"/>
              </w:rPr>
              <w:t>The effect of dietary sodium restriction on neurohumoral activity and renal dopaminergic response in patients with heart failure.</w:t>
            </w:r>
          </w:p>
        </w:tc>
        <w:tc>
          <w:tcPr>
            <w:tcW w:w="1134" w:type="dxa"/>
            <w:noWrap/>
            <w:vAlign w:val="center"/>
            <w:hideMark/>
          </w:tcPr>
          <w:p w14:paraId="34D511D8" w14:textId="77777777" w:rsidR="008F31FB" w:rsidRPr="008F31FB" w:rsidRDefault="008F31FB" w:rsidP="00AB61A4">
            <w:pPr>
              <w:spacing w:line="360" w:lineRule="auto"/>
              <w:rPr>
                <w:rFonts w:eastAsia="DengXian"/>
                <w:color w:val="000000"/>
              </w:rPr>
            </w:pPr>
            <w:r w:rsidRPr="008F31FB">
              <w:rPr>
                <w:rFonts w:eastAsia="DengXian"/>
                <w:color w:val="000000"/>
              </w:rPr>
              <w:t>2004</w:t>
            </w:r>
          </w:p>
        </w:tc>
        <w:tc>
          <w:tcPr>
            <w:tcW w:w="2268" w:type="dxa"/>
            <w:noWrap/>
            <w:vAlign w:val="center"/>
            <w:hideMark/>
          </w:tcPr>
          <w:p w14:paraId="6D1A4F3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158FA05" w14:textId="77777777" w:rsidTr="008F31FB">
        <w:trPr>
          <w:trHeight w:val="320"/>
        </w:trPr>
        <w:tc>
          <w:tcPr>
            <w:tcW w:w="4535" w:type="dxa"/>
            <w:noWrap/>
            <w:vAlign w:val="center"/>
            <w:hideMark/>
          </w:tcPr>
          <w:p w14:paraId="0A26653C" w14:textId="77777777" w:rsidR="008F31FB" w:rsidRPr="008F31FB" w:rsidRDefault="008F31FB" w:rsidP="00AB61A4">
            <w:pPr>
              <w:spacing w:line="360" w:lineRule="auto"/>
              <w:rPr>
                <w:rFonts w:eastAsia="DengXian"/>
                <w:color w:val="000000"/>
              </w:rPr>
            </w:pPr>
            <w:r w:rsidRPr="008F31FB">
              <w:rPr>
                <w:rFonts w:eastAsia="DengXian"/>
                <w:color w:val="000000"/>
              </w:rPr>
              <w:t>Electrolyte mass balance during CVVH: lactate vs. bicarbonate-buffered replacement fluids.</w:t>
            </w:r>
          </w:p>
        </w:tc>
        <w:tc>
          <w:tcPr>
            <w:tcW w:w="1134" w:type="dxa"/>
            <w:noWrap/>
            <w:vAlign w:val="center"/>
            <w:hideMark/>
          </w:tcPr>
          <w:p w14:paraId="7E066232" w14:textId="77777777" w:rsidR="008F31FB" w:rsidRPr="008F31FB" w:rsidRDefault="008F31FB" w:rsidP="00AB61A4">
            <w:pPr>
              <w:spacing w:line="360" w:lineRule="auto"/>
              <w:rPr>
                <w:rFonts w:eastAsia="DengXian"/>
                <w:color w:val="000000"/>
              </w:rPr>
            </w:pPr>
            <w:r w:rsidRPr="008F31FB">
              <w:rPr>
                <w:rFonts w:eastAsia="DengXian"/>
                <w:color w:val="000000"/>
              </w:rPr>
              <w:t>2004</w:t>
            </w:r>
          </w:p>
        </w:tc>
        <w:tc>
          <w:tcPr>
            <w:tcW w:w="2268" w:type="dxa"/>
            <w:noWrap/>
            <w:vAlign w:val="center"/>
            <w:hideMark/>
          </w:tcPr>
          <w:p w14:paraId="55F2093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C35984D" w14:textId="77777777" w:rsidTr="008F31FB">
        <w:trPr>
          <w:trHeight w:val="320"/>
        </w:trPr>
        <w:tc>
          <w:tcPr>
            <w:tcW w:w="4535" w:type="dxa"/>
            <w:noWrap/>
            <w:vAlign w:val="center"/>
            <w:hideMark/>
          </w:tcPr>
          <w:p w14:paraId="0D7C66A3" w14:textId="77777777" w:rsidR="008F31FB" w:rsidRPr="008F31FB" w:rsidRDefault="008F31FB" w:rsidP="00AB61A4">
            <w:pPr>
              <w:spacing w:line="360" w:lineRule="auto"/>
              <w:rPr>
                <w:rFonts w:eastAsia="DengXian"/>
                <w:color w:val="000000"/>
              </w:rPr>
            </w:pPr>
            <w:r w:rsidRPr="008F31FB">
              <w:rPr>
                <w:rFonts w:eastAsia="DengXian"/>
                <w:color w:val="000000"/>
              </w:rPr>
              <w:t>Effects of furosemide and bendroflumethiazide on saliva flow rate and composition.</w:t>
            </w:r>
          </w:p>
        </w:tc>
        <w:tc>
          <w:tcPr>
            <w:tcW w:w="1134" w:type="dxa"/>
            <w:noWrap/>
            <w:vAlign w:val="center"/>
            <w:hideMark/>
          </w:tcPr>
          <w:p w14:paraId="787A465D" w14:textId="77777777" w:rsidR="008F31FB" w:rsidRPr="008F31FB" w:rsidRDefault="008F31FB" w:rsidP="00AB61A4">
            <w:pPr>
              <w:spacing w:line="360" w:lineRule="auto"/>
              <w:rPr>
                <w:rFonts w:eastAsia="DengXian"/>
                <w:color w:val="000000"/>
              </w:rPr>
            </w:pPr>
            <w:r w:rsidRPr="008F31FB">
              <w:rPr>
                <w:rFonts w:eastAsia="DengXian"/>
                <w:color w:val="000000"/>
              </w:rPr>
              <w:t>2004</w:t>
            </w:r>
          </w:p>
        </w:tc>
        <w:tc>
          <w:tcPr>
            <w:tcW w:w="2268" w:type="dxa"/>
            <w:noWrap/>
            <w:vAlign w:val="center"/>
            <w:hideMark/>
          </w:tcPr>
          <w:p w14:paraId="05EA651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1467835" w14:textId="77777777" w:rsidTr="008F31FB">
        <w:trPr>
          <w:trHeight w:val="320"/>
        </w:trPr>
        <w:tc>
          <w:tcPr>
            <w:tcW w:w="4535" w:type="dxa"/>
            <w:noWrap/>
            <w:vAlign w:val="center"/>
            <w:hideMark/>
          </w:tcPr>
          <w:p w14:paraId="7F206D21" w14:textId="77777777" w:rsidR="008F31FB" w:rsidRPr="008F31FB" w:rsidRDefault="008F31FB" w:rsidP="00AB61A4">
            <w:pPr>
              <w:spacing w:line="360" w:lineRule="auto"/>
              <w:rPr>
                <w:rFonts w:eastAsia="DengXian"/>
                <w:color w:val="000000"/>
              </w:rPr>
            </w:pPr>
            <w:r w:rsidRPr="008F31FB">
              <w:rPr>
                <w:rFonts w:eastAsia="DengXian"/>
                <w:color w:val="000000"/>
              </w:rPr>
              <w:t>Prevalence, treatment, and control of hypertension in chronic hemodialysis patients in the United States.</w:t>
            </w:r>
          </w:p>
        </w:tc>
        <w:tc>
          <w:tcPr>
            <w:tcW w:w="1134" w:type="dxa"/>
            <w:noWrap/>
            <w:vAlign w:val="center"/>
            <w:hideMark/>
          </w:tcPr>
          <w:p w14:paraId="1A077CCF" w14:textId="77777777" w:rsidR="008F31FB" w:rsidRPr="008F31FB" w:rsidRDefault="008F31FB" w:rsidP="00AB61A4">
            <w:pPr>
              <w:spacing w:line="360" w:lineRule="auto"/>
              <w:rPr>
                <w:rFonts w:eastAsia="DengXian"/>
                <w:color w:val="000000"/>
              </w:rPr>
            </w:pPr>
            <w:r w:rsidRPr="008F31FB">
              <w:rPr>
                <w:rFonts w:eastAsia="DengXian"/>
                <w:color w:val="000000"/>
              </w:rPr>
              <w:t>2003</w:t>
            </w:r>
          </w:p>
        </w:tc>
        <w:tc>
          <w:tcPr>
            <w:tcW w:w="2268" w:type="dxa"/>
            <w:noWrap/>
            <w:vAlign w:val="center"/>
            <w:hideMark/>
          </w:tcPr>
          <w:p w14:paraId="2C4BC161"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1B38FF2D" w14:textId="77777777" w:rsidTr="008F31FB">
        <w:trPr>
          <w:trHeight w:val="320"/>
        </w:trPr>
        <w:tc>
          <w:tcPr>
            <w:tcW w:w="4535" w:type="dxa"/>
            <w:noWrap/>
            <w:vAlign w:val="center"/>
            <w:hideMark/>
          </w:tcPr>
          <w:p w14:paraId="377E7E84" w14:textId="77777777" w:rsidR="008F31FB" w:rsidRPr="008F31FB" w:rsidRDefault="008F31FB" w:rsidP="00AB61A4">
            <w:pPr>
              <w:spacing w:line="360" w:lineRule="auto"/>
              <w:rPr>
                <w:rFonts w:eastAsia="DengXian"/>
                <w:color w:val="000000"/>
              </w:rPr>
            </w:pPr>
            <w:r w:rsidRPr="008F31FB">
              <w:rPr>
                <w:rFonts w:eastAsia="DengXian"/>
                <w:color w:val="000000"/>
              </w:rPr>
              <w:t>Decreasing dietary sodium while following a self-selected potassium-rich diet reduces blood pressure.</w:t>
            </w:r>
          </w:p>
        </w:tc>
        <w:tc>
          <w:tcPr>
            <w:tcW w:w="1134" w:type="dxa"/>
            <w:noWrap/>
            <w:vAlign w:val="center"/>
            <w:hideMark/>
          </w:tcPr>
          <w:p w14:paraId="0AC87223" w14:textId="77777777" w:rsidR="008F31FB" w:rsidRPr="008F31FB" w:rsidRDefault="008F31FB" w:rsidP="00AB61A4">
            <w:pPr>
              <w:spacing w:line="360" w:lineRule="auto"/>
              <w:rPr>
                <w:rFonts w:eastAsia="DengXian"/>
                <w:color w:val="000000"/>
              </w:rPr>
            </w:pPr>
            <w:r w:rsidRPr="008F31FB">
              <w:rPr>
                <w:rFonts w:eastAsia="DengXian"/>
                <w:color w:val="000000"/>
              </w:rPr>
              <w:t>2003</w:t>
            </w:r>
          </w:p>
        </w:tc>
        <w:tc>
          <w:tcPr>
            <w:tcW w:w="2268" w:type="dxa"/>
            <w:noWrap/>
            <w:vAlign w:val="center"/>
            <w:hideMark/>
          </w:tcPr>
          <w:p w14:paraId="46CF569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7639042" w14:textId="77777777" w:rsidTr="008F31FB">
        <w:trPr>
          <w:trHeight w:val="320"/>
        </w:trPr>
        <w:tc>
          <w:tcPr>
            <w:tcW w:w="4535" w:type="dxa"/>
            <w:noWrap/>
            <w:vAlign w:val="center"/>
            <w:hideMark/>
          </w:tcPr>
          <w:p w14:paraId="74A2168B" w14:textId="77777777" w:rsidR="008F31FB" w:rsidRPr="008F31FB" w:rsidRDefault="008F31FB" w:rsidP="00AB61A4">
            <w:pPr>
              <w:spacing w:line="360" w:lineRule="auto"/>
              <w:rPr>
                <w:rFonts w:eastAsia="DengXian"/>
                <w:color w:val="000000"/>
              </w:rPr>
            </w:pPr>
            <w:r w:rsidRPr="008F31FB">
              <w:rPr>
                <w:rFonts w:eastAsia="DengXian"/>
                <w:color w:val="000000"/>
              </w:rPr>
              <w:t xml:space="preserve">The effect of calcium dobesilate on vascular endothelial function, blood pressure, and markers of oxidation in obese male smokers: </w:t>
            </w:r>
            <w:r w:rsidRPr="008F31FB">
              <w:rPr>
                <w:rFonts w:eastAsia="DengXian"/>
                <w:color w:val="000000"/>
              </w:rPr>
              <w:lastRenderedPageBreak/>
              <w:t>a placebo-controlled  randomised clinical trial.</w:t>
            </w:r>
          </w:p>
        </w:tc>
        <w:tc>
          <w:tcPr>
            <w:tcW w:w="1134" w:type="dxa"/>
            <w:noWrap/>
            <w:vAlign w:val="center"/>
            <w:hideMark/>
          </w:tcPr>
          <w:p w14:paraId="0947D15A"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2003</w:t>
            </w:r>
          </w:p>
        </w:tc>
        <w:tc>
          <w:tcPr>
            <w:tcW w:w="2268" w:type="dxa"/>
            <w:noWrap/>
            <w:vAlign w:val="center"/>
            <w:hideMark/>
          </w:tcPr>
          <w:p w14:paraId="2337311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AF7CBDB" w14:textId="77777777" w:rsidTr="008F31FB">
        <w:trPr>
          <w:trHeight w:val="320"/>
        </w:trPr>
        <w:tc>
          <w:tcPr>
            <w:tcW w:w="4535" w:type="dxa"/>
            <w:noWrap/>
            <w:vAlign w:val="center"/>
            <w:hideMark/>
          </w:tcPr>
          <w:p w14:paraId="61A1F756" w14:textId="77777777" w:rsidR="008F31FB" w:rsidRPr="008F31FB" w:rsidRDefault="008F31FB" w:rsidP="00AB61A4">
            <w:pPr>
              <w:spacing w:line="360" w:lineRule="auto"/>
              <w:rPr>
                <w:rFonts w:eastAsia="DengXian"/>
                <w:color w:val="000000"/>
              </w:rPr>
            </w:pPr>
            <w:r w:rsidRPr="008F31FB">
              <w:rPr>
                <w:rFonts w:eastAsia="DengXian"/>
                <w:color w:val="000000"/>
              </w:rPr>
              <w:t>Rapid nongenomic effects of aldosterone on human forearm vasculature.</w:t>
            </w:r>
          </w:p>
        </w:tc>
        <w:tc>
          <w:tcPr>
            <w:tcW w:w="1134" w:type="dxa"/>
            <w:noWrap/>
            <w:vAlign w:val="center"/>
            <w:hideMark/>
          </w:tcPr>
          <w:p w14:paraId="1D9A8366" w14:textId="77777777" w:rsidR="008F31FB" w:rsidRPr="008F31FB" w:rsidRDefault="008F31FB" w:rsidP="00AB61A4">
            <w:pPr>
              <w:spacing w:line="360" w:lineRule="auto"/>
              <w:rPr>
                <w:rFonts w:eastAsia="DengXian"/>
                <w:color w:val="000000"/>
              </w:rPr>
            </w:pPr>
            <w:r w:rsidRPr="008F31FB">
              <w:rPr>
                <w:rFonts w:eastAsia="DengXian"/>
                <w:color w:val="000000"/>
              </w:rPr>
              <w:t>2003</w:t>
            </w:r>
          </w:p>
        </w:tc>
        <w:tc>
          <w:tcPr>
            <w:tcW w:w="2268" w:type="dxa"/>
            <w:noWrap/>
            <w:vAlign w:val="center"/>
            <w:hideMark/>
          </w:tcPr>
          <w:p w14:paraId="4BAF9BC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9A0299E" w14:textId="77777777" w:rsidTr="008F31FB">
        <w:trPr>
          <w:trHeight w:val="320"/>
        </w:trPr>
        <w:tc>
          <w:tcPr>
            <w:tcW w:w="4535" w:type="dxa"/>
            <w:noWrap/>
            <w:vAlign w:val="center"/>
            <w:hideMark/>
          </w:tcPr>
          <w:p w14:paraId="7F544AA0" w14:textId="77777777" w:rsidR="008F31FB" w:rsidRPr="008F31FB" w:rsidRDefault="008F31FB" w:rsidP="00AB61A4">
            <w:pPr>
              <w:spacing w:line="360" w:lineRule="auto"/>
              <w:rPr>
                <w:rFonts w:eastAsia="DengXian"/>
                <w:color w:val="000000"/>
              </w:rPr>
            </w:pPr>
            <w:r w:rsidRPr="008F31FB">
              <w:rPr>
                <w:rFonts w:eastAsia="DengXian"/>
                <w:color w:val="000000"/>
              </w:rPr>
              <w:t>In vivo pharmacokinetic-pharmacodynamic relationship and in vitro equivalence of two oral furosemide tablet formulations.</w:t>
            </w:r>
          </w:p>
        </w:tc>
        <w:tc>
          <w:tcPr>
            <w:tcW w:w="1134" w:type="dxa"/>
            <w:noWrap/>
            <w:vAlign w:val="center"/>
            <w:hideMark/>
          </w:tcPr>
          <w:p w14:paraId="5FBFD38F" w14:textId="77777777" w:rsidR="008F31FB" w:rsidRPr="008F31FB" w:rsidRDefault="008F31FB" w:rsidP="00AB61A4">
            <w:pPr>
              <w:spacing w:line="360" w:lineRule="auto"/>
              <w:rPr>
                <w:rFonts w:eastAsia="DengXian"/>
                <w:color w:val="000000"/>
              </w:rPr>
            </w:pPr>
            <w:r w:rsidRPr="008F31FB">
              <w:rPr>
                <w:rFonts w:eastAsia="DengXian"/>
                <w:color w:val="000000"/>
              </w:rPr>
              <w:t>2003</w:t>
            </w:r>
          </w:p>
        </w:tc>
        <w:tc>
          <w:tcPr>
            <w:tcW w:w="2268" w:type="dxa"/>
            <w:noWrap/>
            <w:vAlign w:val="center"/>
            <w:hideMark/>
          </w:tcPr>
          <w:p w14:paraId="5D24035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FBBFA61" w14:textId="77777777" w:rsidTr="008F31FB">
        <w:trPr>
          <w:trHeight w:val="320"/>
        </w:trPr>
        <w:tc>
          <w:tcPr>
            <w:tcW w:w="4535" w:type="dxa"/>
            <w:noWrap/>
            <w:vAlign w:val="center"/>
            <w:hideMark/>
          </w:tcPr>
          <w:p w14:paraId="20698185" w14:textId="77777777" w:rsidR="008F31FB" w:rsidRPr="008F31FB" w:rsidRDefault="008F31FB" w:rsidP="00AB61A4">
            <w:pPr>
              <w:spacing w:line="360" w:lineRule="auto"/>
              <w:rPr>
                <w:rFonts w:eastAsia="DengXian"/>
                <w:color w:val="000000"/>
              </w:rPr>
            </w:pPr>
            <w:r w:rsidRPr="008F31FB">
              <w:rPr>
                <w:rFonts w:eastAsia="DengXian"/>
                <w:color w:val="000000"/>
              </w:rPr>
              <w:t>Feasibility and effect on blood pressure of 6-week trial of low sodium soy sauce and miso (fermented soybean paste).</w:t>
            </w:r>
          </w:p>
        </w:tc>
        <w:tc>
          <w:tcPr>
            <w:tcW w:w="1134" w:type="dxa"/>
            <w:noWrap/>
            <w:vAlign w:val="center"/>
            <w:hideMark/>
          </w:tcPr>
          <w:p w14:paraId="0A9A8D1B" w14:textId="77777777" w:rsidR="008F31FB" w:rsidRPr="008F31FB" w:rsidRDefault="008F31FB" w:rsidP="00AB61A4">
            <w:pPr>
              <w:spacing w:line="360" w:lineRule="auto"/>
              <w:rPr>
                <w:rFonts w:eastAsia="DengXian"/>
                <w:color w:val="000000"/>
              </w:rPr>
            </w:pPr>
            <w:r w:rsidRPr="008F31FB">
              <w:rPr>
                <w:rFonts w:eastAsia="DengXian"/>
                <w:color w:val="000000"/>
              </w:rPr>
              <w:t>2003</w:t>
            </w:r>
          </w:p>
        </w:tc>
        <w:tc>
          <w:tcPr>
            <w:tcW w:w="2268" w:type="dxa"/>
            <w:noWrap/>
            <w:vAlign w:val="center"/>
            <w:hideMark/>
          </w:tcPr>
          <w:p w14:paraId="66240AB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3E0B792" w14:textId="77777777" w:rsidTr="008F31FB">
        <w:trPr>
          <w:trHeight w:val="320"/>
        </w:trPr>
        <w:tc>
          <w:tcPr>
            <w:tcW w:w="4535" w:type="dxa"/>
            <w:noWrap/>
            <w:vAlign w:val="center"/>
            <w:hideMark/>
          </w:tcPr>
          <w:p w14:paraId="3981244B" w14:textId="77777777" w:rsidR="008F31FB" w:rsidRPr="008F31FB" w:rsidRDefault="008F31FB" w:rsidP="00AB61A4">
            <w:pPr>
              <w:spacing w:line="360" w:lineRule="auto"/>
              <w:rPr>
                <w:rFonts w:eastAsia="DengXian"/>
                <w:color w:val="000000"/>
              </w:rPr>
            </w:pPr>
            <w:r w:rsidRPr="008F31FB">
              <w:rPr>
                <w:rFonts w:eastAsia="DengXian"/>
                <w:color w:val="000000"/>
              </w:rPr>
              <w:t>Vasopressin V2-receptor blockade with tolvaptan in patients with chronic heart failure: results from a double-blind, randomized trial.</w:t>
            </w:r>
          </w:p>
        </w:tc>
        <w:tc>
          <w:tcPr>
            <w:tcW w:w="1134" w:type="dxa"/>
            <w:noWrap/>
            <w:vAlign w:val="center"/>
            <w:hideMark/>
          </w:tcPr>
          <w:p w14:paraId="2A5A2EE8" w14:textId="77777777" w:rsidR="008F31FB" w:rsidRPr="008F31FB" w:rsidRDefault="008F31FB" w:rsidP="00AB61A4">
            <w:pPr>
              <w:spacing w:line="360" w:lineRule="auto"/>
              <w:rPr>
                <w:rFonts w:eastAsia="DengXian"/>
                <w:color w:val="000000"/>
              </w:rPr>
            </w:pPr>
            <w:r w:rsidRPr="008F31FB">
              <w:rPr>
                <w:rFonts w:eastAsia="DengXian"/>
                <w:color w:val="000000"/>
              </w:rPr>
              <w:t>2003</w:t>
            </w:r>
          </w:p>
        </w:tc>
        <w:tc>
          <w:tcPr>
            <w:tcW w:w="2268" w:type="dxa"/>
            <w:noWrap/>
            <w:vAlign w:val="center"/>
            <w:hideMark/>
          </w:tcPr>
          <w:p w14:paraId="60C6561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1336547" w14:textId="77777777" w:rsidTr="008F31FB">
        <w:trPr>
          <w:trHeight w:val="320"/>
        </w:trPr>
        <w:tc>
          <w:tcPr>
            <w:tcW w:w="4535" w:type="dxa"/>
            <w:noWrap/>
            <w:vAlign w:val="center"/>
            <w:hideMark/>
          </w:tcPr>
          <w:p w14:paraId="4EEF3D5F" w14:textId="77777777" w:rsidR="008F31FB" w:rsidRPr="008F31FB" w:rsidRDefault="008F31FB" w:rsidP="00AB61A4">
            <w:pPr>
              <w:spacing w:line="360" w:lineRule="auto"/>
              <w:rPr>
                <w:rFonts w:eastAsia="DengXian"/>
                <w:color w:val="000000"/>
              </w:rPr>
            </w:pPr>
            <w:r w:rsidRPr="008F31FB">
              <w:rPr>
                <w:rFonts w:eastAsia="DengXian"/>
                <w:color w:val="000000"/>
              </w:rPr>
              <w:t>Clinical and neurohumoral response to posture, physical exercise, and ascites treatment in Child-Pugh C liver cirrhosis: randomized prospective trial.</w:t>
            </w:r>
          </w:p>
        </w:tc>
        <w:tc>
          <w:tcPr>
            <w:tcW w:w="1134" w:type="dxa"/>
            <w:noWrap/>
            <w:vAlign w:val="center"/>
            <w:hideMark/>
          </w:tcPr>
          <w:p w14:paraId="4B123D7A" w14:textId="77777777" w:rsidR="008F31FB" w:rsidRPr="008F31FB" w:rsidRDefault="008F31FB" w:rsidP="00AB61A4">
            <w:pPr>
              <w:spacing w:line="360" w:lineRule="auto"/>
              <w:rPr>
                <w:rFonts w:eastAsia="DengXian"/>
                <w:color w:val="000000"/>
              </w:rPr>
            </w:pPr>
            <w:r w:rsidRPr="008F31FB">
              <w:rPr>
                <w:rFonts w:eastAsia="DengXian"/>
                <w:color w:val="000000"/>
              </w:rPr>
              <w:t>2003</w:t>
            </w:r>
          </w:p>
        </w:tc>
        <w:tc>
          <w:tcPr>
            <w:tcW w:w="2268" w:type="dxa"/>
            <w:noWrap/>
            <w:vAlign w:val="center"/>
            <w:hideMark/>
          </w:tcPr>
          <w:p w14:paraId="15CD549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288D052" w14:textId="77777777" w:rsidTr="008F31FB">
        <w:trPr>
          <w:trHeight w:val="320"/>
        </w:trPr>
        <w:tc>
          <w:tcPr>
            <w:tcW w:w="4535" w:type="dxa"/>
            <w:noWrap/>
            <w:vAlign w:val="center"/>
            <w:hideMark/>
          </w:tcPr>
          <w:p w14:paraId="2BC0F34A" w14:textId="77777777" w:rsidR="008F31FB" w:rsidRPr="008F31FB" w:rsidRDefault="008F31FB" w:rsidP="00AB61A4">
            <w:pPr>
              <w:spacing w:line="360" w:lineRule="auto"/>
              <w:rPr>
                <w:rFonts w:eastAsia="DengXian"/>
                <w:color w:val="000000"/>
              </w:rPr>
            </w:pPr>
            <w:r w:rsidRPr="008F31FB">
              <w:rPr>
                <w:rFonts w:eastAsia="DengXian"/>
                <w:color w:val="000000"/>
              </w:rPr>
              <w:t>Adding lactate to the prime solution during hypothermic cardiopulmonary bypass: a quantitative acid-base analysis.</w:t>
            </w:r>
          </w:p>
        </w:tc>
        <w:tc>
          <w:tcPr>
            <w:tcW w:w="1134" w:type="dxa"/>
            <w:noWrap/>
            <w:vAlign w:val="center"/>
            <w:hideMark/>
          </w:tcPr>
          <w:p w14:paraId="244234F4" w14:textId="77777777" w:rsidR="008F31FB" w:rsidRPr="008F31FB" w:rsidRDefault="008F31FB" w:rsidP="00AB61A4">
            <w:pPr>
              <w:spacing w:line="360" w:lineRule="auto"/>
              <w:rPr>
                <w:rFonts w:eastAsia="DengXian"/>
                <w:color w:val="000000"/>
              </w:rPr>
            </w:pPr>
            <w:r w:rsidRPr="008F31FB">
              <w:rPr>
                <w:rFonts w:eastAsia="DengXian"/>
                <w:color w:val="000000"/>
              </w:rPr>
              <w:t>2003</w:t>
            </w:r>
          </w:p>
        </w:tc>
        <w:tc>
          <w:tcPr>
            <w:tcW w:w="2268" w:type="dxa"/>
            <w:noWrap/>
            <w:vAlign w:val="center"/>
            <w:hideMark/>
          </w:tcPr>
          <w:p w14:paraId="1AF6362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ADBECCA" w14:textId="77777777" w:rsidTr="008F31FB">
        <w:trPr>
          <w:trHeight w:val="320"/>
        </w:trPr>
        <w:tc>
          <w:tcPr>
            <w:tcW w:w="4535" w:type="dxa"/>
            <w:noWrap/>
            <w:vAlign w:val="center"/>
            <w:hideMark/>
          </w:tcPr>
          <w:p w14:paraId="05ACC0EF" w14:textId="77777777" w:rsidR="008F31FB" w:rsidRPr="008F31FB" w:rsidRDefault="008F31FB" w:rsidP="00AB61A4">
            <w:pPr>
              <w:spacing w:line="360" w:lineRule="auto"/>
              <w:rPr>
                <w:rFonts w:eastAsia="DengXian"/>
                <w:color w:val="000000"/>
              </w:rPr>
            </w:pPr>
            <w:r w:rsidRPr="008F31FB">
              <w:rPr>
                <w:rFonts w:eastAsia="DengXian"/>
                <w:color w:val="000000"/>
              </w:rPr>
              <w:t xml:space="preserve">Intravenous magnesium sulfate administration reduces propofol infusion requirements during maintenance of propofol-N2O anesthesia: part I: comparing  propofol requirements according to hemodynamic responses: part II: comparing  </w:t>
            </w:r>
            <w:r w:rsidRPr="008F31FB">
              <w:rPr>
                <w:rFonts w:eastAsia="DengXian"/>
                <w:color w:val="000000"/>
              </w:rPr>
              <w:lastRenderedPageBreak/>
              <w:t>bispectral index in control and magnesium groups.</w:t>
            </w:r>
          </w:p>
        </w:tc>
        <w:tc>
          <w:tcPr>
            <w:tcW w:w="1134" w:type="dxa"/>
            <w:noWrap/>
            <w:vAlign w:val="center"/>
            <w:hideMark/>
          </w:tcPr>
          <w:p w14:paraId="4F72322B"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2002</w:t>
            </w:r>
          </w:p>
        </w:tc>
        <w:tc>
          <w:tcPr>
            <w:tcW w:w="2268" w:type="dxa"/>
            <w:noWrap/>
            <w:vAlign w:val="center"/>
            <w:hideMark/>
          </w:tcPr>
          <w:p w14:paraId="6AFB6EF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729EE97" w14:textId="77777777" w:rsidTr="008F31FB">
        <w:trPr>
          <w:trHeight w:val="320"/>
        </w:trPr>
        <w:tc>
          <w:tcPr>
            <w:tcW w:w="4535" w:type="dxa"/>
            <w:noWrap/>
            <w:vAlign w:val="center"/>
            <w:hideMark/>
          </w:tcPr>
          <w:p w14:paraId="7217E81B" w14:textId="77777777" w:rsidR="008F31FB" w:rsidRPr="008F31FB" w:rsidRDefault="008F31FB" w:rsidP="00AB61A4">
            <w:pPr>
              <w:spacing w:line="360" w:lineRule="auto"/>
              <w:rPr>
                <w:rFonts w:eastAsia="DengXian"/>
                <w:color w:val="000000"/>
              </w:rPr>
            </w:pPr>
            <w:r w:rsidRPr="008F31FB">
              <w:rPr>
                <w:rFonts w:eastAsia="DengXian"/>
                <w:color w:val="000000"/>
              </w:rPr>
              <w:t>Volume independent stimulation of renin secretion by a single dose of amiloride in man.</w:t>
            </w:r>
          </w:p>
        </w:tc>
        <w:tc>
          <w:tcPr>
            <w:tcW w:w="1134" w:type="dxa"/>
            <w:noWrap/>
            <w:vAlign w:val="center"/>
            <w:hideMark/>
          </w:tcPr>
          <w:p w14:paraId="1A305523"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4B3EE6D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E93EEDB" w14:textId="77777777" w:rsidTr="008F31FB">
        <w:trPr>
          <w:trHeight w:val="320"/>
        </w:trPr>
        <w:tc>
          <w:tcPr>
            <w:tcW w:w="4535" w:type="dxa"/>
            <w:noWrap/>
            <w:vAlign w:val="center"/>
            <w:hideMark/>
          </w:tcPr>
          <w:p w14:paraId="2EB2EAB4" w14:textId="77777777" w:rsidR="008F31FB" w:rsidRPr="008F31FB" w:rsidRDefault="008F31FB" w:rsidP="00AB61A4">
            <w:pPr>
              <w:spacing w:line="360" w:lineRule="auto"/>
              <w:rPr>
                <w:rFonts w:eastAsia="DengXian"/>
                <w:color w:val="000000"/>
              </w:rPr>
            </w:pPr>
            <w:r w:rsidRPr="008F31FB">
              <w:rPr>
                <w:rFonts w:eastAsia="DengXian"/>
                <w:color w:val="000000"/>
              </w:rPr>
              <w:t>The effect of exogenous melatonin on stimulated neurohypophysial hormone release in man.</w:t>
            </w:r>
          </w:p>
        </w:tc>
        <w:tc>
          <w:tcPr>
            <w:tcW w:w="1134" w:type="dxa"/>
            <w:noWrap/>
            <w:vAlign w:val="center"/>
            <w:hideMark/>
          </w:tcPr>
          <w:p w14:paraId="20E2B8AF"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34D3DB6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CFED029" w14:textId="77777777" w:rsidTr="008F31FB">
        <w:trPr>
          <w:trHeight w:val="320"/>
        </w:trPr>
        <w:tc>
          <w:tcPr>
            <w:tcW w:w="4535" w:type="dxa"/>
            <w:noWrap/>
            <w:vAlign w:val="center"/>
            <w:hideMark/>
          </w:tcPr>
          <w:p w14:paraId="4C3F2080" w14:textId="77777777" w:rsidR="008F31FB" w:rsidRPr="008F31FB" w:rsidRDefault="008F31FB" w:rsidP="00AB61A4">
            <w:pPr>
              <w:spacing w:line="360" w:lineRule="auto"/>
              <w:rPr>
                <w:rFonts w:eastAsia="DengXian"/>
                <w:color w:val="000000"/>
              </w:rPr>
            </w:pPr>
            <w:r w:rsidRPr="008F31FB">
              <w:rPr>
                <w:rFonts w:eastAsia="DengXian"/>
                <w:color w:val="000000"/>
              </w:rPr>
              <w:t>Comparison of rofecoxib, celecoxib, and naproxen on renal function in elderly subjects receiving a normal-salt diet.</w:t>
            </w:r>
          </w:p>
        </w:tc>
        <w:tc>
          <w:tcPr>
            <w:tcW w:w="1134" w:type="dxa"/>
            <w:noWrap/>
            <w:vAlign w:val="center"/>
            <w:hideMark/>
          </w:tcPr>
          <w:p w14:paraId="2CCE9948"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0CDB1D4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AB049B3" w14:textId="77777777" w:rsidTr="008F31FB">
        <w:trPr>
          <w:trHeight w:val="320"/>
        </w:trPr>
        <w:tc>
          <w:tcPr>
            <w:tcW w:w="4535" w:type="dxa"/>
            <w:noWrap/>
            <w:vAlign w:val="center"/>
            <w:hideMark/>
          </w:tcPr>
          <w:p w14:paraId="6684848B" w14:textId="77777777" w:rsidR="008F31FB" w:rsidRPr="008F31FB" w:rsidRDefault="008F31FB" w:rsidP="00AB61A4">
            <w:pPr>
              <w:spacing w:line="360" w:lineRule="auto"/>
              <w:rPr>
                <w:rFonts w:eastAsia="DengXian"/>
                <w:color w:val="000000"/>
              </w:rPr>
            </w:pPr>
            <w:r w:rsidRPr="008F31FB">
              <w:rPr>
                <w:rFonts w:eastAsia="DengXian"/>
                <w:color w:val="000000"/>
              </w:rPr>
              <w:t>A comparison between the effects of diltiazem and isosorbide dinitrate on digoxin pharmacodynamics and kinetics in the treatment of patients with chronic ischemic  heart failure.</w:t>
            </w:r>
          </w:p>
        </w:tc>
        <w:tc>
          <w:tcPr>
            <w:tcW w:w="1134" w:type="dxa"/>
            <w:noWrap/>
            <w:vAlign w:val="center"/>
            <w:hideMark/>
          </w:tcPr>
          <w:p w14:paraId="04DDA590"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4625295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4880949" w14:textId="77777777" w:rsidTr="008F31FB">
        <w:trPr>
          <w:trHeight w:val="320"/>
        </w:trPr>
        <w:tc>
          <w:tcPr>
            <w:tcW w:w="4535" w:type="dxa"/>
            <w:noWrap/>
            <w:vAlign w:val="center"/>
            <w:hideMark/>
          </w:tcPr>
          <w:p w14:paraId="78080FFF" w14:textId="77777777" w:rsidR="008F31FB" w:rsidRPr="008F31FB" w:rsidRDefault="008F31FB" w:rsidP="00AB61A4">
            <w:pPr>
              <w:spacing w:line="360" w:lineRule="auto"/>
              <w:rPr>
                <w:rFonts w:eastAsia="DengXian"/>
                <w:color w:val="000000"/>
              </w:rPr>
            </w:pPr>
            <w:r w:rsidRPr="008F31FB">
              <w:rPr>
                <w:rFonts w:eastAsia="DengXian"/>
                <w:color w:val="000000"/>
              </w:rPr>
              <w:t>Renal tolerability of three commonly employed non-steroidal anti-inflammatory drugs in elderly patients with osteoarthritis.</w:t>
            </w:r>
          </w:p>
        </w:tc>
        <w:tc>
          <w:tcPr>
            <w:tcW w:w="1134" w:type="dxa"/>
            <w:noWrap/>
            <w:vAlign w:val="center"/>
            <w:hideMark/>
          </w:tcPr>
          <w:p w14:paraId="685A9DC6"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7763A39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F527573" w14:textId="77777777" w:rsidTr="008F31FB">
        <w:trPr>
          <w:trHeight w:val="320"/>
        </w:trPr>
        <w:tc>
          <w:tcPr>
            <w:tcW w:w="4535" w:type="dxa"/>
            <w:noWrap/>
            <w:vAlign w:val="center"/>
            <w:hideMark/>
          </w:tcPr>
          <w:p w14:paraId="31D91428" w14:textId="77777777" w:rsidR="008F31FB" w:rsidRPr="008F31FB" w:rsidRDefault="008F31FB" w:rsidP="00AB61A4">
            <w:pPr>
              <w:spacing w:line="360" w:lineRule="auto"/>
              <w:rPr>
                <w:rFonts w:eastAsia="DengXian"/>
                <w:color w:val="000000"/>
              </w:rPr>
            </w:pPr>
            <w:r w:rsidRPr="008F31FB">
              <w:rPr>
                <w:rFonts w:eastAsia="DengXian"/>
                <w:color w:val="000000"/>
              </w:rPr>
              <w:t>Carvedilol does not modulate moderate exercise-induced hyperkalemia in hemodialysis patients.</w:t>
            </w:r>
          </w:p>
        </w:tc>
        <w:tc>
          <w:tcPr>
            <w:tcW w:w="1134" w:type="dxa"/>
            <w:noWrap/>
            <w:vAlign w:val="center"/>
            <w:hideMark/>
          </w:tcPr>
          <w:p w14:paraId="6FE705D0"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0CD7011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107E667" w14:textId="77777777" w:rsidTr="008F31FB">
        <w:trPr>
          <w:trHeight w:val="320"/>
        </w:trPr>
        <w:tc>
          <w:tcPr>
            <w:tcW w:w="4535" w:type="dxa"/>
            <w:noWrap/>
            <w:vAlign w:val="center"/>
            <w:hideMark/>
          </w:tcPr>
          <w:p w14:paraId="0970944C" w14:textId="77777777" w:rsidR="008F31FB" w:rsidRPr="008F31FB" w:rsidRDefault="008F31FB" w:rsidP="00AB61A4">
            <w:pPr>
              <w:spacing w:line="360" w:lineRule="auto"/>
              <w:rPr>
                <w:rFonts w:eastAsia="DengXian"/>
                <w:color w:val="000000"/>
              </w:rPr>
            </w:pPr>
            <w:r w:rsidRPr="008F31FB">
              <w:rPr>
                <w:rFonts w:eastAsia="DengXian"/>
                <w:color w:val="000000"/>
              </w:rPr>
              <w:t>Short-term moderate sodium restriction induces relative hyperfiltration in normotensive normoalbuminuric Type I diabetes mellitus.</w:t>
            </w:r>
          </w:p>
        </w:tc>
        <w:tc>
          <w:tcPr>
            <w:tcW w:w="1134" w:type="dxa"/>
            <w:noWrap/>
            <w:vAlign w:val="center"/>
            <w:hideMark/>
          </w:tcPr>
          <w:p w14:paraId="3EF5E114"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79C8A25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80DA9F4" w14:textId="77777777" w:rsidTr="008F31FB">
        <w:trPr>
          <w:trHeight w:val="320"/>
        </w:trPr>
        <w:tc>
          <w:tcPr>
            <w:tcW w:w="4535" w:type="dxa"/>
            <w:noWrap/>
            <w:vAlign w:val="center"/>
            <w:hideMark/>
          </w:tcPr>
          <w:p w14:paraId="471EC353"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Ascorbic acid, blood pressure, and the American diet.</w:t>
            </w:r>
          </w:p>
        </w:tc>
        <w:tc>
          <w:tcPr>
            <w:tcW w:w="1134" w:type="dxa"/>
            <w:noWrap/>
            <w:vAlign w:val="center"/>
            <w:hideMark/>
          </w:tcPr>
          <w:p w14:paraId="0238330E"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410B42C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D229465" w14:textId="77777777" w:rsidTr="008F31FB">
        <w:trPr>
          <w:trHeight w:val="320"/>
        </w:trPr>
        <w:tc>
          <w:tcPr>
            <w:tcW w:w="4535" w:type="dxa"/>
            <w:noWrap/>
            <w:vAlign w:val="center"/>
            <w:hideMark/>
          </w:tcPr>
          <w:p w14:paraId="6F3DE86E" w14:textId="77777777" w:rsidR="008F31FB" w:rsidRPr="008F31FB" w:rsidRDefault="008F31FB" w:rsidP="00AB61A4">
            <w:pPr>
              <w:spacing w:line="360" w:lineRule="auto"/>
              <w:rPr>
                <w:rFonts w:eastAsia="DengXian"/>
                <w:color w:val="000000"/>
              </w:rPr>
            </w:pPr>
            <w:r w:rsidRPr="008F31FB">
              <w:rPr>
                <w:rFonts w:eastAsia="DengXian"/>
                <w:color w:val="000000"/>
              </w:rPr>
              <w:t>Management of Lithuanian children's acute diarrhoea with Gastrolit solution and dioctahedral smectite.</w:t>
            </w:r>
          </w:p>
        </w:tc>
        <w:tc>
          <w:tcPr>
            <w:tcW w:w="1134" w:type="dxa"/>
            <w:noWrap/>
            <w:vAlign w:val="center"/>
            <w:hideMark/>
          </w:tcPr>
          <w:p w14:paraId="350AA84A"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74E7011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95359CB" w14:textId="77777777" w:rsidTr="008F31FB">
        <w:trPr>
          <w:trHeight w:val="320"/>
        </w:trPr>
        <w:tc>
          <w:tcPr>
            <w:tcW w:w="4535" w:type="dxa"/>
            <w:noWrap/>
            <w:vAlign w:val="center"/>
            <w:hideMark/>
          </w:tcPr>
          <w:p w14:paraId="12A3BEE3" w14:textId="77777777" w:rsidR="008F31FB" w:rsidRPr="008F31FB" w:rsidRDefault="008F31FB" w:rsidP="00AB61A4">
            <w:pPr>
              <w:spacing w:line="360" w:lineRule="auto"/>
              <w:rPr>
                <w:rFonts w:eastAsia="DengXian"/>
                <w:color w:val="000000"/>
              </w:rPr>
            </w:pPr>
            <w:r w:rsidRPr="008F31FB">
              <w:rPr>
                <w:rFonts w:eastAsia="DengXian"/>
                <w:color w:val="000000"/>
              </w:rPr>
              <w:t>A low-sodium diet potentiates the effects of losartan in type 2 diabetes.</w:t>
            </w:r>
          </w:p>
        </w:tc>
        <w:tc>
          <w:tcPr>
            <w:tcW w:w="1134" w:type="dxa"/>
            <w:noWrap/>
            <w:vAlign w:val="center"/>
            <w:hideMark/>
          </w:tcPr>
          <w:p w14:paraId="2EDEB5ED"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30F6061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2701442" w14:textId="77777777" w:rsidTr="008F31FB">
        <w:trPr>
          <w:trHeight w:val="320"/>
        </w:trPr>
        <w:tc>
          <w:tcPr>
            <w:tcW w:w="4535" w:type="dxa"/>
            <w:noWrap/>
            <w:vAlign w:val="center"/>
            <w:hideMark/>
          </w:tcPr>
          <w:p w14:paraId="3DA8B39D" w14:textId="77777777" w:rsidR="008F31FB" w:rsidRPr="008F31FB" w:rsidRDefault="008F31FB" w:rsidP="00AB61A4">
            <w:pPr>
              <w:spacing w:line="360" w:lineRule="auto"/>
              <w:rPr>
                <w:rFonts w:eastAsia="DengXian"/>
                <w:color w:val="000000"/>
              </w:rPr>
            </w:pPr>
            <w:r w:rsidRPr="008F31FB">
              <w:rPr>
                <w:rFonts w:eastAsia="DengXian"/>
                <w:color w:val="000000"/>
              </w:rPr>
              <w:t>Enhanced responses of blood pressure, renal function, and aldosterone to angiotensin I in the DD genotype are blunted by low sodium intake.</w:t>
            </w:r>
          </w:p>
        </w:tc>
        <w:tc>
          <w:tcPr>
            <w:tcW w:w="1134" w:type="dxa"/>
            <w:noWrap/>
            <w:vAlign w:val="center"/>
            <w:hideMark/>
          </w:tcPr>
          <w:p w14:paraId="0BFF52F9" w14:textId="77777777" w:rsidR="008F31FB" w:rsidRPr="008F31FB" w:rsidRDefault="008F31FB" w:rsidP="00AB61A4">
            <w:pPr>
              <w:spacing w:line="360" w:lineRule="auto"/>
              <w:rPr>
                <w:rFonts w:eastAsia="DengXian"/>
                <w:color w:val="000000"/>
              </w:rPr>
            </w:pPr>
            <w:r w:rsidRPr="008F31FB">
              <w:rPr>
                <w:rFonts w:eastAsia="DengXian"/>
                <w:color w:val="000000"/>
              </w:rPr>
              <w:t>2002</w:t>
            </w:r>
          </w:p>
        </w:tc>
        <w:tc>
          <w:tcPr>
            <w:tcW w:w="2268" w:type="dxa"/>
            <w:noWrap/>
            <w:vAlign w:val="center"/>
            <w:hideMark/>
          </w:tcPr>
          <w:p w14:paraId="5D1ED22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35F3A53" w14:textId="77777777" w:rsidTr="008F31FB">
        <w:trPr>
          <w:trHeight w:val="320"/>
        </w:trPr>
        <w:tc>
          <w:tcPr>
            <w:tcW w:w="4535" w:type="dxa"/>
            <w:noWrap/>
            <w:vAlign w:val="center"/>
            <w:hideMark/>
          </w:tcPr>
          <w:p w14:paraId="20C5DA68" w14:textId="77777777" w:rsidR="008F31FB" w:rsidRPr="008F31FB" w:rsidRDefault="008F31FB" w:rsidP="00AB61A4">
            <w:pPr>
              <w:spacing w:line="360" w:lineRule="auto"/>
              <w:rPr>
                <w:rFonts w:eastAsia="DengXian"/>
                <w:color w:val="000000"/>
              </w:rPr>
            </w:pPr>
            <w:r w:rsidRPr="008F31FB">
              <w:rPr>
                <w:rFonts w:eastAsia="DengXian"/>
                <w:color w:val="000000"/>
              </w:rPr>
              <w:t>A comparison of dietary and non-dietary factors of hypertension and normal blood pressure in a Chinese population.</w:t>
            </w:r>
          </w:p>
        </w:tc>
        <w:tc>
          <w:tcPr>
            <w:tcW w:w="1134" w:type="dxa"/>
            <w:noWrap/>
            <w:vAlign w:val="center"/>
            <w:hideMark/>
          </w:tcPr>
          <w:p w14:paraId="615884A0" w14:textId="77777777" w:rsidR="008F31FB" w:rsidRPr="008F31FB" w:rsidRDefault="008F31FB" w:rsidP="00AB61A4">
            <w:pPr>
              <w:spacing w:line="360" w:lineRule="auto"/>
              <w:rPr>
                <w:rFonts w:eastAsia="DengXian"/>
                <w:color w:val="000000"/>
              </w:rPr>
            </w:pPr>
            <w:r w:rsidRPr="008F31FB">
              <w:rPr>
                <w:rFonts w:eastAsia="DengXian"/>
                <w:color w:val="000000"/>
              </w:rPr>
              <w:t>2001</w:t>
            </w:r>
          </w:p>
        </w:tc>
        <w:tc>
          <w:tcPr>
            <w:tcW w:w="2268" w:type="dxa"/>
            <w:noWrap/>
            <w:vAlign w:val="center"/>
            <w:hideMark/>
          </w:tcPr>
          <w:p w14:paraId="1BE4CB7D"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1EAAC147" w14:textId="77777777" w:rsidTr="008F31FB">
        <w:trPr>
          <w:trHeight w:val="320"/>
        </w:trPr>
        <w:tc>
          <w:tcPr>
            <w:tcW w:w="4535" w:type="dxa"/>
            <w:noWrap/>
            <w:vAlign w:val="center"/>
            <w:hideMark/>
          </w:tcPr>
          <w:p w14:paraId="674D59AB" w14:textId="77777777" w:rsidR="008F31FB" w:rsidRPr="008F31FB" w:rsidRDefault="008F31FB" w:rsidP="00AB61A4">
            <w:pPr>
              <w:spacing w:line="360" w:lineRule="auto"/>
              <w:rPr>
                <w:rFonts w:eastAsia="DengXian"/>
                <w:color w:val="000000"/>
              </w:rPr>
            </w:pPr>
            <w:r w:rsidRPr="008F31FB">
              <w:rPr>
                <w:rFonts w:eastAsia="DengXian"/>
                <w:color w:val="000000"/>
              </w:rPr>
              <w:t>Body height is a determinant of seasonal blood pressure variation in patients with essential hypertension.</w:t>
            </w:r>
          </w:p>
        </w:tc>
        <w:tc>
          <w:tcPr>
            <w:tcW w:w="1134" w:type="dxa"/>
            <w:noWrap/>
            <w:vAlign w:val="center"/>
            <w:hideMark/>
          </w:tcPr>
          <w:p w14:paraId="1D75D4F5" w14:textId="77777777" w:rsidR="008F31FB" w:rsidRPr="008F31FB" w:rsidRDefault="008F31FB" w:rsidP="00AB61A4">
            <w:pPr>
              <w:spacing w:line="360" w:lineRule="auto"/>
              <w:rPr>
                <w:rFonts w:eastAsia="DengXian"/>
                <w:color w:val="000000"/>
              </w:rPr>
            </w:pPr>
            <w:r w:rsidRPr="008F31FB">
              <w:rPr>
                <w:rFonts w:eastAsia="DengXian"/>
                <w:color w:val="000000"/>
              </w:rPr>
              <w:t>2000</w:t>
            </w:r>
          </w:p>
        </w:tc>
        <w:tc>
          <w:tcPr>
            <w:tcW w:w="2268" w:type="dxa"/>
            <w:noWrap/>
            <w:vAlign w:val="center"/>
            <w:hideMark/>
          </w:tcPr>
          <w:p w14:paraId="4C777AB1"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48C62AA0" w14:textId="77777777" w:rsidTr="008F31FB">
        <w:trPr>
          <w:trHeight w:val="320"/>
        </w:trPr>
        <w:tc>
          <w:tcPr>
            <w:tcW w:w="4535" w:type="dxa"/>
            <w:noWrap/>
            <w:vAlign w:val="center"/>
            <w:hideMark/>
          </w:tcPr>
          <w:p w14:paraId="17C586A1" w14:textId="77777777" w:rsidR="008F31FB" w:rsidRPr="008F31FB" w:rsidRDefault="008F31FB" w:rsidP="00AB61A4">
            <w:pPr>
              <w:spacing w:line="360" w:lineRule="auto"/>
              <w:rPr>
                <w:rFonts w:eastAsia="DengXian"/>
                <w:color w:val="000000"/>
              </w:rPr>
            </w:pPr>
            <w:r w:rsidRPr="008F31FB">
              <w:rPr>
                <w:rFonts w:eastAsia="DengXian"/>
                <w:color w:val="000000"/>
              </w:rPr>
              <w:t>Cations of cisternal cerebrospinal fluid in humans and the effect of different doses of nimodipine on CSF calcium after stroke.</w:t>
            </w:r>
          </w:p>
        </w:tc>
        <w:tc>
          <w:tcPr>
            <w:tcW w:w="1134" w:type="dxa"/>
            <w:noWrap/>
            <w:vAlign w:val="center"/>
            <w:hideMark/>
          </w:tcPr>
          <w:p w14:paraId="0FCA8D0F" w14:textId="77777777" w:rsidR="008F31FB" w:rsidRPr="008F31FB" w:rsidRDefault="008F31FB" w:rsidP="00AB61A4">
            <w:pPr>
              <w:spacing w:line="360" w:lineRule="auto"/>
              <w:rPr>
                <w:rFonts w:eastAsia="DengXian"/>
                <w:color w:val="000000"/>
              </w:rPr>
            </w:pPr>
            <w:r w:rsidRPr="008F31FB">
              <w:rPr>
                <w:rFonts w:eastAsia="DengXian"/>
                <w:color w:val="000000"/>
              </w:rPr>
              <w:t>2000</w:t>
            </w:r>
          </w:p>
        </w:tc>
        <w:tc>
          <w:tcPr>
            <w:tcW w:w="2268" w:type="dxa"/>
            <w:noWrap/>
            <w:vAlign w:val="center"/>
            <w:hideMark/>
          </w:tcPr>
          <w:p w14:paraId="68921F4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1876019" w14:textId="77777777" w:rsidTr="008F31FB">
        <w:trPr>
          <w:trHeight w:val="320"/>
        </w:trPr>
        <w:tc>
          <w:tcPr>
            <w:tcW w:w="4535" w:type="dxa"/>
            <w:noWrap/>
            <w:vAlign w:val="center"/>
            <w:hideMark/>
          </w:tcPr>
          <w:p w14:paraId="755E1B6E" w14:textId="77777777" w:rsidR="008F31FB" w:rsidRPr="008F31FB" w:rsidRDefault="008F31FB" w:rsidP="00AB61A4">
            <w:pPr>
              <w:spacing w:line="360" w:lineRule="auto"/>
              <w:rPr>
                <w:rFonts w:eastAsia="DengXian"/>
                <w:color w:val="000000"/>
              </w:rPr>
            </w:pPr>
            <w:r w:rsidRPr="008F31FB">
              <w:rPr>
                <w:rFonts w:eastAsia="DengXian"/>
                <w:color w:val="000000"/>
              </w:rPr>
              <w:t>Effects of sodium intake on the pressor and renal responses to nitric oxide synthesis inhibition in normotensive individuals with different sodium  sensitivity.</w:t>
            </w:r>
          </w:p>
        </w:tc>
        <w:tc>
          <w:tcPr>
            <w:tcW w:w="1134" w:type="dxa"/>
            <w:noWrap/>
            <w:vAlign w:val="center"/>
            <w:hideMark/>
          </w:tcPr>
          <w:p w14:paraId="364F4CF6" w14:textId="77777777" w:rsidR="008F31FB" w:rsidRPr="008F31FB" w:rsidRDefault="008F31FB" w:rsidP="00AB61A4">
            <w:pPr>
              <w:spacing w:line="360" w:lineRule="auto"/>
              <w:rPr>
                <w:rFonts w:eastAsia="DengXian"/>
                <w:color w:val="000000"/>
              </w:rPr>
            </w:pPr>
            <w:r w:rsidRPr="008F31FB">
              <w:rPr>
                <w:rFonts w:eastAsia="DengXian"/>
                <w:color w:val="000000"/>
              </w:rPr>
              <w:t>2000</w:t>
            </w:r>
          </w:p>
        </w:tc>
        <w:tc>
          <w:tcPr>
            <w:tcW w:w="2268" w:type="dxa"/>
            <w:noWrap/>
            <w:vAlign w:val="center"/>
            <w:hideMark/>
          </w:tcPr>
          <w:p w14:paraId="1B4858E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DCDD16D" w14:textId="77777777" w:rsidTr="008F31FB">
        <w:trPr>
          <w:trHeight w:val="320"/>
        </w:trPr>
        <w:tc>
          <w:tcPr>
            <w:tcW w:w="4535" w:type="dxa"/>
            <w:noWrap/>
            <w:vAlign w:val="center"/>
            <w:hideMark/>
          </w:tcPr>
          <w:p w14:paraId="017E722F" w14:textId="77777777" w:rsidR="008F31FB" w:rsidRPr="008F31FB" w:rsidRDefault="008F31FB" w:rsidP="00AB61A4">
            <w:pPr>
              <w:spacing w:line="360" w:lineRule="auto"/>
              <w:rPr>
                <w:rFonts w:eastAsia="DengXian"/>
                <w:color w:val="000000"/>
              </w:rPr>
            </w:pPr>
            <w:r w:rsidRPr="008F31FB">
              <w:rPr>
                <w:rFonts w:eastAsia="DengXian"/>
                <w:color w:val="000000"/>
              </w:rPr>
              <w:t>Blood pressure and renal haemodynamic response to salt during the normal menstrual cycle.</w:t>
            </w:r>
          </w:p>
        </w:tc>
        <w:tc>
          <w:tcPr>
            <w:tcW w:w="1134" w:type="dxa"/>
            <w:noWrap/>
            <w:vAlign w:val="center"/>
            <w:hideMark/>
          </w:tcPr>
          <w:p w14:paraId="6AEF130B" w14:textId="77777777" w:rsidR="008F31FB" w:rsidRPr="008F31FB" w:rsidRDefault="008F31FB" w:rsidP="00AB61A4">
            <w:pPr>
              <w:spacing w:line="360" w:lineRule="auto"/>
              <w:rPr>
                <w:rFonts w:eastAsia="DengXian"/>
                <w:color w:val="000000"/>
              </w:rPr>
            </w:pPr>
            <w:r w:rsidRPr="008F31FB">
              <w:rPr>
                <w:rFonts w:eastAsia="DengXian"/>
                <w:color w:val="000000"/>
              </w:rPr>
              <w:t>2000</w:t>
            </w:r>
          </w:p>
        </w:tc>
        <w:tc>
          <w:tcPr>
            <w:tcW w:w="2268" w:type="dxa"/>
            <w:noWrap/>
            <w:vAlign w:val="center"/>
            <w:hideMark/>
          </w:tcPr>
          <w:p w14:paraId="70BA800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88B2958" w14:textId="77777777" w:rsidTr="008F31FB">
        <w:trPr>
          <w:trHeight w:val="320"/>
        </w:trPr>
        <w:tc>
          <w:tcPr>
            <w:tcW w:w="4535" w:type="dxa"/>
            <w:noWrap/>
            <w:vAlign w:val="center"/>
            <w:hideMark/>
          </w:tcPr>
          <w:p w14:paraId="1BE81073"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Renal and systemic effects of continued treatment with renin inhibitor remikiren in hypertensive patients with normal and impaired renal function.</w:t>
            </w:r>
          </w:p>
        </w:tc>
        <w:tc>
          <w:tcPr>
            <w:tcW w:w="1134" w:type="dxa"/>
            <w:noWrap/>
            <w:vAlign w:val="center"/>
            <w:hideMark/>
          </w:tcPr>
          <w:p w14:paraId="30CBDB0D" w14:textId="77777777" w:rsidR="008F31FB" w:rsidRPr="008F31FB" w:rsidRDefault="008F31FB" w:rsidP="00AB61A4">
            <w:pPr>
              <w:spacing w:line="360" w:lineRule="auto"/>
              <w:rPr>
                <w:rFonts w:eastAsia="DengXian"/>
                <w:color w:val="000000"/>
              </w:rPr>
            </w:pPr>
            <w:r w:rsidRPr="008F31FB">
              <w:rPr>
                <w:rFonts w:eastAsia="DengXian"/>
                <w:color w:val="000000"/>
              </w:rPr>
              <w:t>2000</w:t>
            </w:r>
          </w:p>
        </w:tc>
        <w:tc>
          <w:tcPr>
            <w:tcW w:w="2268" w:type="dxa"/>
            <w:noWrap/>
            <w:vAlign w:val="center"/>
            <w:hideMark/>
          </w:tcPr>
          <w:p w14:paraId="179F624F"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2F4FEE7" w14:textId="77777777" w:rsidTr="008F31FB">
        <w:trPr>
          <w:trHeight w:val="320"/>
        </w:trPr>
        <w:tc>
          <w:tcPr>
            <w:tcW w:w="4535" w:type="dxa"/>
            <w:noWrap/>
            <w:vAlign w:val="center"/>
            <w:hideMark/>
          </w:tcPr>
          <w:p w14:paraId="6DBDFB18" w14:textId="77777777" w:rsidR="008F31FB" w:rsidRPr="008F31FB" w:rsidRDefault="008F31FB" w:rsidP="00AB61A4">
            <w:pPr>
              <w:spacing w:line="360" w:lineRule="auto"/>
              <w:rPr>
                <w:rFonts w:eastAsia="DengXian"/>
                <w:color w:val="000000"/>
              </w:rPr>
            </w:pPr>
            <w:r w:rsidRPr="008F31FB">
              <w:rPr>
                <w:rFonts w:eastAsia="DengXian"/>
                <w:color w:val="000000"/>
              </w:rPr>
              <w:t>Influence of salt intake on the daytime-nighttime blood pressure variation in normotensive and hypertensive black subjects.</w:t>
            </w:r>
          </w:p>
        </w:tc>
        <w:tc>
          <w:tcPr>
            <w:tcW w:w="1134" w:type="dxa"/>
            <w:noWrap/>
            <w:vAlign w:val="center"/>
            <w:hideMark/>
          </w:tcPr>
          <w:p w14:paraId="2C56B7AA" w14:textId="77777777" w:rsidR="008F31FB" w:rsidRPr="008F31FB" w:rsidRDefault="008F31FB" w:rsidP="00AB61A4">
            <w:pPr>
              <w:spacing w:line="360" w:lineRule="auto"/>
              <w:rPr>
                <w:rFonts w:eastAsia="DengXian"/>
                <w:color w:val="000000"/>
              </w:rPr>
            </w:pPr>
            <w:r w:rsidRPr="008F31FB">
              <w:rPr>
                <w:rFonts w:eastAsia="DengXian"/>
                <w:color w:val="000000"/>
              </w:rPr>
              <w:t>2000</w:t>
            </w:r>
          </w:p>
        </w:tc>
        <w:tc>
          <w:tcPr>
            <w:tcW w:w="2268" w:type="dxa"/>
            <w:noWrap/>
            <w:vAlign w:val="center"/>
            <w:hideMark/>
          </w:tcPr>
          <w:p w14:paraId="15D0B67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F33891A" w14:textId="77777777" w:rsidTr="008F31FB">
        <w:trPr>
          <w:trHeight w:val="320"/>
        </w:trPr>
        <w:tc>
          <w:tcPr>
            <w:tcW w:w="4535" w:type="dxa"/>
            <w:noWrap/>
            <w:vAlign w:val="center"/>
            <w:hideMark/>
          </w:tcPr>
          <w:p w14:paraId="0BE38736" w14:textId="77777777" w:rsidR="008F31FB" w:rsidRPr="008F31FB" w:rsidRDefault="008F31FB" w:rsidP="00AB61A4">
            <w:pPr>
              <w:spacing w:line="360" w:lineRule="auto"/>
              <w:rPr>
                <w:rFonts w:eastAsia="DengXian"/>
                <w:color w:val="000000"/>
              </w:rPr>
            </w:pPr>
            <w:r w:rsidRPr="008F31FB">
              <w:rPr>
                <w:rFonts w:eastAsia="DengXian"/>
                <w:color w:val="000000"/>
              </w:rPr>
              <w:t>Orthograde whole gut irrigation with mannite versus paromomycine + lactulose as prophylaxis of hepatic encephalopathy in patients with cirrhosis and upper  gastrointestinal bleeding: results of a controlled randomized trial.</w:t>
            </w:r>
          </w:p>
        </w:tc>
        <w:tc>
          <w:tcPr>
            <w:tcW w:w="1134" w:type="dxa"/>
            <w:noWrap/>
            <w:vAlign w:val="center"/>
            <w:hideMark/>
          </w:tcPr>
          <w:p w14:paraId="32C6EB4D" w14:textId="77777777" w:rsidR="008F31FB" w:rsidRPr="008F31FB" w:rsidRDefault="008F31FB" w:rsidP="00AB61A4">
            <w:pPr>
              <w:spacing w:line="360" w:lineRule="auto"/>
              <w:rPr>
                <w:rFonts w:eastAsia="DengXian"/>
                <w:color w:val="000000"/>
              </w:rPr>
            </w:pPr>
            <w:r w:rsidRPr="008F31FB">
              <w:rPr>
                <w:rFonts w:eastAsia="DengXian"/>
                <w:color w:val="000000"/>
              </w:rPr>
              <w:t>2000</w:t>
            </w:r>
          </w:p>
        </w:tc>
        <w:tc>
          <w:tcPr>
            <w:tcW w:w="2268" w:type="dxa"/>
            <w:noWrap/>
            <w:vAlign w:val="center"/>
            <w:hideMark/>
          </w:tcPr>
          <w:p w14:paraId="143DBAC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4036B23" w14:textId="77777777" w:rsidTr="008F31FB">
        <w:trPr>
          <w:trHeight w:val="320"/>
        </w:trPr>
        <w:tc>
          <w:tcPr>
            <w:tcW w:w="4535" w:type="dxa"/>
            <w:noWrap/>
            <w:vAlign w:val="center"/>
            <w:hideMark/>
          </w:tcPr>
          <w:p w14:paraId="171F5EA3" w14:textId="77777777" w:rsidR="008F31FB" w:rsidRPr="008F31FB" w:rsidRDefault="008F31FB" w:rsidP="00AB61A4">
            <w:pPr>
              <w:spacing w:line="360" w:lineRule="auto"/>
              <w:rPr>
                <w:rFonts w:eastAsia="DengXian"/>
                <w:color w:val="000000"/>
              </w:rPr>
            </w:pPr>
            <w:r w:rsidRPr="008F31FB">
              <w:rPr>
                <w:rFonts w:eastAsia="DengXian"/>
                <w:color w:val="000000"/>
              </w:rPr>
              <w:t>Renoprotective effects of angiotensin II receptor blockade in type 1 diabetic patients with diabetic nephropathy.</w:t>
            </w:r>
          </w:p>
        </w:tc>
        <w:tc>
          <w:tcPr>
            <w:tcW w:w="1134" w:type="dxa"/>
            <w:noWrap/>
            <w:vAlign w:val="center"/>
            <w:hideMark/>
          </w:tcPr>
          <w:p w14:paraId="297E472E" w14:textId="77777777" w:rsidR="008F31FB" w:rsidRPr="008F31FB" w:rsidRDefault="008F31FB" w:rsidP="00AB61A4">
            <w:pPr>
              <w:spacing w:line="360" w:lineRule="auto"/>
              <w:rPr>
                <w:rFonts w:eastAsia="DengXian"/>
                <w:color w:val="000000"/>
              </w:rPr>
            </w:pPr>
            <w:r w:rsidRPr="008F31FB">
              <w:rPr>
                <w:rFonts w:eastAsia="DengXian"/>
                <w:color w:val="000000"/>
              </w:rPr>
              <w:t>2000</w:t>
            </w:r>
          </w:p>
        </w:tc>
        <w:tc>
          <w:tcPr>
            <w:tcW w:w="2268" w:type="dxa"/>
            <w:noWrap/>
            <w:vAlign w:val="center"/>
            <w:hideMark/>
          </w:tcPr>
          <w:p w14:paraId="6C7D752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A39C8A2" w14:textId="77777777" w:rsidTr="008F31FB">
        <w:trPr>
          <w:trHeight w:val="320"/>
        </w:trPr>
        <w:tc>
          <w:tcPr>
            <w:tcW w:w="4535" w:type="dxa"/>
            <w:noWrap/>
            <w:vAlign w:val="center"/>
            <w:hideMark/>
          </w:tcPr>
          <w:p w14:paraId="3231EE6A" w14:textId="77777777" w:rsidR="008F31FB" w:rsidRPr="008F31FB" w:rsidRDefault="008F31FB" w:rsidP="00AB61A4">
            <w:pPr>
              <w:spacing w:line="360" w:lineRule="auto"/>
              <w:rPr>
                <w:rFonts w:eastAsia="DengXian"/>
                <w:color w:val="000000"/>
              </w:rPr>
            </w:pPr>
            <w:r w:rsidRPr="008F31FB">
              <w:rPr>
                <w:rFonts w:eastAsia="DengXian"/>
                <w:color w:val="000000"/>
              </w:rPr>
              <w:t>Nitroglycerin tolerance in human vessels: evidence for impaired nitroglycerin bioconversion.</w:t>
            </w:r>
          </w:p>
        </w:tc>
        <w:tc>
          <w:tcPr>
            <w:tcW w:w="1134" w:type="dxa"/>
            <w:noWrap/>
            <w:vAlign w:val="center"/>
            <w:hideMark/>
          </w:tcPr>
          <w:p w14:paraId="40942409" w14:textId="77777777" w:rsidR="008F31FB" w:rsidRPr="008F31FB" w:rsidRDefault="008F31FB" w:rsidP="00AB61A4">
            <w:pPr>
              <w:spacing w:line="360" w:lineRule="auto"/>
              <w:rPr>
                <w:rFonts w:eastAsia="DengXian"/>
                <w:color w:val="000000"/>
              </w:rPr>
            </w:pPr>
            <w:r w:rsidRPr="008F31FB">
              <w:rPr>
                <w:rFonts w:eastAsia="DengXian"/>
                <w:color w:val="000000"/>
              </w:rPr>
              <w:t>2000</w:t>
            </w:r>
          </w:p>
        </w:tc>
        <w:tc>
          <w:tcPr>
            <w:tcW w:w="2268" w:type="dxa"/>
            <w:noWrap/>
            <w:vAlign w:val="center"/>
            <w:hideMark/>
          </w:tcPr>
          <w:p w14:paraId="0E374AB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13C4F54" w14:textId="77777777" w:rsidTr="008F31FB">
        <w:trPr>
          <w:trHeight w:val="320"/>
        </w:trPr>
        <w:tc>
          <w:tcPr>
            <w:tcW w:w="4535" w:type="dxa"/>
            <w:noWrap/>
            <w:vAlign w:val="center"/>
            <w:hideMark/>
          </w:tcPr>
          <w:p w14:paraId="15D2E89D" w14:textId="77777777" w:rsidR="008F31FB" w:rsidRPr="008F31FB" w:rsidRDefault="008F31FB" w:rsidP="00AB61A4">
            <w:pPr>
              <w:spacing w:line="360" w:lineRule="auto"/>
              <w:rPr>
                <w:rFonts w:eastAsia="DengXian"/>
                <w:color w:val="000000"/>
              </w:rPr>
            </w:pPr>
            <w:r w:rsidRPr="008F31FB">
              <w:rPr>
                <w:rFonts w:eastAsia="DengXian"/>
                <w:color w:val="000000"/>
              </w:rPr>
              <w:t>Urinary sodium and potassium profile of blacks and whites in relation to education in two different geographic urban areas. TOMHS Research Group.  Treatment of Mild Hypertension Study.</w:t>
            </w:r>
          </w:p>
        </w:tc>
        <w:tc>
          <w:tcPr>
            <w:tcW w:w="1134" w:type="dxa"/>
            <w:noWrap/>
            <w:vAlign w:val="center"/>
            <w:hideMark/>
          </w:tcPr>
          <w:p w14:paraId="573288F4"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48BCE224"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44D3C452" w14:textId="77777777" w:rsidTr="008F31FB">
        <w:trPr>
          <w:trHeight w:val="320"/>
        </w:trPr>
        <w:tc>
          <w:tcPr>
            <w:tcW w:w="4535" w:type="dxa"/>
            <w:noWrap/>
            <w:vAlign w:val="center"/>
            <w:hideMark/>
          </w:tcPr>
          <w:p w14:paraId="51BC1199" w14:textId="77777777" w:rsidR="008F31FB" w:rsidRPr="008F31FB" w:rsidRDefault="008F31FB" w:rsidP="00AB61A4">
            <w:pPr>
              <w:spacing w:line="360" w:lineRule="auto"/>
              <w:rPr>
                <w:rFonts w:eastAsia="DengXian"/>
                <w:color w:val="000000"/>
              </w:rPr>
            </w:pPr>
            <w:r w:rsidRPr="008F31FB">
              <w:rPr>
                <w:rFonts w:eastAsia="DengXian"/>
                <w:color w:val="000000"/>
              </w:rPr>
              <w:t xml:space="preserve">Improved efficiency of hypervolemic therapy with inhibition of natriuresis by </w:t>
            </w:r>
            <w:r w:rsidRPr="008F31FB">
              <w:rPr>
                <w:rFonts w:eastAsia="DengXian"/>
                <w:color w:val="000000"/>
              </w:rPr>
              <w:lastRenderedPageBreak/>
              <w:t>fludrocortisone in patients with aneurysmal subarachnoid hemorrhage.</w:t>
            </w:r>
          </w:p>
        </w:tc>
        <w:tc>
          <w:tcPr>
            <w:tcW w:w="1134" w:type="dxa"/>
            <w:noWrap/>
            <w:vAlign w:val="center"/>
            <w:hideMark/>
          </w:tcPr>
          <w:p w14:paraId="36FBEA62"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1999</w:t>
            </w:r>
          </w:p>
        </w:tc>
        <w:tc>
          <w:tcPr>
            <w:tcW w:w="2268" w:type="dxa"/>
            <w:noWrap/>
            <w:vAlign w:val="center"/>
            <w:hideMark/>
          </w:tcPr>
          <w:p w14:paraId="795B763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391624C" w14:textId="77777777" w:rsidTr="008F31FB">
        <w:trPr>
          <w:trHeight w:val="320"/>
        </w:trPr>
        <w:tc>
          <w:tcPr>
            <w:tcW w:w="4535" w:type="dxa"/>
            <w:noWrap/>
            <w:vAlign w:val="center"/>
            <w:hideMark/>
          </w:tcPr>
          <w:p w14:paraId="0B1F669E" w14:textId="77777777" w:rsidR="008F31FB" w:rsidRPr="008F31FB" w:rsidRDefault="008F31FB" w:rsidP="00AB61A4">
            <w:pPr>
              <w:spacing w:line="360" w:lineRule="auto"/>
              <w:rPr>
                <w:rFonts w:eastAsia="DengXian"/>
                <w:color w:val="000000"/>
              </w:rPr>
            </w:pPr>
            <w:r w:rsidRPr="008F31FB">
              <w:rPr>
                <w:rFonts w:eastAsia="DengXian"/>
                <w:color w:val="000000"/>
              </w:rPr>
              <w:t>Efficacy of magnesium sulphate and phenytoin in the management of eclampsia.</w:t>
            </w:r>
          </w:p>
        </w:tc>
        <w:tc>
          <w:tcPr>
            <w:tcW w:w="1134" w:type="dxa"/>
            <w:noWrap/>
            <w:vAlign w:val="center"/>
            <w:hideMark/>
          </w:tcPr>
          <w:p w14:paraId="4EB0734B"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6243F16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D4C253C" w14:textId="77777777" w:rsidTr="008F31FB">
        <w:trPr>
          <w:trHeight w:val="320"/>
        </w:trPr>
        <w:tc>
          <w:tcPr>
            <w:tcW w:w="4535" w:type="dxa"/>
            <w:noWrap/>
            <w:vAlign w:val="center"/>
            <w:hideMark/>
          </w:tcPr>
          <w:p w14:paraId="5B74E1F0" w14:textId="77777777" w:rsidR="008F31FB" w:rsidRPr="008F31FB" w:rsidRDefault="008F31FB" w:rsidP="00AB61A4">
            <w:pPr>
              <w:spacing w:line="360" w:lineRule="auto"/>
              <w:rPr>
                <w:rFonts w:eastAsia="DengXian"/>
                <w:color w:val="000000"/>
              </w:rPr>
            </w:pPr>
            <w:r w:rsidRPr="008F31FB">
              <w:rPr>
                <w:rFonts w:eastAsia="DengXian"/>
                <w:color w:val="000000"/>
              </w:rPr>
              <w:t>The effects of fenoldopam, a selective dopamine receptor agonist, on systemic and renal hemodynamics in normotensive subjects.</w:t>
            </w:r>
          </w:p>
        </w:tc>
        <w:tc>
          <w:tcPr>
            <w:tcW w:w="1134" w:type="dxa"/>
            <w:noWrap/>
            <w:vAlign w:val="center"/>
            <w:hideMark/>
          </w:tcPr>
          <w:p w14:paraId="2E0C9658"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33F085D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A14E814" w14:textId="77777777" w:rsidTr="008F31FB">
        <w:trPr>
          <w:trHeight w:val="320"/>
        </w:trPr>
        <w:tc>
          <w:tcPr>
            <w:tcW w:w="4535" w:type="dxa"/>
            <w:noWrap/>
            <w:vAlign w:val="center"/>
            <w:hideMark/>
          </w:tcPr>
          <w:p w14:paraId="5D3D403E" w14:textId="77777777" w:rsidR="008F31FB" w:rsidRPr="008F31FB" w:rsidRDefault="008F31FB" w:rsidP="00AB61A4">
            <w:pPr>
              <w:spacing w:line="360" w:lineRule="auto"/>
              <w:rPr>
                <w:rFonts w:eastAsia="DengXian"/>
                <w:color w:val="000000"/>
              </w:rPr>
            </w:pPr>
            <w:r w:rsidRPr="008F31FB">
              <w:rPr>
                <w:rFonts w:eastAsia="DengXian"/>
                <w:color w:val="000000"/>
              </w:rPr>
              <w:t>Sodium-hydrogen exchange inhibition: novel strategy to prevent myocardial injury following ischemia and reperfusion.</w:t>
            </w:r>
          </w:p>
        </w:tc>
        <w:tc>
          <w:tcPr>
            <w:tcW w:w="1134" w:type="dxa"/>
            <w:noWrap/>
            <w:vAlign w:val="center"/>
            <w:hideMark/>
          </w:tcPr>
          <w:p w14:paraId="11D67560"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6B61981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F05C863" w14:textId="77777777" w:rsidTr="008F31FB">
        <w:trPr>
          <w:trHeight w:val="320"/>
        </w:trPr>
        <w:tc>
          <w:tcPr>
            <w:tcW w:w="4535" w:type="dxa"/>
            <w:noWrap/>
            <w:vAlign w:val="center"/>
            <w:hideMark/>
          </w:tcPr>
          <w:p w14:paraId="2F17F772" w14:textId="77777777" w:rsidR="008F31FB" w:rsidRPr="008F31FB" w:rsidRDefault="008F31FB" w:rsidP="00AB61A4">
            <w:pPr>
              <w:spacing w:line="360" w:lineRule="auto"/>
              <w:rPr>
                <w:rFonts w:eastAsia="DengXian"/>
                <w:color w:val="000000"/>
              </w:rPr>
            </w:pPr>
            <w:r w:rsidRPr="008F31FB">
              <w:rPr>
                <w:rFonts w:eastAsia="DengXian"/>
                <w:color w:val="000000"/>
              </w:rPr>
              <w:t>Dietary adherence in the Dietary Approaches to Stop Hypertension trial. DASH Collaborative Research Group.</w:t>
            </w:r>
          </w:p>
        </w:tc>
        <w:tc>
          <w:tcPr>
            <w:tcW w:w="1134" w:type="dxa"/>
            <w:noWrap/>
            <w:vAlign w:val="center"/>
            <w:hideMark/>
          </w:tcPr>
          <w:p w14:paraId="457CA263"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596E7ED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1DD1243" w14:textId="77777777" w:rsidTr="008F31FB">
        <w:trPr>
          <w:trHeight w:val="320"/>
        </w:trPr>
        <w:tc>
          <w:tcPr>
            <w:tcW w:w="4535" w:type="dxa"/>
            <w:noWrap/>
            <w:vAlign w:val="center"/>
            <w:hideMark/>
          </w:tcPr>
          <w:p w14:paraId="1BE57195" w14:textId="77777777" w:rsidR="008F31FB" w:rsidRPr="008F31FB" w:rsidRDefault="008F31FB" w:rsidP="00AB61A4">
            <w:pPr>
              <w:spacing w:line="360" w:lineRule="auto"/>
              <w:rPr>
                <w:rFonts w:eastAsia="DengXian"/>
                <w:color w:val="000000"/>
              </w:rPr>
            </w:pPr>
            <w:r w:rsidRPr="008F31FB">
              <w:rPr>
                <w:rFonts w:eastAsia="DengXian"/>
                <w:color w:val="000000"/>
              </w:rPr>
              <w:t>Validation of diet composition for the Dietary Approaches to Stop Hypertension trial. DASH Collaborative Research Group.</w:t>
            </w:r>
          </w:p>
        </w:tc>
        <w:tc>
          <w:tcPr>
            <w:tcW w:w="1134" w:type="dxa"/>
            <w:noWrap/>
            <w:vAlign w:val="center"/>
            <w:hideMark/>
          </w:tcPr>
          <w:p w14:paraId="4C431F18"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460CBDE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6FE1102" w14:textId="77777777" w:rsidTr="008F31FB">
        <w:trPr>
          <w:trHeight w:val="320"/>
        </w:trPr>
        <w:tc>
          <w:tcPr>
            <w:tcW w:w="4535" w:type="dxa"/>
            <w:noWrap/>
            <w:vAlign w:val="center"/>
            <w:hideMark/>
          </w:tcPr>
          <w:p w14:paraId="49129704" w14:textId="77777777" w:rsidR="008F31FB" w:rsidRPr="008F31FB" w:rsidRDefault="008F31FB" w:rsidP="00AB61A4">
            <w:pPr>
              <w:spacing w:line="360" w:lineRule="auto"/>
              <w:rPr>
                <w:rFonts w:eastAsia="DengXian"/>
                <w:color w:val="000000"/>
              </w:rPr>
            </w:pPr>
            <w:r w:rsidRPr="008F31FB">
              <w:rPr>
                <w:rFonts w:eastAsia="DengXian"/>
                <w:color w:val="000000"/>
              </w:rPr>
              <w:t>Descriptive characteristics of the dietary patterns used in the Dietary Approaches to Stop Hypertension Trial. DASH Collaborative Research Group.</w:t>
            </w:r>
          </w:p>
        </w:tc>
        <w:tc>
          <w:tcPr>
            <w:tcW w:w="1134" w:type="dxa"/>
            <w:noWrap/>
            <w:vAlign w:val="center"/>
            <w:hideMark/>
          </w:tcPr>
          <w:p w14:paraId="693845E6"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2EDE736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9D56C24" w14:textId="77777777" w:rsidTr="008F31FB">
        <w:trPr>
          <w:trHeight w:val="320"/>
        </w:trPr>
        <w:tc>
          <w:tcPr>
            <w:tcW w:w="4535" w:type="dxa"/>
            <w:noWrap/>
            <w:vAlign w:val="center"/>
            <w:hideMark/>
          </w:tcPr>
          <w:p w14:paraId="7BDF445A" w14:textId="77777777" w:rsidR="008F31FB" w:rsidRPr="008F31FB" w:rsidRDefault="008F31FB" w:rsidP="00AB61A4">
            <w:pPr>
              <w:spacing w:line="360" w:lineRule="auto"/>
              <w:rPr>
                <w:rFonts w:eastAsia="DengXian"/>
                <w:color w:val="000000"/>
              </w:rPr>
            </w:pPr>
            <w:r w:rsidRPr="008F31FB">
              <w:rPr>
                <w:rFonts w:eastAsia="DengXian"/>
                <w:color w:val="000000"/>
              </w:rPr>
              <w:t>Low-dose glucose-insulin-potassium is ineffective in acute myocardial infarction: results of a randomized multicenter Pol-GIK trial.</w:t>
            </w:r>
          </w:p>
        </w:tc>
        <w:tc>
          <w:tcPr>
            <w:tcW w:w="1134" w:type="dxa"/>
            <w:noWrap/>
            <w:vAlign w:val="center"/>
            <w:hideMark/>
          </w:tcPr>
          <w:p w14:paraId="3F4E2D9A"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35383EFE"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283EAD1" w14:textId="77777777" w:rsidTr="008F31FB">
        <w:trPr>
          <w:trHeight w:val="320"/>
        </w:trPr>
        <w:tc>
          <w:tcPr>
            <w:tcW w:w="4535" w:type="dxa"/>
            <w:noWrap/>
            <w:vAlign w:val="center"/>
            <w:hideMark/>
          </w:tcPr>
          <w:p w14:paraId="1BA28110"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Renal effects of selective cyclooxygenase-2 inhibition in normotensive salt-depleted subjects.</w:t>
            </w:r>
          </w:p>
        </w:tc>
        <w:tc>
          <w:tcPr>
            <w:tcW w:w="1134" w:type="dxa"/>
            <w:noWrap/>
            <w:vAlign w:val="center"/>
            <w:hideMark/>
          </w:tcPr>
          <w:p w14:paraId="443E1070"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1C09796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5B82B60" w14:textId="77777777" w:rsidTr="008F31FB">
        <w:trPr>
          <w:trHeight w:val="320"/>
        </w:trPr>
        <w:tc>
          <w:tcPr>
            <w:tcW w:w="4535" w:type="dxa"/>
            <w:noWrap/>
            <w:vAlign w:val="center"/>
            <w:hideMark/>
          </w:tcPr>
          <w:p w14:paraId="09D431D1" w14:textId="77777777" w:rsidR="008F31FB" w:rsidRPr="008F31FB" w:rsidRDefault="008F31FB" w:rsidP="00AB61A4">
            <w:pPr>
              <w:spacing w:line="360" w:lineRule="auto"/>
              <w:rPr>
                <w:rFonts w:eastAsia="DengXian"/>
                <w:color w:val="000000"/>
              </w:rPr>
            </w:pPr>
            <w:r w:rsidRPr="008F31FB">
              <w:rPr>
                <w:rFonts w:eastAsia="DengXian"/>
                <w:color w:val="000000"/>
              </w:rPr>
              <w:t>Intermittent 6-month low-dose dobutamine infusion in severe heart failure: DICE multicenter trial.</w:t>
            </w:r>
          </w:p>
        </w:tc>
        <w:tc>
          <w:tcPr>
            <w:tcW w:w="1134" w:type="dxa"/>
            <w:noWrap/>
            <w:vAlign w:val="center"/>
            <w:hideMark/>
          </w:tcPr>
          <w:p w14:paraId="2C87C2E5"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6F4C85D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DC5E468" w14:textId="77777777" w:rsidTr="008F31FB">
        <w:trPr>
          <w:trHeight w:val="320"/>
        </w:trPr>
        <w:tc>
          <w:tcPr>
            <w:tcW w:w="4535" w:type="dxa"/>
            <w:noWrap/>
            <w:vAlign w:val="center"/>
            <w:hideMark/>
          </w:tcPr>
          <w:p w14:paraId="6564F5A3" w14:textId="77777777" w:rsidR="008F31FB" w:rsidRPr="008F31FB" w:rsidRDefault="008F31FB" w:rsidP="00AB61A4">
            <w:pPr>
              <w:spacing w:line="360" w:lineRule="auto"/>
              <w:rPr>
                <w:rFonts w:eastAsia="DengXian"/>
                <w:color w:val="000000"/>
              </w:rPr>
            </w:pPr>
            <w:r w:rsidRPr="008F31FB">
              <w:rPr>
                <w:rFonts w:eastAsia="DengXian"/>
                <w:color w:val="000000"/>
              </w:rPr>
              <w:t>Moderate sodium restriction does not alter lower body negative pressure tolerance.</w:t>
            </w:r>
          </w:p>
        </w:tc>
        <w:tc>
          <w:tcPr>
            <w:tcW w:w="1134" w:type="dxa"/>
            <w:noWrap/>
            <w:vAlign w:val="center"/>
            <w:hideMark/>
          </w:tcPr>
          <w:p w14:paraId="6D306067"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73EF48B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2A08B61" w14:textId="77777777" w:rsidTr="008F31FB">
        <w:trPr>
          <w:trHeight w:val="320"/>
        </w:trPr>
        <w:tc>
          <w:tcPr>
            <w:tcW w:w="4535" w:type="dxa"/>
            <w:noWrap/>
            <w:vAlign w:val="center"/>
            <w:hideMark/>
          </w:tcPr>
          <w:p w14:paraId="6BD845B7" w14:textId="77777777" w:rsidR="008F31FB" w:rsidRPr="008F31FB" w:rsidRDefault="008F31FB" w:rsidP="00AB61A4">
            <w:pPr>
              <w:spacing w:line="360" w:lineRule="auto"/>
              <w:rPr>
                <w:rFonts w:eastAsia="DengXian"/>
                <w:color w:val="000000"/>
              </w:rPr>
            </w:pPr>
            <w:r w:rsidRPr="008F31FB">
              <w:rPr>
                <w:rFonts w:eastAsia="DengXian"/>
                <w:color w:val="000000"/>
              </w:rPr>
              <w:t>Moderate dietary salt restriction increases vascular and systemic insulin resistance.</w:t>
            </w:r>
          </w:p>
        </w:tc>
        <w:tc>
          <w:tcPr>
            <w:tcW w:w="1134" w:type="dxa"/>
            <w:noWrap/>
            <w:vAlign w:val="center"/>
            <w:hideMark/>
          </w:tcPr>
          <w:p w14:paraId="62F778D0"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4AE29CA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A091E2F" w14:textId="77777777" w:rsidTr="008F31FB">
        <w:trPr>
          <w:trHeight w:val="320"/>
        </w:trPr>
        <w:tc>
          <w:tcPr>
            <w:tcW w:w="4535" w:type="dxa"/>
            <w:noWrap/>
            <w:vAlign w:val="center"/>
            <w:hideMark/>
          </w:tcPr>
          <w:p w14:paraId="14100AD7" w14:textId="77777777" w:rsidR="008F31FB" w:rsidRPr="008F31FB" w:rsidRDefault="008F31FB" w:rsidP="00AB61A4">
            <w:pPr>
              <w:spacing w:line="360" w:lineRule="auto"/>
              <w:rPr>
                <w:rFonts w:eastAsia="DengXian"/>
                <w:color w:val="000000"/>
              </w:rPr>
            </w:pPr>
            <w:r w:rsidRPr="008F31FB">
              <w:rPr>
                <w:rFonts w:eastAsia="DengXian"/>
                <w:color w:val="000000"/>
              </w:rPr>
              <w:t>Effect of pravastatin on erythrocyte rheological and biochemical properties in poorly controlled Type 2 diabetic patients.</w:t>
            </w:r>
          </w:p>
        </w:tc>
        <w:tc>
          <w:tcPr>
            <w:tcW w:w="1134" w:type="dxa"/>
            <w:noWrap/>
            <w:vAlign w:val="center"/>
            <w:hideMark/>
          </w:tcPr>
          <w:p w14:paraId="467CA4A9"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36C5B6F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0661B5F" w14:textId="77777777" w:rsidTr="008F31FB">
        <w:trPr>
          <w:trHeight w:val="320"/>
        </w:trPr>
        <w:tc>
          <w:tcPr>
            <w:tcW w:w="4535" w:type="dxa"/>
            <w:noWrap/>
            <w:vAlign w:val="center"/>
            <w:hideMark/>
          </w:tcPr>
          <w:p w14:paraId="2AD7E5F7" w14:textId="77777777" w:rsidR="008F31FB" w:rsidRPr="008F31FB" w:rsidRDefault="008F31FB" w:rsidP="00AB61A4">
            <w:pPr>
              <w:spacing w:line="360" w:lineRule="auto"/>
              <w:rPr>
                <w:rFonts w:eastAsia="DengXian"/>
                <w:color w:val="000000"/>
              </w:rPr>
            </w:pPr>
            <w:r w:rsidRPr="008F31FB">
              <w:rPr>
                <w:rFonts w:eastAsia="DengXian"/>
                <w:color w:val="000000"/>
              </w:rPr>
              <w:t>Albumin improves the response to diuretics in patients with cirrhosis and ascites: results of a randomized, controlled trial.</w:t>
            </w:r>
          </w:p>
        </w:tc>
        <w:tc>
          <w:tcPr>
            <w:tcW w:w="1134" w:type="dxa"/>
            <w:noWrap/>
            <w:vAlign w:val="center"/>
            <w:hideMark/>
          </w:tcPr>
          <w:p w14:paraId="379DF5FE"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41F2F32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D5CE1D8" w14:textId="77777777" w:rsidTr="008F31FB">
        <w:trPr>
          <w:trHeight w:val="320"/>
        </w:trPr>
        <w:tc>
          <w:tcPr>
            <w:tcW w:w="4535" w:type="dxa"/>
            <w:noWrap/>
            <w:vAlign w:val="center"/>
            <w:hideMark/>
          </w:tcPr>
          <w:p w14:paraId="0834D1F3" w14:textId="77777777" w:rsidR="008F31FB" w:rsidRPr="008F31FB" w:rsidRDefault="008F31FB" w:rsidP="00AB61A4">
            <w:pPr>
              <w:spacing w:line="360" w:lineRule="auto"/>
              <w:rPr>
                <w:rFonts w:eastAsia="DengXian"/>
                <w:color w:val="000000"/>
              </w:rPr>
            </w:pPr>
            <w:r w:rsidRPr="008F31FB">
              <w:rPr>
                <w:rFonts w:eastAsia="DengXian"/>
                <w:color w:val="000000"/>
              </w:rPr>
              <w:t>Cytosolic calcium and lymphoproliferative response during calcium antagonism in men.</w:t>
            </w:r>
          </w:p>
        </w:tc>
        <w:tc>
          <w:tcPr>
            <w:tcW w:w="1134" w:type="dxa"/>
            <w:noWrap/>
            <w:vAlign w:val="center"/>
            <w:hideMark/>
          </w:tcPr>
          <w:p w14:paraId="6D6700DC"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2398F0D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F31D0B4" w14:textId="77777777" w:rsidTr="008F31FB">
        <w:trPr>
          <w:trHeight w:val="320"/>
        </w:trPr>
        <w:tc>
          <w:tcPr>
            <w:tcW w:w="4535" w:type="dxa"/>
            <w:noWrap/>
            <w:vAlign w:val="center"/>
            <w:hideMark/>
          </w:tcPr>
          <w:p w14:paraId="2F50DE9B" w14:textId="77777777" w:rsidR="008F31FB" w:rsidRPr="008F31FB" w:rsidRDefault="008F31FB" w:rsidP="00AB61A4">
            <w:pPr>
              <w:spacing w:line="360" w:lineRule="auto"/>
              <w:rPr>
                <w:rFonts w:eastAsia="DengXian"/>
                <w:color w:val="000000"/>
              </w:rPr>
            </w:pPr>
            <w:r w:rsidRPr="008F31FB">
              <w:rPr>
                <w:rFonts w:eastAsia="DengXian"/>
                <w:color w:val="000000"/>
              </w:rPr>
              <w:t>Effects of potassium on blood pressure in salt-sensitive and salt-resistant black adolescents.</w:t>
            </w:r>
          </w:p>
        </w:tc>
        <w:tc>
          <w:tcPr>
            <w:tcW w:w="1134" w:type="dxa"/>
            <w:noWrap/>
            <w:vAlign w:val="center"/>
            <w:hideMark/>
          </w:tcPr>
          <w:p w14:paraId="4C78B08E" w14:textId="77777777" w:rsidR="008F31FB" w:rsidRPr="008F31FB" w:rsidRDefault="008F31FB" w:rsidP="00AB61A4">
            <w:pPr>
              <w:spacing w:line="360" w:lineRule="auto"/>
              <w:rPr>
                <w:rFonts w:eastAsia="DengXian"/>
                <w:color w:val="000000"/>
              </w:rPr>
            </w:pPr>
            <w:r w:rsidRPr="008F31FB">
              <w:rPr>
                <w:rFonts w:eastAsia="DengXian"/>
                <w:color w:val="000000"/>
              </w:rPr>
              <w:t>1999</w:t>
            </w:r>
          </w:p>
        </w:tc>
        <w:tc>
          <w:tcPr>
            <w:tcW w:w="2268" w:type="dxa"/>
            <w:noWrap/>
            <w:vAlign w:val="center"/>
            <w:hideMark/>
          </w:tcPr>
          <w:p w14:paraId="4D1A2608" w14:textId="77777777" w:rsidR="008F31FB" w:rsidRPr="008F31FB" w:rsidRDefault="008F31FB" w:rsidP="00AB61A4">
            <w:pPr>
              <w:spacing w:line="360" w:lineRule="auto"/>
              <w:rPr>
                <w:rFonts w:eastAsia="DengXian"/>
                <w:color w:val="000000"/>
              </w:rPr>
            </w:pPr>
            <w:r w:rsidRPr="008F31FB">
              <w:rPr>
                <w:rFonts w:eastAsia="DengXian"/>
                <w:color w:val="000000"/>
              </w:rPr>
              <w:t>Irrelevant participants</w:t>
            </w:r>
          </w:p>
        </w:tc>
      </w:tr>
      <w:tr w:rsidR="004C083E" w:rsidRPr="008F31FB" w14:paraId="2E3A0230" w14:textId="77777777" w:rsidTr="008F31FB">
        <w:trPr>
          <w:trHeight w:val="320"/>
        </w:trPr>
        <w:tc>
          <w:tcPr>
            <w:tcW w:w="4535" w:type="dxa"/>
            <w:noWrap/>
            <w:vAlign w:val="center"/>
            <w:hideMark/>
          </w:tcPr>
          <w:p w14:paraId="35207464" w14:textId="77777777" w:rsidR="008F31FB" w:rsidRPr="008F31FB" w:rsidRDefault="008F31FB" w:rsidP="00AB61A4">
            <w:pPr>
              <w:spacing w:line="360" w:lineRule="auto"/>
              <w:rPr>
                <w:rFonts w:eastAsia="DengXian"/>
                <w:color w:val="000000"/>
              </w:rPr>
            </w:pPr>
            <w:r w:rsidRPr="008F31FB">
              <w:rPr>
                <w:rFonts w:eastAsia="DengXian"/>
                <w:color w:val="000000"/>
              </w:rPr>
              <w:t>Effect of beer consumption on plasma magnesium: randomized comparison with mineral water.</w:t>
            </w:r>
          </w:p>
        </w:tc>
        <w:tc>
          <w:tcPr>
            <w:tcW w:w="1134" w:type="dxa"/>
            <w:noWrap/>
            <w:vAlign w:val="center"/>
            <w:hideMark/>
          </w:tcPr>
          <w:p w14:paraId="391DE27E"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4A86BE2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9BD4CA2" w14:textId="77777777" w:rsidTr="008F31FB">
        <w:trPr>
          <w:trHeight w:val="320"/>
        </w:trPr>
        <w:tc>
          <w:tcPr>
            <w:tcW w:w="4535" w:type="dxa"/>
            <w:noWrap/>
            <w:vAlign w:val="center"/>
            <w:hideMark/>
          </w:tcPr>
          <w:p w14:paraId="0272B65F" w14:textId="77777777" w:rsidR="008F31FB" w:rsidRPr="008F31FB" w:rsidRDefault="008F31FB" w:rsidP="00AB61A4">
            <w:pPr>
              <w:spacing w:line="360" w:lineRule="auto"/>
              <w:rPr>
                <w:rFonts w:eastAsia="DengXian"/>
                <w:color w:val="000000"/>
              </w:rPr>
            </w:pPr>
            <w:r w:rsidRPr="008F31FB">
              <w:rPr>
                <w:rFonts w:eastAsia="DengXian"/>
                <w:color w:val="000000"/>
              </w:rPr>
              <w:t>Low-dose diuretic and/or dietary sodium restriction when blood pressure is resistant to ACE inhibitor.</w:t>
            </w:r>
          </w:p>
        </w:tc>
        <w:tc>
          <w:tcPr>
            <w:tcW w:w="1134" w:type="dxa"/>
            <w:noWrap/>
            <w:vAlign w:val="center"/>
            <w:hideMark/>
          </w:tcPr>
          <w:p w14:paraId="05CB0034"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57D38C6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B65C364" w14:textId="77777777" w:rsidTr="008F31FB">
        <w:trPr>
          <w:trHeight w:val="320"/>
        </w:trPr>
        <w:tc>
          <w:tcPr>
            <w:tcW w:w="4535" w:type="dxa"/>
            <w:noWrap/>
            <w:vAlign w:val="center"/>
            <w:hideMark/>
          </w:tcPr>
          <w:p w14:paraId="1E31CE87"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Calcium supplementation in patients with essential hypertension: assessment by office, home and ambulatory blood pressure.</w:t>
            </w:r>
          </w:p>
        </w:tc>
        <w:tc>
          <w:tcPr>
            <w:tcW w:w="1134" w:type="dxa"/>
            <w:noWrap/>
            <w:vAlign w:val="center"/>
            <w:hideMark/>
          </w:tcPr>
          <w:p w14:paraId="77CCC531"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05B5D2D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DF5C1DD" w14:textId="77777777" w:rsidTr="008F31FB">
        <w:trPr>
          <w:trHeight w:val="320"/>
        </w:trPr>
        <w:tc>
          <w:tcPr>
            <w:tcW w:w="4535" w:type="dxa"/>
            <w:noWrap/>
            <w:vAlign w:val="center"/>
            <w:hideMark/>
          </w:tcPr>
          <w:p w14:paraId="7A05ABE4" w14:textId="77777777" w:rsidR="008F31FB" w:rsidRPr="008F31FB" w:rsidRDefault="008F31FB" w:rsidP="00AB61A4">
            <w:pPr>
              <w:spacing w:line="360" w:lineRule="auto"/>
              <w:rPr>
                <w:rFonts w:eastAsia="DengXian"/>
                <w:color w:val="000000"/>
              </w:rPr>
            </w:pPr>
            <w:r w:rsidRPr="008F31FB">
              <w:rPr>
                <w:rFonts w:eastAsia="DengXian"/>
                <w:color w:val="000000"/>
              </w:rPr>
              <w:t>Diuretic effects of furosemide infusion versus bolus injection in congestive heart failure.</w:t>
            </w:r>
          </w:p>
        </w:tc>
        <w:tc>
          <w:tcPr>
            <w:tcW w:w="1134" w:type="dxa"/>
            <w:noWrap/>
            <w:vAlign w:val="center"/>
            <w:hideMark/>
          </w:tcPr>
          <w:p w14:paraId="46A03E7E"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0C8A3A9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1B36E25" w14:textId="77777777" w:rsidTr="008F31FB">
        <w:trPr>
          <w:trHeight w:val="320"/>
        </w:trPr>
        <w:tc>
          <w:tcPr>
            <w:tcW w:w="4535" w:type="dxa"/>
            <w:noWrap/>
            <w:vAlign w:val="center"/>
            <w:hideMark/>
          </w:tcPr>
          <w:p w14:paraId="481B186C" w14:textId="77777777" w:rsidR="008F31FB" w:rsidRPr="008F31FB" w:rsidRDefault="008F31FB" w:rsidP="00AB61A4">
            <w:pPr>
              <w:spacing w:line="360" w:lineRule="auto"/>
              <w:rPr>
                <w:rFonts w:eastAsia="DengXian"/>
                <w:color w:val="000000"/>
              </w:rPr>
            </w:pPr>
            <w:r w:rsidRPr="008F31FB">
              <w:rPr>
                <w:rFonts w:eastAsia="DengXian"/>
                <w:color w:val="000000"/>
              </w:rPr>
              <w:t>Effects of dietary fish and weight reduction on ambulatory blood pressure in overweight hypertensives.</w:t>
            </w:r>
          </w:p>
        </w:tc>
        <w:tc>
          <w:tcPr>
            <w:tcW w:w="1134" w:type="dxa"/>
            <w:noWrap/>
            <w:vAlign w:val="center"/>
            <w:hideMark/>
          </w:tcPr>
          <w:p w14:paraId="5284B89B"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48AAF63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65F81B9" w14:textId="77777777" w:rsidTr="008F31FB">
        <w:trPr>
          <w:trHeight w:val="320"/>
        </w:trPr>
        <w:tc>
          <w:tcPr>
            <w:tcW w:w="4535" w:type="dxa"/>
            <w:noWrap/>
            <w:vAlign w:val="center"/>
            <w:hideMark/>
          </w:tcPr>
          <w:p w14:paraId="3B95720F" w14:textId="77777777" w:rsidR="008F31FB" w:rsidRPr="008F31FB" w:rsidRDefault="008F31FB" w:rsidP="00AB61A4">
            <w:pPr>
              <w:spacing w:line="360" w:lineRule="auto"/>
              <w:rPr>
                <w:rFonts w:eastAsia="DengXian"/>
                <w:color w:val="000000"/>
              </w:rPr>
            </w:pPr>
            <w:r w:rsidRPr="008F31FB">
              <w:rPr>
                <w:rFonts w:eastAsia="DengXian"/>
                <w:color w:val="000000"/>
              </w:rPr>
              <w:t>The effect of magnesium sulphate on hemodynamics and its efficacy in attenuating the response to endotracheal intubation in patients with coronary artery disease.</w:t>
            </w:r>
          </w:p>
        </w:tc>
        <w:tc>
          <w:tcPr>
            <w:tcW w:w="1134" w:type="dxa"/>
            <w:noWrap/>
            <w:vAlign w:val="center"/>
            <w:hideMark/>
          </w:tcPr>
          <w:p w14:paraId="6F458383"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58D31F2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99A124E" w14:textId="77777777" w:rsidTr="008F31FB">
        <w:trPr>
          <w:trHeight w:val="320"/>
        </w:trPr>
        <w:tc>
          <w:tcPr>
            <w:tcW w:w="4535" w:type="dxa"/>
            <w:noWrap/>
            <w:vAlign w:val="center"/>
            <w:hideMark/>
          </w:tcPr>
          <w:p w14:paraId="09006C87" w14:textId="77777777" w:rsidR="008F31FB" w:rsidRPr="008F31FB" w:rsidRDefault="008F31FB" w:rsidP="00AB61A4">
            <w:pPr>
              <w:spacing w:line="360" w:lineRule="auto"/>
              <w:rPr>
                <w:rFonts w:eastAsia="DengXian"/>
                <w:color w:val="000000"/>
              </w:rPr>
            </w:pPr>
            <w:r w:rsidRPr="008F31FB">
              <w:rPr>
                <w:rFonts w:eastAsia="DengXian"/>
                <w:color w:val="000000"/>
              </w:rPr>
              <w:t>Acetate hemodialysis does not increase the frequency of arrhythmia in hemodialysis patients.</w:t>
            </w:r>
          </w:p>
        </w:tc>
        <w:tc>
          <w:tcPr>
            <w:tcW w:w="1134" w:type="dxa"/>
            <w:noWrap/>
            <w:vAlign w:val="center"/>
            <w:hideMark/>
          </w:tcPr>
          <w:p w14:paraId="7050341B"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4FEBF16F"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3AC5301" w14:textId="77777777" w:rsidTr="008F31FB">
        <w:trPr>
          <w:trHeight w:val="320"/>
        </w:trPr>
        <w:tc>
          <w:tcPr>
            <w:tcW w:w="4535" w:type="dxa"/>
            <w:noWrap/>
            <w:vAlign w:val="center"/>
            <w:hideMark/>
          </w:tcPr>
          <w:p w14:paraId="16BD1228" w14:textId="77777777" w:rsidR="008F31FB" w:rsidRPr="008F31FB" w:rsidRDefault="008F31FB" w:rsidP="00AB61A4">
            <w:pPr>
              <w:spacing w:line="360" w:lineRule="auto"/>
              <w:rPr>
                <w:rFonts w:eastAsia="DengXian"/>
                <w:color w:val="000000"/>
              </w:rPr>
            </w:pPr>
            <w:r w:rsidRPr="008F31FB">
              <w:rPr>
                <w:rFonts w:eastAsia="DengXian"/>
                <w:color w:val="000000"/>
              </w:rPr>
              <w:t>Influence of race and dietary salt on the antihypertensive efficacy of an angiotensin-converting enzyme inhibitor or a calcium channel antagonist in  salt-sensitive hypertensives.</w:t>
            </w:r>
          </w:p>
        </w:tc>
        <w:tc>
          <w:tcPr>
            <w:tcW w:w="1134" w:type="dxa"/>
            <w:noWrap/>
            <w:vAlign w:val="center"/>
            <w:hideMark/>
          </w:tcPr>
          <w:p w14:paraId="6E6E3782"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1554722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1857B2C" w14:textId="77777777" w:rsidTr="008F31FB">
        <w:trPr>
          <w:trHeight w:val="320"/>
        </w:trPr>
        <w:tc>
          <w:tcPr>
            <w:tcW w:w="4535" w:type="dxa"/>
            <w:noWrap/>
            <w:vAlign w:val="center"/>
            <w:hideMark/>
          </w:tcPr>
          <w:p w14:paraId="64F92B79" w14:textId="77777777" w:rsidR="008F31FB" w:rsidRPr="008F31FB" w:rsidRDefault="008F31FB" w:rsidP="00AB61A4">
            <w:pPr>
              <w:spacing w:line="360" w:lineRule="auto"/>
              <w:rPr>
                <w:rFonts w:eastAsia="DengXian"/>
                <w:color w:val="000000"/>
              </w:rPr>
            </w:pPr>
            <w:r w:rsidRPr="008F31FB">
              <w:rPr>
                <w:rFonts w:eastAsia="DengXian"/>
                <w:color w:val="000000"/>
              </w:rPr>
              <w:t>Effects of angiotensin II-receptor blockade with losartan on insulin sensitivity, lipid profile, and endothelin in normotensive offspring of hypertensive parents.</w:t>
            </w:r>
          </w:p>
        </w:tc>
        <w:tc>
          <w:tcPr>
            <w:tcW w:w="1134" w:type="dxa"/>
            <w:noWrap/>
            <w:vAlign w:val="center"/>
            <w:hideMark/>
          </w:tcPr>
          <w:p w14:paraId="4605A031"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60DF4C7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9F6F14A" w14:textId="77777777" w:rsidTr="008F31FB">
        <w:trPr>
          <w:trHeight w:val="320"/>
        </w:trPr>
        <w:tc>
          <w:tcPr>
            <w:tcW w:w="4535" w:type="dxa"/>
            <w:noWrap/>
            <w:vAlign w:val="center"/>
            <w:hideMark/>
          </w:tcPr>
          <w:p w14:paraId="28D3302F"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A cross-over medication trial for patients with autosomal-dominant hypertension with brachydactyly.</w:t>
            </w:r>
          </w:p>
        </w:tc>
        <w:tc>
          <w:tcPr>
            <w:tcW w:w="1134" w:type="dxa"/>
            <w:noWrap/>
            <w:vAlign w:val="center"/>
            <w:hideMark/>
          </w:tcPr>
          <w:p w14:paraId="48EC55D0"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2DA4E52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A708074" w14:textId="77777777" w:rsidTr="008F31FB">
        <w:trPr>
          <w:trHeight w:val="320"/>
        </w:trPr>
        <w:tc>
          <w:tcPr>
            <w:tcW w:w="4535" w:type="dxa"/>
            <w:noWrap/>
            <w:vAlign w:val="center"/>
            <w:hideMark/>
          </w:tcPr>
          <w:p w14:paraId="0193769C" w14:textId="77777777" w:rsidR="008F31FB" w:rsidRPr="008F31FB" w:rsidRDefault="008F31FB" w:rsidP="00AB61A4">
            <w:pPr>
              <w:spacing w:line="360" w:lineRule="auto"/>
              <w:rPr>
                <w:rFonts w:eastAsia="DengXian"/>
                <w:color w:val="000000"/>
              </w:rPr>
            </w:pPr>
            <w:r w:rsidRPr="008F31FB">
              <w:rPr>
                <w:rFonts w:eastAsia="DengXian"/>
                <w:color w:val="000000"/>
              </w:rPr>
              <w:t>Renal protection in patients undergoing cardiopulmonary bypass with preoperative abnormal renal function.</w:t>
            </w:r>
          </w:p>
        </w:tc>
        <w:tc>
          <w:tcPr>
            <w:tcW w:w="1134" w:type="dxa"/>
            <w:noWrap/>
            <w:vAlign w:val="center"/>
            <w:hideMark/>
          </w:tcPr>
          <w:p w14:paraId="1139E02B"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74598C8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94F63ED" w14:textId="77777777" w:rsidTr="008F31FB">
        <w:trPr>
          <w:trHeight w:val="320"/>
        </w:trPr>
        <w:tc>
          <w:tcPr>
            <w:tcW w:w="4535" w:type="dxa"/>
            <w:noWrap/>
            <w:vAlign w:val="center"/>
            <w:hideMark/>
          </w:tcPr>
          <w:p w14:paraId="38FCB1CA" w14:textId="77777777" w:rsidR="008F31FB" w:rsidRPr="008F31FB" w:rsidRDefault="008F31FB" w:rsidP="00AB61A4">
            <w:pPr>
              <w:spacing w:line="360" w:lineRule="auto"/>
              <w:rPr>
                <w:rFonts w:eastAsia="DengXian"/>
                <w:color w:val="000000"/>
              </w:rPr>
            </w:pPr>
            <w:r w:rsidRPr="008F31FB">
              <w:rPr>
                <w:rFonts w:eastAsia="DengXian"/>
                <w:color w:val="000000"/>
              </w:rPr>
              <w:t>Correction of metabolic acidosis and its effect on albumin in chronic hemodialysis patients.</w:t>
            </w:r>
          </w:p>
        </w:tc>
        <w:tc>
          <w:tcPr>
            <w:tcW w:w="1134" w:type="dxa"/>
            <w:noWrap/>
            <w:vAlign w:val="center"/>
            <w:hideMark/>
          </w:tcPr>
          <w:p w14:paraId="513D6F71" w14:textId="77777777" w:rsidR="008F31FB" w:rsidRPr="008F31FB" w:rsidRDefault="008F31FB" w:rsidP="00AB61A4">
            <w:pPr>
              <w:spacing w:line="360" w:lineRule="auto"/>
              <w:rPr>
                <w:rFonts w:eastAsia="DengXian"/>
                <w:color w:val="000000"/>
              </w:rPr>
            </w:pPr>
            <w:r w:rsidRPr="008F31FB">
              <w:rPr>
                <w:rFonts w:eastAsia="DengXian"/>
                <w:color w:val="000000"/>
              </w:rPr>
              <w:t>1998</w:t>
            </w:r>
          </w:p>
        </w:tc>
        <w:tc>
          <w:tcPr>
            <w:tcW w:w="2268" w:type="dxa"/>
            <w:noWrap/>
            <w:vAlign w:val="center"/>
            <w:hideMark/>
          </w:tcPr>
          <w:p w14:paraId="3CE932D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4DA3074" w14:textId="77777777" w:rsidTr="008F31FB">
        <w:trPr>
          <w:trHeight w:val="320"/>
        </w:trPr>
        <w:tc>
          <w:tcPr>
            <w:tcW w:w="4535" w:type="dxa"/>
            <w:noWrap/>
            <w:vAlign w:val="center"/>
            <w:hideMark/>
          </w:tcPr>
          <w:p w14:paraId="55B9596E" w14:textId="77777777" w:rsidR="008F31FB" w:rsidRPr="008F31FB" w:rsidRDefault="008F31FB" w:rsidP="00AB61A4">
            <w:pPr>
              <w:spacing w:line="360" w:lineRule="auto"/>
              <w:rPr>
                <w:rFonts w:eastAsia="DengXian"/>
                <w:color w:val="000000"/>
              </w:rPr>
            </w:pPr>
            <w:r w:rsidRPr="008F31FB">
              <w:rPr>
                <w:rFonts w:eastAsia="DengXian"/>
                <w:color w:val="000000"/>
              </w:rPr>
              <w:t>Antihypertensive and renal effects of isradipine in essential hypertension: focus on renin system activity.</w:t>
            </w:r>
          </w:p>
        </w:tc>
        <w:tc>
          <w:tcPr>
            <w:tcW w:w="1134" w:type="dxa"/>
            <w:noWrap/>
            <w:vAlign w:val="center"/>
            <w:hideMark/>
          </w:tcPr>
          <w:p w14:paraId="42A8C51A" w14:textId="77777777" w:rsidR="008F31FB" w:rsidRPr="008F31FB" w:rsidRDefault="008F31FB" w:rsidP="00AB61A4">
            <w:pPr>
              <w:spacing w:line="360" w:lineRule="auto"/>
              <w:rPr>
                <w:rFonts w:eastAsia="DengXian"/>
                <w:color w:val="000000"/>
              </w:rPr>
            </w:pPr>
            <w:r w:rsidRPr="008F31FB">
              <w:rPr>
                <w:rFonts w:eastAsia="DengXian"/>
                <w:color w:val="000000"/>
              </w:rPr>
              <w:t>1997</w:t>
            </w:r>
          </w:p>
        </w:tc>
        <w:tc>
          <w:tcPr>
            <w:tcW w:w="2268" w:type="dxa"/>
            <w:noWrap/>
            <w:vAlign w:val="center"/>
            <w:hideMark/>
          </w:tcPr>
          <w:p w14:paraId="5F9E3EC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306BC8F" w14:textId="77777777" w:rsidTr="008F31FB">
        <w:trPr>
          <w:trHeight w:val="320"/>
        </w:trPr>
        <w:tc>
          <w:tcPr>
            <w:tcW w:w="4535" w:type="dxa"/>
            <w:noWrap/>
            <w:vAlign w:val="center"/>
            <w:hideMark/>
          </w:tcPr>
          <w:p w14:paraId="5181B0C6" w14:textId="77777777" w:rsidR="008F31FB" w:rsidRPr="008F31FB" w:rsidRDefault="008F31FB" w:rsidP="00AB61A4">
            <w:pPr>
              <w:spacing w:line="360" w:lineRule="auto"/>
              <w:rPr>
                <w:rFonts w:eastAsia="DengXian"/>
                <w:color w:val="000000"/>
              </w:rPr>
            </w:pPr>
            <w:r w:rsidRPr="008F31FB">
              <w:rPr>
                <w:rFonts w:eastAsia="DengXian"/>
                <w:color w:val="000000"/>
              </w:rPr>
              <w:t>7.5% hypertonic saline versus 20% mannitol during elective neurosurgical supratentorial procedures.</w:t>
            </w:r>
          </w:p>
        </w:tc>
        <w:tc>
          <w:tcPr>
            <w:tcW w:w="1134" w:type="dxa"/>
            <w:noWrap/>
            <w:vAlign w:val="center"/>
            <w:hideMark/>
          </w:tcPr>
          <w:p w14:paraId="77678593" w14:textId="77777777" w:rsidR="008F31FB" w:rsidRPr="008F31FB" w:rsidRDefault="008F31FB" w:rsidP="00AB61A4">
            <w:pPr>
              <w:spacing w:line="360" w:lineRule="auto"/>
              <w:rPr>
                <w:rFonts w:eastAsia="DengXian"/>
                <w:color w:val="000000"/>
              </w:rPr>
            </w:pPr>
            <w:r w:rsidRPr="008F31FB">
              <w:rPr>
                <w:rFonts w:eastAsia="DengXian"/>
                <w:color w:val="000000"/>
              </w:rPr>
              <w:t>1997</w:t>
            </w:r>
          </w:p>
        </w:tc>
        <w:tc>
          <w:tcPr>
            <w:tcW w:w="2268" w:type="dxa"/>
            <w:noWrap/>
            <w:vAlign w:val="center"/>
            <w:hideMark/>
          </w:tcPr>
          <w:p w14:paraId="597C5CF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8B1D072" w14:textId="77777777" w:rsidTr="008F31FB">
        <w:trPr>
          <w:trHeight w:val="320"/>
        </w:trPr>
        <w:tc>
          <w:tcPr>
            <w:tcW w:w="4535" w:type="dxa"/>
            <w:noWrap/>
            <w:vAlign w:val="center"/>
            <w:hideMark/>
          </w:tcPr>
          <w:p w14:paraId="047C6B1B" w14:textId="77777777" w:rsidR="008F31FB" w:rsidRPr="008F31FB" w:rsidRDefault="008F31FB" w:rsidP="00AB61A4">
            <w:pPr>
              <w:spacing w:line="360" w:lineRule="auto"/>
              <w:rPr>
                <w:rFonts w:eastAsia="DengXian"/>
                <w:color w:val="000000"/>
              </w:rPr>
            </w:pPr>
            <w:r w:rsidRPr="008F31FB">
              <w:rPr>
                <w:rFonts w:eastAsia="DengXian"/>
                <w:color w:val="000000"/>
              </w:rPr>
              <w:t>Angiotensin II-receptor blockade further reduces afterload safely in patients maximally treated with angiotensin-converting enzyme inhibitors for heart  failure.</w:t>
            </w:r>
          </w:p>
        </w:tc>
        <w:tc>
          <w:tcPr>
            <w:tcW w:w="1134" w:type="dxa"/>
            <w:noWrap/>
            <w:vAlign w:val="center"/>
            <w:hideMark/>
          </w:tcPr>
          <w:p w14:paraId="3425A448" w14:textId="77777777" w:rsidR="008F31FB" w:rsidRPr="008F31FB" w:rsidRDefault="008F31FB" w:rsidP="00AB61A4">
            <w:pPr>
              <w:spacing w:line="360" w:lineRule="auto"/>
              <w:rPr>
                <w:rFonts w:eastAsia="DengXian"/>
                <w:color w:val="000000"/>
              </w:rPr>
            </w:pPr>
            <w:r w:rsidRPr="008F31FB">
              <w:rPr>
                <w:rFonts w:eastAsia="DengXian"/>
                <w:color w:val="000000"/>
              </w:rPr>
              <w:t>1997</w:t>
            </w:r>
          </w:p>
        </w:tc>
        <w:tc>
          <w:tcPr>
            <w:tcW w:w="2268" w:type="dxa"/>
            <w:noWrap/>
            <w:vAlign w:val="center"/>
            <w:hideMark/>
          </w:tcPr>
          <w:p w14:paraId="231C1DD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283D9BB" w14:textId="77777777" w:rsidTr="008F31FB">
        <w:trPr>
          <w:trHeight w:val="320"/>
        </w:trPr>
        <w:tc>
          <w:tcPr>
            <w:tcW w:w="4535" w:type="dxa"/>
            <w:noWrap/>
            <w:vAlign w:val="center"/>
            <w:hideMark/>
          </w:tcPr>
          <w:p w14:paraId="28966B40" w14:textId="77777777" w:rsidR="008F31FB" w:rsidRPr="008F31FB" w:rsidRDefault="008F31FB" w:rsidP="00AB61A4">
            <w:pPr>
              <w:spacing w:line="360" w:lineRule="auto"/>
              <w:rPr>
                <w:rFonts w:eastAsia="DengXian"/>
                <w:color w:val="000000"/>
              </w:rPr>
            </w:pPr>
            <w:r w:rsidRPr="008F31FB">
              <w:rPr>
                <w:rFonts w:eastAsia="DengXian"/>
                <w:color w:val="000000"/>
              </w:rPr>
              <w:t>The effects of pathophysiological increments in brain natriuretic peptide in left ventricular systolic dysfunction.</w:t>
            </w:r>
          </w:p>
        </w:tc>
        <w:tc>
          <w:tcPr>
            <w:tcW w:w="1134" w:type="dxa"/>
            <w:noWrap/>
            <w:vAlign w:val="center"/>
            <w:hideMark/>
          </w:tcPr>
          <w:p w14:paraId="2D9D34D1" w14:textId="77777777" w:rsidR="008F31FB" w:rsidRPr="008F31FB" w:rsidRDefault="008F31FB" w:rsidP="00AB61A4">
            <w:pPr>
              <w:spacing w:line="360" w:lineRule="auto"/>
              <w:rPr>
                <w:rFonts w:eastAsia="DengXian"/>
                <w:color w:val="000000"/>
              </w:rPr>
            </w:pPr>
            <w:r w:rsidRPr="008F31FB">
              <w:rPr>
                <w:rFonts w:eastAsia="DengXian"/>
                <w:color w:val="000000"/>
              </w:rPr>
              <w:t>1997</w:t>
            </w:r>
          </w:p>
        </w:tc>
        <w:tc>
          <w:tcPr>
            <w:tcW w:w="2268" w:type="dxa"/>
            <w:noWrap/>
            <w:vAlign w:val="center"/>
            <w:hideMark/>
          </w:tcPr>
          <w:p w14:paraId="0300031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E254EC8" w14:textId="77777777" w:rsidTr="008F31FB">
        <w:trPr>
          <w:trHeight w:val="320"/>
        </w:trPr>
        <w:tc>
          <w:tcPr>
            <w:tcW w:w="4535" w:type="dxa"/>
            <w:noWrap/>
            <w:vAlign w:val="center"/>
            <w:hideMark/>
          </w:tcPr>
          <w:p w14:paraId="0744BA40" w14:textId="77777777" w:rsidR="008F31FB" w:rsidRPr="008F31FB" w:rsidRDefault="008F31FB" w:rsidP="00AB61A4">
            <w:pPr>
              <w:spacing w:line="360" w:lineRule="auto"/>
              <w:rPr>
                <w:rFonts w:eastAsia="DengXian"/>
                <w:color w:val="000000"/>
              </w:rPr>
            </w:pPr>
            <w:r w:rsidRPr="008F31FB">
              <w:rPr>
                <w:rFonts w:eastAsia="DengXian"/>
                <w:color w:val="000000"/>
              </w:rPr>
              <w:t>Fenoterol but not dobutamine increases erythropoietin production in humans.</w:t>
            </w:r>
          </w:p>
        </w:tc>
        <w:tc>
          <w:tcPr>
            <w:tcW w:w="1134" w:type="dxa"/>
            <w:noWrap/>
            <w:vAlign w:val="center"/>
            <w:hideMark/>
          </w:tcPr>
          <w:p w14:paraId="72A9CF29" w14:textId="77777777" w:rsidR="008F31FB" w:rsidRPr="008F31FB" w:rsidRDefault="008F31FB" w:rsidP="00AB61A4">
            <w:pPr>
              <w:spacing w:line="360" w:lineRule="auto"/>
              <w:rPr>
                <w:rFonts w:eastAsia="DengXian"/>
                <w:color w:val="000000"/>
              </w:rPr>
            </w:pPr>
            <w:r w:rsidRPr="008F31FB">
              <w:rPr>
                <w:rFonts w:eastAsia="DengXian"/>
                <w:color w:val="000000"/>
              </w:rPr>
              <w:t>1997</w:t>
            </w:r>
          </w:p>
        </w:tc>
        <w:tc>
          <w:tcPr>
            <w:tcW w:w="2268" w:type="dxa"/>
            <w:noWrap/>
            <w:vAlign w:val="center"/>
            <w:hideMark/>
          </w:tcPr>
          <w:p w14:paraId="777D54A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AA40206" w14:textId="77777777" w:rsidTr="008F31FB">
        <w:trPr>
          <w:trHeight w:val="320"/>
        </w:trPr>
        <w:tc>
          <w:tcPr>
            <w:tcW w:w="4535" w:type="dxa"/>
            <w:noWrap/>
            <w:vAlign w:val="center"/>
            <w:hideMark/>
          </w:tcPr>
          <w:p w14:paraId="184C067B"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Functional magnesium deficiency in critically ill patients identified using a magnesium-loading test.</w:t>
            </w:r>
          </w:p>
        </w:tc>
        <w:tc>
          <w:tcPr>
            <w:tcW w:w="1134" w:type="dxa"/>
            <w:noWrap/>
            <w:vAlign w:val="center"/>
            <w:hideMark/>
          </w:tcPr>
          <w:p w14:paraId="37A15C86" w14:textId="77777777" w:rsidR="008F31FB" w:rsidRPr="008F31FB" w:rsidRDefault="008F31FB" w:rsidP="00AB61A4">
            <w:pPr>
              <w:spacing w:line="360" w:lineRule="auto"/>
              <w:rPr>
                <w:rFonts w:eastAsia="DengXian"/>
                <w:color w:val="000000"/>
              </w:rPr>
            </w:pPr>
            <w:r w:rsidRPr="008F31FB">
              <w:rPr>
                <w:rFonts w:eastAsia="DengXian"/>
                <w:color w:val="000000"/>
              </w:rPr>
              <w:t>1997</w:t>
            </w:r>
          </w:p>
        </w:tc>
        <w:tc>
          <w:tcPr>
            <w:tcW w:w="2268" w:type="dxa"/>
            <w:noWrap/>
            <w:vAlign w:val="center"/>
            <w:hideMark/>
          </w:tcPr>
          <w:p w14:paraId="4467513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16205BC" w14:textId="77777777" w:rsidTr="008F31FB">
        <w:trPr>
          <w:trHeight w:val="320"/>
        </w:trPr>
        <w:tc>
          <w:tcPr>
            <w:tcW w:w="4535" w:type="dxa"/>
            <w:noWrap/>
            <w:vAlign w:val="center"/>
            <w:hideMark/>
          </w:tcPr>
          <w:p w14:paraId="10EE85DC" w14:textId="77777777" w:rsidR="008F31FB" w:rsidRPr="008F31FB" w:rsidRDefault="008F31FB" w:rsidP="00AB61A4">
            <w:pPr>
              <w:spacing w:line="360" w:lineRule="auto"/>
              <w:rPr>
                <w:rFonts w:eastAsia="DengXian"/>
                <w:color w:val="000000"/>
              </w:rPr>
            </w:pPr>
            <w:r w:rsidRPr="008F31FB">
              <w:rPr>
                <w:rFonts w:eastAsia="DengXian"/>
                <w:color w:val="000000"/>
              </w:rPr>
              <w:t>Contrasting effects of calcium channel blockade versus converting enzyme inhibition on proteinuria in African Americans with non-insulin-dependent  diabetes mellitus and nephropathy.</w:t>
            </w:r>
          </w:p>
        </w:tc>
        <w:tc>
          <w:tcPr>
            <w:tcW w:w="1134" w:type="dxa"/>
            <w:noWrap/>
            <w:vAlign w:val="center"/>
            <w:hideMark/>
          </w:tcPr>
          <w:p w14:paraId="29920F0E" w14:textId="77777777" w:rsidR="008F31FB" w:rsidRPr="008F31FB" w:rsidRDefault="008F31FB" w:rsidP="00AB61A4">
            <w:pPr>
              <w:spacing w:line="360" w:lineRule="auto"/>
              <w:rPr>
                <w:rFonts w:eastAsia="DengXian"/>
                <w:color w:val="000000"/>
              </w:rPr>
            </w:pPr>
            <w:r w:rsidRPr="008F31FB">
              <w:rPr>
                <w:rFonts w:eastAsia="DengXian"/>
                <w:color w:val="000000"/>
              </w:rPr>
              <w:t>1997</w:t>
            </w:r>
          </w:p>
        </w:tc>
        <w:tc>
          <w:tcPr>
            <w:tcW w:w="2268" w:type="dxa"/>
            <w:noWrap/>
            <w:vAlign w:val="center"/>
            <w:hideMark/>
          </w:tcPr>
          <w:p w14:paraId="63586686"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85474AA" w14:textId="77777777" w:rsidTr="008F31FB">
        <w:trPr>
          <w:trHeight w:val="320"/>
        </w:trPr>
        <w:tc>
          <w:tcPr>
            <w:tcW w:w="4535" w:type="dxa"/>
            <w:noWrap/>
            <w:vAlign w:val="center"/>
            <w:hideMark/>
          </w:tcPr>
          <w:p w14:paraId="3882DC15" w14:textId="77777777" w:rsidR="008F31FB" w:rsidRPr="008F31FB" w:rsidRDefault="008F31FB" w:rsidP="00AB61A4">
            <w:pPr>
              <w:spacing w:line="360" w:lineRule="auto"/>
              <w:rPr>
                <w:rFonts w:eastAsia="DengXian"/>
                <w:color w:val="000000"/>
              </w:rPr>
            </w:pPr>
            <w:r w:rsidRPr="008F31FB">
              <w:rPr>
                <w:rFonts w:eastAsia="DengXian"/>
                <w:color w:val="000000"/>
              </w:rPr>
              <w:t>Low-sodium diet in pregnancy: effects on blood pressure and maternal nutritional status.</w:t>
            </w:r>
          </w:p>
        </w:tc>
        <w:tc>
          <w:tcPr>
            <w:tcW w:w="1134" w:type="dxa"/>
            <w:noWrap/>
            <w:vAlign w:val="center"/>
            <w:hideMark/>
          </w:tcPr>
          <w:p w14:paraId="0F41E2DB" w14:textId="77777777" w:rsidR="008F31FB" w:rsidRPr="008F31FB" w:rsidRDefault="008F31FB" w:rsidP="00AB61A4">
            <w:pPr>
              <w:spacing w:line="360" w:lineRule="auto"/>
              <w:rPr>
                <w:rFonts w:eastAsia="DengXian"/>
                <w:color w:val="000000"/>
              </w:rPr>
            </w:pPr>
            <w:r w:rsidRPr="008F31FB">
              <w:rPr>
                <w:rFonts w:eastAsia="DengXian"/>
                <w:color w:val="000000"/>
              </w:rPr>
              <w:t>1997</w:t>
            </w:r>
          </w:p>
        </w:tc>
        <w:tc>
          <w:tcPr>
            <w:tcW w:w="2268" w:type="dxa"/>
            <w:noWrap/>
            <w:vAlign w:val="center"/>
            <w:hideMark/>
          </w:tcPr>
          <w:p w14:paraId="6DA89B2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1E09F17" w14:textId="77777777" w:rsidTr="008F31FB">
        <w:trPr>
          <w:trHeight w:val="320"/>
        </w:trPr>
        <w:tc>
          <w:tcPr>
            <w:tcW w:w="4535" w:type="dxa"/>
            <w:noWrap/>
            <w:vAlign w:val="center"/>
            <w:hideMark/>
          </w:tcPr>
          <w:p w14:paraId="5B0C8DA0" w14:textId="77777777" w:rsidR="008F31FB" w:rsidRPr="008F31FB" w:rsidRDefault="008F31FB" w:rsidP="00AB61A4">
            <w:pPr>
              <w:spacing w:line="360" w:lineRule="auto"/>
              <w:rPr>
                <w:rFonts w:eastAsia="DengXian"/>
                <w:color w:val="000000"/>
              </w:rPr>
            </w:pPr>
            <w:r w:rsidRPr="008F31FB">
              <w:rPr>
                <w:rFonts w:eastAsia="DengXian"/>
                <w:color w:val="000000"/>
              </w:rPr>
              <w:t>Blood pressure and metabolic responses to moderate sodium restriction in isradipine-treated hypertensive patients.</w:t>
            </w:r>
          </w:p>
        </w:tc>
        <w:tc>
          <w:tcPr>
            <w:tcW w:w="1134" w:type="dxa"/>
            <w:noWrap/>
            <w:vAlign w:val="center"/>
            <w:hideMark/>
          </w:tcPr>
          <w:p w14:paraId="0BA2144F" w14:textId="77777777" w:rsidR="008F31FB" w:rsidRPr="008F31FB" w:rsidRDefault="008F31FB" w:rsidP="00AB61A4">
            <w:pPr>
              <w:spacing w:line="360" w:lineRule="auto"/>
              <w:rPr>
                <w:rFonts w:eastAsia="DengXian"/>
                <w:color w:val="000000"/>
              </w:rPr>
            </w:pPr>
            <w:r w:rsidRPr="008F31FB">
              <w:rPr>
                <w:rFonts w:eastAsia="DengXian"/>
                <w:color w:val="000000"/>
              </w:rPr>
              <w:t>1997</w:t>
            </w:r>
          </w:p>
        </w:tc>
        <w:tc>
          <w:tcPr>
            <w:tcW w:w="2268" w:type="dxa"/>
            <w:noWrap/>
            <w:vAlign w:val="center"/>
            <w:hideMark/>
          </w:tcPr>
          <w:p w14:paraId="63F1E4B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7738B81" w14:textId="77777777" w:rsidTr="008F31FB">
        <w:trPr>
          <w:trHeight w:val="320"/>
        </w:trPr>
        <w:tc>
          <w:tcPr>
            <w:tcW w:w="4535" w:type="dxa"/>
            <w:noWrap/>
            <w:vAlign w:val="center"/>
            <w:hideMark/>
          </w:tcPr>
          <w:p w14:paraId="3144284C" w14:textId="77777777" w:rsidR="008F31FB" w:rsidRPr="008F31FB" w:rsidRDefault="008F31FB" w:rsidP="00AB61A4">
            <w:pPr>
              <w:spacing w:line="360" w:lineRule="auto"/>
              <w:rPr>
                <w:rFonts w:eastAsia="DengXian"/>
                <w:color w:val="000000"/>
              </w:rPr>
            </w:pPr>
            <w:r w:rsidRPr="008F31FB">
              <w:rPr>
                <w:rFonts w:eastAsia="DengXian"/>
                <w:color w:val="000000"/>
              </w:rPr>
              <w:t>Potassium intake and cardiovascular reactivity in children with risk factors for essential hypertension.</w:t>
            </w:r>
          </w:p>
        </w:tc>
        <w:tc>
          <w:tcPr>
            <w:tcW w:w="1134" w:type="dxa"/>
            <w:noWrap/>
            <w:vAlign w:val="center"/>
            <w:hideMark/>
          </w:tcPr>
          <w:p w14:paraId="1ECAB784" w14:textId="77777777" w:rsidR="008F31FB" w:rsidRPr="008F31FB" w:rsidRDefault="008F31FB" w:rsidP="00AB61A4">
            <w:pPr>
              <w:spacing w:line="360" w:lineRule="auto"/>
              <w:rPr>
                <w:rFonts w:eastAsia="DengXian"/>
                <w:color w:val="000000"/>
              </w:rPr>
            </w:pPr>
            <w:r w:rsidRPr="008F31FB">
              <w:rPr>
                <w:rFonts w:eastAsia="DengXian"/>
                <w:color w:val="000000"/>
              </w:rPr>
              <w:t>1997</w:t>
            </w:r>
          </w:p>
        </w:tc>
        <w:tc>
          <w:tcPr>
            <w:tcW w:w="2268" w:type="dxa"/>
            <w:noWrap/>
            <w:vAlign w:val="center"/>
            <w:hideMark/>
          </w:tcPr>
          <w:p w14:paraId="61EEF681" w14:textId="77777777" w:rsidR="008F31FB" w:rsidRPr="008F31FB" w:rsidRDefault="008F31FB" w:rsidP="00AB61A4">
            <w:pPr>
              <w:spacing w:line="360" w:lineRule="auto"/>
              <w:rPr>
                <w:rFonts w:eastAsia="DengXian"/>
                <w:color w:val="000000"/>
              </w:rPr>
            </w:pPr>
            <w:r w:rsidRPr="008F31FB">
              <w:rPr>
                <w:rFonts w:eastAsia="DengXian"/>
                <w:color w:val="000000"/>
              </w:rPr>
              <w:t>Irrelevant participants</w:t>
            </w:r>
          </w:p>
        </w:tc>
      </w:tr>
      <w:tr w:rsidR="004C083E" w:rsidRPr="008F31FB" w14:paraId="39B923BF" w14:textId="77777777" w:rsidTr="008F31FB">
        <w:trPr>
          <w:trHeight w:val="320"/>
        </w:trPr>
        <w:tc>
          <w:tcPr>
            <w:tcW w:w="4535" w:type="dxa"/>
            <w:noWrap/>
            <w:vAlign w:val="center"/>
            <w:hideMark/>
          </w:tcPr>
          <w:p w14:paraId="16BBA922" w14:textId="77777777" w:rsidR="008F31FB" w:rsidRPr="008F31FB" w:rsidRDefault="008F31FB" w:rsidP="00AB61A4">
            <w:pPr>
              <w:spacing w:line="360" w:lineRule="auto"/>
              <w:rPr>
                <w:rFonts w:eastAsia="DengXian"/>
                <w:color w:val="000000"/>
              </w:rPr>
            </w:pPr>
            <w:r w:rsidRPr="008F31FB">
              <w:rPr>
                <w:rFonts w:eastAsia="DengXian"/>
                <w:color w:val="000000"/>
              </w:rPr>
              <w:t>Hemodynamic and renal excretory effects of human brain natriuretic peptide infusion in patients with congestive heart failure. A double-blind,  placebo-controlled, randomized crossover trial.</w:t>
            </w:r>
          </w:p>
        </w:tc>
        <w:tc>
          <w:tcPr>
            <w:tcW w:w="1134" w:type="dxa"/>
            <w:noWrap/>
            <w:vAlign w:val="center"/>
            <w:hideMark/>
          </w:tcPr>
          <w:p w14:paraId="38544BF4" w14:textId="77777777" w:rsidR="008F31FB" w:rsidRPr="008F31FB" w:rsidRDefault="008F31FB" w:rsidP="00AB61A4">
            <w:pPr>
              <w:spacing w:line="360" w:lineRule="auto"/>
              <w:rPr>
                <w:rFonts w:eastAsia="DengXian"/>
                <w:color w:val="000000"/>
              </w:rPr>
            </w:pPr>
            <w:r w:rsidRPr="008F31FB">
              <w:rPr>
                <w:rFonts w:eastAsia="DengXian"/>
                <w:color w:val="000000"/>
              </w:rPr>
              <w:t>1996</w:t>
            </w:r>
          </w:p>
        </w:tc>
        <w:tc>
          <w:tcPr>
            <w:tcW w:w="2268" w:type="dxa"/>
            <w:noWrap/>
            <w:vAlign w:val="center"/>
            <w:hideMark/>
          </w:tcPr>
          <w:p w14:paraId="14F297E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D33C4DC" w14:textId="77777777" w:rsidTr="008F31FB">
        <w:trPr>
          <w:trHeight w:val="320"/>
        </w:trPr>
        <w:tc>
          <w:tcPr>
            <w:tcW w:w="4535" w:type="dxa"/>
            <w:noWrap/>
            <w:vAlign w:val="center"/>
            <w:hideMark/>
          </w:tcPr>
          <w:p w14:paraId="0E9D3925" w14:textId="77777777" w:rsidR="008F31FB" w:rsidRPr="008F31FB" w:rsidRDefault="008F31FB" w:rsidP="00AB61A4">
            <w:pPr>
              <w:spacing w:line="360" w:lineRule="auto"/>
              <w:rPr>
                <w:rFonts w:eastAsia="DengXian"/>
                <w:color w:val="000000"/>
              </w:rPr>
            </w:pPr>
            <w:r w:rsidRPr="008F31FB">
              <w:rPr>
                <w:rFonts w:eastAsia="DengXian"/>
                <w:color w:val="000000"/>
              </w:rPr>
              <w:t>Relationship to blood pressure of combinations of dietary macronutrients. Findings of the Multiple Risk Factor Intervention Trial (MRFIT).</w:t>
            </w:r>
          </w:p>
        </w:tc>
        <w:tc>
          <w:tcPr>
            <w:tcW w:w="1134" w:type="dxa"/>
            <w:noWrap/>
            <w:vAlign w:val="center"/>
            <w:hideMark/>
          </w:tcPr>
          <w:p w14:paraId="40A6035A" w14:textId="77777777" w:rsidR="008F31FB" w:rsidRPr="008F31FB" w:rsidRDefault="008F31FB" w:rsidP="00AB61A4">
            <w:pPr>
              <w:spacing w:line="360" w:lineRule="auto"/>
              <w:rPr>
                <w:rFonts w:eastAsia="DengXian"/>
                <w:color w:val="000000"/>
              </w:rPr>
            </w:pPr>
            <w:r w:rsidRPr="008F31FB">
              <w:rPr>
                <w:rFonts w:eastAsia="DengXian"/>
                <w:color w:val="000000"/>
              </w:rPr>
              <w:t>1996</w:t>
            </w:r>
          </w:p>
        </w:tc>
        <w:tc>
          <w:tcPr>
            <w:tcW w:w="2268" w:type="dxa"/>
            <w:noWrap/>
            <w:vAlign w:val="center"/>
            <w:hideMark/>
          </w:tcPr>
          <w:p w14:paraId="3BDB756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A0349F5" w14:textId="77777777" w:rsidTr="008F31FB">
        <w:trPr>
          <w:trHeight w:val="320"/>
        </w:trPr>
        <w:tc>
          <w:tcPr>
            <w:tcW w:w="4535" w:type="dxa"/>
            <w:noWrap/>
            <w:vAlign w:val="center"/>
            <w:hideMark/>
          </w:tcPr>
          <w:p w14:paraId="761420F5" w14:textId="77777777" w:rsidR="008F31FB" w:rsidRPr="008F31FB" w:rsidRDefault="008F31FB" w:rsidP="00AB61A4">
            <w:pPr>
              <w:spacing w:line="360" w:lineRule="auto"/>
              <w:rPr>
                <w:rFonts w:eastAsia="DengXian"/>
                <w:color w:val="000000"/>
              </w:rPr>
            </w:pPr>
            <w:r w:rsidRPr="008F31FB">
              <w:rPr>
                <w:rFonts w:eastAsia="DengXian"/>
                <w:color w:val="000000"/>
              </w:rPr>
              <w:t xml:space="preserve">Ambulatory blood pressure monitoring (ABPM) in the normal menstrual cycle and </w:t>
            </w:r>
            <w:r w:rsidRPr="008F31FB">
              <w:rPr>
                <w:rFonts w:eastAsia="DengXian"/>
                <w:color w:val="000000"/>
              </w:rPr>
              <w:lastRenderedPageBreak/>
              <w:t>in women using oral contraceptives. Comparison with conventional blood pressure  measurement.</w:t>
            </w:r>
          </w:p>
        </w:tc>
        <w:tc>
          <w:tcPr>
            <w:tcW w:w="1134" w:type="dxa"/>
            <w:noWrap/>
            <w:vAlign w:val="center"/>
            <w:hideMark/>
          </w:tcPr>
          <w:p w14:paraId="7D414C90"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1996</w:t>
            </w:r>
          </w:p>
        </w:tc>
        <w:tc>
          <w:tcPr>
            <w:tcW w:w="2268" w:type="dxa"/>
            <w:noWrap/>
            <w:vAlign w:val="center"/>
            <w:hideMark/>
          </w:tcPr>
          <w:p w14:paraId="4D23305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21D20C4" w14:textId="77777777" w:rsidTr="008F31FB">
        <w:trPr>
          <w:trHeight w:val="320"/>
        </w:trPr>
        <w:tc>
          <w:tcPr>
            <w:tcW w:w="4535" w:type="dxa"/>
            <w:noWrap/>
            <w:vAlign w:val="center"/>
            <w:hideMark/>
          </w:tcPr>
          <w:p w14:paraId="4B39249A" w14:textId="77777777" w:rsidR="008F31FB" w:rsidRPr="008F31FB" w:rsidRDefault="008F31FB" w:rsidP="00AB61A4">
            <w:pPr>
              <w:spacing w:line="360" w:lineRule="auto"/>
              <w:rPr>
                <w:rFonts w:eastAsia="DengXian"/>
                <w:color w:val="000000"/>
              </w:rPr>
            </w:pPr>
            <w:r w:rsidRPr="008F31FB">
              <w:rPr>
                <w:rFonts w:eastAsia="DengXian"/>
                <w:color w:val="000000"/>
              </w:rPr>
              <w:t>Improvement of insulin sensitivity by metformin treatment does not lower blood pressure of nonobese insulin-resistant hypertensive patients with normal glucose  tolerance.</w:t>
            </w:r>
          </w:p>
        </w:tc>
        <w:tc>
          <w:tcPr>
            <w:tcW w:w="1134" w:type="dxa"/>
            <w:noWrap/>
            <w:vAlign w:val="center"/>
            <w:hideMark/>
          </w:tcPr>
          <w:p w14:paraId="6A3E17A9" w14:textId="77777777" w:rsidR="008F31FB" w:rsidRPr="008F31FB" w:rsidRDefault="008F31FB" w:rsidP="00AB61A4">
            <w:pPr>
              <w:spacing w:line="360" w:lineRule="auto"/>
              <w:rPr>
                <w:rFonts w:eastAsia="DengXian"/>
                <w:color w:val="000000"/>
              </w:rPr>
            </w:pPr>
            <w:r w:rsidRPr="008F31FB">
              <w:rPr>
                <w:rFonts w:eastAsia="DengXian"/>
                <w:color w:val="000000"/>
              </w:rPr>
              <w:t>1996</w:t>
            </w:r>
          </w:p>
        </w:tc>
        <w:tc>
          <w:tcPr>
            <w:tcW w:w="2268" w:type="dxa"/>
            <w:noWrap/>
            <w:vAlign w:val="center"/>
            <w:hideMark/>
          </w:tcPr>
          <w:p w14:paraId="6B1EA7E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6DB9192E" w14:textId="77777777" w:rsidTr="008F31FB">
        <w:trPr>
          <w:trHeight w:val="320"/>
        </w:trPr>
        <w:tc>
          <w:tcPr>
            <w:tcW w:w="4535" w:type="dxa"/>
            <w:noWrap/>
            <w:vAlign w:val="center"/>
            <w:hideMark/>
          </w:tcPr>
          <w:p w14:paraId="027EC7D0" w14:textId="77777777" w:rsidR="008F31FB" w:rsidRPr="008F31FB" w:rsidRDefault="008F31FB" w:rsidP="00AB61A4">
            <w:pPr>
              <w:spacing w:line="360" w:lineRule="auto"/>
              <w:rPr>
                <w:rFonts w:eastAsia="DengXian"/>
                <w:color w:val="000000"/>
              </w:rPr>
            </w:pPr>
            <w:r w:rsidRPr="008F31FB">
              <w:rPr>
                <w:rFonts w:eastAsia="DengXian"/>
                <w:color w:val="000000"/>
              </w:rPr>
              <w:t>Atrial natriuretic peptide and plasma renin levels in assessment of mineralocorticoid replacement in Addison's disease.</w:t>
            </w:r>
          </w:p>
        </w:tc>
        <w:tc>
          <w:tcPr>
            <w:tcW w:w="1134" w:type="dxa"/>
            <w:noWrap/>
            <w:vAlign w:val="center"/>
            <w:hideMark/>
          </w:tcPr>
          <w:p w14:paraId="54C42A69" w14:textId="77777777" w:rsidR="008F31FB" w:rsidRPr="008F31FB" w:rsidRDefault="008F31FB" w:rsidP="00AB61A4">
            <w:pPr>
              <w:spacing w:line="360" w:lineRule="auto"/>
              <w:rPr>
                <w:rFonts w:eastAsia="DengXian"/>
                <w:color w:val="000000"/>
              </w:rPr>
            </w:pPr>
            <w:r w:rsidRPr="008F31FB">
              <w:rPr>
                <w:rFonts w:eastAsia="DengXian"/>
                <w:color w:val="000000"/>
              </w:rPr>
              <w:t>1996</w:t>
            </w:r>
          </w:p>
        </w:tc>
        <w:tc>
          <w:tcPr>
            <w:tcW w:w="2268" w:type="dxa"/>
            <w:noWrap/>
            <w:vAlign w:val="center"/>
            <w:hideMark/>
          </w:tcPr>
          <w:p w14:paraId="049BF2A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EA22A25" w14:textId="77777777" w:rsidTr="008F31FB">
        <w:trPr>
          <w:trHeight w:val="320"/>
        </w:trPr>
        <w:tc>
          <w:tcPr>
            <w:tcW w:w="4535" w:type="dxa"/>
            <w:noWrap/>
            <w:vAlign w:val="center"/>
            <w:hideMark/>
          </w:tcPr>
          <w:p w14:paraId="7107E71B" w14:textId="77777777" w:rsidR="008F31FB" w:rsidRPr="008F31FB" w:rsidRDefault="008F31FB" w:rsidP="00AB61A4">
            <w:pPr>
              <w:spacing w:line="360" w:lineRule="auto"/>
              <w:rPr>
                <w:rFonts w:eastAsia="DengXian"/>
                <w:color w:val="000000"/>
              </w:rPr>
            </w:pPr>
            <w:r w:rsidRPr="008F31FB">
              <w:rPr>
                <w:rFonts w:eastAsia="DengXian"/>
                <w:color w:val="000000"/>
              </w:rPr>
              <w:t>University of Wisconsin solution versus Stanford cardioplegic solution and the development of cardiac allograft vasculopathy.</w:t>
            </w:r>
          </w:p>
        </w:tc>
        <w:tc>
          <w:tcPr>
            <w:tcW w:w="1134" w:type="dxa"/>
            <w:noWrap/>
            <w:vAlign w:val="center"/>
            <w:hideMark/>
          </w:tcPr>
          <w:p w14:paraId="5739D824" w14:textId="77777777" w:rsidR="008F31FB" w:rsidRPr="008F31FB" w:rsidRDefault="008F31FB" w:rsidP="00AB61A4">
            <w:pPr>
              <w:spacing w:line="360" w:lineRule="auto"/>
              <w:rPr>
                <w:rFonts w:eastAsia="DengXian"/>
                <w:color w:val="000000"/>
              </w:rPr>
            </w:pPr>
            <w:r w:rsidRPr="008F31FB">
              <w:rPr>
                <w:rFonts w:eastAsia="DengXian"/>
                <w:color w:val="000000"/>
              </w:rPr>
              <w:t>1995</w:t>
            </w:r>
          </w:p>
        </w:tc>
        <w:tc>
          <w:tcPr>
            <w:tcW w:w="2268" w:type="dxa"/>
            <w:noWrap/>
            <w:vAlign w:val="center"/>
            <w:hideMark/>
          </w:tcPr>
          <w:p w14:paraId="6125B51E"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230504B4" w14:textId="77777777" w:rsidTr="008F31FB">
        <w:trPr>
          <w:trHeight w:val="320"/>
        </w:trPr>
        <w:tc>
          <w:tcPr>
            <w:tcW w:w="4535" w:type="dxa"/>
            <w:noWrap/>
            <w:vAlign w:val="center"/>
            <w:hideMark/>
          </w:tcPr>
          <w:p w14:paraId="2E37BD03" w14:textId="77777777" w:rsidR="008F31FB" w:rsidRPr="008F31FB" w:rsidRDefault="008F31FB" w:rsidP="00AB61A4">
            <w:pPr>
              <w:spacing w:line="360" w:lineRule="auto"/>
              <w:rPr>
                <w:rFonts w:eastAsia="DengXian"/>
                <w:color w:val="000000"/>
              </w:rPr>
            </w:pPr>
            <w:r w:rsidRPr="008F31FB">
              <w:rPr>
                <w:rFonts w:eastAsia="DengXian"/>
                <w:color w:val="000000"/>
              </w:rPr>
              <w:t>Effectiveness of enalapril versus nifedipine to antagonize blood pressure and the renal response to endothelin in humans.</w:t>
            </w:r>
          </w:p>
        </w:tc>
        <w:tc>
          <w:tcPr>
            <w:tcW w:w="1134" w:type="dxa"/>
            <w:noWrap/>
            <w:vAlign w:val="center"/>
            <w:hideMark/>
          </w:tcPr>
          <w:p w14:paraId="2B5AE166" w14:textId="77777777" w:rsidR="008F31FB" w:rsidRPr="008F31FB" w:rsidRDefault="008F31FB" w:rsidP="00AB61A4">
            <w:pPr>
              <w:spacing w:line="360" w:lineRule="auto"/>
              <w:rPr>
                <w:rFonts w:eastAsia="DengXian"/>
                <w:color w:val="000000"/>
              </w:rPr>
            </w:pPr>
            <w:r w:rsidRPr="008F31FB">
              <w:rPr>
                <w:rFonts w:eastAsia="DengXian"/>
                <w:color w:val="000000"/>
              </w:rPr>
              <w:t>1995</w:t>
            </w:r>
          </w:p>
        </w:tc>
        <w:tc>
          <w:tcPr>
            <w:tcW w:w="2268" w:type="dxa"/>
            <w:noWrap/>
            <w:vAlign w:val="center"/>
            <w:hideMark/>
          </w:tcPr>
          <w:p w14:paraId="5885E09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FF6C22A" w14:textId="77777777" w:rsidTr="008F31FB">
        <w:trPr>
          <w:trHeight w:val="320"/>
        </w:trPr>
        <w:tc>
          <w:tcPr>
            <w:tcW w:w="4535" w:type="dxa"/>
            <w:noWrap/>
            <w:vAlign w:val="center"/>
            <w:hideMark/>
          </w:tcPr>
          <w:p w14:paraId="129221B2" w14:textId="77777777" w:rsidR="008F31FB" w:rsidRPr="008F31FB" w:rsidRDefault="008F31FB" w:rsidP="00AB61A4">
            <w:pPr>
              <w:spacing w:line="360" w:lineRule="auto"/>
              <w:rPr>
                <w:rFonts w:eastAsia="DengXian"/>
                <w:color w:val="000000"/>
              </w:rPr>
            </w:pPr>
            <w:r w:rsidRPr="008F31FB">
              <w:rPr>
                <w:rFonts w:eastAsia="DengXian"/>
                <w:color w:val="000000"/>
              </w:rPr>
              <w:t>The dihydropyridine calcium channel blocker BAY t 7207 attenuates the exercise induced increase in plasma ANF and cyclic GMP in patients with mildly impaired  left ventricular function.</w:t>
            </w:r>
          </w:p>
        </w:tc>
        <w:tc>
          <w:tcPr>
            <w:tcW w:w="1134" w:type="dxa"/>
            <w:noWrap/>
            <w:vAlign w:val="center"/>
            <w:hideMark/>
          </w:tcPr>
          <w:p w14:paraId="0B2354E7" w14:textId="77777777" w:rsidR="008F31FB" w:rsidRPr="008F31FB" w:rsidRDefault="008F31FB" w:rsidP="00AB61A4">
            <w:pPr>
              <w:spacing w:line="360" w:lineRule="auto"/>
              <w:rPr>
                <w:rFonts w:eastAsia="DengXian"/>
                <w:color w:val="000000"/>
              </w:rPr>
            </w:pPr>
            <w:r w:rsidRPr="008F31FB">
              <w:rPr>
                <w:rFonts w:eastAsia="DengXian"/>
                <w:color w:val="000000"/>
              </w:rPr>
              <w:t>1995</w:t>
            </w:r>
          </w:p>
        </w:tc>
        <w:tc>
          <w:tcPr>
            <w:tcW w:w="2268" w:type="dxa"/>
            <w:noWrap/>
            <w:vAlign w:val="center"/>
            <w:hideMark/>
          </w:tcPr>
          <w:p w14:paraId="657CCDF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EBDCFC6" w14:textId="77777777" w:rsidTr="008F31FB">
        <w:trPr>
          <w:trHeight w:val="320"/>
        </w:trPr>
        <w:tc>
          <w:tcPr>
            <w:tcW w:w="4535" w:type="dxa"/>
            <w:noWrap/>
            <w:vAlign w:val="center"/>
            <w:hideMark/>
          </w:tcPr>
          <w:p w14:paraId="3883B700" w14:textId="77777777" w:rsidR="008F31FB" w:rsidRPr="008F31FB" w:rsidRDefault="008F31FB" w:rsidP="00AB61A4">
            <w:pPr>
              <w:spacing w:line="360" w:lineRule="auto"/>
              <w:rPr>
                <w:rFonts w:eastAsia="DengXian"/>
                <w:color w:val="000000"/>
              </w:rPr>
            </w:pPr>
            <w:r w:rsidRPr="008F31FB">
              <w:rPr>
                <w:rFonts w:eastAsia="DengXian"/>
                <w:color w:val="000000"/>
              </w:rPr>
              <w:t>Humoral and haemodynamic effects of idrapril calcium, the prototype of a new class of ACE-inhibitors, in essential hypertensive patients.</w:t>
            </w:r>
          </w:p>
        </w:tc>
        <w:tc>
          <w:tcPr>
            <w:tcW w:w="1134" w:type="dxa"/>
            <w:noWrap/>
            <w:vAlign w:val="center"/>
            <w:hideMark/>
          </w:tcPr>
          <w:p w14:paraId="30104A80" w14:textId="77777777" w:rsidR="008F31FB" w:rsidRPr="008F31FB" w:rsidRDefault="008F31FB" w:rsidP="00AB61A4">
            <w:pPr>
              <w:spacing w:line="360" w:lineRule="auto"/>
              <w:rPr>
                <w:rFonts w:eastAsia="DengXian"/>
                <w:color w:val="000000"/>
              </w:rPr>
            </w:pPr>
            <w:r w:rsidRPr="008F31FB">
              <w:rPr>
                <w:rFonts w:eastAsia="DengXian"/>
                <w:color w:val="000000"/>
              </w:rPr>
              <w:t>1995</w:t>
            </w:r>
          </w:p>
        </w:tc>
        <w:tc>
          <w:tcPr>
            <w:tcW w:w="2268" w:type="dxa"/>
            <w:noWrap/>
            <w:vAlign w:val="center"/>
            <w:hideMark/>
          </w:tcPr>
          <w:p w14:paraId="7C06DF9F"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429BC21" w14:textId="77777777" w:rsidTr="008F31FB">
        <w:trPr>
          <w:trHeight w:val="320"/>
        </w:trPr>
        <w:tc>
          <w:tcPr>
            <w:tcW w:w="4535" w:type="dxa"/>
            <w:noWrap/>
            <w:vAlign w:val="center"/>
            <w:hideMark/>
          </w:tcPr>
          <w:p w14:paraId="42D89FE5"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Comparison of serum calcium levels between junior high school children with high-normal and low-normal blood pressure. The child and adolescent blood  pressure program.</w:t>
            </w:r>
          </w:p>
        </w:tc>
        <w:tc>
          <w:tcPr>
            <w:tcW w:w="1134" w:type="dxa"/>
            <w:noWrap/>
            <w:vAlign w:val="center"/>
            <w:hideMark/>
          </w:tcPr>
          <w:p w14:paraId="0B7ADA2E" w14:textId="77777777" w:rsidR="008F31FB" w:rsidRPr="008F31FB" w:rsidRDefault="008F31FB" w:rsidP="00AB61A4">
            <w:pPr>
              <w:spacing w:line="360" w:lineRule="auto"/>
              <w:rPr>
                <w:rFonts w:eastAsia="DengXian"/>
                <w:color w:val="000000"/>
              </w:rPr>
            </w:pPr>
            <w:r w:rsidRPr="008F31FB">
              <w:rPr>
                <w:rFonts w:eastAsia="DengXian"/>
                <w:color w:val="000000"/>
              </w:rPr>
              <w:t>1994</w:t>
            </w:r>
          </w:p>
        </w:tc>
        <w:tc>
          <w:tcPr>
            <w:tcW w:w="2268" w:type="dxa"/>
            <w:noWrap/>
            <w:vAlign w:val="center"/>
            <w:hideMark/>
          </w:tcPr>
          <w:p w14:paraId="0310BCDA"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0C58DA88" w14:textId="77777777" w:rsidTr="008F31FB">
        <w:trPr>
          <w:trHeight w:val="320"/>
        </w:trPr>
        <w:tc>
          <w:tcPr>
            <w:tcW w:w="4535" w:type="dxa"/>
            <w:noWrap/>
            <w:vAlign w:val="center"/>
            <w:hideMark/>
          </w:tcPr>
          <w:p w14:paraId="40231C07" w14:textId="77777777" w:rsidR="008F31FB" w:rsidRPr="008F31FB" w:rsidRDefault="008F31FB" w:rsidP="00AB61A4">
            <w:pPr>
              <w:spacing w:line="360" w:lineRule="auto"/>
              <w:rPr>
                <w:rFonts w:eastAsia="DengXian"/>
                <w:color w:val="000000"/>
              </w:rPr>
            </w:pPr>
            <w:r w:rsidRPr="008F31FB">
              <w:rPr>
                <w:rFonts w:eastAsia="DengXian"/>
                <w:color w:val="000000"/>
              </w:rPr>
              <w:t>Nutritional factors for stroke and major cardiovascular diseases: international epidemiological comparison of dietary prevention.</w:t>
            </w:r>
          </w:p>
        </w:tc>
        <w:tc>
          <w:tcPr>
            <w:tcW w:w="1134" w:type="dxa"/>
            <w:noWrap/>
            <w:vAlign w:val="center"/>
            <w:hideMark/>
          </w:tcPr>
          <w:p w14:paraId="1DF70173" w14:textId="77777777" w:rsidR="008F31FB" w:rsidRPr="008F31FB" w:rsidRDefault="008F31FB" w:rsidP="00AB61A4">
            <w:pPr>
              <w:spacing w:line="360" w:lineRule="auto"/>
              <w:rPr>
                <w:rFonts w:eastAsia="DengXian"/>
                <w:color w:val="000000"/>
              </w:rPr>
            </w:pPr>
            <w:r w:rsidRPr="008F31FB">
              <w:rPr>
                <w:rFonts w:eastAsia="DengXian"/>
                <w:color w:val="000000"/>
              </w:rPr>
              <w:t>1994</w:t>
            </w:r>
          </w:p>
        </w:tc>
        <w:tc>
          <w:tcPr>
            <w:tcW w:w="2268" w:type="dxa"/>
            <w:noWrap/>
            <w:vAlign w:val="center"/>
            <w:hideMark/>
          </w:tcPr>
          <w:p w14:paraId="27FF6881"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547BD0E8" w14:textId="77777777" w:rsidTr="008F31FB">
        <w:trPr>
          <w:trHeight w:val="320"/>
        </w:trPr>
        <w:tc>
          <w:tcPr>
            <w:tcW w:w="4535" w:type="dxa"/>
            <w:noWrap/>
            <w:vAlign w:val="center"/>
            <w:hideMark/>
          </w:tcPr>
          <w:p w14:paraId="47C459B0" w14:textId="77777777" w:rsidR="008F31FB" w:rsidRPr="008F31FB" w:rsidRDefault="008F31FB" w:rsidP="00AB61A4">
            <w:pPr>
              <w:spacing w:line="360" w:lineRule="auto"/>
              <w:rPr>
                <w:rFonts w:eastAsia="DengXian"/>
                <w:color w:val="000000"/>
              </w:rPr>
            </w:pPr>
            <w:r w:rsidRPr="008F31FB">
              <w:rPr>
                <w:rFonts w:eastAsia="DengXian"/>
                <w:color w:val="000000"/>
              </w:rPr>
              <w:t>Acute effects of intravenous ouabain in healthy volunteers.</w:t>
            </w:r>
          </w:p>
        </w:tc>
        <w:tc>
          <w:tcPr>
            <w:tcW w:w="1134" w:type="dxa"/>
            <w:noWrap/>
            <w:vAlign w:val="center"/>
            <w:hideMark/>
          </w:tcPr>
          <w:p w14:paraId="52B19D50" w14:textId="77777777" w:rsidR="008F31FB" w:rsidRPr="008F31FB" w:rsidRDefault="008F31FB" w:rsidP="00AB61A4">
            <w:pPr>
              <w:spacing w:line="360" w:lineRule="auto"/>
              <w:rPr>
                <w:rFonts w:eastAsia="DengXian"/>
                <w:color w:val="000000"/>
              </w:rPr>
            </w:pPr>
            <w:r w:rsidRPr="008F31FB">
              <w:rPr>
                <w:rFonts w:eastAsia="DengXian"/>
                <w:color w:val="000000"/>
              </w:rPr>
              <w:t>1994</w:t>
            </w:r>
          </w:p>
        </w:tc>
        <w:tc>
          <w:tcPr>
            <w:tcW w:w="2268" w:type="dxa"/>
            <w:noWrap/>
            <w:vAlign w:val="center"/>
            <w:hideMark/>
          </w:tcPr>
          <w:p w14:paraId="02ECE0E1"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8B94427" w14:textId="77777777" w:rsidTr="008F31FB">
        <w:trPr>
          <w:trHeight w:val="320"/>
        </w:trPr>
        <w:tc>
          <w:tcPr>
            <w:tcW w:w="4535" w:type="dxa"/>
            <w:noWrap/>
            <w:vAlign w:val="center"/>
            <w:hideMark/>
          </w:tcPr>
          <w:p w14:paraId="2D0A44D4" w14:textId="77777777" w:rsidR="008F31FB" w:rsidRPr="008F31FB" w:rsidRDefault="008F31FB" w:rsidP="00AB61A4">
            <w:pPr>
              <w:spacing w:line="360" w:lineRule="auto"/>
              <w:rPr>
                <w:rFonts w:eastAsia="DengXian"/>
                <w:color w:val="000000"/>
              </w:rPr>
            </w:pPr>
            <w:r w:rsidRPr="008F31FB">
              <w:rPr>
                <w:rFonts w:eastAsia="DengXian"/>
                <w:color w:val="000000"/>
              </w:rPr>
              <w:t>Trial of antihypertensive intervention and management: greater efficacy with weight reduction than with a sodium-potassium intervention.</w:t>
            </w:r>
          </w:p>
        </w:tc>
        <w:tc>
          <w:tcPr>
            <w:tcW w:w="1134" w:type="dxa"/>
            <w:noWrap/>
            <w:vAlign w:val="center"/>
            <w:hideMark/>
          </w:tcPr>
          <w:p w14:paraId="7DFF3CBF" w14:textId="77777777" w:rsidR="008F31FB" w:rsidRPr="008F31FB" w:rsidRDefault="008F31FB" w:rsidP="00AB61A4">
            <w:pPr>
              <w:spacing w:line="360" w:lineRule="auto"/>
              <w:rPr>
                <w:rFonts w:eastAsia="DengXian"/>
                <w:color w:val="000000"/>
              </w:rPr>
            </w:pPr>
            <w:r w:rsidRPr="008F31FB">
              <w:rPr>
                <w:rFonts w:eastAsia="DengXian"/>
                <w:color w:val="000000"/>
              </w:rPr>
              <w:t>1993</w:t>
            </w:r>
          </w:p>
        </w:tc>
        <w:tc>
          <w:tcPr>
            <w:tcW w:w="2268" w:type="dxa"/>
            <w:noWrap/>
            <w:vAlign w:val="center"/>
            <w:hideMark/>
          </w:tcPr>
          <w:p w14:paraId="43CA736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E927970" w14:textId="77777777" w:rsidTr="008F31FB">
        <w:trPr>
          <w:trHeight w:val="320"/>
        </w:trPr>
        <w:tc>
          <w:tcPr>
            <w:tcW w:w="4535" w:type="dxa"/>
            <w:noWrap/>
            <w:vAlign w:val="center"/>
            <w:hideMark/>
          </w:tcPr>
          <w:p w14:paraId="067865F0" w14:textId="77777777" w:rsidR="008F31FB" w:rsidRPr="008F31FB" w:rsidRDefault="008F31FB" w:rsidP="00AB61A4">
            <w:pPr>
              <w:spacing w:line="360" w:lineRule="auto"/>
              <w:rPr>
                <w:rFonts w:eastAsia="DengXian"/>
                <w:color w:val="000000"/>
              </w:rPr>
            </w:pPr>
            <w:r w:rsidRPr="008F31FB">
              <w:rPr>
                <w:rFonts w:eastAsia="DengXian"/>
                <w:color w:val="000000"/>
              </w:rPr>
              <w:t>The effects of dietary lipid modification on blood pressure, cardiovascular reactivity and sympathetic activity in man.</w:t>
            </w:r>
          </w:p>
        </w:tc>
        <w:tc>
          <w:tcPr>
            <w:tcW w:w="1134" w:type="dxa"/>
            <w:noWrap/>
            <w:vAlign w:val="center"/>
            <w:hideMark/>
          </w:tcPr>
          <w:p w14:paraId="53EB4C87" w14:textId="77777777" w:rsidR="008F31FB" w:rsidRPr="008F31FB" w:rsidRDefault="008F31FB" w:rsidP="00AB61A4">
            <w:pPr>
              <w:spacing w:line="360" w:lineRule="auto"/>
              <w:rPr>
                <w:rFonts w:eastAsia="DengXian"/>
                <w:color w:val="000000"/>
              </w:rPr>
            </w:pPr>
            <w:r w:rsidRPr="008F31FB">
              <w:rPr>
                <w:rFonts w:eastAsia="DengXian"/>
                <w:color w:val="000000"/>
              </w:rPr>
              <w:t>1993</w:t>
            </w:r>
          </w:p>
        </w:tc>
        <w:tc>
          <w:tcPr>
            <w:tcW w:w="2268" w:type="dxa"/>
            <w:noWrap/>
            <w:vAlign w:val="center"/>
            <w:hideMark/>
          </w:tcPr>
          <w:p w14:paraId="04E3B48F"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13B7CA6" w14:textId="77777777" w:rsidTr="008F31FB">
        <w:trPr>
          <w:trHeight w:val="320"/>
        </w:trPr>
        <w:tc>
          <w:tcPr>
            <w:tcW w:w="4535" w:type="dxa"/>
            <w:noWrap/>
            <w:vAlign w:val="center"/>
            <w:hideMark/>
          </w:tcPr>
          <w:p w14:paraId="44498CF6" w14:textId="77777777" w:rsidR="008F31FB" w:rsidRPr="008F31FB" w:rsidRDefault="008F31FB" w:rsidP="00AB61A4">
            <w:pPr>
              <w:spacing w:line="360" w:lineRule="auto"/>
              <w:rPr>
                <w:rFonts w:eastAsia="DengXian"/>
                <w:color w:val="000000"/>
              </w:rPr>
            </w:pPr>
            <w:r w:rsidRPr="008F31FB">
              <w:rPr>
                <w:rFonts w:eastAsia="DengXian"/>
                <w:color w:val="000000"/>
              </w:rPr>
              <w:t>Sodium-potassium pump activity in white blood cells from children with an increased risk of developing hypertension--The Odense Schoolchild Study.</w:t>
            </w:r>
          </w:p>
        </w:tc>
        <w:tc>
          <w:tcPr>
            <w:tcW w:w="1134" w:type="dxa"/>
            <w:noWrap/>
            <w:vAlign w:val="center"/>
            <w:hideMark/>
          </w:tcPr>
          <w:p w14:paraId="54B199F3" w14:textId="77777777" w:rsidR="008F31FB" w:rsidRPr="008F31FB" w:rsidRDefault="008F31FB" w:rsidP="00AB61A4">
            <w:pPr>
              <w:spacing w:line="360" w:lineRule="auto"/>
              <w:rPr>
                <w:rFonts w:eastAsia="DengXian"/>
                <w:color w:val="000000"/>
              </w:rPr>
            </w:pPr>
            <w:r w:rsidRPr="008F31FB">
              <w:rPr>
                <w:rFonts w:eastAsia="DengXian"/>
                <w:color w:val="000000"/>
              </w:rPr>
              <w:t>1993</w:t>
            </w:r>
          </w:p>
        </w:tc>
        <w:tc>
          <w:tcPr>
            <w:tcW w:w="2268" w:type="dxa"/>
            <w:noWrap/>
            <w:vAlign w:val="center"/>
            <w:hideMark/>
          </w:tcPr>
          <w:p w14:paraId="3C6BDE4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49A0653" w14:textId="77777777" w:rsidTr="008F31FB">
        <w:trPr>
          <w:trHeight w:val="320"/>
        </w:trPr>
        <w:tc>
          <w:tcPr>
            <w:tcW w:w="4535" w:type="dxa"/>
            <w:noWrap/>
            <w:vAlign w:val="center"/>
            <w:hideMark/>
          </w:tcPr>
          <w:p w14:paraId="3229B5E3" w14:textId="77777777" w:rsidR="008F31FB" w:rsidRPr="008F31FB" w:rsidRDefault="008F31FB" w:rsidP="00AB61A4">
            <w:pPr>
              <w:spacing w:line="360" w:lineRule="auto"/>
              <w:rPr>
                <w:rFonts w:eastAsia="DengXian"/>
                <w:color w:val="000000"/>
              </w:rPr>
            </w:pPr>
            <w:r w:rsidRPr="008F31FB">
              <w:rPr>
                <w:rFonts w:eastAsia="DengXian"/>
                <w:color w:val="000000"/>
              </w:rPr>
              <w:t>Guar gum improves insulin sensitivity, blood lipids, blood pressure, and fibrinolysis in healthy men.</w:t>
            </w:r>
          </w:p>
        </w:tc>
        <w:tc>
          <w:tcPr>
            <w:tcW w:w="1134" w:type="dxa"/>
            <w:noWrap/>
            <w:vAlign w:val="center"/>
            <w:hideMark/>
          </w:tcPr>
          <w:p w14:paraId="0533872E"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24D5AEA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AB94521" w14:textId="77777777" w:rsidTr="008F31FB">
        <w:trPr>
          <w:trHeight w:val="320"/>
        </w:trPr>
        <w:tc>
          <w:tcPr>
            <w:tcW w:w="4535" w:type="dxa"/>
            <w:noWrap/>
            <w:vAlign w:val="center"/>
            <w:hideMark/>
          </w:tcPr>
          <w:p w14:paraId="13F166D6" w14:textId="77777777" w:rsidR="008F31FB" w:rsidRPr="008F31FB" w:rsidRDefault="008F31FB" w:rsidP="00AB61A4">
            <w:pPr>
              <w:spacing w:line="360" w:lineRule="auto"/>
              <w:rPr>
                <w:rFonts w:eastAsia="DengXian"/>
                <w:color w:val="000000"/>
              </w:rPr>
            </w:pPr>
            <w:r w:rsidRPr="008F31FB">
              <w:rPr>
                <w:rFonts w:eastAsia="DengXian"/>
                <w:color w:val="000000"/>
              </w:rPr>
              <w:t xml:space="preserve">Treatment of intraoperative hypertension with enflurane, nicardipine, or human atrial </w:t>
            </w:r>
            <w:r w:rsidRPr="008F31FB">
              <w:rPr>
                <w:rFonts w:eastAsia="DengXian"/>
                <w:color w:val="000000"/>
              </w:rPr>
              <w:lastRenderedPageBreak/>
              <w:t>natriuretic peptide: haemodynamic and renal effects.</w:t>
            </w:r>
          </w:p>
        </w:tc>
        <w:tc>
          <w:tcPr>
            <w:tcW w:w="1134" w:type="dxa"/>
            <w:noWrap/>
            <w:vAlign w:val="center"/>
            <w:hideMark/>
          </w:tcPr>
          <w:p w14:paraId="2F02DA90"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1992</w:t>
            </w:r>
          </w:p>
        </w:tc>
        <w:tc>
          <w:tcPr>
            <w:tcW w:w="2268" w:type="dxa"/>
            <w:noWrap/>
            <w:vAlign w:val="center"/>
            <w:hideMark/>
          </w:tcPr>
          <w:p w14:paraId="1B87905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8C397CD" w14:textId="77777777" w:rsidTr="008F31FB">
        <w:trPr>
          <w:trHeight w:val="320"/>
        </w:trPr>
        <w:tc>
          <w:tcPr>
            <w:tcW w:w="4535" w:type="dxa"/>
            <w:noWrap/>
            <w:vAlign w:val="center"/>
            <w:hideMark/>
          </w:tcPr>
          <w:p w14:paraId="709DCF90" w14:textId="77777777" w:rsidR="008F31FB" w:rsidRPr="008F31FB" w:rsidRDefault="008F31FB" w:rsidP="00AB61A4">
            <w:pPr>
              <w:spacing w:line="360" w:lineRule="auto"/>
              <w:rPr>
                <w:rFonts w:eastAsia="DengXian"/>
                <w:color w:val="000000"/>
              </w:rPr>
            </w:pPr>
            <w:r w:rsidRPr="008F31FB">
              <w:rPr>
                <w:rFonts w:eastAsia="DengXian"/>
                <w:color w:val="000000"/>
              </w:rPr>
              <w:t>Potassium supplementation reduces clinic and ambulatory blood pressure in elderly hypertensive patients.</w:t>
            </w:r>
          </w:p>
        </w:tc>
        <w:tc>
          <w:tcPr>
            <w:tcW w:w="1134" w:type="dxa"/>
            <w:noWrap/>
            <w:vAlign w:val="center"/>
            <w:hideMark/>
          </w:tcPr>
          <w:p w14:paraId="7130B993"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754C3CC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88591E3" w14:textId="77777777" w:rsidTr="008F31FB">
        <w:trPr>
          <w:trHeight w:val="320"/>
        </w:trPr>
        <w:tc>
          <w:tcPr>
            <w:tcW w:w="4535" w:type="dxa"/>
            <w:noWrap/>
            <w:vAlign w:val="center"/>
            <w:hideMark/>
          </w:tcPr>
          <w:p w14:paraId="52A3454D" w14:textId="77777777" w:rsidR="008F31FB" w:rsidRPr="008F31FB" w:rsidRDefault="008F31FB" w:rsidP="00AB61A4">
            <w:pPr>
              <w:spacing w:line="360" w:lineRule="auto"/>
              <w:rPr>
                <w:rFonts w:eastAsia="DengXian"/>
                <w:color w:val="000000"/>
              </w:rPr>
            </w:pPr>
            <w:r w:rsidRPr="008F31FB">
              <w:rPr>
                <w:rFonts w:eastAsia="DengXian"/>
                <w:color w:val="000000"/>
              </w:rPr>
              <w:t>Hormonal responses to exercise during moderate cold exposure in young vs. middle-age subjects.</w:t>
            </w:r>
          </w:p>
        </w:tc>
        <w:tc>
          <w:tcPr>
            <w:tcW w:w="1134" w:type="dxa"/>
            <w:noWrap/>
            <w:vAlign w:val="center"/>
            <w:hideMark/>
          </w:tcPr>
          <w:p w14:paraId="5CA66CCB"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77A88F1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561201A" w14:textId="77777777" w:rsidTr="008F31FB">
        <w:trPr>
          <w:trHeight w:val="320"/>
        </w:trPr>
        <w:tc>
          <w:tcPr>
            <w:tcW w:w="4535" w:type="dxa"/>
            <w:noWrap/>
            <w:vAlign w:val="center"/>
            <w:hideMark/>
          </w:tcPr>
          <w:p w14:paraId="573A7DF7" w14:textId="77777777" w:rsidR="008F31FB" w:rsidRPr="008F31FB" w:rsidRDefault="008F31FB" w:rsidP="00AB61A4">
            <w:pPr>
              <w:spacing w:line="360" w:lineRule="auto"/>
              <w:rPr>
                <w:rFonts w:eastAsia="DengXian"/>
                <w:color w:val="000000"/>
              </w:rPr>
            </w:pPr>
            <w:r w:rsidRPr="008F31FB">
              <w:rPr>
                <w:rFonts w:eastAsia="DengXian"/>
                <w:color w:val="000000"/>
              </w:rPr>
              <w:t>Organ-specific effects of tiratricol: a thyroid hormone analog with hepatic, not pituitary, superagonist effects.</w:t>
            </w:r>
          </w:p>
        </w:tc>
        <w:tc>
          <w:tcPr>
            <w:tcW w:w="1134" w:type="dxa"/>
            <w:noWrap/>
            <w:vAlign w:val="center"/>
            <w:hideMark/>
          </w:tcPr>
          <w:p w14:paraId="79FF5806"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53E0E29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D7547DD" w14:textId="77777777" w:rsidTr="008F31FB">
        <w:trPr>
          <w:trHeight w:val="320"/>
        </w:trPr>
        <w:tc>
          <w:tcPr>
            <w:tcW w:w="4535" w:type="dxa"/>
            <w:noWrap/>
            <w:vAlign w:val="center"/>
            <w:hideMark/>
          </w:tcPr>
          <w:p w14:paraId="2A198B92" w14:textId="77777777" w:rsidR="008F31FB" w:rsidRPr="008F31FB" w:rsidRDefault="008F31FB" w:rsidP="00AB61A4">
            <w:pPr>
              <w:spacing w:line="360" w:lineRule="auto"/>
              <w:rPr>
                <w:rFonts w:eastAsia="DengXian"/>
                <w:color w:val="000000"/>
              </w:rPr>
            </w:pPr>
            <w:r w:rsidRPr="008F31FB">
              <w:rPr>
                <w:rFonts w:eastAsia="DengXian"/>
                <w:color w:val="000000"/>
              </w:rPr>
              <w:t>Alpha-adrenoceptor blockade in patients with mild to moderate hypertension: long-term renal effects of doxazosin.</w:t>
            </w:r>
          </w:p>
        </w:tc>
        <w:tc>
          <w:tcPr>
            <w:tcW w:w="1134" w:type="dxa"/>
            <w:noWrap/>
            <w:vAlign w:val="center"/>
            <w:hideMark/>
          </w:tcPr>
          <w:p w14:paraId="310C18C3"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381EB79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11CBAF3" w14:textId="77777777" w:rsidTr="008F31FB">
        <w:trPr>
          <w:trHeight w:val="320"/>
        </w:trPr>
        <w:tc>
          <w:tcPr>
            <w:tcW w:w="4535" w:type="dxa"/>
            <w:noWrap/>
            <w:vAlign w:val="center"/>
            <w:hideMark/>
          </w:tcPr>
          <w:p w14:paraId="6752AB5F" w14:textId="77777777" w:rsidR="008F31FB" w:rsidRPr="008F31FB" w:rsidRDefault="008F31FB" w:rsidP="00AB61A4">
            <w:pPr>
              <w:spacing w:line="360" w:lineRule="auto"/>
              <w:rPr>
                <w:rFonts w:eastAsia="DengXian"/>
                <w:color w:val="000000"/>
              </w:rPr>
            </w:pPr>
            <w:r w:rsidRPr="008F31FB">
              <w:rPr>
                <w:rFonts w:eastAsia="DengXian"/>
                <w:color w:val="000000"/>
              </w:rPr>
              <w:t>Feasibility of a long-term low-sodium diet in mild hypertension.</w:t>
            </w:r>
          </w:p>
        </w:tc>
        <w:tc>
          <w:tcPr>
            <w:tcW w:w="1134" w:type="dxa"/>
            <w:noWrap/>
            <w:vAlign w:val="center"/>
            <w:hideMark/>
          </w:tcPr>
          <w:p w14:paraId="69853D4A"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378D41A9"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B87EE69" w14:textId="77777777" w:rsidTr="008F31FB">
        <w:trPr>
          <w:trHeight w:val="320"/>
        </w:trPr>
        <w:tc>
          <w:tcPr>
            <w:tcW w:w="4535" w:type="dxa"/>
            <w:noWrap/>
            <w:vAlign w:val="center"/>
            <w:hideMark/>
          </w:tcPr>
          <w:p w14:paraId="063CCBDB" w14:textId="77777777" w:rsidR="008F31FB" w:rsidRPr="008F31FB" w:rsidRDefault="008F31FB" w:rsidP="00AB61A4">
            <w:pPr>
              <w:spacing w:line="360" w:lineRule="auto"/>
              <w:rPr>
                <w:rFonts w:eastAsia="DengXian"/>
                <w:color w:val="000000"/>
              </w:rPr>
            </w:pPr>
            <w:r w:rsidRPr="008F31FB">
              <w:rPr>
                <w:rFonts w:eastAsia="DengXian"/>
                <w:color w:val="000000"/>
              </w:rPr>
              <w:t>Isradipine for the treatment of hypertension following coronary artery bypass graft surgery: a randomized trial versus sodium nitroprusside.</w:t>
            </w:r>
          </w:p>
        </w:tc>
        <w:tc>
          <w:tcPr>
            <w:tcW w:w="1134" w:type="dxa"/>
            <w:noWrap/>
            <w:vAlign w:val="center"/>
            <w:hideMark/>
          </w:tcPr>
          <w:p w14:paraId="65654049"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7860256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7E9C59A" w14:textId="77777777" w:rsidTr="008F31FB">
        <w:trPr>
          <w:trHeight w:val="320"/>
        </w:trPr>
        <w:tc>
          <w:tcPr>
            <w:tcW w:w="4535" w:type="dxa"/>
            <w:noWrap/>
            <w:vAlign w:val="center"/>
            <w:hideMark/>
          </w:tcPr>
          <w:p w14:paraId="48D1EDB6" w14:textId="77777777" w:rsidR="008F31FB" w:rsidRPr="008F31FB" w:rsidRDefault="008F31FB" w:rsidP="00AB61A4">
            <w:pPr>
              <w:spacing w:line="360" w:lineRule="auto"/>
              <w:rPr>
                <w:rFonts w:eastAsia="DengXian"/>
                <w:color w:val="000000"/>
              </w:rPr>
            </w:pPr>
            <w:r w:rsidRPr="008F31FB">
              <w:rPr>
                <w:rFonts w:eastAsia="DengXian"/>
                <w:color w:val="000000"/>
              </w:rPr>
              <w:t>Renal function and cardiopulmonary bypass: effect of perfusion pressure.</w:t>
            </w:r>
          </w:p>
        </w:tc>
        <w:tc>
          <w:tcPr>
            <w:tcW w:w="1134" w:type="dxa"/>
            <w:noWrap/>
            <w:vAlign w:val="center"/>
            <w:hideMark/>
          </w:tcPr>
          <w:p w14:paraId="38994878"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6B7DE5E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A210826" w14:textId="77777777" w:rsidTr="008F31FB">
        <w:trPr>
          <w:trHeight w:val="320"/>
        </w:trPr>
        <w:tc>
          <w:tcPr>
            <w:tcW w:w="4535" w:type="dxa"/>
            <w:noWrap/>
            <w:vAlign w:val="center"/>
            <w:hideMark/>
          </w:tcPr>
          <w:p w14:paraId="3E4E9A5C" w14:textId="77777777" w:rsidR="008F31FB" w:rsidRPr="008F31FB" w:rsidRDefault="008F31FB" w:rsidP="00AB61A4">
            <w:pPr>
              <w:spacing w:line="360" w:lineRule="auto"/>
              <w:rPr>
                <w:rFonts w:eastAsia="DengXian"/>
                <w:color w:val="000000"/>
              </w:rPr>
            </w:pPr>
            <w:r w:rsidRPr="008F31FB">
              <w:rPr>
                <w:rFonts w:eastAsia="DengXian"/>
                <w:color w:val="000000"/>
              </w:rPr>
              <w:t>Interaction between cyclosporine and felodipine in renal transplant recipients.</w:t>
            </w:r>
          </w:p>
        </w:tc>
        <w:tc>
          <w:tcPr>
            <w:tcW w:w="1134" w:type="dxa"/>
            <w:noWrap/>
            <w:vAlign w:val="center"/>
            <w:hideMark/>
          </w:tcPr>
          <w:p w14:paraId="68848719"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3F3FB574"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B892EAC" w14:textId="77777777" w:rsidTr="008F31FB">
        <w:trPr>
          <w:trHeight w:val="320"/>
        </w:trPr>
        <w:tc>
          <w:tcPr>
            <w:tcW w:w="4535" w:type="dxa"/>
            <w:noWrap/>
            <w:vAlign w:val="center"/>
            <w:hideMark/>
          </w:tcPr>
          <w:p w14:paraId="30424796" w14:textId="77777777" w:rsidR="008F31FB" w:rsidRPr="008F31FB" w:rsidRDefault="008F31FB" w:rsidP="00AB61A4">
            <w:pPr>
              <w:spacing w:line="360" w:lineRule="auto"/>
              <w:rPr>
                <w:rFonts w:eastAsia="DengXian"/>
                <w:color w:val="000000"/>
              </w:rPr>
            </w:pPr>
            <w:r w:rsidRPr="008F31FB">
              <w:rPr>
                <w:rFonts w:eastAsia="DengXian"/>
                <w:color w:val="000000"/>
              </w:rPr>
              <w:t>Baseline characteristics of participants in phase I of the Trials of Hypertension Prevention.</w:t>
            </w:r>
          </w:p>
        </w:tc>
        <w:tc>
          <w:tcPr>
            <w:tcW w:w="1134" w:type="dxa"/>
            <w:noWrap/>
            <w:vAlign w:val="center"/>
            <w:hideMark/>
          </w:tcPr>
          <w:p w14:paraId="79C11EA7"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00C1F2B8"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E6D2BAD" w14:textId="77777777" w:rsidTr="008F31FB">
        <w:trPr>
          <w:trHeight w:val="320"/>
        </w:trPr>
        <w:tc>
          <w:tcPr>
            <w:tcW w:w="4535" w:type="dxa"/>
            <w:noWrap/>
            <w:vAlign w:val="center"/>
            <w:hideMark/>
          </w:tcPr>
          <w:p w14:paraId="48D04E4F"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Effects of flurbiprofen on renal function in patients with moderate renal insufficiency.</w:t>
            </w:r>
          </w:p>
        </w:tc>
        <w:tc>
          <w:tcPr>
            <w:tcW w:w="1134" w:type="dxa"/>
            <w:noWrap/>
            <w:vAlign w:val="center"/>
            <w:hideMark/>
          </w:tcPr>
          <w:p w14:paraId="7A58F929" w14:textId="77777777" w:rsidR="008F31FB" w:rsidRPr="008F31FB" w:rsidRDefault="008F31FB" w:rsidP="00AB61A4">
            <w:pPr>
              <w:spacing w:line="360" w:lineRule="auto"/>
              <w:rPr>
                <w:rFonts w:eastAsia="DengXian"/>
                <w:color w:val="000000"/>
              </w:rPr>
            </w:pPr>
            <w:r w:rsidRPr="008F31FB">
              <w:rPr>
                <w:rFonts w:eastAsia="DengXian"/>
                <w:color w:val="000000"/>
              </w:rPr>
              <w:t>1992</w:t>
            </w:r>
          </w:p>
        </w:tc>
        <w:tc>
          <w:tcPr>
            <w:tcW w:w="2268" w:type="dxa"/>
            <w:noWrap/>
            <w:vAlign w:val="center"/>
            <w:hideMark/>
          </w:tcPr>
          <w:p w14:paraId="425B94E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3C1F19B" w14:textId="77777777" w:rsidTr="008F31FB">
        <w:trPr>
          <w:trHeight w:val="320"/>
        </w:trPr>
        <w:tc>
          <w:tcPr>
            <w:tcW w:w="4535" w:type="dxa"/>
            <w:noWrap/>
            <w:vAlign w:val="center"/>
            <w:hideMark/>
          </w:tcPr>
          <w:p w14:paraId="4D31750C" w14:textId="77777777" w:rsidR="008F31FB" w:rsidRPr="008F31FB" w:rsidRDefault="008F31FB" w:rsidP="00AB61A4">
            <w:pPr>
              <w:spacing w:line="360" w:lineRule="auto"/>
              <w:rPr>
                <w:rFonts w:eastAsia="DengXian"/>
                <w:color w:val="000000"/>
              </w:rPr>
            </w:pPr>
            <w:r w:rsidRPr="008F31FB">
              <w:rPr>
                <w:rFonts w:eastAsia="DengXian"/>
                <w:color w:val="000000"/>
              </w:rPr>
              <w:t>Demographic, knowledge, physiological, and behavioral variables as predictors of compliance with dietary treatment goals in hypertension.</w:t>
            </w:r>
          </w:p>
        </w:tc>
        <w:tc>
          <w:tcPr>
            <w:tcW w:w="1134" w:type="dxa"/>
            <w:noWrap/>
            <w:vAlign w:val="center"/>
            <w:hideMark/>
          </w:tcPr>
          <w:p w14:paraId="7D642818" w14:textId="77777777" w:rsidR="008F31FB" w:rsidRPr="008F31FB" w:rsidRDefault="008F31FB" w:rsidP="00AB61A4">
            <w:pPr>
              <w:spacing w:line="360" w:lineRule="auto"/>
              <w:rPr>
                <w:rFonts w:eastAsia="DengXian"/>
                <w:color w:val="000000"/>
              </w:rPr>
            </w:pPr>
            <w:r w:rsidRPr="008F31FB">
              <w:rPr>
                <w:rFonts w:eastAsia="DengXian"/>
                <w:color w:val="000000"/>
              </w:rPr>
              <w:t>1991</w:t>
            </w:r>
          </w:p>
        </w:tc>
        <w:tc>
          <w:tcPr>
            <w:tcW w:w="2268" w:type="dxa"/>
            <w:noWrap/>
            <w:vAlign w:val="center"/>
            <w:hideMark/>
          </w:tcPr>
          <w:p w14:paraId="06631FA7"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0EC4E15" w14:textId="77777777" w:rsidTr="008F31FB">
        <w:trPr>
          <w:trHeight w:val="320"/>
        </w:trPr>
        <w:tc>
          <w:tcPr>
            <w:tcW w:w="4535" w:type="dxa"/>
            <w:noWrap/>
            <w:vAlign w:val="center"/>
            <w:hideMark/>
          </w:tcPr>
          <w:p w14:paraId="625E9A07" w14:textId="77777777" w:rsidR="008F31FB" w:rsidRPr="008F31FB" w:rsidRDefault="008F31FB" w:rsidP="00AB61A4">
            <w:pPr>
              <w:spacing w:line="360" w:lineRule="auto"/>
              <w:rPr>
                <w:rFonts w:eastAsia="DengXian"/>
                <w:color w:val="000000"/>
              </w:rPr>
            </w:pPr>
            <w:r w:rsidRPr="008F31FB">
              <w:rPr>
                <w:rFonts w:eastAsia="DengXian"/>
                <w:color w:val="000000"/>
              </w:rPr>
              <w:t>Sodium, potassium, body mass, alcohol and blood pressure in three United Kingdom centres (the INTERSALT study).</w:t>
            </w:r>
          </w:p>
        </w:tc>
        <w:tc>
          <w:tcPr>
            <w:tcW w:w="1134" w:type="dxa"/>
            <w:noWrap/>
            <w:vAlign w:val="center"/>
            <w:hideMark/>
          </w:tcPr>
          <w:p w14:paraId="6247ECC3" w14:textId="77777777" w:rsidR="008F31FB" w:rsidRPr="008F31FB" w:rsidRDefault="008F31FB" w:rsidP="00AB61A4">
            <w:pPr>
              <w:spacing w:line="360" w:lineRule="auto"/>
              <w:rPr>
                <w:rFonts w:eastAsia="DengXian"/>
                <w:color w:val="000000"/>
              </w:rPr>
            </w:pPr>
            <w:r w:rsidRPr="008F31FB">
              <w:rPr>
                <w:rFonts w:eastAsia="DengXian"/>
                <w:color w:val="000000"/>
              </w:rPr>
              <w:t>1990</w:t>
            </w:r>
          </w:p>
        </w:tc>
        <w:tc>
          <w:tcPr>
            <w:tcW w:w="2268" w:type="dxa"/>
            <w:noWrap/>
            <w:vAlign w:val="center"/>
            <w:hideMark/>
          </w:tcPr>
          <w:p w14:paraId="7C52D618"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70E94407" w14:textId="77777777" w:rsidTr="008F31FB">
        <w:trPr>
          <w:trHeight w:val="320"/>
        </w:trPr>
        <w:tc>
          <w:tcPr>
            <w:tcW w:w="4535" w:type="dxa"/>
            <w:noWrap/>
            <w:vAlign w:val="center"/>
            <w:hideMark/>
          </w:tcPr>
          <w:p w14:paraId="547C3CBE" w14:textId="77777777" w:rsidR="008F31FB" w:rsidRPr="008F31FB" w:rsidRDefault="008F31FB" w:rsidP="00AB61A4">
            <w:pPr>
              <w:spacing w:line="360" w:lineRule="auto"/>
              <w:rPr>
                <w:rFonts w:eastAsia="DengXian"/>
                <w:color w:val="000000"/>
              </w:rPr>
            </w:pPr>
            <w:r w:rsidRPr="008F31FB">
              <w:rPr>
                <w:rFonts w:eastAsia="DengXian"/>
                <w:color w:val="000000"/>
              </w:rPr>
              <w:t>Effect of diet and weight reduction in hypertension.</w:t>
            </w:r>
          </w:p>
        </w:tc>
        <w:tc>
          <w:tcPr>
            <w:tcW w:w="1134" w:type="dxa"/>
            <w:noWrap/>
            <w:vAlign w:val="center"/>
            <w:hideMark/>
          </w:tcPr>
          <w:p w14:paraId="3D3318F2" w14:textId="77777777" w:rsidR="008F31FB" w:rsidRPr="008F31FB" w:rsidRDefault="008F31FB" w:rsidP="00AB61A4">
            <w:pPr>
              <w:spacing w:line="360" w:lineRule="auto"/>
              <w:rPr>
                <w:rFonts w:eastAsia="DengXian"/>
                <w:color w:val="000000"/>
              </w:rPr>
            </w:pPr>
            <w:r w:rsidRPr="008F31FB">
              <w:rPr>
                <w:rFonts w:eastAsia="DengXian"/>
                <w:color w:val="000000"/>
              </w:rPr>
              <w:t>1990</w:t>
            </w:r>
          </w:p>
        </w:tc>
        <w:tc>
          <w:tcPr>
            <w:tcW w:w="2268" w:type="dxa"/>
            <w:noWrap/>
            <w:vAlign w:val="center"/>
            <w:hideMark/>
          </w:tcPr>
          <w:p w14:paraId="6C50C02C"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4694B984" w14:textId="77777777" w:rsidTr="008F31FB">
        <w:trPr>
          <w:trHeight w:val="320"/>
        </w:trPr>
        <w:tc>
          <w:tcPr>
            <w:tcW w:w="4535" w:type="dxa"/>
            <w:noWrap/>
            <w:vAlign w:val="center"/>
            <w:hideMark/>
          </w:tcPr>
          <w:p w14:paraId="3FE3BDE6" w14:textId="77777777" w:rsidR="008F31FB" w:rsidRPr="008F31FB" w:rsidRDefault="008F31FB" w:rsidP="00AB61A4">
            <w:pPr>
              <w:spacing w:line="360" w:lineRule="auto"/>
              <w:rPr>
                <w:rFonts w:eastAsia="DengXian"/>
                <w:color w:val="000000"/>
              </w:rPr>
            </w:pPr>
            <w:r w:rsidRPr="008F31FB">
              <w:rPr>
                <w:rFonts w:eastAsia="DengXian"/>
                <w:color w:val="000000"/>
              </w:rPr>
              <w:t>Attributions for dietary failures: problems reported by participants in the Hypertension Prevention Trial.</w:t>
            </w:r>
          </w:p>
        </w:tc>
        <w:tc>
          <w:tcPr>
            <w:tcW w:w="1134" w:type="dxa"/>
            <w:noWrap/>
            <w:vAlign w:val="center"/>
            <w:hideMark/>
          </w:tcPr>
          <w:p w14:paraId="1EF8F60D" w14:textId="77777777" w:rsidR="008F31FB" w:rsidRPr="008F31FB" w:rsidRDefault="008F31FB" w:rsidP="00AB61A4">
            <w:pPr>
              <w:spacing w:line="360" w:lineRule="auto"/>
              <w:rPr>
                <w:rFonts w:eastAsia="DengXian"/>
                <w:color w:val="000000"/>
              </w:rPr>
            </w:pPr>
            <w:r w:rsidRPr="008F31FB">
              <w:rPr>
                <w:rFonts w:eastAsia="DengXian"/>
                <w:color w:val="000000"/>
              </w:rPr>
              <w:t>1990</w:t>
            </w:r>
          </w:p>
        </w:tc>
        <w:tc>
          <w:tcPr>
            <w:tcW w:w="2268" w:type="dxa"/>
            <w:noWrap/>
            <w:vAlign w:val="center"/>
            <w:hideMark/>
          </w:tcPr>
          <w:p w14:paraId="50040DDD"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2D5B0327" w14:textId="77777777" w:rsidTr="008F31FB">
        <w:trPr>
          <w:trHeight w:val="320"/>
        </w:trPr>
        <w:tc>
          <w:tcPr>
            <w:tcW w:w="4535" w:type="dxa"/>
            <w:noWrap/>
            <w:vAlign w:val="center"/>
            <w:hideMark/>
          </w:tcPr>
          <w:p w14:paraId="529DDBD0" w14:textId="77777777" w:rsidR="008F31FB" w:rsidRPr="008F31FB" w:rsidRDefault="008F31FB" w:rsidP="00AB61A4">
            <w:pPr>
              <w:spacing w:line="360" w:lineRule="auto"/>
              <w:rPr>
                <w:rFonts w:eastAsia="DengXian"/>
                <w:color w:val="000000"/>
              </w:rPr>
            </w:pPr>
            <w:r w:rsidRPr="008F31FB">
              <w:rPr>
                <w:rFonts w:eastAsia="DengXian"/>
                <w:color w:val="000000"/>
              </w:rPr>
              <w:t>Estimation of protein intake: comparison of dietary assessment and urinary excretion.</w:t>
            </w:r>
          </w:p>
        </w:tc>
        <w:tc>
          <w:tcPr>
            <w:tcW w:w="1134" w:type="dxa"/>
            <w:noWrap/>
            <w:vAlign w:val="center"/>
            <w:hideMark/>
          </w:tcPr>
          <w:p w14:paraId="0D0692C2" w14:textId="77777777" w:rsidR="008F31FB" w:rsidRPr="008F31FB" w:rsidRDefault="008F31FB" w:rsidP="00AB61A4">
            <w:pPr>
              <w:spacing w:line="360" w:lineRule="auto"/>
              <w:rPr>
                <w:rFonts w:eastAsia="DengXian"/>
                <w:color w:val="000000"/>
              </w:rPr>
            </w:pPr>
            <w:r w:rsidRPr="008F31FB">
              <w:rPr>
                <w:rFonts w:eastAsia="DengXian"/>
                <w:color w:val="000000"/>
              </w:rPr>
              <w:t>1990</w:t>
            </w:r>
          </w:p>
        </w:tc>
        <w:tc>
          <w:tcPr>
            <w:tcW w:w="2268" w:type="dxa"/>
            <w:noWrap/>
            <w:vAlign w:val="center"/>
            <w:hideMark/>
          </w:tcPr>
          <w:p w14:paraId="5038C7EF"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3C5B2E7" w14:textId="77777777" w:rsidTr="008F31FB">
        <w:trPr>
          <w:trHeight w:val="320"/>
        </w:trPr>
        <w:tc>
          <w:tcPr>
            <w:tcW w:w="4535" w:type="dxa"/>
            <w:noWrap/>
            <w:vAlign w:val="center"/>
            <w:hideMark/>
          </w:tcPr>
          <w:p w14:paraId="1794B527" w14:textId="77777777" w:rsidR="008F31FB" w:rsidRPr="008F31FB" w:rsidRDefault="008F31FB" w:rsidP="00AB61A4">
            <w:pPr>
              <w:spacing w:line="360" w:lineRule="auto"/>
              <w:rPr>
                <w:rFonts w:eastAsia="DengXian"/>
                <w:color w:val="000000"/>
              </w:rPr>
            </w:pPr>
            <w:r w:rsidRPr="008F31FB">
              <w:rPr>
                <w:rFonts w:eastAsia="DengXian"/>
                <w:color w:val="000000"/>
              </w:rPr>
              <w:t>Effect of calcium and calcium blockers in hypertension.</w:t>
            </w:r>
          </w:p>
        </w:tc>
        <w:tc>
          <w:tcPr>
            <w:tcW w:w="1134" w:type="dxa"/>
            <w:noWrap/>
            <w:vAlign w:val="center"/>
            <w:hideMark/>
          </w:tcPr>
          <w:p w14:paraId="3EF665AC" w14:textId="77777777" w:rsidR="008F31FB" w:rsidRPr="008F31FB" w:rsidRDefault="008F31FB" w:rsidP="00AB61A4">
            <w:pPr>
              <w:spacing w:line="360" w:lineRule="auto"/>
              <w:rPr>
                <w:rFonts w:eastAsia="DengXian"/>
                <w:color w:val="000000"/>
              </w:rPr>
            </w:pPr>
            <w:r w:rsidRPr="008F31FB">
              <w:rPr>
                <w:rFonts w:eastAsia="DengXian"/>
                <w:color w:val="000000"/>
              </w:rPr>
              <w:t>1990</w:t>
            </w:r>
          </w:p>
        </w:tc>
        <w:tc>
          <w:tcPr>
            <w:tcW w:w="2268" w:type="dxa"/>
            <w:noWrap/>
            <w:vAlign w:val="center"/>
            <w:hideMark/>
          </w:tcPr>
          <w:p w14:paraId="0DA73C6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2F247F2" w14:textId="77777777" w:rsidTr="008F31FB">
        <w:trPr>
          <w:trHeight w:val="320"/>
        </w:trPr>
        <w:tc>
          <w:tcPr>
            <w:tcW w:w="4535" w:type="dxa"/>
            <w:noWrap/>
            <w:vAlign w:val="center"/>
            <w:hideMark/>
          </w:tcPr>
          <w:p w14:paraId="326D468C" w14:textId="77777777" w:rsidR="008F31FB" w:rsidRPr="008F31FB" w:rsidRDefault="008F31FB" w:rsidP="00AB61A4">
            <w:pPr>
              <w:spacing w:line="360" w:lineRule="auto"/>
              <w:rPr>
                <w:rFonts w:eastAsia="DengXian"/>
                <w:color w:val="000000"/>
              </w:rPr>
            </w:pPr>
            <w:r w:rsidRPr="008F31FB">
              <w:rPr>
                <w:rFonts w:eastAsia="DengXian"/>
                <w:color w:val="000000"/>
              </w:rPr>
              <w:t>A factorial study of fat and fibre changes and sodium restriction on blood pressure of human hypertensive subjects.</w:t>
            </w:r>
          </w:p>
        </w:tc>
        <w:tc>
          <w:tcPr>
            <w:tcW w:w="1134" w:type="dxa"/>
            <w:noWrap/>
            <w:vAlign w:val="center"/>
            <w:hideMark/>
          </w:tcPr>
          <w:p w14:paraId="253841A7" w14:textId="77777777" w:rsidR="008F31FB" w:rsidRPr="008F31FB" w:rsidRDefault="008F31FB" w:rsidP="00AB61A4">
            <w:pPr>
              <w:spacing w:line="360" w:lineRule="auto"/>
              <w:rPr>
                <w:rFonts w:eastAsia="DengXian"/>
                <w:color w:val="000000"/>
              </w:rPr>
            </w:pPr>
            <w:r w:rsidRPr="008F31FB">
              <w:rPr>
                <w:rFonts w:eastAsia="DengXian"/>
                <w:color w:val="000000"/>
              </w:rPr>
              <w:t>1990</w:t>
            </w:r>
          </w:p>
        </w:tc>
        <w:tc>
          <w:tcPr>
            <w:tcW w:w="2268" w:type="dxa"/>
            <w:noWrap/>
            <w:vAlign w:val="center"/>
            <w:hideMark/>
          </w:tcPr>
          <w:p w14:paraId="7A3B6082"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7ABC9C5" w14:textId="77777777" w:rsidTr="008F31FB">
        <w:trPr>
          <w:trHeight w:val="320"/>
        </w:trPr>
        <w:tc>
          <w:tcPr>
            <w:tcW w:w="4535" w:type="dxa"/>
            <w:noWrap/>
            <w:vAlign w:val="center"/>
            <w:hideMark/>
          </w:tcPr>
          <w:p w14:paraId="33BEFE55" w14:textId="77777777" w:rsidR="008F31FB" w:rsidRPr="008F31FB" w:rsidRDefault="008F31FB" w:rsidP="00AB61A4">
            <w:pPr>
              <w:spacing w:line="360" w:lineRule="auto"/>
              <w:rPr>
                <w:rFonts w:eastAsia="DengXian"/>
                <w:color w:val="000000"/>
              </w:rPr>
            </w:pPr>
            <w:r w:rsidRPr="008F31FB">
              <w:rPr>
                <w:rFonts w:eastAsia="DengXian"/>
                <w:color w:val="000000"/>
              </w:rPr>
              <w:t>Natriuresis-pressure relationship in polycystic kidney disease.</w:t>
            </w:r>
          </w:p>
        </w:tc>
        <w:tc>
          <w:tcPr>
            <w:tcW w:w="1134" w:type="dxa"/>
            <w:noWrap/>
            <w:vAlign w:val="center"/>
            <w:hideMark/>
          </w:tcPr>
          <w:p w14:paraId="412FE08A" w14:textId="77777777" w:rsidR="008F31FB" w:rsidRPr="008F31FB" w:rsidRDefault="008F31FB" w:rsidP="00AB61A4">
            <w:pPr>
              <w:spacing w:line="360" w:lineRule="auto"/>
              <w:rPr>
                <w:rFonts w:eastAsia="DengXian"/>
                <w:color w:val="000000"/>
              </w:rPr>
            </w:pPr>
            <w:r w:rsidRPr="008F31FB">
              <w:rPr>
                <w:rFonts w:eastAsia="DengXian"/>
                <w:color w:val="000000"/>
              </w:rPr>
              <w:t>1990</w:t>
            </w:r>
          </w:p>
        </w:tc>
        <w:tc>
          <w:tcPr>
            <w:tcW w:w="2268" w:type="dxa"/>
            <w:noWrap/>
            <w:vAlign w:val="center"/>
            <w:hideMark/>
          </w:tcPr>
          <w:p w14:paraId="64C5E9EB"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3D8F5E18" w14:textId="77777777" w:rsidTr="008F31FB">
        <w:trPr>
          <w:trHeight w:val="320"/>
        </w:trPr>
        <w:tc>
          <w:tcPr>
            <w:tcW w:w="4535" w:type="dxa"/>
            <w:noWrap/>
            <w:vAlign w:val="center"/>
            <w:hideMark/>
          </w:tcPr>
          <w:p w14:paraId="34684589" w14:textId="77777777" w:rsidR="008F31FB" w:rsidRPr="008F31FB" w:rsidRDefault="008F31FB" w:rsidP="00AB61A4">
            <w:pPr>
              <w:spacing w:line="360" w:lineRule="auto"/>
              <w:rPr>
                <w:rFonts w:eastAsia="DengXian"/>
                <w:color w:val="000000"/>
              </w:rPr>
            </w:pPr>
            <w:r w:rsidRPr="008F31FB">
              <w:rPr>
                <w:rFonts w:eastAsia="DengXian"/>
                <w:color w:val="000000"/>
              </w:rPr>
              <w:t>Preliminary report of cardiac study: cross-sectional multicenter study on dietary factors of cardiovascular diseases. CARDIAC Study Group.</w:t>
            </w:r>
          </w:p>
        </w:tc>
        <w:tc>
          <w:tcPr>
            <w:tcW w:w="1134" w:type="dxa"/>
            <w:noWrap/>
            <w:vAlign w:val="center"/>
            <w:hideMark/>
          </w:tcPr>
          <w:p w14:paraId="1F4070BD" w14:textId="77777777" w:rsidR="008F31FB" w:rsidRPr="008F31FB" w:rsidRDefault="008F31FB" w:rsidP="00AB61A4">
            <w:pPr>
              <w:spacing w:line="360" w:lineRule="auto"/>
              <w:rPr>
                <w:rFonts w:eastAsia="DengXian"/>
                <w:color w:val="000000"/>
              </w:rPr>
            </w:pPr>
            <w:r w:rsidRPr="008F31FB">
              <w:rPr>
                <w:rFonts w:eastAsia="DengXian"/>
                <w:color w:val="000000"/>
              </w:rPr>
              <w:t>1989</w:t>
            </w:r>
          </w:p>
        </w:tc>
        <w:tc>
          <w:tcPr>
            <w:tcW w:w="2268" w:type="dxa"/>
            <w:noWrap/>
            <w:vAlign w:val="center"/>
            <w:hideMark/>
          </w:tcPr>
          <w:p w14:paraId="0631BF95"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C42359E" w14:textId="77777777" w:rsidTr="008F31FB">
        <w:trPr>
          <w:trHeight w:val="320"/>
        </w:trPr>
        <w:tc>
          <w:tcPr>
            <w:tcW w:w="4535" w:type="dxa"/>
            <w:noWrap/>
            <w:vAlign w:val="center"/>
            <w:hideMark/>
          </w:tcPr>
          <w:p w14:paraId="40198394"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Facilitation of natriuresis with nifedipine in normal humans.</w:t>
            </w:r>
          </w:p>
        </w:tc>
        <w:tc>
          <w:tcPr>
            <w:tcW w:w="1134" w:type="dxa"/>
            <w:noWrap/>
            <w:vAlign w:val="center"/>
            <w:hideMark/>
          </w:tcPr>
          <w:p w14:paraId="2DD99BD5" w14:textId="77777777" w:rsidR="008F31FB" w:rsidRPr="008F31FB" w:rsidRDefault="008F31FB" w:rsidP="00AB61A4">
            <w:pPr>
              <w:spacing w:line="360" w:lineRule="auto"/>
              <w:rPr>
                <w:rFonts w:eastAsia="DengXian"/>
                <w:color w:val="000000"/>
              </w:rPr>
            </w:pPr>
            <w:r w:rsidRPr="008F31FB">
              <w:rPr>
                <w:rFonts w:eastAsia="DengXian"/>
                <w:color w:val="000000"/>
              </w:rPr>
              <w:t>1988</w:t>
            </w:r>
          </w:p>
        </w:tc>
        <w:tc>
          <w:tcPr>
            <w:tcW w:w="2268" w:type="dxa"/>
            <w:noWrap/>
            <w:vAlign w:val="center"/>
            <w:hideMark/>
          </w:tcPr>
          <w:p w14:paraId="103C16C5"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05BF1990" w14:textId="77777777" w:rsidTr="008F31FB">
        <w:trPr>
          <w:trHeight w:val="320"/>
        </w:trPr>
        <w:tc>
          <w:tcPr>
            <w:tcW w:w="4535" w:type="dxa"/>
            <w:noWrap/>
            <w:vAlign w:val="center"/>
            <w:hideMark/>
          </w:tcPr>
          <w:p w14:paraId="430FD520" w14:textId="77777777" w:rsidR="008F31FB" w:rsidRPr="008F31FB" w:rsidRDefault="008F31FB" w:rsidP="00AB61A4">
            <w:pPr>
              <w:spacing w:line="360" w:lineRule="auto"/>
              <w:rPr>
                <w:rFonts w:eastAsia="DengXian"/>
                <w:color w:val="000000"/>
              </w:rPr>
            </w:pPr>
            <w:r w:rsidRPr="008F31FB">
              <w:rPr>
                <w:rFonts w:eastAsia="DengXian"/>
                <w:color w:val="000000"/>
              </w:rPr>
              <w:t>Effect of potassium supplementation combined with dietary sodium reduction on blood pressure in men taking antihypertensive medication.</w:t>
            </w:r>
          </w:p>
        </w:tc>
        <w:tc>
          <w:tcPr>
            <w:tcW w:w="1134" w:type="dxa"/>
            <w:noWrap/>
            <w:vAlign w:val="center"/>
            <w:hideMark/>
          </w:tcPr>
          <w:p w14:paraId="517007AA" w14:textId="77777777" w:rsidR="008F31FB" w:rsidRPr="008F31FB" w:rsidRDefault="008F31FB" w:rsidP="00AB61A4">
            <w:pPr>
              <w:spacing w:line="360" w:lineRule="auto"/>
              <w:rPr>
                <w:rFonts w:eastAsia="DengXian"/>
                <w:color w:val="000000"/>
              </w:rPr>
            </w:pPr>
            <w:r w:rsidRPr="008F31FB">
              <w:rPr>
                <w:rFonts w:eastAsia="DengXian"/>
                <w:color w:val="000000"/>
              </w:rPr>
              <w:t>1988</w:t>
            </w:r>
          </w:p>
        </w:tc>
        <w:tc>
          <w:tcPr>
            <w:tcW w:w="2268" w:type="dxa"/>
            <w:noWrap/>
            <w:vAlign w:val="center"/>
            <w:hideMark/>
          </w:tcPr>
          <w:p w14:paraId="51E2D2D5"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06235C58" w14:textId="77777777" w:rsidTr="008F31FB">
        <w:trPr>
          <w:trHeight w:val="320"/>
        </w:trPr>
        <w:tc>
          <w:tcPr>
            <w:tcW w:w="4535" w:type="dxa"/>
            <w:noWrap/>
            <w:vAlign w:val="center"/>
            <w:hideMark/>
          </w:tcPr>
          <w:p w14:paraId="0F44572C" w14:textId="77777777" w:rsidR="008F31FB" w:rsidRPr="008F31FB" w:rsidRDefault="008F31FB" w:rsidP="00AB61A4">
            <w:pPr>
              <w:spacing w:line="360" w:lineRule="auto"/>
              <w:rPr>
                <w:rFonts w:eastAsia="DengXian"/>
                <w:color w:val="000000"/>
              </w:rPr>
            </w:pPr>
            <w:r w:rsidRPr="008F31FB">
              <w:rPr>
                <w:rFonts w:eastAsia="DengXian"/>
                <w:color w:val="000000"/>
              </w:rPr>
              <w:t>Predictors of blood pressure change in a series of controlled dietary intervention studies.</w:t>
            </w:r>
          </w:p>
        </w:tc>
        <w:tc>
          <w:tcPr>
            <w:tcW w:w="1134" w:type="dxa"/>
            <w:noWrap/>
            <w:vAlign w:val="center"/>
            <w:hideMark/>
          </w:tcPr>
          <w:p w14:paraId="4BD0ECC1" w14:textId="77777777" w:rsidR="008F31FB" w:rsidRPr="008F31FB" w:rsidRDefault="008F31FB" w:rsidP="00AB61A4">
            <w:pPr>
              <w:spacing w:line="360" w:lineRule="auto"/>
              <w:rPr>
                <w:rFonts w:eastAsia="DengXian"/>
                <w:color w:val="000000"/>
              </w:rPr>
            </w:pPr>
            <w:r w:rsidRPr="008F31FB">
              <w:rPr>
                <w:rFonts w:eastAsia="DengXian"/>
                <w:color w:val="000000"/>
              </w:rPr>
              <w:t>1987</w:t>
            </w:r>
          </w:p>
        </w:tc>
        <w:tc>
          <w:tcPr>
            <w:tcW w:w="2268" w:type="dxa"/>
            <w:noWrap/>
            <w:vAlign w:val="center"/>
            <w:hideMark/>
          </w:tcPr>
          <w:p w14:paraId="291783A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749676BE" w14:textId="77777777" w:rsidTr="008F31FB">
        <w:trPr>
          <w:trHeight w:val="320"/>
        </w:trPr>
        <w:tc>
          <w:tcPr>
            <w:tcW w:w="4535" w:type="dxa"/>
            <w:noWrap/>
            <w:vAlign w:val="center"/>
            <w:hideMark/>
          </w:tcPr>
          <w:p w14:paraId="159A3CF1" w14:textId="77777777" w:rsidR="008F31FB" w:rsidRPr="008F31FB" w:rsidRDefault="008F31FB" w:rsidP="00AB61A4">
            <w:pPr>
              <w:spacing w:line="360" w:lineRule="auto"/>
              <w:rPr>
                <w:rFonts w:eastAsia="DengXian"/>
                <w:color w:val="000000"/>
              </w:rPr>
            </w:pPr>
            <w:r w:rsidRPr="008F31FB">
              <w:rPr>
                <w:rFonts w:eastAsia="DengXian"/>
                <w:color w:val="000000"/>
              </w:rPr>
              <w:t>Effect of dietary sodium restriction on taste responses to sodium chloride: a longitudinal study.</w:t>
            </w:r>
          </w:p>
        </w:tc>
        <w:tc>
          <w:tcPr>
            <w:tcW w:w="1134" w:type="dxa"/>
            <w:noWrap/>
            <w:vAlign w:val="center"/>
            <w:hideMark/>
          </w:tcPr>
          <w:p w14:paraId="59209A07" w14:textId="77777777" w:rsidR="008F31FB" w:rsidRPr="008F31FB" w:rsidRDefault="008F31FB" w:rsidP="00AB61A4">
            <w:pPr>
              <w:spacing w:line="360" w:lineRule="auto"/>
              <w:rPr>
                <w:rFonts w:eastAsia="DengXian"/>
                <w:color w:val="000000"/>
              </w:rPr>
            </w:pPr>
            <w:r w:rsidRPr="008F31FB">
              <w:rPr>
                <w:rFonts w:eastAsia="DengXian"/>
                <w:color w:val="000000"/>
              </w:rPr>
              <w:t>1986</w:t>
            </w:r>
          </w:p>
        </w:tc>
        <w:tc>
          <w:tcPr>
            <w:tcW w:w="2268" w:type="dxa"/>
            <w:noWrap/>
            <w:vAlign w:val="center"/>
            <w:hideMark/>
          </w:tcPr>
          <w:p w14:paraId="52C1EC63"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4CFD07C0" w14:textId="77777777" w:rsidTr="008F31FB">
        <w:trPr>
          <w:trHeight w:val="320"/>
        </w:trPr>
        <w:tc>
          <w:tcPr>
            <w:tcW w:w="4535" w:type="dxa"/>
            <w:noWrap/>
            <w:vAlign w:val="center"/>
            <w:hideMark/>
          </w:tcPr>
          <w:p w14:paraId="4B563CA0" w14:textId="77777777" w:rsidR="008F31FB" w:rsidRPr="008F31FB" w:rsidRDefault="008F31FB" w:rsidP="00AB61A4">
            <w:pPr>
              <w:spacing w:line="360" w:lineRule="auto"/>
              <w:rPr>
                <w:rFonts w:eastAsia="DengXian"/>
                <w:color w:val="000000"/>
              </w:rPr>
            </w:pPr>
            <w:r w:rsidRPr="008F31FB">
              <w:rPr>
                <w:rFonts w:eastAsia="DengXian"/>
                <w:color w:val="000000"/>
              </w:rPr>
              <w:t>Is the renal kallikrein system relevant to sodium sensitivity in patients with essential hypertension.</w:t>
            </w:r>
          </w:p>
        </w:tc>
        <w:tc>
          <w:tcPr>
            <w:tcW w:w="1134" w:type="dxa"/>
            <w:noWrap/>
            <w:vAlign w:val="center"/>
            <w:hideMark/>
          </w:tcPr>
          <w:p w14:paraId="4660ABA7" w14:textId="77777777" w:rsidR="008F31FB" w:rsidRPr="008F31FB" w:rsidRDefault="008F31FB" w:rsidP="00AB61A4">
            <w:pPr>
              <w:spacing w:line="360" w:lineRule="auto"/>
              <w:rPr>
                <w:rFonts w:eastAsia="DengXian"/>
                <w:color w:val="000000"/>
              </w:rPr>
            </w:pPr>
            <w:r w:rsidRPr="008F31FB">
              <w:rPr>
                <w:rFonts w:eastAsia="DengXian"/>
                <w:color w:val="000000"/>
              </w:rPr>
              <w:t>1985</w:t>
            </w:r>
          </w:p>
        </w:tc>
        <w:tc>
          <w:tcPr>
            <w:tcW w:w="2268" w:type="dxa"/>
            <w:noWrap/>
            <w:vAlign w:val="center"/>
            <w:hideMark/>
          </w:tcPr>
          <w:p w14:paraId="05A6043B"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7D336F75" w14:textId="77777777" w:rsidTr="008F31FB">
        <w:trPr>
          <w:trHeight w:val="320"/>
        </w:trPr>
        <w:tc>
          <w:tcPr>
            <w:tcW w:w="4535" w:type="dxa"/>
            <w:noWrap/>
            <w:vAlign w:val="center"/>
            <w:hideMark/>
          </w:tcPr>
          <w:p w14:paraId="221F330F" w14:textId="77777777" w:rsidR="008F31FB" w:rsidRPr="008F31FB" w:rsidRDefault="008F31FB" w:rsidP="00AB61A4">
            <w:pPr>
              <w:spacing w:line="360" w:lineRule="auto"/>
              <w:rPr>
                <w:rFonts w:eastAsia="DengXian"/>
                <w:color w:val="000000"/>
              </w:rPr>
            </w:pPr>
            <w:r w:rsidRPr="008F31FB">
              <w:rPr>
                <w:rFonts w:eastAsia="DengXian"/>
                <w:color w:val="000000"/>
              </w:rPr>
              <w:t>The efficacy of quantitative and qualitative chloride titrators in the estimation of human salt intake.</w:t>
            </w:r>
          </w:p>
        </w:tc>
        <w:tc>
          <w:tcPr>
            <w:tcW w:w="1134" w:type="dxa"/>
            <w:noWrap/>
            <w:vAlign w:val="center"/>
            <w:hideMark/>
          </w:tcPr>
          <w:p w14:paraId="21F685EA" w14:textId="77777777" w:rsidR="008F31FB" w:rsidRPr="008F31FB" w:rsidRDefault="008F31FB" w:rsidP="00AB61A4">
            <w:pPr>
              <w:spacing w:line="360" w:lineRule="auto"/>
              <w:rPr>
                <w:rFonts w:eastAsia="DengXian"/>
                <w:color w:val="000000"/>
              </w:rPr>
            </w:pPr>
            <w:r w:rsidRPr="008F31FB">
              <w:rPr>
                <w:rFonts w:eastAsia="DengXian"/>
                <w:color w:val="000000"/>
              </w:rPr>
              <w:t>1985</w:t>
            </w:r>
          </w:p>
        </w:tc>
        <w:tc>
          <w:tcPr>
            <w:tcW w:w="2268" w:type="dxa"/>
            <w:noWrap/>
            <w:vAlign w:val="center"/>
            <w:hideMark/>
          </w:tcPr>
          <w:p w14:paraId="097C3615"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610E991A" w14:textId="77777777" w:rsidTr="008F31FB">
        <w:trPr>
          <w:trHeight w:val="320"/>
        </w:trPr>
        <w:tc>
          <w:tcPr>
            <w:tcW w:w="4535" w:type="dxa"/>
            <w:noWrap/>
            <w:vAlign w:val="center"/>
            <w:hideMark/>
          </w:tcPr>
          <w:p w14:paraId="3947E5AC" w14:textId="77777777" w:rsidR="008F31FB" w:rsidRPr="008F31FB" w:rsidRDefault="008F31FB" w:rsidP="00AB61A4">
            <w:pPr>
              <w:spacing w:line="360" w:lineRule="auto"/>
              <w:rPr>
                <w:rFonts w:eastAsia="DengXian"/>
                <w:color w:val="000000"/>
              </w:rPr>
            </w:pPr>
            <w:r w:rsidRPr="008F31FB">
              <w:rPr>
                <w:rFonts w:eastAsia="DengXian"/>
                <w:color w:val="000000"/>
              </w:rPr>
              <w:t>Cognitive aspects of health surveys for public information and policy.</w:t>
            </w:r>
          </w:p>
        </w:tc>
        <w:tc>
          <w:tcPr>
            <w:tcW w:w="1134" w:type="dxa"/>
            <w:noWrap/>
            <w:vAlign w:val="center"/>
            <w:hideMark/>
          </w:tcPr>
          <w:p w14:paraId="1642CF3A" w14:textId="77777777" w:rsidR="008F31FB" w:rsidRPr="008F31FB" w:rsidRDefault="008F31FB" w:rsidP="00AB61A4">
            <w:pPr>
              <w:spacing w:line="360" w:lineRule="auto"/>
              <w:rPr>
                <w:rFonts w:eastAsia="DengXian"/>
                <w:color w:val="000000"/>
              </w:rPr>
            </w:pPr>
            <w:r w:rsidRPr="008F31FB">
              <w:rPr>
                <w:rFonts w:eastAsia="DengXian"/>
                <w:color w:val="000000"/>
              </w:rPr>
              <w:t>1985</w:t>
            </w:r>
          </w:p>
        </w:tc>
        <w:tc>
          <w:tcPr>
            <w:tcW w:w="2268" w:type="dxa"/>
            <w:noWrap/>
            <w:vAlign w:val="center"/>
            <w:hideMark/>
          </w:tcPr>
          <w:p w14:paraId="1C14B273"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1046E508" w14:textId="77777777" w:rsidTr="008F31FB">
        <w:trPr>
          <w:trHeight w:val="320"/>
        </w:trPr>
        <w:tc>
          <w:tcPr>
            <w:tcW w:w="4535" w:type="dxa"/>
            <w:noWrap/>
            <w:vAlign w:val="center"/>
            <w:hideMark/>
          </w:tcPr>
          <w:p w14:paraId="0814648C" w14:textId="77777777" w:rsidR="008F31FB" w:rsidRPr="008F31FB" w:rsidRDefault="008F31FB" w:rsidP="00AB61A4">
            <w:pPr>
              <w:spacing w:line="360" w:lineRule="auto"/>
              <w:rPr>
                <w:rFonts w:eastAsia="DengXian"/>
                <w:color w:val="000000"/>
              </w:rPr>
            </w:pPr>
            <w:r w:rsidRPr="008F31FB">
              <w:rPr>
                <w:rFonts w:eastAsia="DengXian"/>
                <w:color w:val="000000"/>
              </w:rPr>
              <w:t>Low-sodium, high-potassium diet: feasibility and acceptability in a normotensive population.</w:t>
            </w:r>
          </w:p>
        </w:tc>
        <w:tc>
          <w:tcPr>
            <w:tcW w:w="1134" w:type="dxa"/>
            <w:noWrap/>
            <w:vAlign w:val="center"/>
            <w:hideMark/>
          </w:tcPr>
          <w:p w14:paraId="11620A21" w14:textId="77777777" w:rsidR="008F31FB" w:rsidRPr="008F31FB" w:rsidRDefault="008F31FB" w:rsidP="00AB61A4">
            <w:pPr>
              <w:spacing w:line="360" w:lineRule="auto"/>
              <w:rPr>
                <w:rFonts w:eastAsia="DengXian"/>
                <w:color w:val="000000"/>
              </w:rPr>
            </w:pPr>
            <w:r w:rsidRPr="008F31FB">
              <w:rPr>
                <w:rFonts w:eastAsia="DengXian"/>
                <w:color w:val="000000"/>
              </w:rPr>
              <w:t>1984</w:t>
            </w:r>
          </w:p>
        </w:tc>
        <w:tc>
          <w:tcPr>
            <w:tcW w:w="2268" w:type="dxa"/>
            <w:noWrap/>
            <w:vAlign w:val="center"/>
            <w:hideMark/>
          </w:tcPr>
          <w:p w14:paraId="792B6176"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42B382FC" w14:textId="77777777" w:rsidTr="008F31FB">
        <w:trPr>
          <w:trHeight w:val="320"/>
        </w:trPr>
        <w:tc>
          <w:tcPr>
            <w:tcW w:w="4535" w:type="dxa"/>
            <w:noWrap/>
            <w:vAlign w:val="center"/>
            <w:hideMark/>
          </w:tcPr>
          <w:p w14:paraId="0ACD0C72" w14:textId="77777777" w:rsidR="008F31FB" w:rsidRPr="008F31FB" w:rsidRDefault="008F31FB" w:rsidP="00AB61A4">
            <w:pPr>
              <w:spacing w:line="360" w:lineRule="auto"/>
              <w:rPr>
                <w:rFonts w:eastAsia="DengXian"/>
                <w:color w:val="000000"/>
              </w:rPr>
            </w:pPr>
            <w:r w:rsidRPr="008F31FB">
              <w:rPr>
                <w:rFonts w:eastAsia="DengXian"/>
                <w:color w:val="000000"/>
              </w:rPr>
              <w:t>Safety and effects of potassium- and magnesium-containing low sodium salt mixtures.</w:t>
            </w:r>
          </w:p>
        </w:tc>
        <w:tc>
          <w:tcPr>
            <w:tcW w:w="1134" w:type="dxa"/>
            <w:noWrap/>
            <w:vAlign w:val="center"/>
            <w:hideMark/>
          </w:tcPr>
          <w:p w14:paraId="77632F27" w14:textId="77777777" w:rsidR="008F31FB" w:rsidRPr="008F31FB" w:rsidRDefault="008F31FB" w:rsidP="00AB61A4">
            <w:pPr>
              <w:spacing w:line="360" w:lineRule="auto"/>
              <w:rPr>
                <w:rFonts w:eastAsia="DengXian"/>
                <w:color w:val="000000"/>
              </w:rPr>
            </w:pPr>
            <w:r w:rsidRPr="008F31FB">
              <w:rPr>
                <w:rFonts w:eastAsia="DengXian"/>
                <w:color w:val="000000"/>
              </w:rPr>
              <w:t>1984</w:t>
            </w:r>
          </w:p>
        </w:tc>
        <w:tc>
          <w:tcPr>
            <w:tcW w:w="2268" w:type="dxa"/>
            <w:noWrap/>
            <w:vAlign w:val="center"/>
            <w:hideMark/>
          </w:tcPr>
          <w:p w14:paraId="3314DEC9" w14:textId="77777777" w:rsidR="008F31FB" w:rsidRPr="008F31FB" w:rsidRDefault="008F31FB" w:rsidP="00AB61A4">
            <w:pPr>
              <w:spacing w:line="360" w:lineRule="auto"/>
              <w:rPr>
                <w:rFonts w:eastAsia="DengXian"/>
                <w:color w:val="000000"/>
              </w:rPr>
            </w:pPr>
            <w:r w:rsidRPr="008F31FB">
              <w:rPr>
                <w:rFonts w:eastAsia="DengXian"/>
                <w:color w:val="000000"/>
              </w:rPr>
              <w:t>Irrelevant designs</w:t>
            </w:r>
          </w:p>
        </w:tc>
      </w:tr>
      <w:tr w:rsidR="004C083E" w:rsidRPr="008F31FB" w14:paraId="21AD6EEA" w14:textId="77777777" w:rsidTr="008F31FB">
        <w:trPr>
          <w:trHeight w:val="320"/>
        </w:trPr>
        <w:tc>
          <w:tcPr>
            <w:tcW w:w="4535" w:type="dxa"/>
            <w:noWrap/>
            <w:vAlign w:val="center"/>
            <w:hideMark/>
          </w:tcPr>
          <w:p w14:paraId="7BB4DFB3" w14:textId="77777777" w:rsidR="008F31FB" w:rsidRPr="008F31FB" w:rsidRDefault="008F31FB" w:rsidP="00AB61A4">
            <w:pPr>
              <w:spacing w:line="360" w:lineRule="auto"/>
              <w:rPr>
                <w:rFonts w:eastAsia="DengXian"/>
                <w:color w:val="000000"/>
              </w:rPr>
            </w:pPr>
            <w:r w:rsidRPr="008F31FB">
              <w:rPr>
                <w:rFonts w:eastAsia="DengXian"/>
                <w:color w:val="000000"/>
              </w:rPr>
              <w:lastRenderedPageBreak/>
              <w:t>Adrenergic activity and peripheral hemodynamics in relation to sodium sensitivity in patients with essential hypertension.</w:t>
            </w:r>
          </w:p>
        </w:tc>
        <w:tc>
          <w:tcPr>
            <w:tcW w:w="1134" w:type="dxa"/>
            <w:noWrap/>
            <w:vAlign w:val="center"/>
            <w:hideMark/>
          </w:tcPr>
          <w:p w14:paraId="64F6D448" w14:textId="77777777" w:rsidR="008F31FB" w:rsidRPr="008F31FB" w:rsidRDefault="008F31FB" w:rsidP="00AB61A4">
            <w:pPr>
              <w:spacing w:line="360" w:lineRule="auto"/>
              <w:rPr>
                <w:rFonts w:eastAsia="DengXian"/>
                <w:color w:val="000000"/>
              </w:rPr>
            </w:pPr>
            <w:r w:rsidRPr="008F31FB">
              <w:rPr>
                <w:rFonts w:eastAsia="DengXian"/>
                <w:color w:val="000000"/>
              </w:rPr>
              <w:t>1984</w:t>
            </w:r>
          </w:p>
        </w:tc>
        <w:tc>
          <w:tcPr>
            <w:tcW w:w="2268" w:type="dxa"/>
            <w:noWrap/>
            <w:vAlign w:val="center"/>
            <w:hideMark/>
          </w:tcPr>
          <w:p w14:paraId="6C3AAA8A"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2EEFA2E6" w14:textId="77777777" w:rsidTr="008F31FB">
        <w:trPr>
          <w:trHeight w:val="320"/>
        </w:trPr>
        <w:tc>
          <w:tcPr>
            <w:tcW w:w="4535" w:type="dxa"/>
            <w:noWrap/>
            <w:vAlign w:val="center"/>
            <w:hideMark/>
          </w:tcPr>
          <w:p w14:paraId="1584C760" w14:textId="77777777" w:rsidR="008F31FB" w:rsidRPr="008F31FB" w:rsidRDefault="008F31FB" w:rsidP="00AB61A4">
            <w:pPr>
              <w:spacing w:line="360" w:lineRule="auto"/>
              <w:rPr>
                <w:rFonts w:eastAsia="DengXian"/>
                <w:color w:val="000000"/>
              </w:rPr>
            </w:pPr>
            <w:r w:rsidRPr="008F31FB">
              <w:rPr>
                <w:rFonts w:eastAsia="DengXian"/>
                <w:color w:val="000000"/>
              </w:rPr>
              <w:t>Double-blind randomised crossover trial of moderate sodium restriction in essential hypertension.</w:t>
            </w:r>
          </w:p>
        </w:tc>
        <w:tc>
          <w:tcPr>
            <w:tcW w:w="1134" w:type="dxa"/>
            <w:noWrap/>
            <w:vAlign w:val="center"/>
            <w:hideMark/>
          </w:tcPr>
          <w:p w14:paraId="21E1627A" w14:textId="77777777" w:rsidR="008F31FB" w:rsidRPr="008F31FB" w:rsidRDefault="008F31FB" w:rsidP="00AB61A4">
            <w:pPr>
              <w:spacing w:line="360" w:lineRule="auto"/>
              <w:rPr>
                <w:rFonts w:eastAsia="DengXian"/>
                <w:color w:val="000000"/>
              </w:rPr>
            </w:pPr>
            <w:r w:rsidRPr="008F31FB">
              <w:rPr>
                <w:rFonts w:eastAsia="DengXian"/>
                <w:color w:val="000000"/>
              </w:rPr>
              <w:t>1982</w:t>
            </w:r>
          </w:p>
        </w:tc>
        <w:tc>
          <w:tcPr>
            <w:tcW w:w="2268" w:type="dxa"/>
            <w:noWrap/>
            <w:vAlign w:val="center"/>
            <w:hideMark/>
          </w:tcPr>
          <w:p w14:paraId="5E8BA96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1BE7EC5B" w14:textId="77777777" w:rsidTr="008F31FB">
        <w:trPr>
          <w:trHeight w:val="320"/>
        </w:trPr>
        <w:tc>
          <w:tcPr>
            <w:tcW w:w="4535" w:type="dxa"/>
            <w:noWrap/>
            <w:vAlign w:val="center"/>
            <w:hideMark/>
          </w:tcPr>
          <w:p w14:paraId="3A492566" w14:textId="77777777" w:rsidR="008F31FB" w:rsidRPr="008F31FB" w:rsidRDefault="008F31FB" w:rsidP="00AB61A4">
            <w:pPr>
              <w:spacing w:line="360" w:lineRule="auto"/>
              <w:rPr>
                <w:rFonts w:eastAsia="DengXian"/>
                <w:color w:val="000000"/>
              </w:rPr>
            </w:pPr>
            <w:r w:rsidRPr="008F31FB">
              <w:rPr>
                <w:rFonts w:eastAsia="DengXian"/>
                <w:color w:val="000000"/>
              </w:rPr>
              <w:t>The influence of elevated levels of sodium in drinking water on elementary and high school students in Massachusetts.</w:t>
            </w:r>
          </w:p>
        </w:tc>
        <w:tc>
          <w:tcPr>
            <w:tcW w:w="1134" w:type="dxa"/>
            <w:noWrap/>
            <w:vAlign w:val="center"/>
            <w:hideMark/>
          </w:tcPr>
          <w:p w14:paraId="232C9DB6" w14:textId="77777777" w:rsidR="008F31FB" w:rsidRPr="008F31FB" w:rsidRDefault="008F31FB" w:rsidP="00AB61A4">
            <w:pPr>
              <w:spacing w:line="360" w:lineRule="auto"/>
              <w:rPr>
                <w:rFonts w:eastAsia="DengXian"/>
                <w:color w:val="000000"/>
              </w:rPr>
            </w:pPr>
            <w:r w:rsidRPr="008F31FB">
              <w:rPr>
                <w:rFonts w:eastAsia="DengXian"/>
                <w:color w:val="000000"/>
              </w:rPr>
              <w:t>1981</w:t>
            </w:r>
          </w:p>
        </w:tc>
        <w:tc>
          <w:tcPr>
            <w:tcW w:w="2268" w:type="dxa"/>
            <w:noWrap/>
            <w:vAlign w:val="center"/>
            <w:hideMark/>
          </w:tcPr>
          <w:p w14:paraId="01AB18ED"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4C083E" w:rsidRPr="008F31FB" w14:paraId="5F5FDA46" w14:textId="77777777" w:rsidTr="008F31FB">
        <w:trPr>
          <w:trHeight w:val="320"/>
        </w:trPr>
        <w:tc>
          <w:tcPr>
            <w:tcW w:w="4535" w:type="dxa"/>
            <w:noWrap/>
            <w:vAlign w:val="center"/>
            <w:hideMark/>
          </w:tcPr>
          <w:p w14:paraId="2B6311A4" w14:textId="77777777" w:rsidR="008F31FB" w:rsidRPr="008F31FB" w:rsidRDefault="008F31FB" w:rsidP="00AB61A4">
            <w:pPr>
              <w:spacing w:line="360" w:lineRule="auto"/>
              <w:rPr>
                <w:rFonts w:eastAsia="DengXian"/>
                <w:color w:val="000000"/>
              </w:rPr>
            </w:pPr>
            <w:r w:rsidRPr="008F31FB">
              <w:rPr>
                <w:rFonts w:eastAsia="DengXian"/>
                <w:color w:val="000000"/>
              </w:rPr>
              <w:t>The renin-aldosterone system and thiazide-induced depletion of total body potassium in essential hypertension.</w:t>
            </w:r>
          </w:p>
        </w:tc>
        <w:tc>
          <w:tcPr>
            <w:tcW w:w="1134" w:type="dxa"/>
            <w:noWrap/>
            <w:vAlign w:val="center"/>
            <w:hideMark/>
          </w:tcPr>
          <w:p w14:paraId="12A87C00" w14:textId="77777777" w:rsidR="008F31FB" w:rsidRPr="008F31FB" w:rsidRDefault="008F31FB" w:rsidP="00AB61A4">
            <w:pPr>
              <w:spacing w:line="360" w:lineRule="auto"/>
              <w:rPr>
                <w:rFonts w:eastAsia="DengXian"/>
                <w:color w:val="000000"/>
              </w:rPr>
            </w:pPr>
            <w:r w:rsidRPr="008F31FB">
              <w:rPr>
                <w:rFonts w:eastAsia="DengXian"/>
                <w:color w:val="000000"/>
              </w:rPr>
              <w:t>1978</w:t>
            </w:r>
          </w:p>
        </w:tc>
        <w:tc>
          <w:tcPr>
            <w:tcW w:w="2268" w:type="dxa"/>
            <w:noWrap/>
            <w:vAlign w:val="center"/>
            <w:hideMark/>
          </w:tcPr>
          <w:p w14:paraId="64A9C10C"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r w:rsidR="008F31FB" w:rsidRPr="000D0DBA" w14:paraId="46722DDB" w14:textId="77777777" w:rsidTr="008F31FB">
        <w:trPr>
          <w:trHeight w:val="320"/>
        </w:trPr>
        <w:tc>
          <w:tcPr>
            <w:tcW w:w="4535" w:type="dxa"/>
            <w:noWrap/>
            <w:vAlign w:val="center"/>
            <w:hideMark/>
          </w:tcPr>
          <w:p w14:paraId="7B45A55D" w14:textId="77777777" w:rsidR="008F31FB" w:rsidRPr="008F31FB" w:rsidRDefault="008F31FB" w:rsidP="00AB61A4">
            <w:pPr>
              <w:spacing w:line="360" w:lineRule="auto"/>
              <w:rPr>
                <w:rFonts w:eastAsia="DengXian"/>
                <w:color w:val="000000"/>
              </w:rPr>
            </w:pPr>
            <w:r w:rsidRPr="008F31FB">
              <w:rPr>
                <w:rFonts w:eastAsia="DengXian"/>
                <w:color w:val="000000"/>
              </w:rPr>
              <w:t>Urine electrolyte response to 18-hydroxy-11-deoxycorticosterone in normal man.</w:t>
            </w:r>
          </w:p>
        </w:tc>
        <w:tc>
          <w:tcPr>
            <w:tcW w:w="1134" w:type="dxa"/>
            <w:noWrap/>
            <w:vAlign w:val="center"/>
            <w:hideMark/>
          </w:tcPr>
          <w:p w14:paraId="39E5DD3E" w14:textId="77777777" w:rsidR="008F31FB" w:rsidRPr="008F31FB" w:rsidRDefault="008F31FB" w:rsidP="00AB61A4">
            <w:pPr>
              <w:spacing w:line="360" w:lineRule="auto"/>
              <w:rPr>
                <w:rFonts w:eastAsia="DengXian"/>
                <w:color w:val="000000"/>
              </w:rPr>
            </w:pPr>
            <w:r w:rsidRPr="008F31FB">
              <w:rPr>
                <w:rFonts w:eastAsia="DengXian"/>
                <w:color w:val="000000"/>
              </w:rPr>
              <w:t>1977</w:t>
            </w:r>
          </w:p>
        </w:tc>
        <w:tc>
          <w:tcPr>
            <w:tcW w:w="2268" w:type="dxa"/>
            <w:noWrap/>
            <w:vAlign w:val="center"/>
            <w:hideMark/>
          </w:tcPr>
          <w:p w14:paraId="42656220" w14:textId="77777777" w:rsidR="008F31FB" w:rsidRPr="008F31FB" w:rsidRDefault="008F31FB" w:rsidP="00AB61A4">
            <w:pPr>
              <w:spacing w:line="360" w:lineRule="auto"/>
              <w:rPr>
                <w:rFonts w:eastAsia="DengXian"/>
                <w:color w:val="000000"/>
              </w:rPr>
            </w:pPr>
            <w:r w:rsidRPr="008F31FB">
              <w:rPr>
                <w:rFonts w:eastAsia="DengXian"/>
                <w:color w:val="000000"/>
              </w:rPr>
              <w:t>Irrelevant interventions</w:t>
            </w:r>
          </w:p>
        </w:tc>
      </w:tr>
    </w:tbl>
    <w:p w14:paraId="363739ED" w14:textId="77777777" w:rsidR="007377E6" w:rsidRDefault="007377E6">
      <w:pPr>
        <w:rPr>
          <w:rFonts w:eastAsia="黑体"/>
          <w:color w:val="0A0905"/>
          <w:sz w:val="20"/>
          <w:szCs w:val="20"/>
        </w:rPr>
      </w:pPr>
    </w:p>
    <w:p w14:paraId="51491950" w14:textId="3382A66C" w:rsidR="007377E6" w:rsidRDefault="007377E6">
      <w:pPr>
        <w:rPr>
          <w:rFonts w:eastAsia="黑体"/>
          <w:color w:val="0A0905"/>
          <w:sz w:val="20"/>
          <w:szCs w:val="20"/>
        </w:rPr>
      </w:pPr>
      <w:r>
        <w:rPr>
          <w:rFonts w:eastAsia="黑体"/>
          <w:color w:val="0A0905"/>
          <w:sz w:val="20"/>
          <w:szCs w:val="20"/>
        </w:rPr>
        <w:br w:type="page"/>
      </w:r>
    </w:p>
    <w:p w14:paraId="20EE6DFB" w14:textId="193461B1" w:rsidR="00E05B08" w:rsidRPr="00A002D0" w:rsidRDefault="003D3925" w:rsidP="001E0D6D">
      <w:pPr>
        <w:pStyle w:val="2"/>
        <w:spacing w:line="360" w:lineRule="auto"/>
        <w:rPr>
          <w:rFonts w:ascii="Times New Roman" w:hAnsi="Times New Roman" w:cs="Times New Roman"/>
          <w:sz w:val="28"/>
          <w:szCs w:val="28"/>
        </w:rPr>
      </w:pPr>
      <w:bookmarkStart w:id="14" w:name="_Toc211461918"/>
      <w:r>
        <w:rPr>
          <w:rFonts w:ascii="Times New Roman" w:eastAsia="黑体" w:hAnsi="Times New Roman" w:cs="Times New Roman" w:hint="eastAsia"/>
          <w:sz w:val="28"/>
          <w:szCs w:val="28"/>
        </w:rPr>
        <w:lastRenderedPageBreak/>
        <w:t>Table S3</w:t>
      </w:r>
      <w:r w:rsidR="00E05B08" w:rsidRPr="00A002D0">
        <w:rPr>
          <w:rFonts w:ascii="Times New Roman" w:hAnsi="Times New Roman" w:cs="Times New Roman"/>
          <w:sz w:val="28"/>
          <w:szCs w:val="28"/>
        </w:rPr>
        <w:t xml:space="preserve"> </w:t>
      </w:r>
      <w:r w:rsidR="00671CFD" w:rsidRPr="00A002D0">
        <w:rPr>
          <w:rFonts w:ascii="Times New Roman" w:hAnsi="Times New Roman" w:cs="Times New Roman"/>
          <w:sz w:val="28"/>
          <w:szCs w:val="28"/>
        </w:rPr>
        <w:t xml:space="preserve">Data </w:t>
      </w:r>
      <w:r w:rsidR="00D54FA2" w:rsidRPr="00A002D0">
        <w:rPr>
          <w:rFonts w:ascii="Times New Roman" w:hAnsi="Times New Roman" w:cs="Times New Roman"/>
          <w:sz w:val="28"/>
          <w:szCs w:val="28"/>
        </w:rPr>
        <w:t>collection</w:t>
      </w:r>
      <w:bookmarkEnd w:id="14"/>
    </w:p>
    <w:p w14:paraId="76785DD7" w14:textId="77777777" w:rsidR="00D54FA2" w:rsidRPr="00A002D0" w:rsidRDefault="00671CFD" w:rsidP="001E0D6D">
      <w:pPr>
        <w:spacing w:line="360" w:lineRule="auto"/>
        <w:rPr>
          <w:rFonts w:eastAsia="黑体"/>
        </w:rPr>
      </w:pPr>
      <w:r w:rsidRPr="00A002D0">
        <w:rPr>
          <w:rFonts w:eastAsia="黑体"/>
        </w:rPr>
        <w:t>Following calibration, two reviewers independently extracted</w:t>
      </w:r>
      <w:r w:rsidR="00D54FA2" w:rsidRPr="00A002D0">
        <w:rPr>
          <w:rFonts w:eastAsia="黑体"/>
        </w:rPr>
        <w:t>:</w:t>
      </w:r>
    </w:p>
    <w:tbl>
      <w:tblPr>
        <w:tblStyle w:val="12"/>
        <w:tblW w:w="0" w:type="auto"/>
        <w:tblLook w:val="04A0" w:firstRow="1" w:lastRow="0" w:firstColumn="1" w:lastColumn="0" w:noHBand="0" w:noVBand="1"/>
      </w:tblPr>
      <w:tblGrid>
        <w:gridCol w:w="3356"/>
        <w:gridCol w:w="4934"/>
      </w:tblGrid>
      <w:tr w:rsidR="003A4A55" w:rsidRPr="003A4A55" w14:paraId="2477DF64" w14:textId="77777777" w:rsidTr="003A4A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730210" w14:textId="77777777" w:rsidR="003A4A55" w:rsidRPr="003A4A55" w:rsidRDefault="003A4A55" w:rsidP="003A4A55">
            <w:pPr>
              <w:rPr>
                <w:rFonts w:eastAsia="宋体"/>
                <w:color w:val="232425"/>
              </w:rPr>
            </w:pPr>
            <w:r w:rsidRPr="003A4A55">
              <w:rPr>
                <w:rFonts w:eastAsia="宋体"/>
                <w:color w:val="232425"/>
              </w:rPr>
              <w:t>Category</w:t>
            </w:r>
          </w:p>
        </w:tc>
        <w:tc>
          <w:tcPr>
            <w:tcW w:w="0" w:type="auto"/>
            <w:hideMark/>
          </w:tcPr>
          <w:p w14:paraId="1022DCA8" w14:textId="77777777" w:rsidR="003A4A55" w:rsidRPr="003A4A55" w:rsidRDefault="003A4A55" w:rsidP="003A4A55">
            <w:pPr>
              <w:cnfStyle w:val="100000000000" w:firstRow="1" w:lastRow="0" w:firstColumn="0" w:lastColumn="0" w:oddVBand="0" w:evenVBand="0" w:oddHBand="0" w:evenHBand="0" w:firstRowFirstColumn="0" w:firstRowLastColumn="0" w:lastRowFirstColumn="0" w:lastRowLastColumn="0"/>
              <w:rPr>
                <w:rFonts w:eastAsia="宋体"/>
                <w:color w:val="232425"/>
              </w:rPr>
            </w:pPr>
            <w:r w:rsidRPr="003A4A55">
              <w:rPr>
                <w:rFonts w:eastAsia="宋体"/>
                <w:color w:val="232425"/>
              </w:rPr>
              <w:t>Specific Items</w:t>
            </w:r>
          </w:p>
        </w:tc>
      </w:tr>
      <w:tr w:rsidR="003A4A55" w:rsidRPr="003A4A55" w14:paraId="0A8EBD3D" w14:textId="77777777" w:rsidTr="003A4A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C1C84F" w14:textId="77777777" w:rsidR="003A4A55" w:rsidRPr="003A4A55" w:rsidRDefault="003A4A55" w:rsidP="003A4A55">
            <w:pPr>
              <w:rPr>
                <w:rFonts w:eastAsia="宋体"/>
                <w:color w:val="232425"/>
              </w:rPr>
            </w:pPr>
            <w:r w:rsidRPr="003A4A55">
              <w:rPr>
                <w:rFonts w:eastAsia="宋体"/>
                <w:color w:val="232425"/>
              </w:rPr>
              <w:t>Study Characteristics</w:t>
            </w:r>
          </w:p>
        </w:tc>
        <w:tc>
          <w:tcPr>
            <w:tcW w:w="0" w:type="auto"/>
            <w:hideMark/>
          </w:tcPr>
          <w:p w14:paraId="162E5565" w14:textId="77777777" w:rsidR="003A4A55" w:rsidRPr="003A4A55" w:rsidRDefault="003A4A55" w:rsidP="003A4A55">
            <w:pPr>
              <w:cnfStyle w:val="000000100000" w:firstRow="0" w:lastRow="0" w:firstColumn="0" w:lastColumn="0" w:oddVBand="0" w:evenVBand="0" w:oddHBand="1" w:evenHBand="0" w:firstRowFirstColumn="0" w:firstRowLastColumn="0" w:lastRowFirstColumn="0" w:lastRowLastColumn="0"/>
              <w:rPr>
                <w:rFonts w:eastAsia="宋体"/>
                <w:color w:val="232425"/>
              </w:rPr>
            </w:pPr>
            <w:r w:rsidRPr="003A4A55">
              <w:rPr>
                <w:rFonts w:eastAsia="宋体"/>
                <w:color w:val="232425"/>
              </w:rPr>
              <w:t>• First author</w:t>
            </w:r>
            <w:r w:rsidRPr="003A4A55">
              <w:rPr>
                <w:rFonts w:eastAsia="宋体"/>
                <w:color w:val="232425"/>
              </w:rPr>
              <w:br/>
              <w:t>• Year of publication</w:t>
            </w:r>
            <w:r w:rsidRPr="003A4A55">
              <w:rPr>
                <w:rFonts w:eastAsia="宋体"/>
                <w:color w:val="232425"/>
              </w:rPr>
              <w:br/>
              <w:t>• Study design</w:t>
            </w:r>
          </w:p>
        </w:tc>
      </w:tr>
      <w:tr w:rsidR="003A4A55" w:rsidRPr="003A4A55" w14:paraId="11A6C7DE" w14:textId="77777777" w:rsidTr="003A4A55">
        <w:tc>
          <w:tcPr>
            <w:cnfStyle w:val="001000000000" w:firstRow="0" w:lastRow="0" w:firstColumn="1" w:lastColumn="0" w:oddVBand="0" w:evenVBand="0" w:oddHBand="0" w:evenHBand="0" w:firstRowFirstColumn="0" w:firstRowLastColumn="0" w:lastRowFirstColumn="0" w:lastRowLastColumn="0"/>
            <w:tcW w:w="0" w:type="auto"/>
            <w:hideMark/>
          </w:tcPr>
          <w:p w14:paraId="20FE93D2" w14:textId="77777777" w:rsidR="003A4A55" w:rsidRPr="003A4A55" w:rsidRDefault="003A4A55" w:rsidP="003A4A55">
            <w:pPr>
              <w:rPr>
                <w:rFonts w:eastAsia="宋体"/>
                <w:color w:val="232425"/>
              </w:rPr>
            </w:pPr>
            <w:r w:rsidRPr="003A4A55">
              <w:rPr>
                <w:rFonts w:eastAsia="宋体"/>
                <w:color w:val="232425"/>
              </w:rPr>
              <w:t>Demographic Information</w:t>
            </w:r>
          </w:p>
        </w:tc>
        <w:tc>
          <w:tcPr>
            <w:tcW w:w="0" w:type="auto"/>
            <w:hideMark/>
          </w:tcPr>
          <w:p w14:paraId="61799DC7" w14:textId="77777777" w:rsidR="003A4A55" w:rsidRPr="003A4A55" w:rsidRDefault="003A4A55" w:rsidP="003A4A55">
            <w:pPr>
              <w:cnfStyle w:val="000000000000" w:firstRow="0" w:lastRow="0" w:firstColumn="0" w:lastColumn="0" w:oddVBand="0" w:evenVBand="0" w:oddHBand="0" w:evenHBand="0" w:firstRowFirstColumn="0" w:firstRowLastColumn="0" w:lastRowFirstColumn="0" w:lastRowLastColumn="0"/>
              <w:rPr>
                <w:rFonts w:eastAsia="宋体"/>
                <w:color w:val="232425"/>
              </w:rPr>
            </w:pPr>
            <w:r w:rsidRPr="003A4A55">
              <w:rPr>
                <w:rFonts w:eastAsia="宋体"/>
                <w:color w:val="232425"/>
              </w:rPr>
              <w:t>• Country</w:t>
            </w:r>
            <w:r w:rsidRPr="003A4A55">
              <w:rPr>
                <w:rFonts w:eastAsia="宋体"/>
                <w:color w:val="232425"/>
              </w:rPr>
              <w:br/>
              <w:t>• Sample size</w:t>
            </w:r>
            <w:r w:rsidRPr="003A4A55">
              <w:rPr>
                <w:rFonts w:eastAsia="宋体"/>
                <w:color w:val="232425"/>
              </w:rPr>
              <w:br/>
              <w:t>• Age</w:t>
            </w:r>
            <w:r w:rsidRPr="003A4A55">
              <w:rPr>
                <w:rFonts w:eastAsia="宋体"/>
                <w:color w:val="232425"/>
              </w:rPr>
              <w:br/>
              <w:t>• Body mass index</w:t>
            </w:r>
            <w:r w:rsidRPr="003A4A55">
              <w:rPr>
                <w:rFonts w:eastAsia="宋体"/>
                <w:color w:val="232425"/>
              </w:rPr>
              <w:br/>
              <w:t>• Proportion of females</w:t>
            </w:r>
            <w:r w:rsidRPr="003A4A55">
              <w:rPr>
                <w:rFonts w:eastAsia="宋体"/>
                <w:color w:val="232425"/>
              </w:rPr>
              <w:br/>
              <w:t>• Blood pressure</w:t>
            </w:r>
            <w:r w:rsidRPr="003A4A55">
              <w:rPr>
                <w:rFonts w:eastAsia="宋体"/>
                <w:color w:val="232425"/>
              </w:rPr>
              <w:br/>
              <w:t>• Proportion of antihypertensive treatments</w:t>
            </w:r>
            <w:r w:rsidRPr="003A4A55">
              <w:rPr>
                <w:rFonts w:eastAsia="宋体"/>
                <w:color w:val="232425"/>
              </w:rPr>
              <w:br/>
              <w:t>• Concurrent medical conditions</w:t>
            </w:r>
          </w:p>
        </w:tc>
      </w:tr>
      <w:tr w:rsidR="003A4A55" w:rsidRPr="003A4A55" w14:paraId="077DA7F6" w14:textId="77777777" w:rsidTr="003A4A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4E4AB1" w14:textId="77777777" w:rsidR="003A4A55" w:rsidRPr="003A4A55" w:rsidRDefault="003A4A55" w:rsidP="003A4A55">
            <w:pPr>
              <w:rPr>
                <w:rFonts w:eastAsia="宋体"/>
                <w:color w:val="232425"/>
              </w:rPr>
            </w:pPr>
            <w:r w:rsidRPr="003A4A55">
              <w:rPr>
                <w:rFonts w:eastAsia="宋体"/>
                <w:color w:val="232425"/>
              </w:rPr>
              <w:t>Description of Interventions and Comparators</w:t>
            </w:r>
          </w:p>
        </w:tc>
        <w:tc>
          <w:tcPr>
            <w:tcW w:w="0" w:type="auto"/>
            <w:hideMark/>
          </w:tcPr>
          <w:p w14:paraId="4494473C" w14:textId="77777777" w:rsidR="003A4A55" w:rsidRPr="003A4A55" w:rsidRDefault="003A4A55" w:rsidP="003A4A55">
            <w:pPr>
              <w:cnfStyle w:val="000000100000" w:firstRow="0" w:lastRow="0" w:firstColumn="0" w:lastColumn="0" w:oddVBand="0" w:evenVBand="0" w:oddHBand="1" w:evenHBand="0" w:firstRowFirstColumn="0" w:firstRowLastColumn="0" w:lastRowFirstColumn="0" w:lastRowLastColumn="0"/>
              <w:rPr>
                <w:rFonts w:eastAsia="宋体"/>
                <w:color w:val="232425"/>
              </w:rPr>
            </w:pPr>
            <w:r w:rsidRPr="003A4A55">
              <w:rPr>
                <w:rFonts w:eastAsia="宋体"/>
                <w:color w:val="232425"/>
              </w:rPr>
              <w:t>• The name</w:t>
            </w:r>
            <w:r w:rsidRPr="003A4A55">
              <w:rPr>
                <w:rFonts w:eastAsia="宋体"/>
                <w:color w:val="232425"/>
              </w:rPr>
              <w:br/>
              <w:t>• Components</w:t>
            </w:r>
            <w:r w:rsidRPr="003A4A55">
              <w:rPr>
                <w:rFonts w:eastAsia="宋体"/>
                <w:color w:val="232425"/>
              </w:rPr>
              <w:br/>
              <w:t>• Daily intake amounts</w:t>
            </w:r>
          </w:p>
        </w:tc>
      </w:tr>
      <w:tr w:rsidR="003A4A55" w:rsidRPr="003A4A55" w14:paraId="3D33FF2E" w14:textId="77777777" w:rsidTr="003A4A55">
        <w:tc>
          <w:tcPr>
            <w:cnfStyle w:val="001000000000" w:firstRow="0" w:lastRow="0" w:firstColumn="1" w:lastColumn="0" w:oddVBand="0" w:evenVBand="0" w:oddHBand="0" w:evenHBand="0" w:firstRowFirstColumn="0" w:firstRowLastColumn="0" w:lastRowFirstColumn="0" w:lastRowLastColumn="0"/>
            <w:tcW w:w="0" w:type="auto"/>
            <w:hideMark/>
          </w:tcPr>
          <w:p w14:paraId="7AA12FB4" w14:textId="77777777" w:rsidR="003A4A55" w:rsidRPr="003A4A55" w:rsidRDefault="003A4A55" w:rsidP="003A4A55">
            <w:pPr>
              <w:rPr>
                <w:rFonts w:eastAsia="宋体"/>
                <w:color w:val="232425"/>
              </w:rPr>
            </w:pPr>
            <w:r w:rsidRPr="003A4A55">
              <w:rPr>
                <w:rFonts w:eastAsia="宋体"/>
                <w:color w:val="232425"/>
              </w:rPr>
              <w:t>Outcomes of Interest</w:t>
            </w:r>
          </w:p>
        </w:tc>
        <w:tc>
          <w:tcPr>
            <w:tcW w:w="0" w:type="auto"/>
            <w:hideMark/>
          </w:tcPr>
          <w:p w14:paraId="14AFF418" w14:textId="77777777" w:rsidR="003A4A55" w:rsidRPr="003A4A55" w:rsidRDefault="003A4A55" w:rsidP="003A4A55">
            <w:pPr>
              <w:cnfStyle w:val="000000000000" w:firstRow="0" w:lastRow="0" w:firstColumn="0" w:lastColumn="0" w:oddVBand="0" w:evenVBand="0" w:oddHBand="0" w:evenHBand="0" w:firstRowFirstColumn="0" w:firstRowLastColumn="0" w:lastRowFirstColumn="0" w:lastRowLastColumn="0"/>
              <w:rPr>
                <w:rFonts w:eastAsia="宋体"/>
                <w:color w:val="232425"/>
              </w:rPr>
            </w:pPr>
            <w:r w:rsidRPr="003A4A55">
              <w:rPr>
                <w:rFonts w:eastAsia="宋体"/>
                <w:color w:val="232425"/>
              </w:rPr>
              <w:t>• Means or medians</w:t>
            </w:r>
            <w:r w:rsidRPr="003A4A55">
              <w:rPr>
                <w:rFonts w:eastAsia="宋体"/>
                <w:color w:val="232425"/>
              </w:rPr>
              <w:br/>
              <w:t>• Measures of variability for continuous outcomes</w:t>
            </w:r>
            <w:r w:rsidRPr="003A4A55">
              <w:rPr>
                <w:rFonts w:eastAsia="宋体"/>
                <w:color w:val="232425"/>
              </w:rPr>
              <w:br/>
              <w:t>• The number of participants analysed</w:t>
            </w:r>
            <w:r w:rsidRPr="003A4A55">
              <w:rPr>
                <w:rFonts w:eastAsia="宋体"/>
                <w:color w:val="232425"/>
              </w:rPr>
              <w:br/>
              <w:t>• The number of participants who experienced an event for dichotomous outcomes</w:t>
            </w:r>
          </w:p>
        </w:tc>
      </w:tr>
    </w:tbl>
    <w:p w14:paraId="68F9A482" w14:textId="77777777" w:rsidR="003A4A55" w:rsidRDefault="003A4A55" w:rsidP="001E0D6D">
      <w:pPr>
        <w:spacing w:line="360" w:lineRule="auto"/>
      </w:pPr>
    </w:p>
    <w:p w14:paraId="04FC0C3E" w14:textId="288A9EC5" w:rsidR="007D4556" w:rsidRPr="00A002D0" w:rsidRDefault="007D4556" w:rsidP="001E0D6D">
      <w:pPr>
        <w:spacing w:line="360" w:lineRule="auto"/>
      </w:pPr>
      <w:r w:rsidRPr="00A002D0">
        <w:br w:type="page"/>
      </w:r>
    </w:p>
    <w:p w14:paraId="5B8D45A5" w14:textId="5C44D4C2" w:rsidR="00EE474D" w:rsidRPr="00A002D0" w:rsidRDefault="00A31D5B" w:rsidP="001E0D6D">
      <w:pPr>
        <w:pStyle w:val="2"/>
        <w:spacing w:line="360" w:lineRule="auto"/>
        <w:rPr>
          <w:rFonts w:ascii="Times New Roman" w:hAnsi="Times New Roman" w:cs="Times New Roman"/>
          <w:sz w:val="28"/>
          <w:szCs w:val="28"/>
        </w:rPr>
      </w:pPr>
      <w:bookmarkStart w:id="15" w:name="_Toc211461919"/>
      <w:r>
        <w:rPr>
          <w:rFonts w:ascii="Times New Roman" w:eastAsia="黑体" w:hAnsi="Times New Roman" w:cs="Times New Roman" w:hint="eastAsia"/>
          <w:sz w:val="28"/>
          <w:szCs w:val="28"/>
        </w:rPr>
        <w:lastRenderedPageBreak/>
        <w:t>Text S2</w:t>
      </w:r>
      <w:r w:rsidRPr="00A002D0">
        <w:rPr>
          <w:rFonts w:ascii="Times New Roman" w:hAnsi="Times New Roman" w:cs="Times New Roman"/>
          <w:sz w:val="28"/>
          <w:szCs w:val="28"/>
        </w:rPr>
        <w:t xml:space="preserve"> Risk of bias assessments</w:t>
      </w:r>
      <w:bookmarkEnd w:id="15"/>
    </w:p>
    <w:p w14:paraId="04C46C97" w14:textId="0A668BEA" w:rsidR="00A63779" w:rsidRPr="00A002D0" w:rsidRDefault="00551E6A" w:rsidP="001E0D6D">
      <w:pPr>
        <w:spacing w:line="360" w:lineRule="auto"/>
        <w:rPr>
          <w:rFonts w:eastAsia="黑体"/>
        </w:rPr>
      </w:pPr>
      <w:r w:rsidRPr="00A002D0">
        <w:rPr>
          <w:rFonts w:eastAsia="黑体"/>
        </w:rPr>
        <w:t xml:space="preserve">Paired reviewers </w:t>
      </w:r>
      <w:r w:rsidR="004B7B7B" w:rsidRPr="00A002D0">
        <w:rPr>
          <w:rFonts w:eastAsia="黑体"/>
        </w:rPr>
        <w:t>us</w:t>
      </w:r>
      <w:r w:rsidRPr="00A002D0">
        <w:rPr>
          <w:rFonts w:eastAsia="黑体"/>
        </w:rPr>
        <w:t>ed</w:t>
      </w:r>
      <w:r w:rsidR="004B7B7B" w:rsidRPr="00A002D0">
        <w:rPr>
          <w:rFonts w:eastAsia="黑体"/>
        </w:rPr>
        <w:t xml:space="preserve"> the tool developed by the CLARITY Group at McMaster University</w:t>
      </w:r>
      <w:r w:rsidRPr="00A002D0">
        <w:rPr>
          <w:rFonts w:eastAsia="黑体"/>
        </w:rPr>
        <w:t xml:space="preserve"> to assess the risk of bias of included </w:t>
      </w:r>
      <w:r w:rsidR="004B7B7B" w:rsidRPr="00A002D0">
        <w:rPr>
          <w:rFonts w:eastAsia="黑体"/>
        </w:rPr>
        <w:t>parallel-RCTs</w:t>
      </w:r>
      <w:r w:rsidRPr="00A002D0">
        <w:rPr>
          <w:rFonts w:eastAsia="黑体"/>
        </w:rPr>
        <w:t xml:space="preserve">. </w:t>
      </w:r>
      <w:r w:rsidR="004B7B7B" w:rsidRPr="00A002D0">
        <w:rPr>
          <w:rFonts w:eastAsia="黑体"/>
        </w:rPr>
        <w:t xml:space="preserve">Each following question </w:t>
      </w:r>
      <w:r w:rsidRPr="00A002D0">
        <w:rPr>
          <w:rFonts w:eastAsia="黑体"/>
        </w:rPr>
        <w:t>was</w:t>
      </w:r>
      <w:r w:rsidR="004B7B7B" w:rsidRPr="00A002D0">
        <w:rPr>
          <w:rFonts w:eastAsia="黑体"/>
        </w:rPr>
        <w:t xml:space="preserve"> answered by definitely yes, probably yes, probably no, and definitely no.</w:t>
      </w:r>
    </w:p>
    <w:p w14:paraId="7D92FFE2" w14:textId="4083D0B2" w:rsidR="00091D21" w:rsidRPr="00A002D0" w:rsidRDefault="004B7B7B" w:rsidP="001E0D6D">
      <w:pPr>
        <w:pStyle w:val="a5"/>
        <w:numPr>
          <w:ilvl w:val="0"/>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Was the allocation sequence adequately generated?</w:t>
      </w:r>
    </w:p>
    <w:p w14:paraId="48713F27" w14:textId="77777777" w:rsidR="004B7B7B" w:rsidRPr="00A002D0" w:rsidRDefault="004B7B7B"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low risk of bias:</w:t>
      </w:r>
    </w:p>
    <w:p w14:paraId="3B90A38B"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Referring to a random number table</w:t>
      </w:r>
    </w:p>
    <w:p w14:paraId="36DEE64F"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Using a computer random number generator</w:t>
      </w:r>
    </w:p>
    <w:p w14:paraId="2036443C"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Coin tossing</w:t>
      </w:r>
    </w:p>
    <w:p w14:paraId="5CE47BF9"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Shuffling cards or envelopes</w:t>
      </w:r>
    </w:p>
    <w:p w14:paraId="4474F8EA"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Throwing dice</w:t>
      </w:r>
    </w:p>
    <w:p w14:paraId="567E13B4"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Drawing of lots</w:t>
      </w:r>
    </w:p>
    <w:p w14:paraId="3DC6D368"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Minimization with or without a random element</w:t>
      </w:r>
    </w:p>
    <w:p w14:paraId="0FA90FA8" w14:textId="77777777" w:rsidR="004B7B7B" w:rsidRPr="00A002D0" w:rsidRDefault="004B7B7B"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high risk of bias:</w:t>
      </w:r>
    </w:p>
    <w:p w14:paraId="63CA4F76"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Sequence generated by odd or even date of birth</w:t>
      </w:r>
    </w:p>
    <w:p w14:paraId="63573AE1"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Sequence generated by some rule based on date (or day) of admission</w:t>
      </w:r>
    </w:p>
    <w:p w14:paraId="247AC1DA"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Sequence generated by some rule based on hospital or clinic record number</w:t>
      </w:r>
    </w:p>
    <w:p w14:paraId="146B8231"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Allocation by judgement of the clinician</w:t>
      </w:r>
    </w:p>
    <w:p w14:paraId="7B6E5BE7"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Allocation by preference of the participant</w:t>
      </w:r>
    </w:p>
    <w:p w14:paraId="53C89F68" w14:textId="77777777"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Allocation based on the results of a series laboratory test or series of tests</w:t>
      </w:r>
    </w:p>
    <w:p w14:paraId="3879F411" w14:textId="52984799" w:rsidR="004B7B7B" w:rsidRPr="00A002D0" w:rsidRDefault="004B7B7B"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Allocation by availability of the intervention</w:t>
      </w:r>
    </w:p>
    <w:p w14:paraId="0E5757EA" w14:textId="7ABE8F5F" w:rsidR="004B7B7B" w:rsidRPr="00A002D0" w:rsidRDefault="00551E6A" w:rsidP="001E0D6D">
      <w:pPr>
        <w:pStyle w:val="a5"/>
        <w:numPr>
          <w:ilvl w:val="0"/>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Was the allocation adequately concealed</w:t>
      </w:r>
    </w:p>
    <w:p w14:paraId="0F078DD1" w14:textId="77777777" w:rsidR="00551E6A" w:rsidRPr="00A002D0" w:rsidRDefault="00551E6A"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low risk of bias allocation concealment techniques:</w:t>
      </w:r>
    </w:p>
    <w:p w14:paraId="2FD85063" w14:textId="77777777" w:rsidR="00551E6A" w:rsidRPr="00A002D0" w:rsidRDefault="00551E6A"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lastRenderedPageBreak/>
        <w:t>Central allocation (including telephone, web-based, and pharmacy-controlled, randomization)</w:t>
      </w:r>
    </w:p>
    <w:p w14:paraId="1890A80E" w14:textId="77777777" w:rsidR="00551E6A" w:rsidRPr="00A002D0" w:rsidRDefault="00551E6A"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possible low risk of bias:</w:t>
      </w:r>
    </w:p>
    <w:p w14:paraId="008BDC82" w14:textId="77777777" w:rsidR="00551E6A" w:rsidRPr="00A002D0" w:rsidRDefault="00551E6A"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Sequentially numbered drug containers of identical appearance</w:t>
      </w:r>
    </w:p>
    <w:p w14:paraId="10971C47" w14:textId="77777777" w:rsidR="00551E6A" w:rsidRPr="00A002D0" w:rsidRDefault="00551E6A"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Sequentially numbered, opaque, sealed envelopes</w:t>
      </w:r>
    </w:p>
    <w:p w14:paraId="10249A5A" w14:textId="77777777" w:rsidR="00551E6A" w:rsidRPr="00A002D0" w:rsidRDefault="00551E6A"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high risk of bias allocation concealment techniques:</w:t>
      </w:r>
    </w:p>
    <w:p w14:paraId="67422368" w14:textId="77777777" w:rsidR="00551E6A" w:rsidRPr="00A002D0" w:rsidRDefault="00551E6A"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Using an open random allocation schedule (e.g. a list of random numbers)</w:t>
      </w:r>
    </w:p>
    <w:p w14:paraId="6F553185" w14:textId="77777777" w:rsidR="00551E6A" w:rsidRPr="00A002D0" w:rsidRDefault="00551E6A"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Assignment envelopes were used without appropriate safeguards (e.g. if envelopes were unsealed or non-opaque or not sequentially numbered)</w:t>
      </w:r>
    </w:p>
    <w:p w14:paraId="3259B0A8" w14:textId="77777777" w:rsidR="00551E6A" w:rsidRPr="00A002D0" w:rsidRDefault="00551E6A"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Alternation or rotation</w:t>
      </w:r>
    </w:p>
    <w:p w14:paraId="35DAE1BE" w14:textId="77777777" w:rsidR="00551E6A" w:rsidRPr="00A002D0" w:rsidRDefault="00551E6A"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Date of birth</w:t>
      </w:r>
    </w:p>
    <w:p w14:paraId="2912FF28" w14:textId="77777777" w:rsidR="00551E6A" w:rsidRPr="00A002D0" w:rsidRDefault="00551E6A"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Case record number</w:t>
      </w:r>
    </w:p>
    <w:p w14:paraId="7E45E658" w14:textId="58D35FCC" w:rsidR="004B7B7B" w:rsidRPr="00A002D0" w:rsidRDefault="00551E6A"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Any other explicitly unconcealed procedure</w:t>
      </w:r>
    </w:p>
    <w:p w14:paraId="34A5D471" w14:textId="66206E67" w:rsidR="00D011AE" w:rsidRPr="00A002D0" w:rsidRDefault="00D011AE" w:rsidP="001E0D6D">
      <w:pPr>
        <w:pStyle w:val="a5"/>
        <w:numPr>
          <w:ilvl w:val="0"/>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Blinding: Was knowledge of the allocated interventions adequately prevented?</w:t>
      </w:r>
    </w:p>
    <w:p w14:paraId="646A754A" w14:textId="2C3B5B2B" w:rsidR="004B7B7B" w:rsidRPr="00A002D0" w:rsidRDefault="007E62E8" w:rsidP="001E0D6D">
      <w:pPr>
        <w:spacing w:line="360" w:lineRule="auto"/>
        <w:ind w:leftChars="100" w:left="240"/>
        <w:rPr>
          <w:rFonts w:eastAsia="黑体"/>
        </w:rPr>
      </w:pPr>
      <w:r w:rsidRPr="00A002D0">
        <w:rPr>
          <w:rFonts w:eastAsia="黑体"/>
        </w:rPr>
        <w:t>3.a. Were patients blinded?</w:t>
      </w:r>
    </w:p>
    <w:p w14:paraId="2E02FB78" w14:textId="5F965CBC" w:rsidR="007E62E8" w:rsidRPr="00A002D0" w:rsidRDefault="007E62E8" w:rsidP="001E0D6D">
      <w:pPr>
        <w:spacing w:line="360" w:lineRule="auto"/>
        <w:ind w:leftChars="100" w:left="240"/>
        <w:rPr>
          <w:rFonts w:eastAsia="黑体"/>
        </w:rPr>
      </w:pPr>
      <w:r w:rsidRPr="00A002D0">
        <w:rPr>
          <w:rFonts w:eastAsia="黑体"/>
        </w:rPr>
        <w:t>3.b. Were healthcare providers blinded?</w:t>
      </w:r>
    </w:p>
    <w:p w14:paraId="3CDBC796" w14:textId="20117748" w:rsidR="004B7B7B" w:rsidRPr="00A002D0" w:rsidRDefault="007E62E8" w:rsidP="001E0D6D">
      <w:pPr>
        <w:spacing w:line="360" w:lineRule="auto"/>
        <w:ind w:leftChars="100" w:left="240"/>
        <w:rPr>
          <w:rFonts w:eastAsia="黑体"/>
        </w:rPr>
      </w:pPr>
      <w:r w:rsidRPr="00A002D0">
        <w:rPr>
          <w:rFonts w:eastAsia="黑体"/>
        </w:rPr>
        <w:t>3.c. Were data collectors blinded?</w:t>
      </w:r>
    </w:p>
    <w:p w14:paraId="35BC75C3" w14:textId="379E2A2A" w:rsidR="004B7B7B" w:rsidRPr="00A002D0" w:rsidRDefault="007E62E8" w:rsidP="001E0D6D">
      <w:pPr>
        <w:spacing w:line="360" w:lineRule="auto"/>
        <w:ind w:leftChars="100" w:left="240"/>
        <w:rPr>
          <w:rFonts w:eastAsia="黑体"/>
        </w:rPr>
      </w:pPr>
      <w:r w:rsidRPr="00A002D0">
        <w:rPr>
          <w:rFonts w:eastAsia="黑体"/>
        </w:rPr>
        <w:t>3.d. Were outcome assessors blinded?</w:t>
      </w:r>
    </w:p>
    <w:p w14:paraId="56D6077C" w14:textId="7E4AF63E" w:rsidR="004B7B7B" w:rsidRPr="00A002D0" w:rsidRDefault="007E62E8" w:rsidP="001E0D6D">
      <w:pPr>
        <w:spacing w:line="360" w:lineRule="auto"/>
        <w:ind w:leftChars="100" w:left="240"/>
        <w:rPr>
          <w:rFonts w:eastAsia="黑体"/>
        </w:rPr>
      </w:pPr>
      <w:r w:rsidRPr="00A002D0">
        <w:rPr>
          <w:rFonts w:eastAsia="黑体"/>
        </w:rPr>
        <w:t>3.e. Were data analysts blinded?</w:t>
      </w:r>
    </w:p>
    <w:p w14:paraId="281B8CB8" w14:textId="3DC9EE15" w:rsidR="007E62E8" w:rsidRPr="00A002D0" w:rsidRDefault="007E62E8"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low risk of bias:</w:t>
      </w:r>
    </w:p>
    <w:p w14:paraId="4350B2F1" w14:textId="1D87C32F"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No blinding but the review authors judge that the outcome and the outcome measurement are not likely influenced by lack of blinding</w:t>
      </w:r>
    </w:p>
    <w:p w14:paraId="09ED8F09" w14:textId="0CF13B9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Blinding of participants and key study personnel ensured, and unlikely that blinding could have been broken</w:t>
      </w:r>
    </w:p>
    <w:p w14:paraId="79950AAE"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Either participants or some key study personnel were not blinded, but outcome assessment was blinded and the nonblinding of others unlikely to introduce bias</w:t>
      </w:r>
    </w:p>
    <w:p w14:paraId="0D3BEBEA" w14:textId="780E38CC" w:rsidR="007E62E8" w:rsidRPr="00A002D0" w:rsidRDefault="007E62E8"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lastRenderedPageBreak/>
        <w:t>Examples of high risk of bias:</w:t>
      </w:r>
    </w:p>
    <w:p w14:paraId="7E426C0A" w14:textId="305A22AE"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No blinding but the review authors judge that the outcome and the outcome measurement are not likely influenced by lack of blinding</w:t>
      </w:r>
    </w:p>
    <w:p w14:paraId="5537BD68" w14:textId="4999E7B0"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Blinding of participants and key study personnel ensured, and unlikely that blinding could have been broken</w:t>
      </w:r>
    </w:p>
    <w:p w14:paraId="566A2FB2"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Either participants or some key study personnel were not blinded, but outcome assessment was blinded and the nonblinding of others unlikely to introduce bias</w:t>
      </w:r>
    </w:p>
    <w:p w14:paraId="30AAA4F8" w14:textId="32EAE963" w:rsidR="007E62E8" w:rsidRPr="00A002D0" w:rsidRDefault="007E62E8" w:rsidP="001E0D6D">
      <w:pPr>
        <w:pStyle w:val="a5"/>
        <w:numPr>
          <w:ilvl w:val="0"/>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Was loss to follow-up (missing outcome data) infrequent?</w:t>
      </w:r>
    </w:p>
    <w:p w14:paraId="6B385233" w14:textId="77777777" w:rsidR="007E62E8" w:rsidRPr="00A002D0" w:rsidRDefault="007E62E8"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low risk of bias:</w:t>
      </w:r>
    </w:p>
    <w:p w14:paraId="6AB64D76"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No missing outcome data </w:t>
      </w:r>
    </w:p>
    <w:p w14:paraId="6EC68719"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Reasons for missing outcome data unlikely to be related to outcome (for survival data, censoring unlikely to be introducing bias) </w:t>
      </w:r>
    </w:p>
    <w:p w14:paraId="5139C51D" w14:textId="78F0D149"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Missing outcome data balanced in numbers across intervention groups, with similar reasons for missing data across groups</w:t>
      </w:r>
    </w:p>
    <w:p w14:paraId="304BCD1E" w14:textId="2A82D9F8"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For dichotomous outcome data, the proportion of missing outcomes compared with observed event risk not enough to have an important impact on the intervention effect estimate</w:t>
      </w:r>
    </w:p>
    <w:p w14:paraId="6708BABB"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For continuous outcome data, plausible effect size (difference in means or standardized difference in means) among missing outcomes not enough to have an important impact on observed effect size</w:t>
      </w:r>
    </w:p>
    <w:p w14:paraId="54F09909"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Missing data have been imputed using appropriate methods</w:t>
      </w:r>
    </w:p>
    <w:p w14:paraId="1F03B813" w14:textId="77777777" w:rsidR="007E62E8" w:rsidRPr="00A002D0" w:rsidRDefault="007E62E8"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high risk of bias:</w:t>
      </w:r>
    </w:p>
    <w:p w14:paraId="6CB967AC" w14:textId="7031331D"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Reason for missing outcome data likely to be related to true outcome, with either imbalance in numbers or reasons for missing data across intervention groups</w:t>
      </w:r>
    </w:p>
    <w:p w14:paraId="1FCB2939" w14:textId="3E80D9D2"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lastRenderedPageBreak/>
        <w:t>For dichotomous outcome data, the proportion of missing outcomes compared with observed event risk enough to induce important bias in intervention effect estimate</w:t>
      </w:r>
    </w:p>
    <w:p w14:paraId="4FF92D39"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For continuous outcome data, plausible effect size (difference in means or standardized difference in means) among missing outcomes enough to induce clinically relevant bias in observed effect size</w:t>
      </w:r>
    </w:p>
    <w:p w14:paraId="2548C26B" w14:textId="432A07FA"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"As-treated" analysis done with substantial departure of the intervention received from that assigned at randomization</w:t>
      </w:r>
    </w:p>
    <w:p w14:paraId="73574D1F"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Potentially inappropriate application of simple imputation</w:t>
      </w:r>
    </w:p>
    <w:p w14:paraId="166182FA" w14:textId="76B9D33B" w:rsidR="007E62E8" w:rsidRPr="00A002D0" w:rsidRDefault="007E62E8" w:rsidP="001E0D6D">
      <w:pPr>
        <w:pStyle w:val="a5"/>
        <w:numPr>
          <w:ilvl w:val="0"/>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Are reports of the study free of selective outcome reporting?</w:t>
      </w:r>
    </w:p>
    <w:p w14:paraId="6E419DBB" w14:textId="77777777" w:rsidR="007E62E8" w:rsidRPr="00A002D0" w:rsidRDefault="007E62E8"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low risk of bias:</w:t>
      </w:r>
    </w:p>
    <w:p w14:paraId="664CFB47" w14:textId="37E9FF55"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The study protocol is available and all of the study</w:t>
      </w:r>
      <w:r w:rsidR="00492EA0" w:rsidRPr="00A002D0">
        <w:rPr>
          <w:rFonts w:ascii="Times New Roman" w:eastAsia="黑体" w:hAnsi="Times New Roman" w:cs="Times New Roman"/>
        </w:rPr>
        <w:t>"</w:t>
      </w:r>
      <w:r w:rsidRPr="00A002D0">
        <w:rPr>
          <w:rFonts w:ascii="Times New Roman" w:eastAsia="黑体" w:hAnsi="Times New Roman" w:cs="Times New Roman"/>
        </w:rPr>
        <w:t>s pre-specified (primary and secondary) outcomes that are of interest in the review have been reported in the pre-specified way</w:t>
      </w:r>
    </w:p>
    <w:p w14:paraId="3250C5A9"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The study protocol is not available but it is clear that the published reports include all expected outcomes, including those that were pre-specified (convincing text of this nature may be uncommon)</w:t>
      </w:r>
    </w:p>
    <w:p w14:paraId="5FBBA954" w14:textId="77777777" w:rsidR="007E62E8" w:rsidRPr="00A002D0" w:rsidRDefault="007E62E8"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high risk of bias:</w:t>
      </w:r>
    </w:p>
    <w:p w14:paraId="3D5BD98D" w14:textId="27CE23DD"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Not all of the study</w:t>
      </w:r>
      <w:r w:rsidR="00492EA0" w:rsidRPr="00A002D0">
        <w:rPr>
          <w:rFonts w:ascii="Times New Roman" w:eastAsia="黑体" w:hAnsi="Times New Roman" w:cs="Times New Roman"/>
        </w:rPr>
        <w:t>"</w:t>
      </w:r>
      <w:r w:rsidRPr="00A002D0">
        <w:rPr>
          <w:rFonts w:ascii="Times New Roman" w:eastAsia="黑体" w:hAnsi="Times New Roman" w:cs="Times New Roman"/>
        </w:rPr>
        <w:t>s pre-specified primary outcomes have been reported</w:t>
      </w:r>
    </w:p>
    <w:p w14:paraId="07B5CE7E" w14:textId="017E8C12"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One or more primary outcomes is reported using measurements, analysis methods or subsets of the data (e.g. subscales) that were not pre-specified</w:t>
      </w:r>
    </w:p>
    <w:p w14:paraId="64BF6A33" w14:textId="3279B0C0"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One or more reported primary outcomes were not pre-specified (unless clear justification for their reporting is provided, such as an unexpected adverse effect)</w:t>
      </w:r>
    </w:p>
    <w:p w14:paraId="1E5A09BC" w14:textId="47F15493"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One or more outcomes of interest in the review are reported incompletely so that they cannot be entered in a meta-analysis</w:t>
      </w:r>
    </w:p>
    <w:p w14:paraId="7F3437A7"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lastRenderedPageBreak/>
        <w:t>The study report fails to include results for a key outcome that would be expected to have been reported for such a study</w:t>
      </w:r>
    </w:p>
    <w:p w14:paraId="29A7AB0A" w14:textId="1F0391DF" w:rsidR="007E62E8" w:rsidRPr="00A002D0" w:rsidRDefault="007E62E8" w:rsidP="001E0D6D">
      <w:pPr>
        <w:pStyle w:val="a5"/>
        <w:numPr>
          <w:ilvl w:val="0"/>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Was the study apparently free of other problems that could put it at a risk of bias?</w:t>
      </w:r>
    </w:p>
    <w:p w14:paraId="69C60320" w14:textId="77777777" w:rsidR="007E62E8" w:rsidRPr="00A002D0" w:rsidRDefault="007E62E8"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low risk of bias:</w:t>
      </w:r>
    </w:p>
    <w:p w14:paraId="6C72C7C7" w14:textId="77777777"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The study appears to be free of other sources of bias</w:t>
      </w:r>
    </w:p>
    <w:p w14:paraId="0A66FF61" w14:textId="77777777" w:rsidR="007E62E8" w:rsidRPr="00A002D0" w:rsidRDefault="007E62E8" w:rsidP="001E0D6D">
      <w:pPr>
        <w:pStyle w:val="a5"/>
        <w:numPr>
          <w:ilvl w:val="1"/>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Examples of high risk of bias:</w:t>
      </w:r>
    </w:p>
    <w:p w14:paraId="2C5FD6E0" w14:textId="29808635"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Had a potential source of bias related to the specific study design used</w:t>
      </w:r>
    </w:p>
    <w:p w14:paraId="73C31069" w14:textId="42A977AB"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Stopped early due to some data-dependent process (including a formal-stopping rule)</w:t>
      </w:r>
    </w:p>
    <w:p w14:paraId="1D597F76" w14:textId="7A60C1D8"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Had extreme baseline imbalance</w:t>
      </w:r>
    </w:p>
    <w:p w14:paraId="0D7B9A54" w14:textId="6CF97CCB"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Has been claimed to have been fraudulent</w:t>
      </w:r>
    </w:p>
    <w:p w14:paraId="7AA2A768" w14:textId="461B9C15" w:rsidR="007E62E8" w:rsidRPr="00A002D0" w:rsidRDefault="007E62E8" w:rsidP="001E0D6D">
      <w:pPr>
        <w:pStyle w:val="a5"/>
        <w:numPr>
          <w:ilvl w:val="2"/>
          <w:numId w:val="1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Had some other problem</w:t>
      </w:r>
    </w:p>
    <w:p w14:paraId="1C6D376E" w14:textId="77777777" w:rsidR="00492EA0" w:rsidRPr="00A002D0" w:rsidRDefault="00492EA0" w:rsidP="001E0D6D">
      <w:pPr>
        <w:spacing w:line="360" w:lineRule="auto"/>
        <w:rPr>
          <w:rFonts w:eastAsia="黑体"/>
        </w:rPr>
      </w:pPr>
    </w:p>
    <w:p w14:paraId="77E87F29" w14:textId="3BE6B2FC" w:rsidR="003D3B44" w:rsidRPr="00A002D0" w:rsidRDefault="003D3B44" w:rsidP="001E0D6D">
      <w:pPr>
        <w:spacing w:line="360" w:lineRule="auto"/>
        <w:rPr>
          <w:rFonts w:eastAsia="黑体"/>
        </w:rPr>
      </w:pPr>
      <w:r w:rsidRPr="00A002D0">
        <w:rPr>
          <w:rFonts w:eastAsia="黑体"/>
        </w:rPr>
        <w:t>For crossover trials, this study exclusively focused on the results of the first phase. We employed the same assessment strategy as used for parallel</w:t>
      </w:r>
      <w:r w:rsidR="00492EA0" w:rsidRPr="00A002D0">
        <w:rPr>
          <w:rFonts w:eastAsia="黑体"/>
        </w:rPr>
        <w:t>-</w:t>
      </w:r>
      <w:r w:rsidRPr="00A002D0">
        <w:rPr>
          <w:rFonts w:eastAsia="黑体"/>
        </w:rPr>
        <w:t>RCTs.</w:t>
      </w:r>
    </w:p>
    <w:p w14:paraId="7BF89FCE" w14:textId="77777777" w:rsidR="00492EA0" w:rsidRPr="00A002D0" w:rsidRDefault="00492EA0" w:rsidP="001E0D6D">
      <w:pPr>
        <w:spacing w:line="360" w:lineRule="auto"/>
        <w:rPr>
          <w:rFonts w:eastAsia="黑体"/>
        </w:rPr>
      </w:pPr>
    </w:p>
    <w:p w14:paraId="243403F2" w14:textId="055BCE69" w:rsidR="00492EA0" w:rsidRPr="00A002D0" w:rsidRDefault="00492EA0" w:rsidP="001E0D6D">
      <w:pPr>
        <w:spacing w:line="360" w:lineRule="auto"/>
        <w:rPr>
          <w:rFonts w:eastAsia="黑体"/>
        </w:rPr>
      </w:pPr>
      <w:r w:rsidRPr="00A002D0">
        <w:rPr>
          <w:rFonts w:eastAsia="黑体"/>
        </w:rPr>
        <w:t>We also assessed the risk of bias for cluster-RCTs according to the following domains (Higgins 2017):</w:t>
      </w:r>
    </w:p>
    <w:p w14:paraId="058FAD76" w14:textId="68608343" w:rsidR="00492EA0" w:rsidRPr="00A002D0" w:rsidRDefault="00492EA0" w:rsidP="001E0D6D">
      <w:pPr>
        <w:pStyle w:val="a5"/>
        <w:numPr>
          <w:ilvl w:val="0"/>
          <w:numId w:val="19"/>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Recruitment bias. Recruitment bias can occur when individuals are recruited to the trial after the clusters have been randomized, as the knowledge of whether each cluster is an "intervention" or "control" cluster could affect the types of participants recruited. Farrin et al. showed differential participant recruitment in a trial of low back pain randomized by primary care practice; a greater number of less severe participants were recruited to the "active management" practices (Farrin 2005). Puffer et al. reviewed 36 cluster-randomized trials, and found possible recruitment bias in 14 (39%) (Puffer 2003).</w:t>
      </w:r>
    </w:p>
    <w:p w14:paraId="7BAD4B56" w14:textId="14AB5A8B" w:rsidR="00492EA0" w:rsidRPr="00A002D0" w:rsidRDefault="00492EA0" w:rsidP="001E0D6D">
      <w:pPr>
        <w:pStyle w:val="a5"/>
        <w:numPr>
          <w:ilvl w:val="0"/>
          <w:numId w:val="19"/>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Baseline imbalance. Cluster-randomized trials often randomize all clusters at once, so lack of concealment of an allocation sequence should not usually be an </w:t>
      </w:r>
      <w:r w:rsidRPr="00A002D0">
        <w:rPr>
          <w:rFonts w:ascii="Times New Roman" w:eastAsia="黑体" w:hAnsi="Times New Roman" w:cs="Times New Roman"/>
        </w:rPr>
        <w:lastRenderedPageBreak/>
        <w:t>issue. However, because small numbers of clusters are randomized, there is a possibility of chance baseline imbalance between the randomized groups, in terms of either the clusters or the individuals. Although not a form of bias as such, the risk of baseline differences can be reduced by using stratified or pair-matched randomization of clusters. Reporting of the baseline comparability of clusters, or statistical adjustment for baseline characteristics, can help reduce concern about the effects of baseline imbalance.</w:t>
      </w:r>
    </w:p>
    <w:p w14:paraId="4944DC94" w14:textId="2844D36F" w:rsidR="00492EA0" w:rsidRPr="00A002D0" w:rsidRDefault="00492EA0" w:rsidP="001E0D6D">
      <w:pPr>
        <w:pStyle w:val="a5"/>
        <w:numPr>
          <w:ilvl w:val="0"/>
          <w:numId w:val="19"/>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Loss of clusters. Occasionally complete clusters are lost from a trial, and have to be omitted from the analysis. Just as for missing outcome data in individually randomized trials, this may lead to bias. In addition, missing outcomes for individuals within clusters may also lead to a risk of bias in cluster-randomized trials.</w:t>
      </w:r>
    </w:p>
    <w:p w14:paraId="2B10F6BC" w14:textId="3693E9FB" w:rsidR="00492EA0" w:rsidRPr="00A002D0" w:rsidRDefault="00492EA0" w:rsidP="001E0D6D">
      <w:pPr>
        <w:pStyle w:val="a5"/>
        <w:numPr>
          <w:ilvl w:val="0"/>
          <w:numId w:val="19"/>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Incorrect analysis. Many cluster-randomized trials are analysed by incorrect statistical methods, not taking the clustering into account. For example, Eldridge et al. reviewed 152 cluster-randomized trials in primary care of which 41% did not account for clustering in their analyses (Eldridge 2004). Such analyses create a "unit of analysis error" and produce over-precise results (the standard error of the estimated intervention effect is too small) and P values that are too small. They do not lead to biased estimates of effect. However, if they remain uncorrected, they will receive too much weight in a meta-analysis. Approximate methods of correcting trial results that do not allow for clustering are suggested in Section 16.3.6. Some of these can be implemented by review authors.</w:t>
      </w:r>
    </w:p>
    <w:p w14:paraId="556E0C85" w14:textId="13886F4D" w:rsidR="00492EA0" w:rsidRPr="00A002D0" w:rsidRDefault="00492EA0" w:rsidP="001E0D6D">
      <w:pPr>
        <w:pStyle w:val="a5"/>
        <w:numPr>
          <w:ilvl w:val="0"/>
          <w:numId w:val="19"/>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Comparability with individually randomized trials. In a meta-analysis including both cluster and individually randomized trials, or including cluster-randomized trials with different types of clusters, possible differences between the intervention effects being estimated need to be considered. For example, in a vaccine trial of infectious diseases, a vaccine applied to all individuals in a community would be expected to be more effective than if the vaccine was </w:t>
      </w:r>
      <w:r w:rsidRPr="00A002D0">
        <w:rPr>
          <w:rFonts w:ascii="Times New Roman" w:eastAsia="黑体" w:hAnsi="Times New Roman" w:cs="Times New Roman"/>
        </w:rPr>
        <w:lastRenderedPageBreak/>
        <w:t>applied to only half of the people. Another example is provided by Hahn et al., who discussed a Cochrane review of hip protectors (Hahn 2005). The cluster trials showed large positive effect whereas individually randomized trials did not show any clear benefit. One possibility is that there was a "herd effect" in the cluster-randomized trials (which were often performed in nursing homes, where compliance with using the protectors may have been enhanced). In general, such "contamination" would lead to underestimates of effect. Thus, if an intervention effect is still demonstrated despite contamination in those trials that were not cluster-randomized, a confident conclusion about the presence of an effect can be drawn. However, the size of the effect is likely to be underestimated. Contamination and "herd effects" may be different for different types of cluste</w:t>
      </w:r>
      <w:r w:rsidR="00FF0530" w:rsidRPr="00A002D0">
        <w:rPr>
          <w:rFonts w:ascii="Times New Roman" w:eastAsia="黑体" w:hAnsi="Times New Roman" w:cs="Times New Roman"/>
        </w:rPr>
        <w:t>r.</w:t>
      </w:r>
    </w:p>
    <w:p w14:paraId="74229B29" w14:textId="12D41123" w:rsidR="00251597" w:rsidRPr="00A002D0" w:rsidRDefault="00251597" w:rsidP="00251597">
      <w:pPr>
        <w:spacing w:line="360" w:lineRule="auto"/>
        <w:rPr>
          <w:rFonts w:eastAsia="黑体"/>
        </w:rPr>
      </w:pPr>
    </w:p>
    <w:p w14:paraId="260304E7" w14:textId="77777777" w:rsidR="00251597" w:rsidRPr="00A002D0" w:rsidRDefault="00251597" w:rsidP="00251597">
      <w:pPr>
        <w:spacing w:line="360" w:lineRule="auto"/>
        <w:rPr>
          <w:rFonts w:eastAsia="黑体"/>
          <w:b/>
          <w:bCs/>
        </w:rPr>
      </w:pPr>
      <w:r w:rsidRPr="00A002D0">
        <w:rPr>
          <w:rFonts w:eastAsia="黑体"/>
          <w:b/>
          <w:bCs/>
        </w:rPr>
        <w:t>References</w:t>
      </w:r>
    </w:p>
    <w:p w14:paraId="5CDFC9E3" w14:textId="588FCF93" w:rsidR="00251597" w:rsidRPr="00A002D0" w:rsidRDefault="00251597" w:rsidP="00251597">
      <w:pPr>
        <w:spacing w:line="360" w:lineRule="auto"/>
        <w:rPr>
          <w:rFonts w:eastAsia="黑体"/>
        </w:rPr>
      </w:pPr>
      <w:r w:rsidRPr="00A002D0">
        <w:rPr>
          <w:rFonts w:eastAsia="黑体"/>
        </w:rPr>
        <w:t xml:space="preserve">Assessment. (2024). Retrieved 28 March 2024, from </w:t>
      </w:r>
      <w:hyperlink r:id="rId8" w:history="1">
        <w:r w:rsidRPr="00A002D0">
          <w:rPr>
            <w:rStyle w:val="a7"/>
            <w:rFonts w:eastAsia="黑体"/>
          </w:rPr>
          <w:t>https://www.distillersr.com/resources/methodological-resources/tool-to-assess-risk-of-bias-in-randomized-controlled-trials-distillersr</w:t>
        </w:r>
      </w:hyperlink>
    </w:p>
    <w:p w14:paraId="6CA2361E" w14:textId="08DBFD6E" w:rsidR="00251597" w:rsidRPr="00A002D0" w:rsidRDefault="00251597" w:rsidP="00251597">
      <w:pPr>
        <w:spacing w:line="360" w:lineRule="auto"/>
        <w:rPr>
          <w:rFonts w:eastAsia="黑体"/>
        </w:rPr>
      </w:pPr>
      <w:r w:rsidRPr="00A002D0">
        <w:rPr>
          <w:rFonts w:eastAsia="黑体"/>
        </w:rPr>
        <w:t xml:space="preserve">Chapter 8: Assessing risk of bias in a randomized trial | Cochrane Training. (2024). Retrieved 28 March 2024, from </w:t>
      </w:r>
      <w:hyperlink r:id="rId9" w:history="1">
        <w:r w:rsidRPr="00A002D0">
          <w:rPr>
            <w:rStyle w:val="a7"/>
            <w:rFonts w:eastAsia="黑体"/>
          </w:rPr>
          <w:t>https://training.cochrane.org/handbook/current/chapter-08</w:t>
        </w:r>
      </w:hyperlink>
    </w:p>
    <w:p w14:paraId="3703689C" w14:textId="74D2ACB1" w:rsidR="004B7B7B" w:rsidRPr="00A002D0" w:rsidRDefault="004B7B7B" w:rsidP="001E0D6D">
      <w:pPr>
        <w:spacing w:line="360" w:lineRule="auto"/>
        <w:rPr>
          <w:rFonts w:eastAsia="黑体"/>
        </w:rPr>
      </w:pPr>
      <w:r w:rsidRPr="00A002D0">
        <w:rPr>
          <w:rFonts w:eastAsia="黑体"/>
        </w:rPr>
        <w:br w:type="page"/>
      </w:r>
    </w:p>
    <w:p w14:paraId="2CF00AFC" w14:textId="49B06FF5" w:rsidR="00FA7E95" w:rsidRPr="00A002D0" w:rsidRDefault="00A31D5B" w:rsidP="001E0D6D">
      <w:pPr>
        <w:pStyle w:val="2"/>
        <w:spacing w:line="360" w:lineRule="auto"/>
        <w:rPr>
          <w:rFonts w:ascii="Times New Roman" w:hAnsi="Times New Roman" w:cs="Times New Roman"/>
          <w:sz w:val="28"/>
          <w:szCs w:val="28"/>
        </w:rPr>
      </w:pPr>
      <w:bookmarkStart w:id="16" w:name="_Toc211461920"/>
      <w:r>
        <w:rPr>
          <w:rFonts w:ascii="Times New Roman" w:eastAsia="黑体" w:hAnsi="Times New Roman" w:cs="Times New Roman" w:hint="eastAsia"/>
          <w:sz w:val="28"/>
          <w:szCs w:val="28"/>
        </w:rPr>
        <w:lastRenderedPageBreak/>
        <w:t>Text S3</w:t>
      </w:r>
      <w:r w:rsidR="00FA7E95" w:rsidRPr="00A002D0">
        <w:rPr>
          <w:rFonts w:ascii="Times New Roman" w:hAnsi="Times New Roman" w:cs="Times New Roman"/>
          <w:sz w:val="28"/>
          <w:szCs w:val="28"/>
        </w:rPr>
        <w:t xml:space="preserve"> Processing of data</w:t>
      </w:r>
      <w:bookmarkEnd w:id="16"/>
    </w:p>
    <w:p w14:paraId="0FE225D7" w14:textId="77777777" w:rsidR="00FA7E95" w:rsidRPr="00A002D0" w:rsidRDefault="00FA7E95" w:rsidP="001E0D6D">
      <w:pPr>
        <w:pStyle w:val="3"/>
        <w:spacing w:line="360" w:lineRule="auto"/>
        <w:rPr>
          <w:rFonts w:ascii="Times New Roman" w:eastAsia="黑体" w:hAnsi="Times New Roman" w:cs="Times New Roman"/>
          <w:sz w:val="24"/>
          <w:szCs w:val="24"/>
        </w:rPr>
      </w:pPr>
      <w:bookmarkStart w:id="17" w:name="_Toc211461921"/>
      <w:r w:rsidRPr="00A002D0">
        <w:rPr>
          <w:rFonts w:ascii="Times New Roman" w:eastAsia="黑体" w:hAnsi="Times New Roman" w:cs="Times New Roman"/>
          <w:sz w:val="24"/>
          <w:szCs w:val="24"/>
        </w:rPr>
        <w:t>Details on the missing means and SDs imputation for each outcome</w:t>
      </w:r>
      <w:bookmarkEnd w:id="17"/>
    </w:p>
    <w:p w14:paraId="71D256BC" w14:textId="77777777" w:rsidR="00FA7E95" w:rsidRPr="00A002D0" w:rsidRDefault="00FA7E95" w:rsidP="001E0D6D">
      <w:pPr>
        <w:spacing w:line="360" w:lineRule="auto"/>
        <w:rPr>
          <w:rFonts w:eastAsia="黑体"/>
        </w:rPr>
      </w:pPr>
      <w:r w:rsidRPr="00A002D0">
        <w:rPr>
          <w:rFonts w:eastAsia="黑体"/>
        </w:rPr>
        <w:t>Methods for imputation of missing means and standard deviations are as below:</w:t>
      </w:r>
    </w:p>
    <w:p w14:paraId="2D565BE4" w14:textId="77777777" w:rsidR="00FA7E95" w:rsidRPr="00A002D0" w:rsidRDefault="00FA7E95" w:rsidP="001E0D6D">
      <w:pPr>
        <w:pStyle w:val="a5"/>
        <w:numPr>
          <w:ilvl w:val="0"/>
          <w:numId w:val="20"/>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We used published means and standard deviations (SDs), where available.</w:t>
      </w:r>
    </w:p>
    <w:p w14:paraId="650FFB63" w14:textId="77777777" w:rsidR="00FA7E95" w:rsidRPr="00A002D0" w:rsidRDefault="00FA7E95" w:rsidP="001E0D6D">
      <w:pPr>
        <w:pStyle w:val="a5"/>
        <w:numPr>
          <w:ilvl w:val="0"/>
          <w:numId w:val="20"/>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When standard errors instead of SDs were presented, the former was converted to SDs according to Cochrane Handbook.</w:t>
      </w:r>
    </w:p>
    <w:p w14:paraId="312C02B2" w14:textId="77777777" w:rsidR="00FA7E95" w:rsidRPr="00A002D0" w:rsidRDefault="00FA7E95" w:rsidP="001E0D6D">
      <w:pPr>
        <w:pStyle w:val="a5"/>
        <w:spacing w:beforeLines="50" w:before="163" w:afterLines="50" w:after="163" w:line="360" w:lineRule="auto"/>
        <w:ind w:left="357" w:firstLineChars="0" w:firstLine="0"/>
        <w:rPr>
          <w:rFonts w:ascii="Times New Roman" w:hAnsi="Times New Roman" w:cs="Times New Roman"/>
          <w:color w:val="000000"/>
          <w:szCs w:val="21"/>
        </w:rPr>
      </w:pPr>
      <m:oMathPara>
        <m:oMath>
          <m:r>
            <w:rPr>
              <w:rFonts w:ascii="Cambria Math" w:hAnsi="Cambria Math" w:cs="Times New Roman"/>
              <w:color w:val="000000"/>
              <w:szCs w:val="21"/>
            </w:rPr>
            <m:t>SD=SE×</m:t>
          </m:r>
          <m:rad>
            <m:radPr>
              <m:degHide m:val="1"/>
              <m:ctrlPr>
                <w:rPr>
                  <w:rFonts w:ascii="Cambria Math" w:hAnsi="Cambria Math" w:cs="Times New Roman"/>
                  <w:i/>
                  <w:color w:val="000000"/>
                  <w:szCs w:val="21"/>
                </w:rPr>
              </m:ctrlPr>
            </m:radPr>
            <m:deg/>
            <m:e>
              <m:r>
                <w:rPr>
                  <w:rFonts w:ascii="Cambria Math" w:hAnsi="Cambria Math" w:cs="Times New Roman"/>
                  <w:color w:val="000000"/>
                  <w:szCs w:val="21"/>
                </w:rPr>
                <m:t>N</m:t>
              </m:r>
            </m:e>
          </m:rad>
        </m:oMath>
      </m:oMathPara>
    </w:p>
    <w:p w14:paraId="00703891" w14:textId="5E862BAB" w:rsidR="00FA7E95" w:rsidRPr="00A002D0" w:rsidRDefault="00FA7E95" w:rsidP="001E0D6D">
      <w:pPr>
        <w:pStyle w:val="a5"/>
        <w:numPr>
          <w:ilvl w:val="1"/>
          <w:numId w:val="2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This method was used to impute SDs for Geleijnse 1994 in 4 outcomes: </w:t>
      </w:r>
      <w:r w:rsidR="00ED7AE1" w:rsidRPr="00A002D0">
        <w:rPr>
          <w:rFonts w:ascii="Times New Roman" w:eastAsia="黑体" w:hAnsi="Times New Roman" w:cs="Times New Roman"/>
        </w:rPr>
        <w:t>Blood</w:t>
      </w:r>
      <w:r w:rsidRPr="00A002D0">
        <w:rPr>
          <w:rFonts w:ascii="Times New Roman" w:eastAsia="黑体" w:hAnsi="Times New Roman" w:cs="Times New Roman"/>
        </w:rPr>
        <w:t xml:space="preserve"> potassium, </w:t>
      </w:r>
      <w:r w:rsidR="00ED7AE1" w:rsidRPr="00A002D0">
        <w:rPr>
          <w:rFonts w:ascii="Times New Roman" w:eastAsia="黑体" w:hAnsi="Times New Roman" w:cs="Times New Roman"/>
        </w:rPr>
        <w:t>Blood</w:t>
      </w:r>
      <w:r w:rsidRPr="00A002D0">
        <w:rPr>
          <w:rFonts w:ascii="Times New Roman" w:eastAsia="黑体" w:hAnsi="Times New Roman" w:cs="Times New Roman"/>
        </w:rPr>
        <w:t xml:space="preserve"> sodium,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potassium, and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sodium.</w:t>
      </w:r>
    </w:p>
    <w:p w14:paraId="6C36B43E" w14:textId="77777777" w:rsidR="00FA7E95" w:rsidRPr="00A002D0" w:rsidRDefault="00FA7E95" w:rsidP="001E0D6D">
      <w:pPr>
        <w:pStyle w:val="a5"/>
        <w:numPr>
          <w:ilvl w:val="0"/>
          <w:numId w:val="20"/>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If both were missing, we estimated SDs from confidence interval (CIs) according to the recommendations of the Cochrane Handbook.</w:t>
      </w:r>
    </w:p>
    <w:p w14:paraId="09AD96C1" w14:textId="77777777" w:rsidR="00FA7E95" w:rsidRPr="00A002D0" w:rsidRDefault="00FA7E95" w:rsidP="001E0D6D">
      <w:pPr>
        <w:pStyle w:val="a5"/>
        <w:spacing w:beforeLines="50" w:before="163" w:afterLines="50" w:after="163" w:line="360" w:lineRule="auto"/>
        <w:ind w:left="357" w:firstLineChars="0" w:firstLine="0"/>
        <w:rPr>
          <w:rFonts w:ascii="Times New Roman" w:hAnsi="Times New Roman" w:cs="Times New Roman"/>
          <w:i/>
          <w:color w:val="000000"/>
          <w:szCs w:val="21"/>
        </w:rPr>
      </w:pPr>
      <m:oMathPara>
        <m:oMath>
          <m:r>
            <w:rPr>
              <w:rFonts w:ascii="Cambria Math" w:hAnsi="Cambria Math" w:cs="Times New Roman"/>
              <w:color w:val="000000"/>
              <w:szCs w:val="21"/>
            </w:rPr>
            <m:t>SD=</m:t>
          </m:r>
          <m:rad>
            <m:radPr>
              <m:degHide m:val="1"/>
              <m:ctrlPr>
                <w:rPr>
                  <w:rFonts w:ascii="Cambria Math" w:hAnsi="Cambria Math" w:cs="Times New Roman"/>
                  <w:i/>
                  <w:color w:val="000000"/>
                  <w:szCs w:val="21"/>
                </w:rPr>
              </m:ctrlPr>
            </m:radPr>
            <m:deg/>
            <m:e>
              <m:r>
                <w:rPr>
                  <w:rFonts w:ascii="Cambria Math" w:hAnsi="Cambria Math" w:cs="Times New Roman"/>
                  <w:color w:val="000000"/>
                  <w:szCs w:val="21"/>
                </w:rPr>
                <m:t>N</m:t>
              </m:r>
            </m:e>
          </m:rad>
          <m:r>
            <w:rPr>
              <w:rFonts w:ascii="Cambria Math" w:hAnsi="Cambria Math" w:cs="Times New Roman"/>
              <w:color w:val="000000"/>
              <w:szCs w:val="21"/>
            </w:rPr>
            <m:t>×</m:t>
          </m:r>
          <m:d>
            <m:dPr>
              <m:begChr m:val="（"/>
              <m:endChr m:val="）"/>
              <m:ctrlPr>
                <w:rPr>
                  <w:rFonts w:ascii="Cambria Math" w:hAnsi="Cambria Math" w:cs="Times New Roman"/>
                  <w:i/>
                  <w:color w:val="000000"/>
                  <w:szCs w:val="21"/>
                </w:rPr>
              </m:ctrlPr>
            </m:dPr>
            <m:e>
              <m:r>
                <w:rPr>
                  <w:rFonts w:ascii="Cambria Math" w:hAnsi="Cambria Math" w:cs="Times New Roman"/>
                  <w:color w:val="000000"/>
                  <w:szCs w:val="21"/>
                </w:rPr>
                <m:t>upper limit-lower limit</m:t>
              </m:r>
            </m:e>
          </m:d>
          <m:r>
            <w:rPr>
              <w:rFonts w:ascii="Cambria Math" w:hAnsi="Cambria Math" w:cs="Times New Roman"/>
              <w:color w:val="000000"/>
              <w:szCs w:val="21"/>
            </w:rPr>
            <m:t>/3.92</m:t>
          </m:r>
        </m:oMath>
      </m:oMathPara>
    </w:p>
    <w:p w14:paraId="637D1C17" w14:textId="77777777" w:rsidR="00FA7E95" w:rsidRPr="00A002D0" w:rsidRDefault="00FA7E95" w:rsidP="001E0D6D">
      <w:pPr>
        <w:pStyle w:val="a5"/>
        <w:numPr>
          <w:ilvl w:val="0"/>
          <w:numId w:val="20"/>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If studies reported medians, the first quartiles, and the third quartiles, we used the sum of the three divided by 3 to impute the missing means (Luo 2018). The SDs were estimated according to Wan et.al..</w:t>
      </w:r>
    </w:p>
    <w:p w14:paraId="51AB7E1D" w14:textId="1C7A309C" w:rsidR="00FA7E95" w:rsidRPr="00A002D0" w:rsidRDefault="00FA7E95" w:rsidP="001E0D6D">
      <w:pPr>
        <w:pStyle w:val="a5"/>
        <w:numPr>
          <w:ilvl w:val="1"/>
          <w:numId w:val="2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This method was used to impute means and SDs for Baek 2015 in 6 outcomes: DBP, SBP, </w:t>
      </w:r>
      <w:r w:rsidR="00ED7AE1" w:rsidRPr="00A002D0">
        <w:rPr>
          <w:rFonts w:ascii="Times New Roman" w:eastAsia="黑体" w:hAnsi="Times New Roman" w:cs="Times New Roman"/>
        </w:rPr>
        <w:t>Blood</w:t>
      </w:r>
      <w:r w:rsidRPr="00A002D0">
        <w:rPr>
          <w:rFonts w:ascii="Times New Roman" w:eastAsia="黑体" w:hAnsi="Times New Roman" w:cs="Times New Roman"/>
        </w:rPr>
        <w:t xml:space="preserve"> potassium, </w:t>
      </w:r>
      <w:r w:rsidR="00ED7AE1" w:rsidRPr="00A002D0">
        <w:rPr>
          <w:rFonts w:ascii="Times New Roman" w:eastAsia="黑体" w:hAnsi="Times New Roman" w:cs="Times New Roman"/>
        </w:rPr>
        <w:t>Blood</w:t>
      </w:r>
      <w:r w:rsidRPr="00A002D0">
        <w:rPr>
          <w:rFonts w:ascii="Times New Roman" w:eastAsia="黑体" w:hAnsi="Times New Roman" w:cs="Times New Roman"/>
        </w:rPr>
        <w:t xml:space="preserve"> sodium,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potassium, and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sodium;</w:t>
      </w:r>
    </w:p>
    <w:p w14:paraId="3B11FD9F" w14:textId="7A06F922" w:rsidR="00FA7E95" w:rsidRPr="00A002D0" w:rsidRDefault="00FA7E95" w:rsidP="001E0D6D">
      <w:pPr>
        <w:pStyle w:val="a5"/>
        <w:numPr>
          <w:ilvl w:val="1"/>
          <w:numId w:val="2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for Che 2022 in 4 outcomes: </w:t>
      </w:r>
      <w:r w:rsidR="00ED7AE1" w:rsidRPr="00A002D0">
        <w:rPr>
          <w:rFonts w:ascii="Times New Roman" w:eastAsia="黑体" w:hAnsi="Times New Roman" w:cs="Times New Roman"/>
        </w:rPr>
        <w:t>Blood</w:t>
      </w:r>
      <w:r w:rsidRPr="00A002D0">
        <w:rPr>
          <w:rFonts w:ascii="Times New Roman" w:eastAsia="黑体" w:hAnsi="Times New Roman" w:cs="Times New Roman"/>
        </w:rPr>
        <w:t xml:space="preserve"> potassium, </w:t>
      </w:r>
      <w:r w:rsidR="00ED7AE1" w:rsidRPr="00A002D0">
        <w:rPr>
          <w:rFonts w:ascii="Times New Roman" w:eastAsia="黑体" w:hAnsi="Times New Roman" w:cs="Times New Roman"/>
        </w:rPr>
        <w:t>Blood</w:t>
      </w:r>
      <w:r w:rsidRPr="00A002D0">
        <w:rPr>
          <w:rFonts w:ascii="Times New Roman" w:eastAsia="黑体" w:hAnsi="Times New Roman" w:cs="Times New Roman"/>
        </w:rPr>
        <w:t xml:space="preserve"> sodium,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potassium, and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sodium;</w:t>
      </w:r>
    </w:p>
    <w:p w14:paraId="3C3B837F" w14:textId="3000F192" w:rsidR="00FA7E95" w:rsidRPr="00A002D0" w:rsidRDefault="00FA7E95" w:rsidP="001E0D6D">
      <w:pPr>
        <w:pStyle w:val="a5"/>
        <w:numPr>
          <w:ilvl w:val="1"/>
          <w:numId w:val="2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for Hu 2018 in 2 outcomes: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potassium and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sodium;</w:t>
      </w:r>
    </w:p>
    <w:p w14:paraId="52306498" w14:textId="3BEFEAF5" w:rsidR="00FA7E95" w:rsidRPr="00A002D0" w:rsidRDefault="00FA7E95" w:rsidP="001E0D6D">
      <w:pPr>
        <w:pStyle w:val="a5"/>
        <w:numPr>
          <w:ilvl w:val="1"/>
          <w:numId w:val="2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for CSSS 2007 in 2 outcomes: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potassium and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sodium;</w:t>
      </w:r>
    </w:p>
    <w:p w14:paraId="259003AC" w14:textId="3637C803" w:rsidR="00FA7E95" w:rsidRPr="00A002D0" w:rsidRDefault="00FA7E95" w:rsidP="001E0D6D">
      <w:pPr>
        <w:pStyle w:val="a5"/>
        <w:numPr>
          <w:ilvl w:val="1"/>
          <w:numId w:val="22"/>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 xml:space="preserve">for Zhou 2013 in 2 outcomes: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potassium and </w:t>
      </w:r>
      <w:r w:rsidR="00ED7AE1" w:rsidRPr="00A002D0">
        <w:rPr>
          <w:rFonts w:ascii="Times New Roman" w:eastAsia="黑体" w:hAnsi="Times New Roman" w:cs="Times New Roman"/>
        </w:rPr>
        <w:t>Urinary</w:t>
      </w:r>
      <w:r w:rsidRPr="00A002D0">
        <w:rPr>
          <w:rFonts w:ascii="Times New Roman" w:eastAsia="黑体" w:hAnsi="Times New Roman" w:cs="Times New Roman"/>
        </w:rPr>
        <w:t xml:space="preserve"> sodium.</w:t>
      </w:r>
    </w:p>
    <w:p w14:paraId="20E998E8" w14:textId="77777777" w:rsidR="00FA7E95" w:rsidRPr="00A002D0" w:rsidRDefault="00FA7E95" w:rsidP="001E0D6D">
      <w:pPr>
        <w:pStyle w:val="a5"/>
        <w:numPr>
          <w:ilvl w:val="0"/>
          <w:numId w:val="20"/>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If studies reported medians and interquartile ranges (IQRs), we used median to impute the missing means and calculated SDs by dividing IQRs by 1.35.</w:t>
      </w:r>
    </w:p>
    <w:p w14:paraId="3C9BB155" w14:textId="77777777" w:rsidR="00FA7E95" w:rsidRPr="00A002D0" w:rsidRDefault="00FA7E95" w:rsidP="001E0D6D">
      <w:pPr>
        <w:pStyle w:val="a5"/>
        <w:numPr>
          <w:ilvl w:val="0"/>
          <w:numId w:val="20"/>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lastRenderedPageBreak/>
        <w:t>If none of these options are viable, we imputed the missing SDs using pooled SDs from other studies included in our NMA following the formula below:</w:t>
      </w:r>
    </w:p>
    <w:p w14:paraId="3BEED46F" w14:textId="77777777" w:rsidR="00FA7E95" w:rsidRPr="00A002D0" w:rsidRDefault="00000000" w:rsidP="001E0D6D">
      <w:pPr>
        <w:spacing w:beforeLines="50" w:before="163" w:afterLines="50" w:after="163" w:line="360" w:lineRule="auto"/>
        <w:jc w:val="both"/>
        <w:rPr>
          <w:sz w:val="21"/>
          <w:szCs w:val="21"/>
        </w:rPr>
      </w:pPr>
      <m:oMathPara>
        <m:oMathParaPr>
          <m:jc m:val="center"/>
        </m:oMathParaPr>
        <m:oMath>
          <m:sSub>
            <m:sSubPr>
              <m:ctrlPr>
                <w:rPr>
                  <w:rFonts w:ascii="Cambria Math" w:hAnsi="Cambria Math"/>
                  <w:sz w:val="21"/>
                  <w:szCs w:val="21"/>
                </w:rPr>
              </m:ctrlPr>
            </m:sSubPr>
            <m:e>
              <m:r>
                <w:rPr>
                  <w:rFonts w:ascii="Cambria Math" w:hAnsi="Cambria Math"/>
                  <w:sz w:val="21"/>
                  <w:szCs w:val="21"/>
                </w:rPr>
                <m:t>SD</m:t>
              </m:r>
            </m:e>
            <m:sub>
              <m:r>
                <w:rPr>
                  <w:rFonts w:ascii="Cambria Math" w:hAnsi="Cambria Math"/>
                  <w:sz w:val="21"/>
                  <w:szCs w:val="21"/>
                </w:rPr>
                <m:t>pooled</m:t>
              </m:r>
            </m:sub>
          </m:sSub>
          <m:r>
            <w:rPr>
              <w:rFonts w:ascii="Cambria Math" w:hAnsi="Cambria Math"/>
              <w:sz w:val="21"/>
              <w:szCs w:val="21"/>
            </w:rPr>
            <m:t>=</m:t>
          </m:r>
          <m:rad>
            <m:radPr>
              <m:degHide m:val="1"/>
              <m:ctrlPr>
                <w:rPr>
                  <w:rFonts w:ascii="Cambria Math" w:hAnsi="Cambria Math"/>
                  <w:i/>
                  <w:sz w:val="21"/>
                  <w:szCs w:val="21"/>
                </w:rPr>
              </m:ctrlPr>
            </m:radPr>
            <m:deg/>
            <m:e>
              <m:f>
                <m:fPr>
                  <m:ctrlPr>
                    <w:rPr>
                      <w:rFonts w:ascii="Cambria Math" w:hAnsi="Cambria Math"/>
                      <w:i/>
                      <w:sz w:val="21"/>
                      <w:szCs w:val="21"/>
                    </w:rPr>
                  </m:ctrlPr>
                </m:fPr>
                <m:num>
                  <m:nary>
                    <m:naryPr>
                      <m:chr m:val="∑"/>
                      <m:limLoc m:val="undOvr"/>
                      <m:subHide m:val="1"/>
                      <m:supHide m:val="1"/>
                      <m:ctrlPr>
                        <w:rPr>
                          <w:rFonts w:ascii="Cambria Math" w:hAnsi="Cambria Math"/>
                          <w:i/>
                          <w:sz w:val="21"/>
                          <w:szCs w:val="21"/>
                        </w:rPr>
                      </m:ctrlPr>
                    </m:naryPr>
                    <m:sub/>
                    <m:sup/>
                    <m:e>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n</m:t>
                              </m:r>
                            </m:e>
                            <m:sub>
                              <m:r>
                                <w:rPr>
                                  <w:rFonts w:ascii="Cambria Math" w:hAnsi="Cambria Math"/>
                                  <w:sz w:val="21"/>
                                  <w:szCs w:val="21"/>
                                </w:rPr>
                                <m:t>i</m:t>
                              </m:r>
                            </m:sub>
                          </m:sSub>
                          <m:r>
                            <w:rPr>
                              <w:rFonts w:ascii="Cambria Math" w:hAnsi="Cambria Math"/>
                              <w:sz w:val="21"/>
                              <w:szCs w:val="21"/>
                            </w:rPr>
                            <m:t>-1</m:t>
                          </m:r>
                        </m:e>
                      </m:d>
                      <m:sSubSup>
                        <m:sSubSupPr>
                          <m:ctrlPr>
                            <w:rPr>
                              <w:rFonts w:ascii="Cambria Math" w:hAnsi="Cambria Math"/>
                              <w:i/>
                              <w:sz w:val="21"/>
                              <w:szCs w:val="21"/>
                            </w:rPr>
                          </m:ctrlPr>
                        </m:sSubSupPr>
                        <m:e>
                          <m:r>
                            <w:rPr>
                              <w:rFonts w:ascii="Cambria Math" w:hAnsi="Cambria Math"/>
                              <w:sz w:val="21"/>
                              <w:szCs w:val="21"/>
                            </w:rPr>
                            <m:t>SD</m:t>
                          </m:r>
                        </m:e>
                        <m:sub>
                          <m:r>
                            <w:rPr>
                              <w:rFonts w:ascii="Cambria Math" w:hAnsi="Cambria Math"/>
                              <w:sz w:val="21"/>
                              <w:szCs w:val="21"/>
                            </w:rPr>
                            <m:t>I</m:t>
                          </m:r>
                        </m:sub>
                        <m:sup>
                          <m:r>
                            <w:rPr>
                              <w:rFonts w:ascii="Cambria Math" w:hAnsi="Cambria Math"/>
                              <w:sz w:val="21"/>
                              <w:szCs w:val="21"/>
                            </w:rPr>
                            <m:t>2</m:t>
                          </m:r>
                        </m:sup>
                      </m:sSubSup>
                    </m:e>
                  </m:nary>
                </m:num>
                <m:den>
                  <m:nary>
                    <m:naryPr>
                      <m:chr m:val="∑"/>
                      <m:limLoc m:val="undOvr"/>
                      <m:subHide m:val="1"/>
                      <m:supHide m:val="1"/>
                      <m:ctrlPr>
                        <w:rPr>
                          <w:rFonts w:ascii="Cambria Math" w:hAnsi="Cambria Math"/>
                          <w:i/>
                          <w:sz w:val="21"/>
                          <w:szCs w:val="21"/>
                        </w:rPr>
                      </m:ctrlPr>
                    </m:naryPr>
                    <m:sub/>
                    <m:sup/>
                    <m:e>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n</m:t>
                          </m:r>
                        </m:e>
                        <m:sub>
                          <m:r>
                            <w:rPr>
                              <w:rFonts w:ascii="Cambria Math" w:hAnsi="Cambria Math"/>
                              <w:sz w:val="21"/>
                              <w:szCs w:val="21"/>
                            </w:rPr>
                            <m:t>i</m:t>
                          </m:r>
                        </m:sub>
                      </m:sSub>
                      <m:r>
                        <w:rPr>
                          <w:rFonts w:ascii="Cambria Math" w:hAnsi="Cambria Math"/>
                          <w:sz w:val="21"/>
                          <w:szCs w:val="21"/>
                        </w:rPr>
                        <m:t>-1)</m:t>
                      </m:r>
                    </m:e>
                  </m:nary>
                </m:den>
              </m:f>
            </m:e>
          </m:rad>
        </m:oMath>
      </m:oMathPara>
    </w:p>
    <w:p w14:paraId="545875E6" w14:textId="77777777" w:rsidR="00FA7E95" w:rsidRPr="00A002D0" w:rsidRDefault="00FA7E95" w:rsidP="001E0D6D">
      <w:pPr>
        <w:spacing w:line="360" w:lineRule="auto"/>
        <w:rPr>
          <w:rFonts w:eastAsia="黑体"/>
        </w:rPr>
      </w:pPr>
    </w:p>
    <w:p w14:paraId="60AFCEA5" w14:textId="77777777" w:rsidR="00FA7E95" w:rsidRPr="00A002D0" w:rsidRDefault="00FA7E95" w:rsidP="001E0D6D">
      <w:pPr>
        <w:spacing w:line="360" w:lineRule="auto"/>
        <w:rPr>
          <w:rFonts w:eastAsia="黑体"/>
          <w:b/>
          <w:bCs/>
        </w:rPr>
      </w:pPr>
      <w:r w:rsidRPr="00A002D0">
        <w:rPr>
          <w:rFonts w:eastAsia="黑体"/>
          <w:b/>
          <w:bCs/>
        </w:rPr>
        <w:t>References</w:t>
      </w:r>
    </w:p>
    <w:p w14:paraId="539784D4" w14:textId="77777777" w:rsidR="00FA7E95" w:rsidRPr="00A002D0" w:rsidRDefault="00FA7E95" w:rsidP="001E0D6D">
      <w:pPr>
        <w:spacing w:line="360" w:lineRule="auto"/>
        <w:rPr>
          <w:rFonts w:eastAsia="黑体"/>
        </w:rPr>
      </w:pPr>
      <w:r w:rsidRPr="00A002D0">
        <w:rPr>
          <w:rFonts w:eastAsia="黑体"/>
        </w:rPr>
        <w:t>D. Luo, X. Wan, J. Liu and T. Tong (2018), "Optimally estimating the sample mean from the sample size, median, mid-range and/or mid-quartile range", Statistical Methods in Medical Research, 27: 1785-1805.</w:t>
      </w:r>
    </w:p>
    <w:p w14:paraId="76CFA0A3" w14:textId="39DA2A96" w:rsidR="00FA7E95" w:rsidRPr="00A002D0" w:rsidRDefault="00FA7E95" w:rsidP="001E0D6D">
      <w:pPr>
        <w:spacing w:line="360" w:lineRule="auto"/>
        <w:rPr>
          <w:rFonts w:eastAsia="黑体"/>
        </w:rPr>
      </w:pPr>
      <w:r w:rsidRPr="00A002D0">
        <w:rPr>
          <w:rFonts w:eastAsia="黑体"/>
        </w:rPr>
        <w:t>X. Wan, W. Wang, J. Liu and T. Tong (2014), "Estimating the sample mean and standard deviation from the sample size, median, range and/or interquartile range", BMC Medical Research Methodology, 14: 135.</w:t>
      </w:r>
    </w:p>
    <w:p w14:paraId="4C5CF6EA" w14:textId="59D48F72" w:rsidR="00251597" w:rsidRPr="00A002D0" w:rsidRDefault="00251597" w:rsidP="001E0D6D">
      <w:pPr>
        <w:spacing w:line="360" w:lineRule="auto"/>
        <w:rPr>
          <w:rFonts w:eastAsia="黑体"/>
        </w:rPr>
      </w:pPr>
      <w:r w:rsidRPr="00A002D0">
        <w:rPr>
          <w:rFonts w:eastAsia="黑体"/>
        </w:rPr>
        <w:t xml:space="preserve">Chapter 5: Collecting data | Cochrane Training. (2024). Retrieved 28 March 2024, from </w:t>
      </w:r>
      <w:hyperlink r:id="rId10" w:history="1">
        <w:r w:rsidRPr="00A002D0">
          <w:rPr>
            <w:rStyle w:val="a7"/>
            <w:rFonts w:eastAsia="黑体"/>
          </w:rPr>
          <w:t>https://training.cochrane.org/handbook/current/chapter-05</w:t>
        </w:r>
      </w:hyperlink>
    </w:p>
    <w:p w14:paraId="16529570" w14:textId="77777777" w:rsidR="00FA7E95" w:rsidRPr="00A002D0" w:rsidRDefault="00FA7E95" w:rsidP="001E0D6D">
      <w:pPr>
        <w:spacing w:line="360" w:lineRule="auto"/>
        <w:rPr>
          <w:rFonts w:eastAsia="黑体"/>
        </w:rPr>
      </w:pPr>
      <w:r w:rsidRPr="00A002D0">
        <w:rPr>
          <w:rFonts w:eastAsia="黑体"/>
        </w:rPr>
        <w:br w:type="page"/>
      </w:r>
    </w:p>
    <w:p w14:paraId="793BA5B4" w14:textId="77777777" w:rsidR="00FA7E95" w:rsidRPr="00A002D0" w:rsidRDefault="00FA7E95" w:rsidP="001E0D6D">
      <w:pPr>
        <w:pStyle w:val="3"/>
        <w:spacing w:line="360" w:lineRule="auto"/>
        <w:rPr>
          <w:rFonts w:ascii="Times New Roman" w:eastAsia="黑体" w:hAnsi="Times New Roman" w:cs="Times New Roman"/>
          <w:sz w:val="24"/>
          <w:szCs w:val="24"/>
        </w:rPr>
      </w:pPr>
      <w:bookmarkStart w:id="18" w:name="_Toc211461922"/>
      <w:r w:rsidRPr="00A002D0">
        <w:rPr>
          <w:rFonts w:ascii="Times New Roman" w:eastAsia="黑体" w:hAnsi="Times New Roman" w:cs="Times New Roman"/>
          <w:sz w:val="24"/>
          <w:szCs w:val="24"/>
        </w:rPr>
        <w:lastRenderedPageBreak/>
        <w:t>Details on the calculation of change data from baseline</w:t>
      </w:r>
      <w:bookmarkEnd w:id="18"/>
    </w:p>
    <w:p w14:paraId="0050D731" w14:textId="77777777" w:rsidR="00FA7E95" w:rsidRPr="00A002D0" w:rsidRDefault="00FA7E95" w:rsidP="001E0D6D">
      <w:pPr>
        <w:spacing w:line="360" w:lineRule="auto"/>
        <w:rPr>
          <w:rFonts w:eastAsia="黑体"/>
        </w:rPr>
      </w:pPr>
      <w:r w:rsidRPr="00A002D0">
        <w:rPr>
          <w:rFonts w:eastAsia="黑体"/>
        </w:rPr>
        <w:t>In the analyses of mean change data, we used the following methods to calculate. When authors reported mean change from baseline, we used mean change from baseline and SDs. If author reported baseline, endpoint mean and SDs, we calculated mean difference by minus baseline mean from endpoint, and calculated SDs according to Cochrane handbook using following formula:</w:t>
      </w:r>
    </w:p>
    <w:tbl>
      <w:tblPr>
        <w:tblStyle w:val="a6"/>
        <w:tblW w:w="0" w:type="auto"/>
        <w:tblLook w:val="04A0" w:firstRow="1" w:lastRow="0" w:firstColumn="1" w:lastColumn="0" w:noHBand="0" w:noVBand="1"/>
      </w:tblPr>
      <w:tblGrid>
        <w:gridCol w:w="2827"/>
        <w:gridCol w:w="1700"/>
        <w:gridCol w:w="1984"/>
        <w:gridCol w:w="1779"/>
      </w:tblGrid>
      <w:tr w:rsidR="00FA7E95" w:rsidRPr="00A002D0" w14:paraId="15367DF7" w14:textId="77777777" w:rsidTr="00DE2DBD">
        <w:tc>
          <w:tcPr>
            <w:tcW w:w="2830" w:type="dxa"/>
          </w:tcPr>
          <w:p w14:paraId="385C1C63" w14:textId="77777777" w:rsidR="00FA7E95" w:rsidRPr="00A002D0" w:rsidRDefault="00FA7E95" w:rsidP="001E0D6D">
            <w:pPr>
              <w:spacing w:line="360" w:lineRule="auto"/>
              <w:rPr>
                <w:bCs/>
                <w:iCs/>
                <w:color w:val="000000"/>
              </w:rPr>
            </w:pPr>
            <w:r w:rsidRPr="00A002D0">
              <w:rPr>
                <w:bCs/>
                <w:iCs/>
                <w:color w:val="000000"/>
              </w:rPr>
              <w:t>Group</w:t>
            </w:r>
          </w:p>
        </w:tc>
        <w:tc>
          <w:tcPr>
            <w:tcW w:w="1701" w:type="dxa"/>
          </w:tcPr>
          <w:p w14:paraId="40B9D48A" w14:textId="77777777" w:rsidR="00FA7E95" w:rsidRPr="00A002D0" w:rsidRDefault="00FA7E95" w:rsidP="001E0D6D">
            <w:pPr>
              <w:spacing w:line="360" w:lineRule="auto"/>
              <w:rPr>
                <w:bCs/>
                <w:iCs/>
                <w:color w:val="000000"/>
              </w:rPr>
            </w:pPr>
            <w:r w:rsidRPr="00A002D0">
              <w:rPr>
                <w:bCs/>
                <w:iCs/>
                <w:color w:val="000000"/>
              </w:rPr>
              <w:t>Baseline</w:t>
            </w:r>
          </w:p>
        </w:tc>
        <w:tc>
          <w:tcPr>
            <w:tcW w:w="1985" w:type="dxa"/>
          </w:tcPr>
          <w:p w14:paraId="341B7A71" w14:textId="77777777" w:rsidR="00FA7E95" w:rsidRPr="00A002D0" w:rsidRDefault="00FA7E95" w:rsidP="001E0D6D">
            <w:pPr>
              <w:spacing w:line="360" w:lineRule="auto"/>
              <w:rPr>
                <w:bCs/>
                <w:iCs/>
                <w:color w:val="000000"/>
              </w:rPr>
            </w:pPr>
            <w:r w:rsidRPr="00A002D0">
              <w:rPr>
                <w:bCs/>
                <w:iCs/>
                <w:color w:val="000000"/>
              </w:rPr>
              <w:t>Endpoint</w:t>
            </w:r>
          </w:p>
        </w:tc>
        <w:tc>
          <w:tcPr>
            <w:tcW w:w="1780" w:type="dxa"/>
          </w:tcPr>
          <w:p w14:paraId="1D34FF65" w14:textId="77777777" w:rsidR="00FA7E95" w:rsidRPr="00A002D0" w:rsidRDefault="00FA7E95" w:rsidP="001E0D6D">
            <w:pPr>
              <w:spacing w:line="360" w:lineRule="auto"/>
              <w:rPr>
                <w:bCs/>
                <w:iCs/>
                <w:color w:val="000000"/>
              </w:rPr>
            </w:pPr>
            <w:r w:rsidRPr="00A002D0">
              <w:rPr>
                <w:bCs/>
                <w:iCs/>
                <w:color w:val="000000"/>
              </w:rPr>
              <w:t xml:space="preserve">Change </w:t>
            </w:r>
          </w:p>
        </w:tc>
      </w:tr>
      <w:tr w:rsidR="00FA7E95" w:rsidRPr="00A002D0" w14:paraId="00B5251A" w14:textId="77777777" w:rsidTr="00DE2DBD">
        <w:tc>
          <w:tcPr>
            <w:tcW w:w="2830" w:type="dxa"/>
          </w:tcPr>
          <w:p w14:paraId="668B3004" w14:textId="77777777" w:rsidR="00FA7E95" w:rsidRPr="00A002D0" w:rsidRDefault="00FA7E95" w:rsidP="001E0D6D">
            <w:pPr>
              <w:spacing w:line="360" w:lineRule="auto"/>
              <w:rPr>
                <w:bCs/>
                <w:iCs/>
                <w:color w:val="000000"/>
              </w:rPr>
            </w:pPr>
            <w:r w:rsidRPr="00A002D0">
              <w:rPr>
                <w:bCs/>
                <w:iCs/>
                <w:color w:val="000000"/>
              </w:rPr>
              <w:t>Experimental intervention</w:t>
            </w:r>
          </w:p>
          <w:p w14:paraId="04BDE7A4" w14:textId="77777777" w:rsidR="00FA7E95" w:rsidRPr="00A002D0" w:rsidRDefault="00FA7E95" w:rsidP="001E0D6D">
            <w:pPr>
              <w:spacing w:line="360" w:lineRule="auto"/>
              <w:rPr>
                <w:bCs/>
                <w:iCs/>
                <w:color w:val="000000"/>
              </w:rPr>
            </w:pPr>
            <w:r w:rsidRPr="00A002D0">
              <w:rPr>
                <w:bCs/>
                <w:iCs/>
                <w:color w:val="000000"/>
              </w:rPr>
              <w:t>(Sample size)</w:t>
            </w:r>
          </w:p>
        </w:tc>
        <w:tc>
          <w:tcPr>
            <w:tcW w:w="1701" w:type="dxa"/>
          </w:tcPr>
          <w:p w14:paraId="046C3E6C" w14:textId="77777777" w:rsidR="00FA7E95" w:rsidRPr="00A002D0" w:rsidRDefault="00FA7E95" w:rsidP="001E0D6D">
            <w:pPr>
              <w:spacing w:line="360" w:lineRule="auto"/>
              <w:rPr>
                <w:bCs/>
                <w:iCs/>
                <w:color w:val="000000"/>
              </w:rPr>
            </w:pPr>
            <w:r w:rsidRPr="00A002D0">
              <w:rPr>
                <w:bCs/>
                <w:iCs/>
                <w:color w:val="000000"/>
              </w:rPr>
              <w:t>Mean</w:t>
            </w:r>
            <w:r w:rsidRPr="00A002D0">
              <w:rPr>
                <w:bCs/>
                <w:iCs/>
                <w:color w:val="000000"/>
                <w:vertAlign w:val="subscript"/>
              </w:rPr>
              <w:t>1</w:t>
            </w:r>
            <w:r w:rsidRPr="00A002D0">
              <w:rPr>
                <w:bCs/>
                <w:iCs/>
                <w:color w:val="000000"/>
              </w:rPr>
              <w:t xml:space="preserve"> (B)</w:t>
            </w:r>
          </w:p>
          <w:p w14:paraId="47A35F6B" w14:textId="77777777" w:rsidR="00FA7E95" w:rsidRPr="00A002D0" w:rsidRDefault="00FA7E95" w:rsidP="001E0D6D">
            <w:pPr>
              <w:spacing w:line="360" w:lineRule="auto"/>
              <w:rPr>
                <w:bCs/>
                <w:iCs/>
                <w:color w:val="000000"/>
              </w:rPr>
            </w:pPr>
            <w:r w:rsidRPr="00A002D0">
              <w:rPr>
                <w:bCs/>
                <w:iCs/>
                <w:color w:val="000000"/>
              </w:rPr>
              <w:t>SD</w:t>
            </w:r>
            <w:r w:rsidRPr="00A002D0">
              <w:rPr>
                <w:bCs/>
                <w:iCs/>
                <w:color w:val="000000"/>
                <w:vertAlign w:val="subscript"/>
              </w:rPr>
              <w:t xml:space="preserve">1 </w:t>
            </w:r>
            <w:r w:rsidRPr="00A002D0">
              <w:rPr>
                <w:bCs/>
                <w:iCs/>
                <w:color w:val="000000"/>
              </w:rPr>
              <w:t>(B)</w:t>
            </w:r>
          </w:p>
        </w:tc>
        <w:tc>
          <w:tcPr>
            <w:tcW w:w="1985" w:type="dxa"/>
          </w:tcPr>
          <w:p w14:paraId="61906FD3" w14:textId="77777777" w:rsidR="00FA7E95" w:rsidRPr="00A002D0" w:rsidRDefault="00FA7E95" w:rsidP="001E0D6D">
            <w:pPr>
              <w:spacing w:line="360" w:lineRule="auto"/>
              <w:rPr>
                <w:bCs/>
                <w:iCs/>
                <w:color w:val="000000"/>
              </w:rPr>
            </w:pPr>
            <w:r w:rsidRPr="00A002D0">
              <w:rPr>
                <w:bCs/>
                <w:iCs/>
                <w:color w:val="000000"/>
              </w:rPr>
              <w:t>Mean</w:t>
            </w:r>
            <w:r w:rsidRPr="00A002D0">
              <w:rPr>
                <w:bCs/>
                <w:iCs/>
                <w:color w:val="000000"/>
                <w:vertAlign w:val="subscript"/>
              </w:rPr>
              <w:t>1</w:t>
            </w:r>
            <w:r w:rsidRPr="00A002D0">
              <w:rPr>
                <w:bCs/>
                <w:iCs/>
                <w:color w:val="000000"/>
              </w:rPr>
              <w:t xml:space="preserve"> (F)</w:t>
            </w:r>
          </w:p>
          <w:p w14:paraId="7D1ED754" w14:textId="77777777" w:rsidR="00FA7E95" w:rsidRPr="00A002D0" w:rsidRDefault="00FA7E95" w:rsidP="001E0D6D">
            <w:pPr>
              <w:spacing w:line="360" w:lineRule="auto"/>
              <w:rPr>
                <w:bCs/>
                <w:iCs/>
                <w:color w:val="000000"/>
              </w:rPr>
            </w:pPr>
            <w:r w:rsidRPr="00A002D0">
              <w:rPr>
                <w:bCs/>
                <w:iCs/>
                <w:color w:val="000000"/>
              </w:rPr>
              <w:t>SD</w:t>
            </w:r>
            <w:r w:rsidRPr="00A002D0">
              <w:rPr>
                <w:bCs/>
                <w:iCs/>
                <w:color w:val="000000"/>
                <w:vertAlign w:val="subscript"/>
              </w:rPr>
              <w:t>1</w:t>
            </w:r>
            <w:r w:rsidRPr="00A002D0">
              <w:rPr>
                <w:bCs/>
                <w:iCs/>
                <w:color w:val="000000"/>
              </w:rPr>
              <w:t xml:space="preserve"> (F)</w:t>
            </w:r>
          </w:p>
        </w:tc>
        <w:tc>
          <w:tcPr>
            <w:tcW w:w="1780" w:type="dxa"/>
          </w:tcPr>
          <w:p w14:paraId="23379E04" w14:textId="77777777" w:rsidR="00FA7E95" w:rsidRPr="00A002D0" w:rsidRDefault="00FA7E95" w:rsidP="001E0D6D">
            <w:pPr>
              <w:spacing w:line="360" w:lineRule="auto"/>
              <w:rPr>
                <w:bCs/>
                <w:iCs/>
                <w:color w:val="000000"/>
              </w:rPr>
            </w:pPr>
            <w:r w:rsidRPr="00A002D0">
              <w:rPr>
                <w:bCs/>
                <w:iCs/>
                <w:color w:val="000000"/>
              </w:rPr>
              <w:t>Mean</w:t>
            </w:r>
            <w:r w:rsidRPr="00A002D0">
              <w:rPr>
                <w:bCs/>
                <w:iCs/>
                <w:color w:val="000000"/>
                <w:vertAlign w:val="subscript"/>
              </w:rPr>
              <w:t>1</w:t>
            </w:r>
            <w:r w:rsidRPr="00A002D0">
              <w:rPr>
                <w:bCs/>
                <w:iCs/>
                <w:color w:val="000000"/>
              </w:rPr>
              <w:t xml:space="preserve"> (C)</w:t>
            </w:r>
          </w:p>
          <w:p w14:paraId="27B5B388" w14:textId="77777777" w:rsidR="00FA7E95" w:rsidRPr="00A002D0" w:rsidRDefault="00FA7E95" w:rsidP="001E0D6D">
            <w:pPr>
              <w:spacing w:line="360" w:lineRule="auto"/>
              <w:rPr>
                <w:bCs/>
                <w:iCs/>
                <w:color w:val="000000"/>
              </w:rPr>
            </w:pPr>
            <w:r w:rsidRPr="00A002D0">
              <w:rPr>
                <w:bCs/>
                <w:iCs/>
                <w:color w:val="000000"/>
              </w:rPr>
              <w:t>SD</w:t>
            </w:r>
            <w:r w:rsidRPr="00A002D0">
              <w:rPr>
                <w:bCs/>
                <w:iCs/>
                <w:color w:val="000000"/>
                <w:vertAlign w:val="subscript"/>
              </w:rPr>
              <w:t>1</w:t>
            </w:r>
            <w:r w:rsidRPr="00A002D0">
              <w:rPr>
                <w:bCs/>
                <w:iCs/>
                <w:color w:val="000000"/>
              </w:rPr>
              <w:t xml:space="preserve"> (C)</w:t>
            </w:r>
          </w:p>
        </w:tc>
      </w:tr>
      <w:tr w:rsidR="00FA7E95" w:rsidRPr="00A002D0" w14:paraId="3FEF2729" w14:textId="77777777" w:rsidTr="00DE2DBD">
        <w:tc>
          <w:tcPr>
            <w:tcW w:w="2830" w:type="dxa"/>
          </w:tcPr>
          <w:p w14:paraId="405D0EDE" w14:textId="77777777" w:rsidR="00FA7E95" w:rsidRPr="00A002D0" w:rsidRDefault="00FA7E95" w:rsidP="001E0D6D">
            <w:pPr>
              <w:spacing w:line="360" w:lineRule="auto"/>
              <w:rPr>
                <w:bCs/>
                <w:iCs/>
                <w:color w:val="000000"/>
              </w:rPr>
            </w:pPr>
            <w:r w:rsidRPr="00A002D0">
              <w:rPr>
                <w:bCs/>
                <w:iCs/>
                <w:color w:val="000000"/>
              </w:rPr>
              <w:t>Control intervention</w:t>
            </w:r>
          </w:p>
          <w:p w14:paraId="4D102BDF" w14:textId="77777777" w:rsidR="00FA7E95" w:rsidRPr="00A002D0" w:rsidRDefault="00FA7E95" w:rsidP="001E0D6D">
            <w:pPr>
              <w:spacing w:line="360" w:lineRule="auto"/>
              <w:rPr>
                <w:bCs/>
                <w:iCs/>
                <w:color w:val="000000"/>
              </w:rPr>
            </w:pPr>
            <w:r w:rsidRPr="00A002D0">
              <w:rPr>
                <w:bCs/>
                <w:iCs/>
                <w:color w:val="000000"/>
              </w:rPr>
              <w:t>(Sample size)</w:t>
            </w:r>
          </w:p>
        </w:tc>
        <w:tc>
          <w:tcPr>
            <w:tcW w:w="1701" w:type="dxa"/>
          </w:tcPr>
          <w:p w14:paraId="006FEB6C" w14:textId="77777777" w:rsidR="00FA7E95" w:rsidRPr="00A002D0" w:rsidRDefault="00FA7E95" w:rsidP="001E0D6D">
            <w:pPr>
              <w:spacing w:line="360" w:lineRule="auto"/>
              <w:rPr>
                <w:bCs/>
                <w:iCs/>
                <w:color w:val="000000"/>
              </w:rPr>
            </w:pPr>
            <w:r w:rsidRPr="00A002D0">
              <w:rPr>
                <w:bCs/>
                <w:iCs/>
                <w:color w:val="000000"/>
              </w:rPr>
              <w:t>Mean</w:t>
            </w:r>
            <w:r w:rsidRPr="00A002D0">
              <w:rPr>
                <w:bCs/>
                <w:iCs/>
                <w:color w:val="000000"/>
                <w:vertAlign w:val="subscript"/>
              </w:rPr>
              <w:t>2</w:t>
            </w:r>
            <w:r w:rsidRPr="00A002D0">
              <w:rPr>
                <w:bCs/>
                <w:iCs/>
                <w:color w:val="000000"/>
              </w:rPr>
              <w:t xml:space="preserve"> (B)</w:t>
            </w:r>
          </w:p>
          <w:p w14:paraId="60A746CE" w14:textId="77777777" w:rsidR="00FA7E95" w:rsidRPr="00A002D0" w:rsidRDefault="00FA7E95" w:rsidP="001E0D6D">
            <w:pPr>
              <w:spacing w:line="360" w:lineRule="auto"/>
              <w:rPr>
                <w:bCs/>
                <w:iCs/>
                <w:color w:val="000000"/>
              </w:rPr>
            </w:pPr>
            <w:r w:rsidRPr="00A002D0">
              <w:rPr>
                <w:bCs/>
                <w:iCs/>
                <w:color w:val="000000"/>
              </w:rPr>
              <w:t>SD</w:t>
            </w:r>
            <w:r w:rsidRPr="00A002D0">
              <w:rPr>
                <w:bCs/>
                <w:iCs/>
                <w:color w:val="000000"/>
                <w:vertAlign w:val="subscript"/>
              </w:rPr>
              <w:t xml:space="preserve">2 </w:t>
            </w:r>
            <w:r w:rsidRPr="00A002D0">
              <w:rPr>
                <w:bCs/>
                <w:iCs/>
                <w:color w:val="000000"/>
              </w:rPr>
              <w:t>(B)</w:t>
            </w:r>
          </w:p>
        </w:tc>
        <w:tc>
          <w:tcPr>
            <w:tcW w:w="1985" w:type="dxa"/>
          </w:tcPr>
          <w:p w14:paraId="0C542C00" w14:textId="77777777" w:rsidR="00FA7E95" w:rsidRPr="00A002D0" w:rsidRDefault="00FA7E95" w:rsidP="001E0D6D">
            <w:pPr>
              <w:spacing w:line="360" w:lineRule="auto"/>
              <w:rPr>
                <w:bCs/>
                <w:iCs/>
                <w:color w:val="000000"/>
              </w:rPr>
            </w:pPr>
            <w:r w:rsidRPr="00A002D0">
              <w:rPr>
                <w:bCs/>
                <w:iCs/>
                <w:color w:val="000000"/>
              </w:rPr>
              <w:t>Mean</w:t>
            </w:r>
            <w:r w:rsidRPr="00A002D0">
              <w:rPr>
                <w:bCs/>
                <w:iCs/>
                <w:color w:val="000000"/>
                <w:vertAlign w:val="subscript"/>
              </w:rPr>
              <w:t>2</w:t>
            </w:r>
            <w:r w:rsidRPr="00A002D0">
              <w:rPr>
                <w:bCs/>
                <w:iCs/>
                <w:color w:val="000000"/>
              </w:rPr>
              <w:t xml:space="preserve"> (F)</w:t>
            </w:r>
          </w:p>
          <w:p w14:paraId="1428AECE" w14:textId="77777777" w:rsidR="00FA7E95" w:rsidRPr="00A002D0" w:rsidRDefault="00FA7E95" w:rsidP="001E0D6D">
            <w:pPr>
              <w:spacing w:line="360" w:lineRule="auto"/>
              <w:rPr>
                <w:bCs/>
                <w:iCs/>
                <w:color w:val="000000"/>
              </w:rPr>
            </w:pPr>
            <w:r w:rsidRPr="00A002D0">
              <w:rPr>
                <w:bCs/>
                <w:iCs/>
                <w:color w:val="000000"/>
              </w:rPr>
              <w:t>SD</w:t>
            </w:r>
            <w:r w:rsidRPr="00A002D0">
              <w:rPr>
                <w:bCs/>
                <w:iCs/>
                <w:color w:val="000000"/>
                <w:vertAlign w:val="subscript"/>
              </w:rPr>
              <w:t>2</w:t>
            </w:r>
            <w:r w:rsidRPr="00A002D0">
              <w:rPr>
                <w:bCs/>
                <w:iCs/>
                <w:color w:val="000000"/>
              </w:rPr>
              <w:t xml:space="preserve"> (F)</w:t>
            </w:r>
          </w:p>
        </w:tc>
        <w:tc>
          <w:tcPr>
            <w:tcW w:w="1780" w:type="dxa"/>
          </w:tcPr>
          <w:p w14:paraId="77C6CE27" w14:textId="77777777" w:rsidR="00FA7E95" w:rsidRPr="00A002D0" w:rsidRDefault="00FA7E95" w:rsidP="001E0D6D">
            <w:pPr>
              <w:spacing w:line="360" w:lineRule="auto"/>
              <w:rPr>
                <w:bCs/>
                <w:iCs/>
                <w:color w:val="000000"/>
              </w:rPr>
            </w:pPr>
            <w:r w:rsidRPr="00A002D0">
              <w:rPr>
                <w:bCs/>
                <w:iCs/>
                <w:color w:val="000000"/>
              </w:rPr>
              <w:t>Mean</w:t>
            </w:r>
            <w:r w:rsidRPr="00A002D0">
              <w:rPr>
                <w:bCs/>
                <w:iCs/>
                <w:color w:val="000000"/>
                <w:vertAlign w:val="subscript"/>
              </w:rPr>
              <w:t>2</w:t>
            </w:r>
            <w:r w:rsidRPr="00A002D0">
              <w:rPr>
                <w:bCs/>
                <w:iCs/>
                <w:color w:val="000000"/>
              </w:rPr>
              <w:t xml:space="preserve"> (C)</w:t>
            </w:r>
          </w:p>
          <w:p w14:paraId="20DFACA6" w14:textId="77777777" w:rsidR="00FA7E95" w:rsidRPr="00A002D0" w:rsidRDefault="00FA7E95" w:rsidP="001E0D6D">
            <w:pPr>
              <w:spacing w:line="360" w:lineRule="auto"/>
              <w:rPr>
                <w:bCs/>
                <w:iCs/>
                <w:color w:val="000000"/>
              </w:rPr>
            </w:pPr>
            <w:r w:rsidRPr="00A002D0">
              <w:rPr>
                <w:bCs/>
                <w:iCs/>
                <w:color w:val="000000"/>
              </w:rPr>
              <w:t>SD</w:t>
            </w:r>
            <w:r w:rsidRPr="00A002D0">
              <w:rPr>
                <w:bCs/>
                <w:iCs/>
                <w:color w:val="000000"/>
                <w:vertAlign w:val="subscript"/>
              </w:rPr>
              <w:t>2</w:t>
            </w:r>
            <w:r w:rsidRPr="00A002D0">
              <w:rPr>
                <w:bCs/>
                <w:iCs/>
                <w:color w:val="000000"/>
              </w:rPr>
              <w:t xml:space="preserve"> (C)</w:t>
            </w:r>
          </w:p>
        </w:tc>
      </w:tr>
    </w:tbl>
    <w:p w14:paraId="54BE14FA" w14:textId="77777777" w:rsidR="00FA7E95" w:rsidRPr="00A002D0" w:rsidRDefault="00FA7E95" w:rsidP="001E0D6D">
      <w:pPr>
        <w:spacing w:line="360" w:lineRule="auto"/>
        <w:rPr>
          <w:rFonts w:eastAsia="黑体"/>
        </w:rPr>
      </w:pPr>
      <w:r w:rsidRPr="00A002D0">
        <w:rPr>
          <w:rFonts w:eastAsia="黑体"/>
        </w:rPr>
        <w:t>We used studies that contained baseline, endpoint, and change SDs to estimate a common correlation coefficient (r) between bassline and endpoint value.</w:t>
      </w:r>
    </w:p>
    <w:p w14:paraId="1B37A6CB" w14:textId="77777777" w:rsidR="00FA7E95" w:rsidRPr="00A002D0" w:rsidRDefault="00000000" w:rsidP="001E0D6D">
      <w:pPr>
        <w:spacing w:line="360" w:lineRule="auto"/>
        <w:rPr>
          <w:rFonts w:eastAsia="黑体"/>
        </w:rPr>
      </w:pPr>
      <m:oMathPara>
        <m:oMathParaPr>
          <m:jc m:val="center"/>
        </m:oMathParaPr>
        <m:oMath>
          <m:sSub>
            <m:sSubPr>
              <m:ctrlPr>
                <w:rPr>
                  <w:rFonts w:ascii="Cambria Math" w:hAnsi="Cambria Math"/>
                  <w:i/>
                  <w:color w:val="000000"/>
                </w:rPr>
              </m:ctrlPr>
            </m:sSubPr>
            <m:e>
              <m:r>
                <w:rPr>
                  <w:rFonts w:ascii="Cambria Math" w:hAnsi="Cambria Math"/>
                  <w:color w:val="000000"/>
                </w:rPr>
                <m:t>r</m:t>
              </m:r>
            </m:e>
            <m:sub>
              <m:r>
                <w:rPr>
                  <w:rFonts w:ascii="Cambria Math" w:hAnsi="Cambria Math"/>
                  <w:color w:val="000000"/>
                </w:rPr>
                <m:t>1</m:t>
              </m:r>
            </m:sub>
          </m:sSub>
          <m:r>
            <w:rPr>
              <w:rFonts w:ascii="Cambria Math" w:hAnsi="Cambria Math"/>
              <w:color w:val="000000"/>
            </w:rPr>
            <m:t>=</m:t>
          </m:r>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SD</m:t>
                  </m:r>
                </m:e>
                <m:sub>
                  <m:r>
                    <w:rPr>
                      <w:rFonts w:ascii="Cambria Math" w:hAnsi="Cambria Math"/>
                      <w:color w:val="000000"/>
                    </w:rPr>
                    <m:t>1</m:t>
                  </m:r>
                </m:sub>
              </m:sSub>
              <m:sSup>
                <m:sSupPr>
                  <m:ctrlPr>
                    <w:rPr>
                      <w:rFonts w:ascii="Cambria Math" w:hAnsi="Cambria Math"/>
                      <w:i/>
                      <w:color w:val="000000"/>
                    </w:rPr>
                  </m:ctrlPr>
                </m:sSupPr>
                <m:e>
                  <m:r>
                    <w:rPr>
                      <w:rFonts w:ascii="Cambria Math" w:hAnsi="Cambria Math"/>
                      <w:color w:val="000000"/>
                    </w:rPr>
                    <m:t>(B)</m:t>
                  </m:r>
                </m:e>
                <m:sup>
                  <m:r>
                    <w:rPr>
                      <w:rFonts w:ascii="Cambria Math" w:hAnsi="Cambria Math"/>
                      <w:color w:val="000000"/>
                    </w:rPr>
                    <m:t>2</m:t>
                  </m:r>
                </m:sup>
              </m:sSup>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SD</m:t>
                  </m:r>
                </m:e>
                <m:sub>
                  <m:r>
                    <w:rPr>
                      <w:rFonts w:ascii="Cambria Math" w:hAnsi="Cambria Math"/>
                      <w:color w:val="000000"/>
                    </w:rPr>
                    <m:t>1</m:t>
                  </m:r>
                </m:sub>
              </m:sSub>
              <m:sSup>
                <m:sSupPr>
                  <m:ctrlPr>
                    <w:rPr>
                      <w:rFonts w:ascii="Cambria Math" w:hAnsi="Cambria Math"/>
                      <w:i/>
                      <w:color w:val="000000"/>
                    </w:rPr>
                  </m:ctrlPr>
                </m:sSupPr>
                <m:e>
                  <m:r>
                    <w:rPr>
                      <w:rFonts w:ascii="Cambria Math" w:hAnsi="Cambria Math"/>
                      <w:color w:val="000000"/>
                    </w:rPr>
                    <m:t>(F)</m:t>
                  </m:r>
                </m:e>
                <m:sup>
                  <m:r>
                    <w:rPr>
                      <w:rFonts w:ascii="Cambria Math" w:hAnsi="Cambria Math"/>
                      <w:color w:val="000000"/>
                    </w:rPr>
                    <m:t>2</m:t>
                  </m:r>
                </m:sup>
              </m:sSup>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SD</m:t>
                  </m:r>
                </m:e>
                <m:sub>
                  <m:r>
                    <w:rPr>
                      <w:rFonts w:ascii="Cambria Math" w:hAnsi="Cambria Math"/>
                      <w:color w:val="000000"/>
                    </w:rPr>
                    <m:t>1</m:t>
                  </m:r>
                </m:sub>
              </m:sSub>
              <m:r>
                <w:rPr>
                  <w:rFonts w:ascii="Cambria Math" w:hAnsi="Cambria Math"/>
                  <w:color w:val="000000"/>
                </w:rPr>
                <m:t>(</m:t>
              </m:r>
              <m:sSup>
                <m:sSupPr>
                  <m:ctrlPr>
                    <w:rPr>
                      <w:rFonts w:ascii="Cambria Math" w:hAnsi="Cambria Math"/>
                      <w:i/>
                      <w:color w:val="000000"/>
                    </w:rPr>
                  </m:ctrlPr>
                </m:sSupPr>
                <m:e>
                  <m:r>
                    <w:rPr>
                      <w:rFonts w:ascii="Cambria Math" w:hAnsi="Cambria Math"/>
                      <w:color w:val="000000"/>
                    </w:rPr>
                    <m:t>C)</m:t>
                  </m:r>
                </m:e>
                <m:sup>
                  <m:r>
                    <w:rPr>
                      <w:rFonts w:ascii="Cambria Math" w:hAnsi="Cambria Math"/>
                      <w:color w:val="000000"/>
                    </w:rPr>
                    <m:t>2</m:t>
                  </m:r>
                </m:sup>
              </m:sSup>
            </m:num>
            <m:den>
              <m:r>
                <w:rPr>
                  <w:rFonts w:ascii="Cambria Math" w:hAnsi="Cambria Math"/>
                  <w:color w:val="000000"/>
                </w:rPr>
                <m:t>2×</m:t>
              </m:r>
              <m:sSub>
                <m:sSubPr>
                  <m:ctrlPr>
                    <w:rPr>
                      <w:rFonts w:ascii="Cambria Math" w:hAnsi="Cambria Math"/>
                      <w:i/>
                      <w:color w:val="000000"/>
                    </w:rPr>
                  </m:ctrlPr>
                </m:sSubPr>
                <m:e>
                  <m:r>
                    <w:rPr>
                      <w:rFonts w:ascii="Cambria Math" w:hAnsi="Cambria Math"/>
                      <w:color w:val="000000"/>
                    </w:rPr>
                    <m:t>SD</m:t>
                  </m:r>
                </m:e>
                <m:sub>
                  <m:r>
                    <w:rPr>
                      <w:rFonts w:ascii="Cambria Math" w:hAnsi="Cambria Math"/>
                      <w:color w:val="000000"/>
                    </w:rPr>
                    <m:t>1</m:t>
                  </m:r>
                </m:sub>
              </m:sSub>
              <m:d>
                <m:dPr>
                  <m:ctrlPr>
                    <w:rPr>
                      <w:rFonts w:ascii="Cambria Math" w:hAnsi="Cambria Math"/>
                      <w:i/>
                      <w:color w:val="000000"/>
                    </w:rPr>
                  </m:ctrlPr>
                </m:dPr>
                <m:e>
                  <m:r>
                    <w:rPr>
                      <w:rFonts w:ascii="Cambria Math" w:hAnsi="Cambria Math"/>
                      <w:color w:val="000000"/>
                    </w:rPr>
                    <m:t>B</m:t>
                  </m:r>
                </m:e>
              </m:d>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SD</m:t>
                  </m:r>
                </m:e>
                <m:sub>
                  <m:r>
                    <w:rPr>
                      <w:rFonts w:ascii="Cambria Math" w:hAnsi="Cambria Math"/>
                      <w:color w:val="000000"/>
                    </w:rPr>
                    <m:t>1</m:t>
                  </m:r>
                </m:sub>
              </m:sSub>
              <m:r>
                <w:rPr>
                  <w:rFonts w:ascii="Cambria Math" w:hAnsi="Cambria Math"/>
                  <w:color w:val="000000"/>
                </w:rPr>
                <m:t>(F)</m:t>
              </m:r>
            </m:den>
          </m:f>
          <m:r>
            <m:rPr>
              <m:sty m:val="p"/>
            </m:rPr>
            <w:rPr>
              <w:rFonts w:ascii="Cambria Math" w:hAnsi="Cambria Math"/>
              <w:color w:val="000000"/>
              <w:sz w:val="21"/>
              <w:szCs w:val="21"/>
            </w:rPr>
            <w:br/>
          </m:r>
        </m:oMath>
      </m:oMathPara>
      <w:r w:rsidR="00FA7E95" w:rsidRPr="00A002D0">
        <w:rPr>
          <w:rFonts w:eastAsia="黑体"/>
        </w:rPr>
        <w:t>And similarly for the control intervention for r2. We then calculated change SD using following formula:</w:t>
      </w:r>
    </w:p>
    <w:p w14:paraId="125DA0D7" w14:textId="61508E3E" w:rsidR="00FA7E95" w:rsidRPr="00A002D0" w:rsidRDefault="00000000" w:rsidP="001E0D6D">
      <w:pPr>
        <w:spacing w:line="360" w:lineRule="auto"/>
        <w:rPr>
          <w:bCs/>
          <w:iCs/>
          <w:color w:val="000000"/>
        </w:rPr>
      </w:pPr>
      <m:oMathPara>
        <m:oMath>
          <m:sSub>
            <m:sSubPr>
              <m:ctrlPr>
                <w:rPr>
                  <w:rFonts w:ascii="Cambria Math" w:hAnsi="Cambria Math"/>
                  <w:bCs/>
                  <w:i/>
                  <w:iCs/>
                  <w:color w:val="000000"/>
                </w:rPr>
              </m:ctrlPr>
            </m:sSubPr>
            <m:e>
              <m:r>
                <w:rPr>
                  <w:rFonts w:ascii="Cambria Math" w:hAnsi="Cambria Math"/>
                  <w:color w:val="000000"/>
                </w:rPr>
                <m:t>SD</m:t>
              </m:r>
            </m:e>
            <m:sub>
              <m:r>
                <w:rPr>
                  <w:rFonts w:ascii="Cambria Math" w:hAnsi="Cambria Math"/>
                  <w:color w:val="000000"/>
                </w:rPr>
                <m:t>1</m:t>
              </m:r>
            </m:sub>
          </m:sSub>
          <m:d>
            <m:dPr>
              <m:ctrlPr>
                <w:rPr>
                  <w:rFonts w:ascii="Cambria Math" w:hAnsi="Cambria Math"/>
                  <w:bCs/>
                  <w:i/>
                  <w:iCs/>
                  <w:color w:val="000000"/>
                </w:rPr>
              </m:ctrlPr>
            </m:dPr>
            <m:e>
              <m:r>
                <w:rPr>
                  <w:rFonts w:ascii="Cambria Math" w:hAnsi="Cambria Math"/>
                  <w:color w:val="000000"/>
                </w:rPr>
                <m:t>C</m:t>
              </m:r>
            </m:e>
          </m:d>
          <m:r>
            <w:rPr>
              <w:rFonts w:ascii="Cambria Math" w:hAnsi="Cambria Math"/>
              <w:color w:val="000000"/>
            </w:rPr>
            <m:t>=</m:t>
          </m:r>
          <m:rad>
            <m:radPr>
              <m:degHide m:val="1"/>
              <m:ctrlPr>
                <w:rPr>
                  <w:rFonts w:ascii="Cambria Math" w:hAnsi="Cambria Math"/>
                  <w:bCs/>
                  <w:i/>
                  <w:iCs/>
                  <w:color w:val="000000"/>
                </w:rPr>
              </m:ctrlPr>
            </m:radPr>
            <m:deg/>
            <m:e>
              <m:sSub>
                <m:sSubPr>
                  <m:ctrlPr>
                    <w:rPr>
                      <w:rFonts w:ascii="Cambria Math" w:hAnsi="Cambria Math"/>
                      <w:bCs/>
                      <w:i/>
                      <w:iCs/>
                      <w:color w:val="000000"/>
                    </w:rPr>
                  </m:ctrlPr>
                </m:sSubPr>
                <m:e>
                  <m:r>
                    <w:rPr>
                      <w:rFonts w:ascii="Cambria Math" w:hAnsi="Cambria Math"/>
                      <w:color w:val="000000"/>
                    </w:rPr>
                    <m:t>SD</m:t>
                  </m:r>
                </m:e>
                <m:sub>
                  <m:r>
                    <w:rPr>
                      <w:rFonts w:ascii="Cambria Math" w:hAnsi="Cambria Math"/>
                      <w:color w:val="000000"/>
                    </w:rPr>
                    <m:t>1</m:t>
                  </m:r>
                </m:sub>
              </m:sSub>
              <m:sSup>
                <m:sSupPr>
                  <m:ctrlPr>
                    <w:rPr>
                      <w:rFonts w:ascii="Cambria Math" w:hAnsi="Cambria Math"/>
                      <w:bCs/>
                      <w:i/>
                      <w:iCs/>
                      <w:color w:val="000000"/>
                    </w:rPr>
                  </m:ctrlPr>
                </m:sSupPr>
                <m:e>
                  <m:r>
                    <w:rPr>
                      <w:rFonts w:ascii="Cambria Math" w:hAnsi="Cambria Math"/>
                      <w:color w:val="000000"/>
                    </w:rPr>
                    <m:t>(B)</m:t>
                  </m:r>
                </m:e>
                <m:sup>
                  <m:r>
                    <w:rPr>
                      <w:rFonts w:ascii="Cambria Math" w:hAnsi="Cambria Math"/>
                      <w:color w:val="000000"/>
                    </w:rPr>
                    <m:t>2</m:t>
                  </m:r>
                </m:sup>
              </m:sSup>
              <m:r>
                <w:rPr>
                  <w:rFonts w:ascii="Cambria Math" w:hAnsi="Cambria Math"/>
                  <w:color w:val="000000"/>
                </w:rPr>
                <m:t>+</m:t>
              </m:r>
              <m:sSub>
                <m:sSubPr>
                  <m:ctrlPr>
                    <w:rPr>
                      <w:rFonts w:ascii="Cambria Math" w:hAnsi="Cambria Math"/>
                      <w:bCs/>
                      <w:i/>
                      <w:iCs/>
                      <w:color w:val="000000"/>
                    </w:rPr>
                  </m:ctrlPr>
                </m:sSubPr>
                <m:e>
                  <m:r>
                    <w:rPr>
                      <w:rFonts w:ascii="Cambria Math" w:hAnsi="Cambria Math"/>
                      <w:color w:val="000000"/>
                    </w:rPr>
                    <m:t>SD</m:t>
                  </m:r>
                </m:e>
                <m:sub>
                  <m:r>
                    <w:rPr>
                      <w:rFonts w:ascii="Cambria Math" w:hAnsi="Cambria Math"/>
                      <w:color w:val="000000"/>
                    </w:rPr>
                    <m:t>1</m:t>
                  </m:r>
                </m:sub>
              </m:sSub>
              <m:sSup>
                <m:sSupPr>
                  <m:ctrlPr>
                    <w:rPr>
                      <w:rFonts w:ascii="Cambria Math" w:hAnsi="Cambria Math"/>
                      <w:bCs/>
                      <w:i/>
                      <w:iCs/>
                      <w:color w:val="000000"/>
                    </w:rPr>
                  </m:ctrlPr>
                </m:sSupPr>
                <m:e>
                  <m:r>
                    <w:rPr>
                      <w:rFonts w:ascii="Cambria Math" w:hAnsi="Cambria Math"/>
                      <w:color w:val="000000"/>
                    </w:rPr>
                    <m:t>(F)</m:t>
                  </m:r>
                </m:e>
                <m:sup>
                  <m:r>
                    <w:rPr>
                      <w:rFonts w:ascii="Cambria Math" w:hAnsi="Cambria Math"/>
                      <w:color w:val="000000"/>
                    </w:rPr>
                    <m:t>2</m:t>
                  </m:r>
                </m:sup>
              </m:sSup>
              <m:r>
                <w:rPr>
                  <w:rFonts w:ascii="Cambria Math" w:hAnsi="Cambria Math"/>
                  <w:color w:val="000000"/>
                </w:rPr>
                <m:t>-(2×</m:t>
              </m:r>
              <m:sSub>
                <m:sSubPr>
                  <m:ctrlPr>
                    <w:rPr>
                      <w:rFonts w:ascii="Cambria Math" w:hAnsi="Cambria Math"/>
                      <w:bCs/>
                      <w:i/>
                      <w:iCs/>
                      <w:color w:val="000000"/>
                    </w:rPr>
                  </m:ctrlPr>
                </m:sSubPr>
                <m:e>
                  <m:r>
                    <w:rPr>
                      <w:rFonts w:ascii="Cambria Math" w:hAnsi="Cambria Math"/>
                      <w:color w:val="000000"/>
                    </w:rPr>
                    <m:t>r</m:t>
                  </m:r>
                </m:e>
                <m:sub>
                  <m:r>
                    <w:rPr>
                      <w:rFonts w:ascii="Cambria Math" w:hAnsi="Cambria Math"/>
                      <w:color w:val="000000"/>
                    </w:rPr>
                    <m:t>1</m:t>
                  </m:r>
                </m:sub>
              </m:sSub>
              <m:r>
                <w:rPr>
                  <w:rFonts w:ascii="Cambria Math" w:hAnsi="Cambria Math"/>
                  <w:color w:val="000000"/>
                </w:rPr>
                <m:t>×</m:t>
              </m:r>
              <m:sSub>
                <m:sSubPr>
                  <m:ctrlPr>
                    <w:rPr>
                      <w:rFonts w:ascii="Cambria Math" w:hAnsi="Cambria Math"/>
                      <w:bCs/>
                      <w:i/>
                      <w:iCs/>
                      <w:color w:val="000000"/>
                    </w:rPr>
                  </m:ctrlPr>
                </m:sSubPr>
                <m:e>
                  <m:r>
                    <w:rPr>
                      <w:rFonts w:ascii="Cambria Math" w:hAnsi="Cambria Math"/>
                      <w:color w:val="000000"/>
                    </w:rPr>
                    <m:t>SD</m:t>
                  </m:r>
                </m:e>
                <m:sub>
                  <m:r>
                    <w:rPr>
                      <w:rFonts w:ascii="Cambria Math" w:hAnsi="Cambria Math"/>
                      <w:color w:val="000000"/>
                    </w:rPr>
                    <m:t>1</m:t>
                  </m:r>
                </m:sub>
              </m:sSub>
              <m:d>
                <m:dPr>
                  <m:ctrlPr>
                    <w:rPr>
                      <w:rFonts w:ascii="Cambria Math" w:hAnsi="Cambria Math"/>
                      <w:bCs/>
                      <w:i/>
                      <w:iCs/>
                      <w:color w:val="000000"/>
                    </w:rPr>
                  </m:ctrlPr>
                </m:dPr>
                <m:e>
                  <m:r>
                    <w:rPr>
                      <w:rFonts w:ascii="Cambria Math" w:hAnsi="Cambria Math"/>
                      <w:color w:val="000000"/>
                    </w:rPr>
                    <m:t>B</m:t>
                  </m:r>
                </m:e>
              </m:d>
              <m:r>
                <w:rPr>
                  <w:rFonts w:ascii="Cambria Math" w:hAnsi="Cambria Math"/>
                  <w:color w:val="000000"/>
                </w:rPr>
                <m:t>×</m:t>
              </m:r>
              <m:sSub>
                <m:sSubPr>
                  <m:ctrlPr>
                    <w:rPr>
                      <w:rFonts w:ascii="Cambria Math" w:hAnsi="Cambria Math"/>
                      <w:bCs/>
                      <w:i/>
                      <w:iCs/>
                      <w:color w:val="000000"/>
                    </w:rPr>
                  </m:ctrlPr>
                </m:sSubPr>
                <m:e>
                  <m:r>
                    <w:rPr>
                      <w:rFonts w:ascii="Cambria Math" w:hAnsi="Cambria Math"/>
                      <w:color w:val="000000"/>
                    </w:rPr>
                    <m:t>SD</m:t>
                  </m:r>
                </m:e>
                <m:sub>
                  <m:r>
                    <w:rPr>
                      <w:rFonts w:ascii="Cambria Math" w:hAnsi="Cambria Math"/>
                      <w:color w:val="000000"/>
                    </w:rPr>
                    <m:t>1</m:t>
                  </m:r>
                </m:sub>
              </m:sSub>
              <m:r>
                <w:rPr>
                  <w:rFonts w:ascii="Cambria Math" w:hAnsi="Cambria Math"/>
                  <w:color w:val="000000"/>
                </w:rPr>
                <m:t>(F))</m:t>
              </m:r>
            </m:e>
          </m:rad>
        </m:oMath>
      </m:oMathPara>
    </w:p>
    <w:p w14:paraId="4A8E25B0" w14:textId="77777777" w:rsidR="00BA79F9" w:rsidRPr="00A002D0" w:rsidRDefault="00BA79F9" w:rsidP="001E0D6D">
      <w:pPr>
        <w:spacing w:line="360" w:lineRule="auto"/>
        <w:rPr>
          <w:bCs/>
          <w:iCs/>
          <w:color w:val="000000"/>
        </w:rPr>
      </w:pPr>
    </w:p>
    <w:p w14:paraId="4A48AC6D" w14:textId="77777777" w:rsidR="00BA79F9" w:rsidRPr="00A002D0" w:rsidRDefault="00BA79F9" w:rsidP="00BA79F9">
      <w:pPr>
        <w:spacing w:line="360" w:lineRule="auto"/>
        <w:rPr>
          <w:rFonts w:eastAsia="黑体"/>
          <w:b/>
          <w:bCs/>
        </w:rPr>
      </w:pPr>
      <w:r w:rsidRPr="00A002D0">
        <w:rPr>
          <w:rFonts w:eastAsia="黑体"/>
          <w:b/>
          <w:bCs/>
        </w:rPr>
        <w:t>References</w:t>
      </w:r>
    </w:p>
    <w:p w14:paraId="50E79C7E" w14:textId="0A2618AC" w:rsidR="00BA79F9" w:rsidRPr="00A002D0" w:rsidRDefault="00BA79F9" w:rsidP="001E0D6D">
      <w:pPr>
        <w:spacing w:line="360" w:lineRule="auto"/>
        <w:rPr>
          <w:rFonts w:eastAsia="黑体"/>
        </w:rPr>
      </w:pPr>
      <w:r w:rsidRPr="00A002D0">
        <w:rPr>
          <w:rFonts w:eastAsia="黑体"/>
        </w:rPr>
        <w:t xml:space="preserve">Chapter 5: Collecting data | Cochrane Training. (2024). Retrieved 28 March 2024, from </w:t>
      </w:r>
      <w:hyperlink r:id="rId11" w:history="1">
        <w:r w:rsidRPr="00A002D0">
          <w:rPr>
            <w:rStyle w:val="a7"/>
            <w:rFonts w:eastAsia="黑体"/>
          </w:rPr>
          <w:t>https://training.cochrane.org/handbook/current/chapter-05</w:t>
        </w:r>
      </w:hyperlink>
    </w:p>
    <w:p w14:paraId="6A6DD2A3" w14:textId="79A88447" w:rsidR="00FA7E95" w:rsidRPr="00A002D0" w:rsidRDefault="00FA7E95" w:rsidP="001E0D6D">
      <w:pPr>
        <w:spacing w:line="360" w:lineRule="auto"/>
        <w:rPr>
          <w:bCs/>
          <w:iCs/>
          <w:color w:val="000000"/>
        </w:rPr>
      </w:pPr>
      <w:r w:rsidRPr="00A002D0">
        <w:rPr>
          <w:bCs/>
          <w:iCs/>
          <w:color w:val="000000"/>
        </w:rPr>
        <w:br w:type="page"/>
      </w:r>
    </w:p>
    <w:p w14:paraId="70B319BC" w14:textId="28347D2C" w:rsidR="0068616E" w:rsidRPr="00A002D0" w:rsidRDefault="0068616E" w:rsidP="001E0D6D">
      <w:pPr>
        <w:pStyle w:val="3"/>
        <w:spacing w:line="360" w:lineRule="auto"/>
        <w:rPr>
          <w:rFonts w:ascii="Times New Roman" w:eastAsia="黑体" w:hAnsi="Times New Roman" w:cs="Times New Roman"/>
          <w:sz w:val="24"/>
          <w:szCs w:val="24"/>
        </w:rPr>
      </w:pPr>
      <w:bookmarkStart w:id="19" w:name="_Toc211461923"/>
      <w:r w:rsidRPr="00A002D0">
        <w:rPr>
          <w:rFonts w:ascii="Times New Roman" w:eastAsia="黑体" w:hAnsi="Times New Roman" w:cs="Times New Roman"/>
          <w:sz w:val="24"/>
          <w:szCs w:val="24"/>
        </w:rPr>
        <w:lastRenderedPageBreak/>
        <w:t>Details on the calculation of anticipated absolute effects</w:t>
      </w:r>
      <w:bookmarkEnd w:id="19"/>
    </w:p>
    <w:p w14:paraId="435A9C52" w14:textId="3049D3F6" w:rsidR="0068616E" w:rsidRPr="00A002D0" w:rsidRDefault="0068616E" w:rsidP="001E0D6D">
      <w:pPr>
        <w:spacing w:line="360" w:lineRule="auto"/>
        <w:rPr>
          <w:rFonts w:eastAsia="黑体"/>
        </w:rPr>
      </w:pPr>
      <w:r w:rsidRPr="00A002D0">
        <w:rPr>
          <w:rFonts w:eastAsia="黑体"/>
        </w:rPr>
        <w:t>We calculated anticipated absolute effects using following formula:</w:t>
      </w:r>
    </w:p>
    <w:p w14:paraId="74359E63" w14:textId="47403846" w:rsidR="0068616E" w:rsidRPr="00A002D0" w:rsidRDefault="0068616E" w:rsidP="001E0D6D">
      <w:pPr>
        <w:spacing w:line="360" w:lineRule="auto"/>
        <w:rPr>
          <w:rFonts w:eastAsia="黑体"/>
        </w:rPr>
      </w:pPr>
      <w:r w:rsidRPr="00A002D0">
        <w:rPr>
          <w:rFonts w:eastAsia="黑体"/>
        </w:rPr>
        <w:t>For ORs:</w:t>
      </w:r>
    </w:p>
    <w:p w14:paraId="2D92CB1E" w14:textId="2D3CC7ED" w:rsidR="0068616E" w:rsidRPr="00A002D0" w:rsidRDefault="0068616E" w:rsidP="001E0D6D">
      <w:pPr>
        <w:spacing w:line="360" w:lineRule="auto"/>
        <w:rPr>
          <w:bCs/>
          <w:iCs/>
          <w:color w:val="000000"/>
        </w:rPr>
      </w:pPr>
      <m:oMathPara>
        <m:oMathParaPr>
          <m:jc m:val="center"/>
        </m:oMathParaPr>
        <m:oMath>
          <m:r>
            <m:rPr>
              <m:sty m:val="p"/>
            </m:rPr>
            <w:rPr>
              <w:rFonts w:ascii="Cambria Math" w:eastAsia="黑体" w:hAnsi="Cambria Math"/>
            </w:rPr>
            <m:t>AAE</m:t>
          </m:r>
          <m:r>
            <w:rPr>
              <w:rFonts w:ascii="Cambria Math" w:hAnsi="Cambria Math"/>
              <w:color w:val="000000"/>
            </w:rPr>
            <m:t>=1000*(ACR-OR*ACR/(1-ACR+OR*ACR))</m:t>
          </m:r>
        </m:oMath>
      </m:oMathPara>
    </w:p>
    <w:p w14:paraId="5E98EDA9" w14:textId="22AD3D79" w:rsidR="0068616E" w:rsidRPr="00A002D0" w:rsidRDefault="0068616E" w:rsidP="001E0D6D">
      <w:pPr>
        <w:spacing w:line="360" w:lineRule="auto"/>
        <w:rPr>
          <w:rFonts w:eastAsia="黑体"/>
        </w:rPr>
      </w:pPr>
      <w:r w:rsidRPr="00A002D0">
        <w:rPr>
          <w:rFonts w:eastAsia="黑体"/>
        </w:rPr>
        <w:t>For RRs:</w:t>
      </w:r>
    </w:p>
    <w:p w14:paraId="7D8D15E6" w14:textId="25DE74D4" w:rsidR="0068616E" w:rsidRPr="00A002D0" w:rsidRDefault="0068616E" w:rsidP="001E0D6D">
      <w:pPr>
        <w:spacing w:line="360" w:lineRule="auto"/>
        <w:rPr>
          <w:color w:val="000000"/>
        </w:rPr>
      </w:pPr>
      <m:oMathPara>
        <m:oMath>
          <m:r>
            <m:rPr>
              <m:sty m:val="p"/>
            </m:rPr>
            <w:rPr>
              <w:rFonts w:ascii="Cambria Math" w:eastAsia="黑体" w:hAnsi="Cambria Math"/>
            </w:rPr>
            <m:t>AAE</m:t>
          </m:r>
          <m:r>
            <w:rPr>
              <w:rFonts w:ascii="Cambria Math" w:hAnsi="Cambria Math"/>
              <w:color w:val="000000"/>
            </w:rPr>
            <m:t>=1000*ACR*(RR-1)</m:t>
          </m:r>
        </m:oMath>
      </m:oMathPara>
    </w:p>
    <w:p w14:paraId="6234ACE6" w14:textId="536E8598" w:rsidR="00AD39C9" w:rsidRPr="00A002D0" w:rsidRDefault="00AD39C9" w:rsidP="001E0D6D">
      <w:pPr>
        <w:spacing w:line="360" w:lineRule="auto"/>
        <w:rPr>
          <w:color w:val="000000"/>
        </w:rPr>
      </w:pPr>
    </w:p>
    <w:p w14:paraId="5208040A" w14:textId="3C87E0A7" w:rsidR="00AD39C9" w:rsidRPr="00A002D0" w:rsidRDefault="00AD39C9" w:rsidP="001E0D6D">
      <w:pPr>
        <w:spacing w:line="360" w:lineRule="auto"/>
        <w:rPr>
          <w:rFonts w:eastAsia="黑体"/>
          <w:b/>
          <w:bCs/>
        </w:rPr>
      </w:pPr>
      <w:r w:rsidRPr="00A002D0">
        <w:rPr>
          <w:rFonts w:eastAsia="黑体"/>
          <w:b/>
          <w:bCs/>
        </w:rPr>
        <w:t>References</w:t>
      </w:r>
    </w:p>
    <w:p w14:paraId="56EB07DC" w14:textId="2318E7D0" w:rsidR="00AD39C9" w:rsidRPr="00A002D0" w:rsidRDefault="00AD39C9" w:rsidP="001E0D6D">
      <w:pPr>
        <w:spacing w:line="360" w:lineRule="auto"/>
        <w:rPr>
          <w:bCs/>
          <w:iCs/>
          <w:color w:val="000000"/>
        </w:rPr>
      </w:pPr>
      <w:r w:rsidRPr="00A002D0">
        <w:rPr>
          <w:bCs/>
          <w:iCs/>
          <w:color w:val="000000"/>
        </w:rPr>
        <w:t xml:space="preserve">Chapter 14: Completing ‘Summary of findings’ tables and grading the certainty of the evidence | Cochrane Training. (2024). Retrieved 28 March 2024, from </w:t>
      </w:r>
      <w:hyperlink r:id="rId12" w:history="1">
        <w:r w:rsidRPr="00A002D0">
          <w:rPr>
            <w:rStyle w:val="a7"/>
            <w:bCs/>
            <w:iCs/>
          </w:rPr>
          <w:t>https://training.cochrane.org/handbook/current/chapter-14</w:t>
        </w:r>
      </w:hyperlink>
    </w:p>
    <w:p w14:paraId="6E582F38" w14:textId="02DDB467" w:rsidR="0068616E" w:rsidRPr="00A002D0" w:rsidRDefault="0068616E" w:rsidP="001E0D6D">
      <w:pPr>
        <w:spacing w:line="360" w:lineRule="auto"/>
        <w:rPr>
          <w:bCs/>
          <w:iCs/>
          <w:color w:val="000000"/>
        </w:rPr>
      </w:pPr>
      <w:r w:rsidRPr="00A002D0">
        <w:rPr>
          <w:bCs/>
          <w:iCs/>
          <w:color w:val="000000"/>
        </w:rPr>
        <w:br w:type="page"/>
      </w:r>
    </w:p>
    <w:p w14:paraId="2F6B0C4A" w14:textId="5F553DAD" w:rsidR="007B7DDA" w:rsidRPr="00A002D0" w:rsidRDefault="00C6014D" w:rsidP="007B7DDA">
      <w:pPr>
        <w:pStyle w:val="2"/>
        <w:spacing w:line="360" w:lineRule="auto"/>
        <w:rPr>
          <w:rFonts w:ascii="Times New Roman" w:hAnsi="Times New Roman" w:cs="Times New Roman"/>
          <w:sz w:val="28"/>
          <w:szCs w:val="28"/>
        </w:rPr>
      </w:pPr>
      <w:bookmarkStart w:id="20" w:name="_Toc211461924"/>
      <w:r>
        <w:rPr>
          <w:rFonts w:ascii="Times New Roman" w:eastAsia="黑体" w:hAnsi="Times New Roman" w:cs="Times New Roman" w:hint="eastAsia"/>
          <w:sz w:val="28"/>
          <w:szCs w:val="28"/>
        </w:rPr>
        <w:lastRenderedPageBreak/>
        <w:t>Text S4</w:t>
      </w:r>
      <w:r w:rsidR="007B7DDA" w:rsidRPr="00A002D0">
        <w:rPr>
          <w:rFonts w:ascii="Times New Roman" w:hAnsi="Times New Roman" w:cs="Times New Roman"/>
          <w:sz w:val="28"/>
          <w:szCs w:val="28"/>
        </w:rPr>
        <w:t xml:space="preserve"> </w:t>
      </w:r>
      <w:r w:rsidR="003B32C3" w:rsidRPr="00A002D0">
        <w:rPr>
          <w:rFonts w:ascii="Times New Roman" w:hAnsi="Times New Roman" w:cs="Times New Roman"/>
          <w:sz w:val="28"/>
          <w:szCs w:val="28"/>
        </w:rPr>
        <w:t>Priori hypotheses of network meta-regression analyses</w:t>
      </w:r>
      <w:bookmarkEnd w:id="20"/>
    </w:p>
    <w:p w14:paraId="555F39D4" w14:textId="77777777" w:rsidR="003B32C3" w:rsidRPr="00A002D0" w:rsidRDefault="003B32C3" w:rsidP="007B7DDA">
      <w:pPr>
        <w:spacing w:line="360" w:lineRule="auto"/>
        <w:rPr>
          <w:rFonts w:eastAsia="黑体"/>
        </w:rPr>
      </w:pPr>
      <w:r w:rsidRPr="00A002D0">
        <w:rPr>
          <w:rFonts w:eastAsia="黑体"/>
        </w:rPr>
        <w:t>We conducted network meta-regression analyses to explore the impact of:</w:t>
      </w:r>
    </w:p>
    <w:p w14:paraId="24FE9405" w14:textId="77777777" w:rsidR="003B32C3" w:rsidRPr="00A002D0" w:rsidRDefault="003B32C3" w:rsidP="003B32C3">
      <w:pPr>
        <w:pStyle w:val="a5"/>
        <w:numPr>
          <w:ilvl w:val="0"/>
          <w:numId w:val="27"/>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mean age (hypothesizing a larger relative effect in trials with older participants);</w:t>
      </w:r>
    </w:p>
    <w:p w14:paraId="108D6EAB" w14:textId="77777777" w:rsidR="003B32C3" w:rsidRPr="00A002D0" w:rsidRDefault="003B32C3" w:rsidP="003B32C3">
      <w:pPr>
        <w:pStyle w:val="a5"/>
        <w:numPr>
          <w:ilvl w:val="0"/>
          <w:numId w:val="27"/>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proportion of females (hypothesizing a larger relative effect in trials with a lower female proportion);</w:t>
      </w:r>
    </w:p>
    <w:p w14:paraId="4315A6A6" w14:textId="77777777" w:rsidR="003B32C3" w:rsidRPr="00A002D0" w:rsidRDefault="003B32C3" w:rsidP="003B32C3">
      <w:pPr>
        <w:pStyle w:val="a5"/>
        <w:numPr>
          <w:ilvl w:val="0"/>
          <w:numId w:val="27"/>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mean body mass index (BMI, hypothesizing a larger relative effect in trials with higher BMI);</w:t>
      </w:r>
    </w:p>
    <w:p w14:paraId="10EC4814" w14:textId="77777777" w:rsidR="003B32C3" w:rsidRPr="00A002D0" w:rsidRDefault="003B32C3" w:rsidP="003B32C3">
      <w:pPr>
        <w:pStyle w:val="a5"/>
        <w:numPr>
          <w:ilvl w:val="0"/>
          <w:numId w:val="27"/>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baseline SBP (hypothesizing a larger relative effect in trials with higher baseline SBP); and</w:t>
      </w:r>
    </w:p>
    <w:p w14:paraId="63CEB21D" w14:textId="4F47B206" w:rsidR="007B7DDA" w:rsidRPr="00A002D0" w:rsidRDefault="003B32C3" w:rsidP="003B32C3">
      <w:pPr>
        <w:pStyle w:val="a5"/>
        <w:numPr>
          <w:ilvl w:val="0"/>
          <w:numId w:val="27"/>
        </w:numPr>
        <w:spacing w:line="360" w:lineRule="auto"/>
        <w:ind w:firstLineChars="0"/>
        <w:rPr>
          <w:rFonts w:ascii="Times New Roman" w:eastAsia="黑体" w:hAnsi="Times New Roman" w:cs="Times New Roman"/>
        </w:rPr>
      </w:pPr>
      <w:r w:rsidRPr="00A002D0">
        <w:rPr>
          <w:rFonts w:ascii="Times New Roman" w:eastAsia="黑体" w:hAnsi="Times New Roman" w:cs="Times New Roman"/>
        </w:rPr>
        <w:t>baseline DBP (hypothesizing a larger relative effect in trials with higher baseline DBP).</w:t>
      </w:r>
    </w:p>
    <w:p w14:paraId="0C856E38" w14:textId="39B4357A" w:rsidR="006246CD" w:rsidRPr="00A002D0" w:rsidRDefault="006246CD" w:rsidP="006246CD">
      <w:pPr>
        <w:spacing w:line="360" w:lineRule="auto"/>
        <w:rPr>
          <w:rFonts w:eastAsia="黑体"/>
        </w:rPr>
      </w:pPr>
    </w:p>
    <w:p w14:paraId="797D0885" w14:textId="77777777" w:rsidR="006246CD" w:rsidRPr="00A002D0" w:rsidRDefault="006246CD" w:rsidP="006246CD">
      <w:pPr>
        <w:spacing w:line="360" w:lineRule="auto"/>
        <w:rPr>
          <w:rFonts w:eastAsia="黑体"/>
          <w:b/>
          <w:bCs/>
        </w:rPr>
      </w:pPr>
      <w:r w:rsidRPr="00A002D0">
        <w:rPr>
          <w:rFonts w:eastAsia="黑体"/>
          <w:b/>
          <w:bCs/>
        </w:rPr>
        <w:t>References</w:t>
      </w:r>
    </w:p>
    <w:p w14:paraId="7584DF1F" w14:textId="77777777" w:rsidR="006246CD" w:rsidRPr="00A002D0" w:rsidRDefault="006246CD" w:rsidP="006246CD">
      <w:pPr>
        <w:spacing w:line="360" w:lineRule="auto"/>
        <w:rPr>
          <w:bCs/>
          <w:iCs/>
          <w:color w:val="000000"/>
        </w:rPr>
      </w:pPr>
      <w:r w:rsidRPr="00A002D0">
        <w:rPr>
          <w:bCs/>
          <w:iCs/>
          <w:color w:val="000000"/>
        </w:rPr>
        <w:t>Yin X, Rodgers A, Perkovic A, et al. Effects of salt substitutes on clinical outcomes: a systematic review and meta-analysis. Heart. 2022;108(20):1608-1615. doi:</w:t>
      </w:r>
      <w:hyperlink r:id="rId13" w:history="1">
        <w:r w:rsidRPr="00A002D0">
          <w:rPr>
            <w:bCs/>
            <w:iCs/>
            <w:color w:val="000000"/>
          </w:rPr>
          <w:t>10.1136/heartjnl-2022-321332</w:t>
        </w:r>
      </w:hyperlink>
    </w:p>
    <w:p w14:paraId="4F560F5B" w14:textId="77777777" w:rsidR="006246CD" w:rsidRPr="00A002D0" w:rsidRDefault="006246CD" w:rsidP="006246CD">
      <w:pPr>
        <w:spacing w:line="360" w:lineRule="auto"/>
        <w:rPr>
          <w:bCs/>
          <w:iCs/>
          <w:color w:val="000000"/>
        </w:rPr>
      </w:pPr>
      <w:r w:rsidRPr="00A002D0">
        <w:rPr>
          <w:bCs/>
          <w:iCs/>
          <w:color w:val="000000"/>
        </w:rPr>
        <w:t>Tsai Y, Tsao Y, Huang C, et al. Effectiveness of salt substitute on cardiovascular outcomes: A systematic review and meta‐analysis. The Journal of Clinical Hypertension. 2022;24:1147-1160. doi:</w:t>
      </w:r>
      <w:hyperlink r:id="rId14" w:history="1">
        <w:r w:rsidRPr="00A002D0">
          <w:rPr>
            <w:bCs/>
            <w:iCs/>
            <w:color w:val="000000"/>
          </w:rPr>
          <w:t>10.1111/jch.14562</w:t>
        </w:r>
      </w:hyperlink>
    </w:p>
    <w:p w14:paraId="51746615" w14:textId="6CAD7F2B" w:rsidR="006246CD" w:rsidRPr="00A002D0" w:rsidRDefault="006246CD" w:rsidP="006246CD">
      <w:pPr>
        <w:spacing w:line="360" w:lineRule="auto"/>
        <w:rPr>
          <w:bCs/>
          <w:iCs/>
          <w:color w:val="000000"/>
        </w:rPr>
      </w:pPr>
      <w:r w:rsidRPr="00A002D0">
        <w:rPr>
          <w:bCs/>
          <w:iCs/>
          <w:color w:val="000000"/>
        </w:rPr>
        <w:t>Huang L, Trieu K, Yoshimura S, et al. Effect of dose and duration of reduction in dietary sodium on blood pressure levels: systematic review and meta-analysis of randomised trials. BMJ. 2020;368:m315. doi:</w:t>
      </w:r>
      <w:hyperlink r:id="rId15" w:history="1">
        <w:r w:rsidRPr="00A002D0">
          <w:rPr>
            <w:bCs/>
            <w:iCs/>
            <w:color w:val="000000"/>
          </w:rPr>
          <w:t>10.1136/bmj.m315</w:t>
        </w:r>
      </w:hyperlink>
    </w:p>
    <w:p w14:paraId="3D28B94F" w14:textId="5E59EE01" w:rsidR="007B7DDA" w:rsidRPr="00A002D0" w:rsidRDefault="007B7DDA">
      <w:pPr>
        <w:rPr>
          <w:rFonts w:eastAsia="黑体"/>
        </w:rPr>
      </w:pPr>
      <w:r w:rsidRPr="00A002D0">
        <w:rPr>
          <w:rFonts w:eastAsia="黑体"/>
        </w:rPr>
        <w:br w:type="page"/>
      </w:r>
    </w:p>
    <w:p w14:paraId="18A2ECBA" w14:textId="3D27AFAE" w:rsidR="00785E78" w:rsidRPr="00A002D0" w:rsidRDefault="006A64AA" w:rsidP="00785E78">
      <w:pPr>
        <w:pStyle w:val="2"/>
        <w:spacing w:line="360" w:lineRule="auto"/>
        <w:rPr>
          <w:rFonts w:ascii="Times New Roman" w:eastAsia="黑体" w:hAnsi="Times New Roman" w:cs="Times New Roman"/>
          <w:sz w:val="28"/>
          <w:szCs w:val="28"/>
        </w:rPr>
      </w:pPr>
      <w:bookmarkStart w:id="21" w:name="_Toc211461925"/>
      <w:r>
        <w:rPr>
          <w:rFonts w:ascii="Times New Roman" w:eastAsia="黑体" w:hAnsi="Times New Roman" w:cs="Times New Roman" w:hint="eastAsia"/>
          <w:sz w:val="28"/>
          <w:szCs w:val="28"/>
        </w:rPr>
        <w:lastRenderedPageBreak/>
        <w:t>Table S4</w:t>
      </w:r>
      <w:r w:rsidR="00785E78" w:rsidRPr="00A002D0">
        <w:rPr>
          <w:rFonts w:ascii="Times New Roman" w:eastAsia="黑体" w:hAnsi="Times New Roman" w:cs="Times New Roman"/>
          <w:sz w:val="28"/>
          <w:szCs w:val="28"/>
        </w:rPr>
        <w:t xml:space="preserve"> MID thresholds of each outcome</w:t>
      </w:r>
      <w:bookmarkEnd w:id="21"/>
    </w:p>
    <w:tbl>
      <w:tblPr>
        <w:tblStyle w:val="12"/>
        <w:tblW w:w="0" w:type="auto"/>
        <w:tblLook w:val="04A0" w:firstRow="1" w:lastRow="0" w:firstColumn="1" w:lastColumn="0" w:noHBand="0" w:noVBand="1"/>
      </w:tblPr>
      <w:tblGrid>
        <w:gridCol w:w="2072"/>
        <w:gridCol w:w="2293"/>
        <w:gridCol w:w="1884"/>
        <w:gridCol w:w="2041"/>
      </w:tblGrid>
      <w:tr w:rsidR="00785E78" w:rsidRPr="009329CA" w14:paraId="4C2BEC8E" w14:textId="77777777" w:rsidTr="009329C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8" w:type="dxa"/>
            <w:hideMark/>
          </w:tcPr>
          <w:p w14:paraId="3D604FDF" w14:textId="77777777" w:rsidR="00785E78" w:rsidRPr="009329CA" w:rsidRDefault="00785E78" w:rsidP="00785E78">
            <w:pPr>
              <w:spacing w:line="360" w:lineRule="auto"/>
              <w:rPr>
                <w:b w:val="0"/>
                <w:bCs w:val="0"/>
              </w:rPr>
            </w:pPr>
            <w:r w:rsidRPr="009329CA">
              <w:t>Classification of outcomes</w:t>
            </w:r>
          </w:p>
        </w:tc>
        <w:tc>
          <w:tcPr>
            <w:tcW w:w="3685" w:type="dxa"/>
            <w:hideMark/>
          </w:tcPr>
          <w:p w14:paraId="32E4EF9C" w14:textId="77777777" w:rsidR="00785E78" w:rsidRPr="009329CA" w:rsidRDefault="00785E78" w:rsidP="00785E78">
            <w:pPr>
              <w:spacing w:line="360" w:lineRule="auto"/>
              <w:cnfStyle w:val="100000000000" w:firstRow="1" w:lastRow="0" w:firstColumn="0" w:lastColumn="0" w:oddVBand="0" w:evenVBand="0" w:oddHBand="0" w:evenHBand="0" w:firstRowFirstColumn="0" w:firstRowLastColumn="0" w:lastRowFirstColumn="0" w:lastRowLastColumn="0"/>
              <w:rPr>
                <w:b w:val="0"/>
                <w:bCs w:val="0"/>
              </w:rPr>
            </w:pPr>
            <w:r w:rsidRPr="009329CA">
              <w:t>Outcomes</w:t>
            </w:r>
          </w:p>
        </w:tc>
        <w:tc>
          <w:tcPr>
            <w:tcW w:w="3402" w:type="dxa"/>
            <w:hideMark/>
          </w:tcPr>
          <w:p w14:paraId="13C90619" w14:textId="77777777" w:rsidR="00785E78" w:rsidRPr="009329CA" w:rsidRDefault="00785E78" w:rsidP="00785E78">
            <w:pPr>
              <w:spacing w:line="360" w:lineRule="auto"/>
              <w:cnfStyle w:val="100000000000" w:firstRow="1" w:lastRow="0" w:firstColumn="0" w:lastColumn="0" w:oddVBand="0" w:evenVBand="0" w:oddHBand="0" w:evenHBand="0" w:firstRowFirstColumn="0" w:firstRowLastColumn="0" w:lastRowFirstColumn="0" w:lastRowLastColumn="0"/>
              <w:rPr>
                <w:b w:val="0"/>
                <w:bCs w:val="0"/>
              </w:rPr>
            </w:pPr>
            <w:r w:rsidRPr="009329CA">
              <w:t>MID</w:t>
            </w:r>
          </w:p>
        </w:tc>
        <w:tc>
          <w:tcPr>
            <w:tcW w:w="3402" w:type="dxa"/>
            <w:hideMark/>
          </w:tcPr>
          <w:p w14:paraId="21FB9911" w14:textId="77777777" w:rsidR="00785E78" w:rsidRPr="009329CA" w:rsidRDefault="00785E78" w:rsidP="00785E78">
            <w:pPr>
              <w:spacing w:line="360" w:lineRule="auto"/>
              <w:cnfStyle w:val="100000000000" w:firstRow="1" w:lastRow="0" w:firstColumn="0" w:lastColumn="0" w:oddVBand="0" w:evenVBand="0" w:oddHBand="0" w:evenHBand="0" w:firstRowFirstColumn="0" w:firstRowLastColumn="0" w:lastRowFirstColumn="0" w:lastRowLastColumn="0"/>
              <w:rPr>
                <w:b w:val="0"/>
                <w:bCs w:val="0"/>
              </w:rPr>
            </w:pPr>
            <w:r w:rsidRPr="009329CA">
              <w:t>Source</w:t>
            </w:r>
          </w:p>
        </w:tc>
      </w:tr>
      <w:tr w:rsidR="00785E78" w:rsidRPr="009329CA" w14:paraId="3A09D6C4" w14:textId="77777777" w:rsidTr="009329C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8" w:type="dxa"/>
            <w:vMerge w:val="restart"/>
            <w:hideMark/>
          </w:tcPr>
          <w:p w14:paraId="4C1ED316" w14:textId="77777777" w:rsidR="00785E78" w:rsidRPr="009329CA" w:rsidRDefault="00785E78" w:rsidP="00785E78">
            <w:pPr>
              <w:spacing w:line="360" w:lineRule="auto"/>
            </w:pPr>
            <w:r w:rsidRPr="009329CA">
              <w:t>Critical important</w:t>
            </w:r>
          </w:p>
        </w:tc>
        <w:tc>
          <w:tcPr>
            <w:tcW w:w="3685" w:type="dxa"/>
            <w:hideMark/>
          </w:tcPr>
          <w:p w14:paraId="5594C21E"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All-cause mortality</w:t>
            </w:r>
          </w:p>
        </w:tc>
        <w:tc>
          <w:tcPr>
            <w:tcW w:w="3402" w:type="dxa"/>
            <w:hideMark/>
          </w:tcPr>
          <w:p w14:paraId="46E7CB8B"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5 per 1000*</w:t>
            </w:r>
          </w:p>
        </w:tc>
        <w:tc>
          <w:tcPr>
            <w:tcW w:w="3402" w:type="dxa"/>
            <w:hideMark/>
          </w:tcPr>
          <w:p w14:paraId="45787ABF"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Johnston et al., 2019</w:t>
            </w:r>
          </w:p>
        </w:tc>
      </w:tr>
      <w:tr w:rsidR="00785E78" w:rsidRPr="009329CA" w14:paraId="329BF14B" w14:textId="77777777" w:rsidTr="009329CA">
        <w:trPr>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2680EDD4" w14:textId="77777777" w:rsidR="00785E78" w:rsidRPr="009329CA" w:rsidRDefault="00785E78" w:rsidP="00785E78">
            <w:pPr>
              <w:spacing w:line="360" w:lineRule="auto"/>
            </w:pPr>
          </w:p>
        </w:tc>
        <w:tc>
          <w:tcPr>
            <w:tcW w:w="3685" w:type="dxa"/>
            <w:hideMark/>
          </w:tcPr>
          <w:p w14:paraId="3B30A293"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Cardiovascular mortality</w:t>
            </w:r>
          </w:p>
        </w:tc>
        <w:tc>
          <w:tcPr>
            <w:tcW w:w="3402" w:type="dxa"/>
            <w:hideMark/>
          </w:tcPr>
          <w:p w14:paraId="53D9C2F5"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5 per 1000*</w:t>
            </w:r>
          </w:p>
        </w:tc>
        <w:tc>
          <w:tcPr>
            <w:tcW w:w="3402" w:type="dxa"/>
            <w:hideMark/>
          </w:tcPr>
          <w:p w14:paraId="64191DDF"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Johnston et al., 2019</w:t>
            </w:r>
          </w:p>
        </w:tc>
      </w:tr>
      <w:tr w:rsidR="00785E78" w:rsidRPr="009329CA" w14:paraId="2BE33E93" w14:textId="77777777" w:rsidTr="009329C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238498B3" w14:textId="77777777" w:rsidR="00785E78" w:rsidRPr="009329CA" w:rsidRDefault="00785E78" w:rsidP="00785E78">
            <w:pPr>
              <w:spacing w:line="360" w:lineRule="auto"/>
            </w:pPr>
          </w:p>
        </w:tc>
        <w:tc>
          <w:tcPr>
            <w:tcW w:w="3685" w:type="dxa"/>
            <w:hideMark/>
          </w:tcPr>
          <w:p w14:paraId="30E2C553"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Non-fatal cardiovascular events</w:t>
            </w:r>
          </w:p>
        </w:tc>
        <w:tc>
          <w:tcPr>
            <w:tcW w:w="3402" w:type="dxa"/>
            <w:hideMark/>
          </w:tcPr>
          <w:p w14:paraId="06B8C0C5"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10 per 1000*</w:t>
            </w:r>
          </w:p>
        </w:tc>
        <w:tc>
          <w:tcPr>
            <w:tcW w:w="3402" w:type="dxa"/>
            <w:hideMark/>
          </w:tcPr>
          <w:p w14:paraId="78C80135"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Johnston et al., 2019</w:t>
            </w:r>
          </w:p>
        </w:tc>
      </w:tr>
      <w:tr w:rsidR="00785E78" w:rsidRPr="009329CA" w14:paraId="06E0F287" w14:textId="77777777" w:rsidTr="009329CA">
        <w:trPr>
          <w:trHeight w:val="283"/>
        </w:trPr>
        <w:tc>
          <w:tcPr>
            <w:cnfStyle w:val="001000000000" w:firstRow="0" w:lastRow="0" w:firstColumn="1" w:lastColumn="0" w:oddVBand="0" w:evenVBand="0" w:oddHBand="0" w:evenHBand="0" w:firstRowFirstColumn="0" w:firstRowLastColumn="0" w:lastRowFirstColumn="0" w:lastRowLastColumn="0"/>
            <w:tcW w:w="3118" w:type="dxa"/>
            <w:vMerge w:val="restart"/>
          </w:tcPr>
          <w:p w14:paraId="47E44BAB" w14:textId="77777777" w:rsidR="00785E78" w:rsidRPr="009329CA" w:rsidRDefault="00785E78" w:rsidP="00785E78">
            <w:pPr>
              <w:spacing w:line="360" w:lineRule="auto"/>
            </w:pPr>
            <w:r w:rsidRPr="009329CA">
              <w:t>Important</w:t>
            </w:r>
          </w:p>
        </w:tc>
        <w:tc>
          <w:tcPr>
            <w:tcW w:w="3685" w:type="dxa"/>
          </w:tcPr>
          <w:p w14:paraId="1C37B6CA" w14:textId="164D4DF0"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SBP</w:t>
            </w:r>
          </w:p>
        </w:tc>
        <w:tc>
          <w:tcPr>
            <w:tcW w:w="3402" w:type="dxa"/>
          </w:tcPr>
          <w:p w14:paraId="206C2ACB"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3 mmHg</w:t>
            </w:r>
          </w:p>
        </w:tc>
        <w:tc>
          <w:tcPr>
            <w:tcW w:w="3402" w:type="dxa"/>
          </w:tcPr>
          <w:p w14:paraId="70B26531"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Ge et al., 2020</w:t>
            </w:r>
          </w:p>
        </w:tc>
      </w:tr>
      <w:tr w:rsidR="00785E78" w:rsidRPr="009329CA" w14:paraId="0CC6765F" w14:textId="77777777" w:rsidTr="009329C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7EC4E3E8" w14:textId="77777777" w:rsidR="00785E78" w:rsidRPr="009329CA" w:rsidRDefault="00785E78" w:rsidP="00785E78">
            <w:pPr>
              <w:spacing w:line="360" w:lineRule="auto"/>
            </w:pPr>
          </w:p>
        </w:tc>
        <w:tc>
          <w:tcPr>
            <w:tcW w:w="3685" w:type="dxa"/>
            <w:hideMark/>
          </w:tcPr>
          <w:p w14:paraId="62682454" w14:textId="2EB3BD24"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DBP</w:t>
            </w:r>
          </w:p>
        </w:tc>
        <w:tc>
          <w:tcPr>
            <w:tcW w:w="3402" w:type="dxa"/>
          </w:tcPr>
          <w:p w14:paraId="50469DAE"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2 mmHg</w:t>
            </w:r>
          </w:p>
        </w:tc>
        <w:tc>
          <w:tcPr>
            <w:tcW w:w="3402" w:type="dxa"/>
          </w:tcPr>
          <w:p w14:paraId="401BFD05"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Ge et al., 2020</w:t>
            </w:r>
          </w:p>
        </w:tc>
      </w:tr>
      <w:tr w:rsidR="00785E78" w:rsidRPr="009329CA" w14:paraId="0DC36DE2" w14:textId="77777777" w:rsidTr="009329CA">
        <w:trPr>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34B7CDEA" w14:textId="77777777" w:rsidR="00785E78" w:rsidRPr="009329CA" w:rsidRDefault="00785E78" w:rsidP="00785E78">
            <w:pPr>
              <w:spacing w:line="360" w:lineRule="auto"/>
            </w:pPr>
          </w:p>
        </w:tc>
        <w:tc>
          <w:tcPr>
            <w:tcW w:w="3685" w:type="dxa"/>
            <w:hideMark/>
          </w:tcPr>
          <w:p w14:paraId="0A6354B7" w14:textId="6D65A90E" w:rsidR="00785E78" w:rsidRPr="009329CA" w:rsidRDefault="00A63D9C"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Withdrawals</w:t>
            </w:r>
            <w:r w:rsidR="00785E78" w:rsidRPr="009329CA">
              <w:t xml:space="preserve"> due to AE</w:t>
            </w:r>
          </w:p>
        </w:tc>
        <w:tc>
          <w:tcPr>
            <w:tcW w:w="3402" w:type="dxa"/>
          </w:tcPr>
          <w:p w14:paraId="1FB5A7A1"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20 per 1000</w:t>
            </w:r>
          </w:p>
        </w:tc>
        <w:tc>
          <w:tcPr>
            <w:tcW w:w="3402" w:type="dxa"/>
          </w:tcPr>
          <w:p w14:paraId="16EC9957"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Siemieniuk., 2020</w:t>
            </w:r>
          </w:p>
        </w:tc>
      </w:tr>
      <w:tr w:rsidR="00785E78" w:rsidRPr="009329CA" w14:paraId="16EF54BD" w14:textId="77777777" w:rsidTr="009329C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1D5B3153" w14:textId="77777777" w:rsidR="00785E78" w:rsidRPr="009329CA" w:rsidRDefault="00785E78" w:rsidP="00785E78">
            <w:pPr>
              <w:spacing w:line="360" w:lineRule="auto"/>
            </w:pPr>
          </w:p>
        </w:tc>
        <w:tc>
          <w:tcPr>
            <w:tcW w:w="3685" w:type="dxa"/>
            <w:hideMark/>
          </w:tcPr>
          <w:p w14:paraId="4E7FF5CC"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Acceptance</w:t>
            </w:r>
          </w:p>
        </w:tc>
        <w:tc>
          <w:tcPr>
            <w:tcW w:w="3402" w:type="dxa"/>
            <w:hideMark/>
          </w:tcPr>
          <w:p w14:paraId="1E05793D"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50 per 1000</w:t>
            </w:r>
          </w:p>
        </w:tc>
        <w:tc>
          <w:tcPr>
            <w:tcW w:w="3402" w:type="dxa"/>
            <w:hideMark/>
          </w:tcPr>
          <w:p w14:paraId="5308E2BD"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Consensus</w:t>
            </w:r>
          </w:p>
        </w:tc>
      </w:tr>
      <w:tr w:rsidR="00785E78" w:rsidRPr="009329CA" w14:paraId="65D52B7D" w14:textId="77777777" w:rsidTr="009329CA">
        <w:trPr>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76929599" w14:textId="77777777" w:rsidR="00785E78" w:rsidRPr="009329CA" w:rsidRDefault="00785E78" w:rsidP="00785E78">
            <w:pPr>
              <w:spacing w:line="360" w:lineRule="auto"/>
            </w:pPr>
          </w:p>
        </w:tc>
        <w:tc>
          <w:tcPr>
            <w:tcW w:w="3685" w:type="dxa"/>
            <w:hideMark/>
          </w:tcPr>
          <w:p w14:paraId="7081FE99"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AE related to intervention</w:t>
            </w:r>
          </w:p>
        </w:tc>
        <w:tc>
          <w:tcPr>
            <w:tcW w:w="3402" w:type="dxa"/>
            <w:hideMark/>
          </w:tcPr>
          <w:p w14:paraId="461122B3"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30 per 1000</w:t>
            </w:r>
          </w:p>
        </w:tc>
        <w:tc>
          <w:tcPr>
            <w:tcW w:w="3402" w:type="dxa"/>
            <w:hideMark/>
          </w:tcPr>
          <w:p w14:paraId="1A6D1541"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Consensus</w:t>
            </w:r>
          </w:p>
        </w:tc>
      </w:tr>
      <w:tr w:rsidR="00785E78" w:rsidRPr="009329CA" w14:paraId="1EF33195" w14:textId="77777777" w:rsidTr="009329C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3DF24230" w14:textId="77777777" w:rsidR="00785E78" w:rsidRPr="009329CA" w:rsidRDefault="00785E78" w:rsidP="00785E78">
            <w:pPr>
              <w:spacing w:line="360" w:lineRule="auto"/>
            </w:pPr>
          </w:p>
        </w:tc>
        <w:tc>
          <w:tcPr>
            <w:tcW w:w="3685" w:type="dxa"/>
            <w:hideMark/>
          </w:tcPr>
          <w:p w14:paraId="11E1F4DF" w14:textId="436235B7" w:rsidR="00785E78" w:rsidRPr="009329CA" w:rsidRDefault="00A63D9C"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Withdrawals</w:t>
            </w:r>
            <w:r w:rsidR="00785E78" w:rsidRPr="009329CA">
              <w:t xml:space="preserve"> due to any reason</w:t>
            </w:r>
          </w:p>
        </w:tc>
        <w:tc>
          <w:tcPr>
            <w:tcW w:w="3402" w:type="dxa"/>
            <w:hideMark/>
          </w:tcPr>
          <w:p w14:paraId="247BC2CA"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30 per 1000</w:t>
            </w:r>
          </w:p>
        </w:tc>
        <w:tc>
          <w:tcPr>
            <w:tcW w:w="3402" w:type="dxa"/>
            <w:hideMark/>
          </w:tcPr>
          <w:p w14:paraId="3AEC8691"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Consensus</w:t>
            </w:r>
          </w:p>
        </w:tc>
      </w:tr>
      <w:tr w:rsidR="00785E78" w:rsidRPr="009329CA" w14:paraId="6720D23E" w14:textId="77777777" w:rsidTr="009329CA">
        <w:trPr>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72C1F0DA" w14:textId="77777777" w:rsidR="00785E78" w:rsidRPr="009329CA" w:rsidRDefault="00785E78" w:rsidP="00785E78">
            <w:pPr>
              <w:spacing w:line="360" w:lineRule="auto"/>
            </w:pPr>
          </w:p>
        </w:tc>
        <w:tc>
          <w:tcPr>
            <w:tcW w:w="3685" w:type="dxa"/>
            <w:hideMark/>
          </w:tcPr>
          <w:p w14:paraId="1541BF3A"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Serum potassium</w:t>
            </w:r>
          </w:p>
        </w:tc>
        <w:tc>
          <w:tcPr>
            <w:tcW w:w="3402" w:type="dxa"/>
            <w:hideMark/>
          </w:tcPr>
          <w:p w14:paraId="1651DA6E"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0.14 mmol/L</w:t>
            </w:r>
          </w:p>
        </w:tc>
        <w:tc>
          <w:tcPr>
            <w:tcW w:w="3402" w:type="dxa"/>
            <w:hideMark/>
          </w:tcPr>
          <w:p w14:paraId="5D3576F1"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Calculated by baseline SD*0.3</w:t>
            </w:r>
          </w:p>
        </w:tc>
      </w:tr>
      <w:tr w:rsidR="00785E78" w:rsidRPr="009329CA" w14:paraId="6EEE6266" w14:textId="77777777" w:rsidTr="009329C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712E746E" w14:textId="77777777" w:rsidR="00785E78" w:rsidRPr="009329CA" w:rsidRDefault="00785E78" w:rsidP="00785E78">
            <w:pPr>
              <w:spacing w:line="360" w:lineRule="auto"/>
            </w:pPr>
          </w:p>
        </w:tc>
        <w:tc>
          <w:tcPr>
            <w:tcW w:w="3685" w:type="dxa"/>
            <w:hideMark/>
          </w:tcPr>
          <w:p w14:paraId="1E358CFC"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Serum sodium</w:t>
            </w:r>
          </w:p>
        </w:tc>
        <w:tc>
          <w:tcPr>
            <w:tcW w:w="3402" w:type="dxa"/>
            <w:hideMark/>
          </w:tcPr>
          <w:p w14:paraId="076E5E1E"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0.75 mmol/L</w:t>
            </w:r>
          </w:p>
        </w:tc>
        <w:tc>
          <w:tcPr>
            <w:tcW w:w="3402" w:type="dxa"/>
            <w:hideMark/>
          </w:tcPr>
          <w:p w14:paraId="301D4BB6"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Calculated by baseline SD*0.3</w:t>
            </w:r>
          </w:p>
        </w:tc>
      </w:tr>
      <w:tr w:rsidR="00785E78" w:rsidRPr="009329CA" w14:paraId="5FABCF84" w14:textId="77777777" w:rsidTr="009329CA">
        <w:trPr>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4A41E8BA" w14:textId="77777777" w:rsidR="00785E78" w:rsidRPr="009329CA" w:rsidRDefault="00785E78" w:rsidP="00785E78">
            <w:pPr>
              <w:spacing w:line="360" w:lineRule="auto"/>
            </w:pPr>
          </w:p>
        </w:tc>
        <w:tc>
          <w:tcPr>
            <w:tcW w:w="3685" w:type="dxa"/>
            <w:hideMark/>
          </w:tcPr>
          <w:p w14:paraId="5D8A0335"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Urinary potassium</w:t>
            </w:r>
          </w:p>
        </w:tc>
        <w:tc>
          <w:tcPr>
            <w:tcW w:w="3402" w:type="dxa"/>
            <w:hideMark/>
          </w:tcPr>
          <w:p w14:paraId="12A9E7B7"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8.97 mmol/24h</w:t>
            </w:r>
          </w:p>
        </w:tc>
        <w:tc>
          <w:tcPr>
            <w:tcW w:w="3402" w:type="dxa"/>
            <w:hideMark/>
          </w:tcPr>
          <w:p w14:paraId="1B2B1AB2" w14:textId="77777777" w:rsidR="00785E78" w:rsidRPr="009329CA" w:rsidRDefault="00785E78" w:rsidP="00785E78">
            <w:pPr>
              <w:spacing w:line="360" w:lineRule="auto"/>
              <w:cnfStyle w:val="000000000000" w:firstRow="0" w:lastRow="0" w:firstColumn="0" w:lastColumn="0" w:oddVBand="0" w:evenVBand="0" w:oddHBand="0" w:evenHBand="0" w:firstRowFirstColumn="0" w:firstRowLastColumn="0" w:lastRowFirstColumn="0" w:lastRowLastColumn="0"/>
            </w:pPr>
            <w:r w:rsidRPr="009329CA">
              <w:t>Calculated by baseline SD*0.3</w:t>
            </w:r>
          </w:p>
        </w:tc>
      </w:tr>
      <w:tr w:rsidR="00785E78" w:rsidRPr="009329CA" w14:paraId="303CCA9C" w14:textId="77777777" w:rsidTr="009329C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8" w:type="dxa"/>
            <w:vMerge/>
            <w:hideMark/>
          </w:tcPr>
          <w:p w14:paraId="5D44E546" w14:textId="77777777" w:rsidR="00785E78" w:rsidRPr="009329CA" w:rsidRDefault="00785E78" w:rsidP="00785E78">
            <w:pPr>
              <w:spacing w:line="360" w:lineRule="auto"/>
            </w:pPr>
          </w:p>
        </w:tc>
        <w:tc>
          <w:tcPr>
            <w:tcW w:w="3685" w:type="dxa"/>
            <w:hideMark/>
          </w:tcPr>
          <w:p w14:paraId="371CA4F8"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Urinary sodium</w:t>
            </w:r>
          </w:p>
        </w:tc>
        <w:tc>
          <w:tcPr>
            <w:tcW w:w="3402" w:type="dxa"/>
            <w:hideMark/>
          </w:tcPr>
          <w:p w14:paraId="60F17F34"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15.31 mmol/24h</w:t>
            </w:r>
          </w:p>
        </w:tc>
        <w:tc>
          <w:tcPr>
            <w:tcW w:w="3402" w:type="dxa"/>
            <w:hideMark/>
          </w:tcPr>
          <w:p w14:paraId="2BA9E82D" w14:textId="77777777" w:rsidR="00785E78" w:rsidRPr="009329CA" w:rsidRDefault="00785E78" w:rsidP="00785E78">
            <w:pPr>
              <w:spacing w:line="360" w:lineRule="auto"/>
              <w:cnfStyle w:val="000000100000" w:firstRow="0" w:lastRow="0" w:firstColumn="0" w:lastColumn="0" w:oddVBand="0" w:evenVBand="0" w:oddHBand="1" w:evenHBand="0" w:firstRowFirstColumn="0" w:firstRowLastColumn="0" w:lastRowFirstColumn="0" w:lastRowLastColumn="0"/>
            </w:pPr>
            <w:r w:rsidRPr="009329CA">
              <w:t>Calculated by baseline SD*0.3</w:t>
            </w:r>
          </w:p>
        </w:tc>
      </w:tr>
    </w:tbl>
    <w:p w14:paraId="2735885B" w14:textId="2D2BA3E5" w:rsidR="00785E78" w:rsidRPr="00A002D0" w:rsidRDefault="00785E78" w:rsidP="00785E78">
      <w:pPr>
        <w:spacing w:line="360" w:lineRule="auto"/>
        <w:rPr>
          <w:rFonts w:eastAsia="黑体"/>
          <w:color w:val="000000"/>
        </w:rPr>
      </w:pPr>
      <w:r w:rsidRPr="00A002D0">
        <w:rPr>
          <w:rFonts w:eastAsia="黑体"/>
          <w:color w:val="000000"/>
        </w:rPr>
        <w:lastRenderedPageBreak/>
        <w:t>* Based on the Emerging Risk Factors Collaboration, which comprises 102 cohorts including 698 782 participants, with a median follow-up of 5 years.</w:t>
      </w:r>
    </w:p>
    <w:p w14:paraId="7E3B4D32" w14:textId="440D8288" w:rsidR="00C01DF6" w:rsidRPr="00A002D0" w:rsidRDefault="00C01DF6" w:rsidP="00785E78">
      <w:pPr>
        <w:spacing w:line="360" w:lineRule="auto"/>
        <w:rPr>
          <w:rFonts w:eastAsia="黑体"/>
          <w:color w:val="000000"/>
        </w:rPr>
      </w:pPr>
    </w:p>
    <w:p w14:paraId="05A9F013" w14:textId="77777777" w:rsidR="00C01DF6" w:rsidRPr="00A002D0" w:rsidRDefault="00C01DF6" w:rsidP="00C01DF6">
      <w:pPr>
        <w:spacing w:line="360" w:lineRule="auto"/>
        <w:rPr>
          <w:rFonts w:eastAsia="黑体"/>
          <w:b/>
          <w:bCs/>
        </w:rPr>
      </w:pPr>
      <w:r w:rsidRPr="00A002D0">
        <w:rPr>
          <w:rFonts w:eastAsia="黑体"/>
          <w:b/>
          <w:bCs/>
        </w:rPr>
        <w:t>References</w:t>
      </w:r>
    </w:p>
    <w:p w14:paraId="19C18912" w14:textId="77777777" w:rsidR="00C01DF6" w:rsidRPr="00A002D0" w:rsidRDefault="00C01DF6" w:rsidP="00C01DF6">
      <w:pPr>
        <w:spacing w:line="360" w:lineRule="auto"/>
        <w:rPr>
          <w:rFonts w:eastAsia="黑体"/>
        </w:rPr>
      </w:pPr>
      <w:r w:rsidRPr="00A002D0">
        <w:rPr>
          <w:rFonts w:eastAsia="黑体"/>
        </w:rPr>
        <w:t>Ge L, Sadeghirad B, Ball GDC, et al. Comparison of dietary macronutrient patterns of 14 popular named dietary programmes for weight and cardiovascular risk factor reduction in adults: systematic review and network meta-analysis of randomised trials. BMJ. 2020;369:m696. doi:</w:t>
      </w:r>
      <w:hyperlink r:id="rId16" w:history="1">
        <w:r w:rsidRPr="00A002D0">
          <w:rPr>
            <w:rFonts w:eastAsia="黑体"/>
          </w:rPr>
          <w:t>10.1136/bmj.m696</w:t>
        </w:r>
      </w:hyperlink>
    </w:p>
    <w:p w14:paraId="0DA34A72" w14:textId="025EF87E" w:rsidR="00C01DF6" w:rsidRPr="00A002D0" w:rsidRDefault="00C01DF6" w:rsidP="00C01DF6">
      <w:pPr>
        <w:spacing w:line="360" w:lineRule="auto"/>
        <w:rPr>
          <w:rFonts w:eastAsia="黑体"/>
        </w:rPr>
      </w:pPr>
      <w:r w:rsidRPr="00A002D0">
        <w:rPr>
          <w:rFonts w:eastAsia="黑体"/>
        </w:rPr>
        <w:t>Johnston BC, Zeraatkar D, Han MA, et al. Unprocessed Red Meat and Processed Meat Consumption: Dietary Guideline Recommendations From the Nutritional Recommendations (NutriRECS) Consortium. Ann Intern Med. 2019;171(10):756-764. doi:</w:t>
      </w:r>
      <w:hyperlink r:id="rId17" w:history="1">
        <w:r w:rsidRPr="00A002D0">
          <w:rPr>
            <w:rFonts w:eastAsia="黑体"/>
          </w:rPr>
          <w:t>10.7326/M19-1621</w:t>
        </w:r>
      </w:hyperlink>
    </w:p>
    <w:p w14:paraId="106FB113" w14:textId="321A2394" w:rsidR="007C0ED4" w:rsidRPr="00A002D0" w:rsidRDefault="007C0ED4" w:rsidP="00C01DF6">
      <w:pPr>
        <w:spacing w:line="360" w:lineRule="auto"/>
        <w:rPr>
          <w:rFonts w:eastAsia="黑体"/>
        </w:rPr>
      </w:pPr>
      <w:r w:rsidRPr="00A002D0">
        <w:rPr>
          <w:rFonts w:eastAsia="黑体"/>
        </w:rPr>
        <w:t>Siemieniuk RA, Bartoszko JJ, Zeraatkar D, et al. Drug treatments for covid-19: living systematic review and network meta-analysis. BMJ. 2020;370:m2980. doi:10.1136/bmj.m2980</w:t>
      </w:r>
    </w:p>
    <w:p w14:paraId="57A1F45B" w14:textId="77777777" w:rsidR="00C01DF6" w:rsidRPr="00A002D0" w:rsidRDefault="00C01DF6" w:rsidP="00C01DF6">
      <w:pPr>
        <w:spacing w:line="360" w:lineRule="auto"/>
        <w:rPr>
          <w:rFonts w:eastAsia="黑体"/>
        </w:rPr>
      </w:pPr>
      <w:r w:rsidRPr="00A002D0">
        <w:rPr>
          <w:rFonts w:eastAsia="黑体"/>
        </w:rPr>
        <w:t>Woaye-Hune P, Hardouin JB, Lehur PA, Meurette G, Vanier A. Practical issues encountered while determining Minimal Clinically Important Difference in Patient-Reported Outcomes. Health and Quality of Life Outcomes. 2020;18(1):156. doi:</w:t>
      </w:r>
      <w:hyperlink r:id="rId18" w:history="1">
        <w:r w:rsidRPr="00A002D0">
          <w:rPr>
            <w:rFonts w:eastAsia="黑体"/>
          </w:rPr>
          <w:t>10.1186/s12955-020-01398-w</w:t>
        </w:r>
      </w:hyperlink>
    </w:p>
    <w:p w14:paraId="4E54BFC9" w14:textId="77777777" w:rsidR="00C01DF6" w:rsidRPr="00A002D0" w:rsidRDefault="00C01DF6" w:rsidP="00C01DF6">
      <w:pPr>
        <w:spacing w:line="360" w:lineRule="auto"/>
        <w:rPr>
          <w:rFonts w:eastAsia="黑体"/>
        </w:rPr>
      </w:pPr>
      <w:r w:rsidRPr="00A002D0">
        <w:rPr>
          <w:rFonts w:eastAsia="黑体"/>
        </w:rPr>
        <w:t>Sedaghat AR. Understanding the Minimal Clinically Important Difference (MCID) of Patient-Reported Outcome Measures. Otolaryngol Head Neck Surg. 2019;161(4):551-560. doi:</w:t>
      </w:r>
      <w:hyperlink r:id="rId19" w:history="1">
        <w:r w:rsidRPr="00A002D0">
          <w:rPr>
            <w:rFonts w:eastAsia="黑体"/>
          </w:rPr>
          <w:t>10.1177/0194599819852604</w:t>
        </w:r>
      </w:hyperlink>
    </w:p>
    <w:p w14:paraId="7C10A1D5" w14:textId="251D58D9" w:rsidR="00785E78" w:rsidRPr="00A002D0" w:rsidRDefault="00785E78">
      <w:pPr>
        <w:rPr>
          <w:rFonts w:eastAsia="黑体"/>
          <w:color w:val="000000"/>
        </w:rPr>
      </w:pPr>
      <w:r w:rsidRPr="00A002D0">
        <w:rPr>
          <w:rFonts w:eastAsia="黑体"/>
          <w:color w:val="000000"/>
        </w:rPr>
        <w:br w:type="page"/>
      </w:r>
    </w:p>
    <w:p w14:paraId="18FAA174" w14:textId="3795D54F" w:rsidR="00EC3284" w:rsidRPr="00A002D0" w:rsidRDefault="00306BD6" w:rsidP="001E0D6D">
      <w:pPr>
        <w:pStyle w:val="2"/>
        <w:spacing w:line="360" w:lineRule="auto"/>
        <w:rPr>
          <w:rFonts w:ascii="Times New Roman" w:hAnsi="Times New Roman" w:cs="Times New Roman"/>
          <w:sz w:val="28"/>
          <w:szCs w:val="28"/>
        </w:rPr>
      </w:pPr>
      <w:bookmarkStart w:id="22" w:name="_Toc211461926"/>
      <w:r>
        <w:rPr>
          <w:rFonts w:ascii="Times New Roman" w:eastAsia="黑体" w:hAnsi="Times New Roman" w:cs="Times New Roman" w:hint="eastAsia"/>
          <w:sz w:val="28"/>
          <w:szCs w:val="28"/>
        </w:rPr>
        <w:lastRenderedPageBreak/>
        <w:t>Text S5</w:t>
      </w:r>
      <w:r w:rsidR="00EC3284" w:rsidRPr="00A002D0">
        <w:rPr>
          <w:rFonts w:ascii="Times New Roman" w:hAnsi="Times New Roman" w:cs="Times New Roman"/>
          <w:sz w:val="28"/>
          <w:szCs w:val="28"/>
        </w:rPr>
        <w:t xml:space="preserve"> Certainty of evidence assessments</w:t>
      </w:r>
      <w:bookmarkEnd w:id="22"/>
    </w:p>
    <w:p w14:paraId="58DA6F3C" w14:textId="23A17495" w:rsidR="001B04B3" w:rsidRPr="00A002D0" w:rsidRDefault="001B04B3" w:rsidP="001B04B3">
      <w:pPr>
        <w:pStyle w:val="3"/>
        <w:spacing w:line="360" w:lineRule="auto"/>
        <w:rPr>
          <w:rFonts w:ascii="Times New Roman" w:eastAsia="黑体" w:hAnsi="Times New Roman" w:cs="Times New Roman"/>
          <w:sz w:val="24"/>
          <w:szCs w:val="24"/>
        </w:rPr>
      </w:pPr>
      <w:bookmarkStart w:id="23" w:name="_Toc211461927"/>
      <w:r w:rsidRPr="00A002D0">
        <w:rPr>
          <w:rFonts w:ascii="Times New Roman" w:eastAsia="黑体" w:hAnsi="Times New Roman" w:cs="Times New Roman"/>
          <w:sz w:val="24"/>
          <w:szCs w:val="24"/>
        </w:rPr>
        <w:t>GRADE approach</w:t>
      </w:r>
      <w:bookmarkEnd w:id="23"/>
    </w:p>
    <w:p w14:paraId="7BA98F16" w14:textId="051384CD" w:rsidR="00FE212C" w:rsidRPr="00A002D0" w:rsidRDefault="00FE212C" w:rsidP="001E0D6D">
      <w:pPr>
        <w:spacing w:line="360" w:lineRule="auto"/>
        <w:rPr>
          <w:rFonts w:eastAsia="黑体"/>
        </w:rPr>
      </w:pPr>
      <w:r w:rsidRPr="00A002D0">
        <w:rPr>
          <w:rFonts w:eastAsia="黑体"/>
        </w:rPr>
        <w:t xml:space="preserve">We applied the GRADE approach to assess the certainty of evidence for direct, indirect, and network comparisons using a non-contextualized approach. The certainty of evidence was categorized as high, moderate, low, or very low. Initially, for each direct comparison, the starting point for certainty was considered high. </w:t>
      </w:r>
      <w:r w:rsidR="00B80BAB" w:rsidRPr="00A002D0">
        <w:rPr>
          <w:rFonts w:eastAsia="黑体"/>
        </w:rPr>
        <w:t>T</w:t>
      </w:r>
      <w:r w:rsidRPr="00A002D0">
        <w:rPr>
          <w:rFonts w:eastAsia="黑体"/>
        </w:rPr>
        <w:t>his initial assessment could be downgraded due to significant issues related to risk of bias, inconsistency (heterogeneity), indirectness, and publication bias. The domain of imprecision was solely considered for network estimates.</w:t>
      </w:r>
    </w:p>
    <w:p w14:paraId="5068808E" w14:textId="28366B3C" w:rsidR="00FE212C" w:rsidRPr="00A002D0" w:rsidRDefault="00FE212C" w:rsidP="001E0D6D">
      <w:pPr>
        <w:spacing w:line="360" w:lineRule="auto"/>
        <w:rPr>
          <w:rFonts w:eastAsia="黑体"/>
        </w:rPr>
      </w:pPr>
      <w:r w:rsidRPr="00A002D0">
        <w:rPr>
          <w:rFonts w:eastAsia="黑体"/>
        </w:rPr>
        <w:t xml:space="preserve">For indirect evidence, our focus was on the most dominant order loop, and we rated the certainty of indirect evidence based on the lowest certainty among the direct comparisons contributing to that dominant loop. Additionally, we </w:t>
      </w:r>
      <w:r w:rsidR="001B04B3" w:rsidRPr="00A002D0">
        <w:rPr>
          <w:rFonts w:eastAsia="黑体"/>
        </w:rPr>
        <w:t>considered</w:t>
      </w:r>
      <w:r w:rsidRPr="00A002D0">
        <w:rPr>
          <w:rFonts w:eastAsia="黑体"/>
        </w:rPr>
        <w:t xml:space="preserve"> the domain of intransitivity, which addresses differences in effect modifiers between the two contributing direct comparisons.</w:t>
      </w:r>
    </w:p>
    <w:p w14:paraId="05B81F27" w14:textId="61EA47AC" w:rsidR="007D616F" w:rsidRPr="00A002D0" w:rsidRDefault="00FE212C" w:rsidP="001E0D6D">
      <w:pPr>
        <w:spacing w:line="360" w:lineRule="auto"/>
        <w:rPr>
          <w:rFonts w:eastAsia="黑体"/>
        </w:rPr>
      </w:pPr>
      <w:r w:rsidRPr="00A002D0">
        <w:rPr>
          <w:rFonts w:eastAsia="黑体"/>
        </w:rPr>
        <w:t>Regarding network evidence, we began with the certainty of evidence derived from the direct and/or indirect sources that dominated the comparison. Further considerations were made with respect to incoherence or imprecision. Our assessments followed the flowchart provided by Izcovich et al.</w:t>
      </w:r>
    </w:p>
    <w:p w14:paraId="2240E388" w14:textId="2131AD93" w:rsidR="007D616F" w:rsidRPr="00A002D0" w:rsidRDefault="007D616F" w:rsidP="001B04B3">
      <w:pPr>
        <w:spacing w:line="360" w:lineRule="auto"/>
        <w:jc w:val="center"/>
        <w:rPr>
          <w:rFonts w:eastAsia="黑体"/>
        </w:rPr>
      </w:pPr>
      <w:r w:rsidRPr="00A002D0">
        <w:rPr>
          <w:rFonts w:eastAsia="黑体"/>
          <w:noProof/>
        </w:rPr>
        <w:drawing>
          <wp:inline distT="0" distB="0" distL="0" distR="0" wp14:anchorId="09DCAF4E" wp14:editId="0C5C416D">
            <wp:extent cx="4486156" cy="2720340"/>
            <wp:effectExtent l="0" t="0" r="0" b="3810"/>
            <wp:docPr id="10100911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91187" name=""/>
                    <pic:cNvPicPr/>
                  </pic:nvPicPr>
                  <pic:blipFill>
                    <a:blip r:embed="rId20"/>
                    <a:stretch>
                      <a:fillRect/>
                    </a:stretch>
                  </pic:blipFill>
                  <pic:spPr>
                    <a:xfrm>
                      <a:off x="0" y="0"/>
                      <a:ext cx="4502691" cy="2730367"/>
                    </a:xfrm>
                    <a:prstGeom prst="rect">
                      <a:avLst/>
                    </a:prstGeom>
                  </pic:spPr>
                </pic:pic>
              </a:graphicData>
            </a:graphic>
          </wp:inline>
        </w:drawing>
      </w:r>
    </w:p>
    <w:p w14:paraId="23A65021" w14:textId="77777777" w:rsidR="00A83718" w:rsidRPr="00A002D0" w:rsidRDefault="00A83718">
      <w:pPr>
        <w:rPr>
          <w:rFonts w:eastAsia="黑体"/>
        </w:rPr>
      </w:pPr>
    </w:p>
    <w:p w14:paraId="3E5CBD68" w14:textId="77777777" w:rsidR="00A83718" w:rsidRPr="00A002D0" w:rsidRDefault="00A83718" w:rsidP="00A83718">
      <w:pPr>
        <w:spacing w:line="360" w:lineRule="auto"/>
        <w:rPr>
          <w:rFonts w:eastAsia="黑体"/>
          <w:b/>
          <w:bCs/>
        </w:rPr>
      </w:pPr>
      <w:r w:rsidRPr="00A002D0">
        <w:rPr>
          <w:rFonts w:eastAsia="黑体"/>
          <w:b/>
          <w:bCs/>
        </w:rPr>
        <w:t>References</w:t>
      </w:r>
    </w:p>
    <w:p w14:paraId="471F1C44" w14:textId="7B92F514" w:rsidR="00A83718" w:rsidRPr="00A002D0" w:rsidRDefault="00A83718" w:rsidP="00A83718">
      <w:pPr>
        <w:spacing w:line="360" w:lineRule="auto"/>
        <w:rPr>
          <w:rFonts w:eastAsia="黑体"/>
        </w:rPr>
      </w:pPr>
      <w:r w:rsidRPr="00A002D0">
        <w:rPr>
          <w:rFonts w:eastAsia="黑体"/>
        </w:rPr>
        <w:t>Puhan MA, Schünemann HJ, Murad MH, et al. A GRADE Working Group approach for rating the quality of treatment effect estimates from network meta-analysis. BMJ. 2014;349:g5630. doi:10.1136/bmj.g5630</w:t>
      </w:r>
    </w:p>
    <w:p w14:paraId="3EC93B35" w14:textId="2C0E9962" w:rsidR="00A83718" w:rsidRPr="00A002D0" w:rsidRDefault="00A83718" w:rsidP="00A83718">
      <w:pPr>
        <w:spacing w:line="360" w:lineRule="auto"/>
        <w:rPr>
          <w:rFonts w:eastAsia="黑体"/>
        </w:rPr>
      </w:pPr>
      <w:r w:rsidRPr="00A002D0">
        <w:rPr>
          <w:rFonts w:eastAsia="黑体"/>
        </w:rPr>
        <w:t>Izcovich A, Chu D, Mustafa R, Guyatt G, Brignardello-Petersen R. A guide and pragmatic considerations for applying GRADE to network meta-analysis. BMJ. 2023;381:e074495. doi:</w:t>
      </w:r>
      <w:hyperlink r:id="rId21" w:history="1">
        <w:r w:rsidRPr="00A002D0">
          <w:rPr>
            <w:rFonts w:eastAsia="黑体"/>
          </w:rPr>
          <w:t>10.1136/bmj-2022-074495</w:t>
        </w:r>
      </w:hyperlink>
    </w:p>
    <w:p w14:paraId="668EE0B2" w14:textId="3B2CBFDC" w:rsidR="001B04B3" w:rsidRPr="00A002D0" w:rsidRDefault="001B04B3">
      <w:pPr>
        <w:rPr>
          <w:rFonts w:eastAsia="黑体"/>
        </w:rPr>
      </w:pPr>
      <w:r w:rsidRPr="00A002D0">
        <w:rPr>
          <w:rFonts w:eastAsia="黑体"/>
        </w:rPr>
        <w:br w:type="page"/>
      </w:r>
    </w:p>
    <w:p w14:paraId="00FA74DE" w14:textId="67B64CC6" w:rsidR="001B04B3" w:rsidRPr="00A002D0" w:rsidRDefault="00A81484" w:rsidP="001B04B3">
      <w:pPr>
        <w:pStyle w:val="3"/>
        <w:spacing w:line="360" w:lineRule="auto"/>
        <w:rPr>
          <w:rFonts w:ascii="Times New Roman" w:eastAsia="黑体" w:hAnsi="Times New Roman" w:cs="Times New Roman"/>
          <w:sz w:val="24"/>
          <w:szCs w:val="24"/>
        </w:rPr>
      </w:pPr>
      <w:bookmarkStart w:id="24" w:name="_Toc211461928"/>
      <w:r w:rsidRPr="00A002D0">
        <w:rPr>
          <w:rFonts w:ascii="Times New Roman" w:eastAsia="黑体" w:hAnsi="Times New Roman" w:cs="Times New Roman"/>
          <w:sz w:val="24"/>
          <w:szCs w:val="24"/>
        </w:rPr>
        <w:lastRenderedPageBreak/>
        <w:t>B</w:t>
      </w:r>
      <w:r w:rsidR="001B04B3" w:rsidRPr="00A002D0">
        <w:rPr>
          <w:rFonts w:ascii="Times New Roman" w:eastAsia="黑体" w:hAnsi="Times New Roman" w:cs="Times New Roman"/>
          <w:sz w:val="24"/>
          <w:szCs w:val="24"/>
        </w:rPr>
        <w:t>aseline risk</w:t>
      </w:r>
      <w:bookmarkEnd w:id="24"/>
    </w:p>
    <w:p w14:paraId="75D104C4" w14:textId="3735700D" w:rsidR="008E3EB5" w:rsidRPr="00A002D0" w:rsidRDefault="008E3EB5" w:rsidP="008E3EB5">
      <w:pPr>
        <w:spacing w:line="360" w:lineRule="auto"/>
        <w:rPr>
          <w:rFonts w:eastAsia="黑体"/>
        </w:rPr>
      </w:pPr>
      <w:r w:rsidRPr="00A002D0">
        <w:rPr>
          <w:rFonts w:eastAsia="黑体"/>
        </w:rPr>
        <w:t>We derived our baseline risk estimates from a 2012 meta-analysis conducted by the Cholesterol Treatment Trialists' (CTT) Collaboration, which provided risk stratification based on quintiles of 5-year predicted cardiovascular event risk(five categories: &lt;5%, ≥5% to &lt;10%, ≥10% to &lt;20%, ≥20% to &lt;30%, ≥30%). This meta-analysis was selected due to its comprehensive reporting of critical outcomes across these risk strata.</w:t>
      </w:r>
    </w:p>
    <w:p w14:paraId="151FD91A" w14:textId="71888230" w:rsidR="008E3EB5" w:rsidRPr="00A002D0" w:rsidRDefault="008E3EB5" w:rsidP="008E3EB5">
      <w:pPr>
        <w:spacing w:line="360" w:lineRule="auto"/>
        <w:rPr>
          <w:rFonts w:eastAsia="黑体"/>
        </w:rPr>
      </w:pPr>
      <w:r w:rsidRPr="00A002D0">
        <w:rPr>
          <w:rFonts w:eastAsia="黑体"/>
        </w:rPr>
        <w:t>For the intermediate risk group, we utilized data corresponding to the 5-year cardiovascular event risk range of ≥5% to &lt;10%. This selection is aligned with the observed risks in our systematic review and is consistent with the definition of intermediate risk as per primary prevention guidelines.</w:t>
      </w:r>
    </w:p>
    <w:p w14:paraId="282B1717" w14:textId="670A3B8B" w:rsidR="001B04B3" w:rsidRPr="00A002D0" w:rsidRDefault="008E3EB5" w:rsidP="008E3EB5">
      <w:pPr>
        <w:spacing w:line="360" w:lineRule="auto"/>
        <w:rPr>
          <w:rFonts w:eastAsia="黑体"/>
        </w:rPr>
      </w:pPr>
      <w:r w:rsidRPr="00A002D0">
        <w:rPr>
          <w:rFonts w:eastAsia="黑体"/>
        </w:rPr>
        <w:t>In the case of the high</w:t>
      </w:r>
      <w:r w:rsidR="00251597" w:rsidRPr="00A002D0">
        <w:rPr>
          <w:rFonts w:eastAsia="黑体"/>
        </w:rPr>
        <w:t>-</w:t>
      </w:r>
      <w:r w:rsidRPr="00A002D0">
        <w:rPr>
          <w:rFonts w:eastAsia="黑体"/>
        </w:rPr>
        <w:t>risk group, we referenced data from the ≥20% to &lt;30% risk category, as it most closely approximates the 5-year coronary event rate observed in the CALIBER cohort, which comprises 102,023 stable coronary patients.</w:t>
      </w:r>
    </w:p>
    <w:tbl>
      <w:tblPr>
        <w:tblStyle w:val="a6"/>
        <w:tblW w:w="7938" w:type="dxa"/>
        <w:jc w:val="center"/>
        <w:tblLook w:val="04A0" w:firstRow="1" w:lastRow="0" w:firstColumn="1" w:lastColumn="0" w:noHBand="0" w:noVBand="1"/>
      </w:tblPr>
      <w:tblGrid>
        <w:gridCol w:w="2835"/>
        <w:gridCol w:w="1701"/>
        <w:gridCol w:w="1701"/>
        <w:gridCol w:w="1701"/>
      </w:tblGrid>
      <w:tr w:rsidR="008E3EB5" w:rsidRPr="00A002D0" w14:paraId="44FDE0AB" w14:textId="55E68995" w:rsidTr="008E3EB5">
        <w:trPr>
          <w:trHeight w:val="290"/>
          <w:jc w:val="center"/>
        </w:trPr>
        <w:tc>
          <w:tcPr>
            <w:tcW w:w="2835" w:type="dxa"/>
            <w:vMerge w:val="restart"/>
            <w:vAlign w:val="center"/>
            <w:hideMark/>
          </w:tcPr>
          <w:p w14:paraId="02BC2F24" w14:textId="77777777" w:rsidR="008E3EB5" w:rsidRPr="00A002D0" w:rsidRDefault="008E3EB5" w:rsidP="008E3EB5">
            <w:pPr>
              <w:jc w:val="center"/>
              <w:rPr>
                <w:rFonts w:eastAsia="DengXian"/>
                <w:b/>
                <w:bCs/>
                <w:color w:val="000000"/>
                <w:sz w:val="20"/>
                <w:szCs w:val="20"/>
              </w:rPr>
            </w:pPr>
            <w:r w:rsidRPr="00A002D0">
              <w:rPr>
                <w:rFonts w:eastAsia="DengXian"/>
                <w:b/>
                <w:bCs/>
                <w:color w:val="000000"/>
                <w:sz w:val="20"/>
                <w:szCs w:val="20"/>
              </w:rPr>
              <w:t>Risk stratum</w:t>
            </w:r>
          </w:p>
        </w:tc>
        <w:tc>
          <w:tcPr>
            <w:tcW w:w="5103" w:type="dxa"/>
            <w:gridSpan w:val="3"/>
            <w:vAlign w:val="center"/>
            <w:hideMark/>
          </w:tcPr>
          <w:p w14:paraId="08390182" w14:textId="24B1B3D3" w:rsidR="008E3EB5" w:rsidRPr="00A002D0" w:rsidRDefault="008E3EB5" w:rsidP="008E3EB5">
            <w:pPr>
              <w:jc w:val="center"/>
              <w:rPr>
                <w:rFonts w:eastAsia="DengXian"/>
                <w:b/>
                <w:bCs/>
                <w:color w:val="000000"/>
                <w:sz w:val="20"/>
                <w:szCs w:val="20"/>
              </w:rPr>
            </w:pPr>
            <w:r w:rsidRPr="00A002D0">
              <w:rPr>
                <w:rFonts w:eastAsia="DengXian"/>
                <w:b/>
                <w:bCs/>
                <w:color w:val="000000"/>
                <w:sz w:val="20"/>
                <w:szCs w:val="20"/>
              </w:rPr>
              <w:t>5-year control group event risk (baseline risk estimate)</w:t>
            </w:r>
          </w:p>
        </w:tc>
      </w:tr>
      <w:tr w:rsidR="008E3EB5" w:rsidRPr="00A002D0" w14:paraId="1ACE6C5C" w14:textId="77777777" w:rsidTr="008E3EB5">
        <w:trPr>
          <w:trHeight w:val="290"/>
          <w:jc w:val="center"/>
        </w:trPr>
        <w:tc>
          <w:tcPr>
            <w:tcW w:w="2835" w:type="dxa"/>
            <w:vMerge/>
            <w:vAlign w:val="center"/>
            <w:hideMark/>
          </w:tcPr>
          <w:p w14:paraId="5AA0C977" w14:textId="77777777" w:rsidR="008E3EB5" w:rsidRPr="00A002D0" w:rsidRDefault="008E3EB5" w:rsidP="008E3EB5">
            <w:pPr>
              <w:jc w:val="center"/>
              <w:rPr>
                <w:rFonts w:eastAsia="DengXian"/>
                <w:color w:val="000000"/>
                <w:sz w:val="20"/>
                <w:szCs w:val="20"/>
              </w:rPr>
            </w:pPr>
          </w:p>
        </w:tc>
        <w:tc>
          <w:tcPr>
            <w:tcW w:w="1701" w:type="dxa"/>
            <w:vAlign w:val="center"/>
            <w:hideMark/>
          </w:tcPr>
          <w:p w14:paraId="655DC47A" w14:textId="77777777" w:rsidR="008E3EB5" w:rsidRPr="00A002D0" w:rsidRDefault="008E3EB5" w:rsidP="008E3EB5">
            <w:pPr>
              <w:jc w:val="center"/>
              <w:rPr>
                <w:rFonts w:eastAsia="DengXian"/>
                <w:color w:val="000000"/>
                <w:sz w:val="20"/>
                <w:szCs w:val="20"/>
              </w:rPr>
            </w:pPr>
            <w:r w:rsidRPr="00A002D0">
              <w:rPr>
                <w:rFonts w:eastAsia="DengXian"/>
                <w:color w:val="000000"/>
                <w:sz w:val="20"/>
                <w:szCs w:val="20"/>
              </w:rPr>
              <w:t>All-cause mortality</w:t>
            </w:r>
          </w:p>
        </w:tc>
        <w:tc>
          <w:tcPr>
            <w:tcW w:w="1701" w:type="dxa"/>
            <w:vAlign w:val="center"/>
          </w:tcPr>
          <w:p w14:paraId="02F176E9" w14:textId="45DE49B5" w:rsidR="008E3EB5" w:rsidRPr="00A002D0" w:rsidRDefault="008E3EB5" w:rsidP="008E3EB5">
            <w:pPr>
              <w:jc w:val="center"/>
              <w:rPr>
                <w:rFonts w:eastAsia="DengXian"/>
                <w:color w:val="000000"/>
                <w:sz w:val="20"/>
                <w:szCs w:val="20"/>
              </w:rPr>
            </w:pPr>
            <w:r w:rsidRPr="00A002D0">
              <w:rPr>
                <w:rFonts w:eastAsia="DengXian"/>
                <w:color w:val="000000"/>
                <w:sz w:val="20"/>
                <w:szCs w:val="20"/>
              </w:rPr>
              <w:t>Cardiovascular mortality</w:t>
            </w:r>
          </w:p>
        </w:tc>
        <w:tc>
          <w:tcPr>
            <w:tcW w:w="1701" w:type="dxa"/>
            <w:vAlign w:val="center"/>
          </w:tcPr>
          <w:p w14:paraId="0650A863" w14:textId="7BBE7227" w:rsidR="008E3EB5" w:rsidRPr="00A002D0" w:rsidRDefault="008E3EB5" w:rsidP="008E3EB5">
            <w:pPr>
              <w:jc w:val="center"/>
              <w:rPr>
                <w:rFonts w:eastAsia="DengXian"/>
                <w:color w:val="000000"/>
                <w:sz w:val="20"/>
                <w:szCs w:val="20"/>
              </w:rPr>
            </w:pPr>
            <w:r w:rsidRPr="00A002D0">
              <w:rPr>
                <w:rFonts w:eastAsia="DengXian"/>
                <w:color w:val="000000"/>
                <w:sz w:val="20"/>
                <w:szCs w:val="20"/>
              </w:rPr>
              <w:t>Non-fatal cardiovascular events</w:t>
            </w:r>
          </w:p>
        </w:tc>
      </w:tr>
      <w:tr w:rsidR="008E3EB5" w:rsidRPr="00A002D0" w14:paraId="4BEC133B" w14:textId="77777777" w:rsidTr="008E3EB5">
        <w:trPr>
          <w:trHeight w:val="290"/>
          <w:jc w:val="center"/>
        </w:trPr>
        <w:tc>
          <w:tcPr>
            <w:tcW w:w="2835" w:type="dxa"/>
            <w:vAlign w:val="center"/>
            <w:hideMark/>
          </w:tcPr>
          <w:p w14:paraId="7C1FCD33" w14:textId="4EE4170F" w:rsidR="008E3EB5" w:rsidRPr="00A002D0" w:rsidRDefault="008E3EB5" w:rsidP="008E3EB5">
            <w:pPr>
              <w:jc w:val="center"/>
              <w:rPr>
                <w:rFonts w:eastAsia="DengXian"/>
                <w:color w:val="000000"/>
                <w:sz w:val="20"/>
                <w:szCs w:val="20"/>
              </w:rPr>
            </w:pPr>
            <w:r w:rsidRPr="00A002D0">
              <w:rPr>
                <w:rFonts w:eastAsia="DengXian"/>
                <w:color w:val="000000"/>
                <w:sz w:val="20"/>
                <w:szCs w:val="20"/>
              </w:rPr>
              <w:t>Intermediate</w:t>
            </w:r>
            <w:r w:rsidR="00A81484" w:rsidRPr="00A002D0">
              <w:rPr>
                <w:rFonts w:eastAsia="DengXian"/>
                <w:color w:val="000000"/>
                <w:sz w:val="20"/>
                <w:szCs w:val="20"/>
              </w:rPr>
              <w:t xml:space="preserve"> risk</w:t>
            </w:r>
          </w:p>
        </w:tc>
        <w:tc>
          <w:tcPr>
            <w:tcW w:w="1701" w:type="dxa"/>
            <w:vAlign w:val="center"/>
            <w:hideMark/>
          </w:tcPr>
          <w:p w14:paraId="6B101E2D" w14:textId="77777777" w:rsidR="008E3EB5" w:rsidRPr="00A002D0" w:rsidRDefault="008E3EB5" w:rsidP="008E3EB5">
            <w:pPr>
              <w:jc w:val="center"/>
              <w:rPr>
                <w:rFonts w:eastAsia="DengXian"/>
                <w:color w:val="000000"/>
                <w:sz w:val="20"/>
                <w:szCs w:val="20"/>
              </w:rPr>
            </w:pPr>
            <w:r w:rsidRPr="00A002D0">
              <w:rPr>
                <w:rFonts w:eastAsia="DengXian"/>
                <w:color w:val="000000"/>
                <w:sz w:val="20"/>
                <w:szCs w:val="20"/>
              </w:rPr>
              <w:t>62 per 1000</w:t>
            </w:r>
          </w:p>
        </w:tc>
        <w:tc>
          <w:tcPr>
            <w:tcW w:w="1701" w:type="dxa"/>
            <w:vAlign w:val="center"/>
          </w:tcPr>
          <w:p w14:paraId="2A5D44C0" w14:textId="542E345C" w:rsidR="008E3EB5" w:rsidRPr="00A002D0" w:rsidRDefault="008E3EB5" w:rsidP="008E3EB5">
            <w:pPr>
              <w:jc w:val="center"/>
              <w:rPr>
                <w:rFonts w:eastAsia="DengXian"/>
                <w:color w:val="000000"/>
                <w:sz w:val="20"/>
                <w:szCs w:val="20"/>
              </w:rPr>
            </w:pPr>
            <w:r w:rsidRPr="00A002D0">
              <w:rPr>
                <w:rFonts w:eastAsia="DengXian"/>
                <w:color w:val="000000"/>
                <w:sz w:val="20"/>
                <w:szCs w:val="20"/>
              </w:rPr>
              <w:t>29 per 1000</w:t>
            </w:r>
          </w:p>
        </w:tc>
        <w:tc>
          <w:tcPr>
            <w:tcW w:w="1701" w:type="dxa"/>
            <w:vAlign w:val="center"/>
          </w:tcPr>
          <w:p w14:paraId="6177A8C0" w14:textId="0B9B805F" w:rsidR="008E3EB5" w:rsidRPr="00A002D0" w:rsidRDefault="008E3EB5" w:rsidP="008E3EB5">
            <w:pPr>
              <w:jc w:val="center"/>
              <w:rPr>
                <w:rFonts w:eastAsia="DengXian"/>
                <w:color w:val="000000"/>
                <w:sz w:val="20"/>
                <w:szCs w:val="20"/>
              </w:rPr>
            </w:pPr>
            <w:r w:rsidRPr="00A002D0">
              <w:rPr>
                <w:rFonts w:eastAsia="DengXian"/>
                <w:color w:val="000000"/>
                <w:sz w:val="20"/>
                <w:szCs w:val="20"/>
              </w:rPr>
              <w:t>75 per 1000</w:t>
            </w:r>
          </w:p>
        </w:tc>
      </w:tr>
      <w:tr w:rsidR="008E3EB5" w:rsidRPr="00A002D0" w14:paraId="2F980EE5" w14:textId="77777777" w:rsidTr="008E3EB5">
        <w:trPr>
          <w:trHeight w:val="290"/>
          <w:jc w:val="center"/>
        </w:trPr>
        <w:tc>
          <w:tcPr>
            <w:tcW w:w="2835" w:type="dxa"/>
            <w:vAlign w:val="center"/>
            <w:hideMark/>
          </w:tcPr>
          <w:p w14:paraId="3AAA97AD" w14:textId="519386A6" w:rsidR="008E3EB5" w:rsidRPr="00A002D0" w:rsidRDefault="008E3EB5" w:rsidP="008E3EB5">
            <w:pPr>
              <w:jc w:val="center"/>
              <w:rPr>
                <w:rFonts w:eastAsia="DengXian"/>
                <w:color w:val="000000"/>
                <w:sz w:val="20"/>
                <w:szCs w:val="20"/>
              </w:rPr>
            </w:pPr>
            <w:r w:rsidRPr="00A002D0">
              <w:rPr>
                <w:rFonts w:eastAsia="DengXian"/>
                <w:color w:val="000000"/>
                <w:sz w:val="20"/>
                <w:szCs w:val="20"/>
              </w:rPr>
              <w:t>High</w:t>
            </w:r>
            <w:r w:rsidR="00A81484" w:rsidRPr="00A002D0">
              <w:rPr>
                <w:rFonts w:eastAsia="DengXian"/>
                <w:color w:val="000000"/>
                <w:sz w:val="20"/>
                <w:szCs w:val="20"/>
              </w:rPr>
              <w:t xml:space="preserve"> risk</w:t>
            </w:r>
          </w:p>
        </w:tc>
        <w:tc>
          <w:tcPr>
            <w:tcW w:w="1701" w:type="dxa"/>
            <w:vAlign w:val="center"/>
            <w:hideMark/>
          </w:tcPr>
          <w:p w14:paraId="3D898823" w14:textId="77777777" w:rsidR="008E3EB5" w:rsidRPr="00A002D0" w:rsidRDefault="008E3EB5" w:rsidP="008E3EB5">
            <w:pPr>
              <w:jc w:val="center"/>
              <w:rPr>
                <w:rFonts w:eastAsia="DengXian"/>
                <w:color w:val="000000"/>
                <w:sz w:val="20"/>
                <w:szCs w:val="20"/>
              </w:rPr>
            </w:pPr>
            <w:r w:rsidRPr="00A002D0">
              <w:rPr>
                <w:rFonts w:eastAsia="DengXian"/>
                <w:color w:val="000000"/>
                <w:sz w:val="20"/>
                <w:szCs w:val="20"/>
              </w:rPr>
              <w:t>143 per 1000</w:t>
            </w:r>
          </w:p>
        </w:tc>
        <w:tc>
          <w:tcPr>
            <w:tcW w:w="1701" w:type="dxa"/>
            <w:vAlign w:val="center"/>
          </w:tcPr>
          <w:p w14:paraId="7C11C7A8" w14:textId="679872E8" w:rsidR="008E3EB5" w:rsidRPr="00A002D0" w:rsidRDefault="008E3EB5" w:rsidP="008E3EB5">
            <w:pPr>
              <w:jc w:val="center"/>
              <w:rPr>
                <w:rFonts w:eastAsia="DengXian"/>
                <w:color w:val="000000"/>
                <w:sz w:val="20"/>
                <w:szCs w:val="20"/>
              </w:rPr>
            </w:pPr>
            <w:r w:rsidRPr="00A002D0">
              <w:rPr>
                <w:rFonts w:eastAsia="DengXian"/>
                <w:color w:val="000000"/>
                <w:sz w:val="20"/>
                <w:szCs w:val="20"/>
              </w:rPr>
              <w:t>92 per 1000</w:t>
            </w:r>
          </w:p>
        </w:tc>
        <w:tc>
          <w:tcPr>
            <w:tcW w:w="1701" w:type="dxa"/>
            <w:vAlign w:val="center"/>
          </w:tcPr>
          <w:p w14:paraId="5F5DE06D" w14:textId="5E7D2989" w:rsidR="008E3EB5" w:rsidRPr="00A002D0" w:rsidRDefault="008E3EB5" w:rsidP="008E3EB5">
            <w:pPr>
              <w:jc w:val="center"/>
              <w:rPr>
                <w:rFonts w:eastAsia="DengXian"/>
                <w:color w:val="000000"/>
                <w:sz w:val="20"/>
                <w:szCs w:val="20"/>
              </w:rPr>
            </w:pPr>
            <w:r w:rsidRPr="00A002D0">
              <w:rPr>
                <w:rFonts w:eastAsia="DengXian"/>
                <w:color w:val="000000"/>
                <w:sz w:val="20"/>
                <w:szCs w:val="20"/>
              </w:rPr>
              <w:t>250 per 1000</w:t>
            </w:r>
          </w:p>
        </w:tc>
      </w:tr>
    </w:tbl>
    <w:p w14:paraId="10315E47" w14:textId="6D5465DA" w:rsidR="003C0652" w:rsidRPr="00A002D0" w:rsidRDefault="003C0652" w:rsidP="001E0D6D">
      <w:pPr>
        <w:spacing w:line="360" w:lineRule="auto"/>
        <w:rPr>
          <w:rFonts w:eastAsia="黑体"/>
        </w:rPr>
      </w:pPr>
    </w:p>
    <w:p w14:paraId="70FE4B4A" w14:textId="77777777" w:rsidR="00AB7348" w:rsidRPr="00A002D0" w:rsidRDefault="00AB7348" w:rsidP="00AB7348">
      <w:pPr>
        <w:spacing w:line="360" w:lineRule="auto"/>
        <w:rPr>
          <w:rFonts w:eastAsia="黑体"/>
          <w:b/>
          <w:bCs/>
        </w:rPr>
      </w:pPr>
      <w:r w:rsidRPr="00A002D0">
        <w:rPr>
          <w:rFonts w:eastAsia="黑体"/>
          <w:b/>
          <w:bCs/>
        </w:rPr>
        <w:t>References</w:t>
      </w:r>
    </w:p>
    <w:p w14:paraId="1DBCA86C" w14:textId="3586E939" w:rsidR="00AB7348" w:rsidRPr="00A002D0" w:rsidRDefault="00AB7348" w:rsidP="001E0D6D">
      <w:pPr>
        <w:spacing w:line="360" w:lineRule="auto"/>
        <w:rPr>
          <w:rFonts w:eastAsia="黑体"/>
        </w:rPr>
      </w:pPr>
      <w:r w:rsidRPr="00A002D0">
        <w:rPr>
          <w:rFonts w:eastAsia="黑体"/>
        </w:rPr>
        <w:t>Collaborators CTT (CTT). The effects of lowering LDL cholesterol with statin therapy in people at low risk of vascular disease: meta-analysis of individual data from 27 randomised trials. The Lancet. 2012;380(9841):581-590. doi:10.1016/S0140-6736(12)60367-5</w:t>
      </w:r>
    </w:p>
    <w:p w14:paraId="30DBD2C1" w14:textId="5B757859" w:rsidR="00216BA2" w:rsidRPr="00216BA2" w:rsidRDefault="00216BA2" w:rsidP="000C0764">
      <w:pPr>
        <w:pStyle w:val="1"/>
        <w:spacing w:line="360" w:lineRule="auto"/>
        <w:rPr>
          <w:rFonts w:eastAsia="黑体"/>
        </w:rPr>
      </w:pPr>
    </w:p>
    <w:sectPr w:rsidR="00216BA2" w:rsidRPr="00216BA2" w:rsidSect="000C0764">
      <w:footerReference w:type="default" r:id="rId22"/>
      <w:pgSz w:w="11900" w:h="16840"/>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704EB" w14:textId="77777777" w:rsidR="00157661" w:rsidRDefault="00157661" w:rsidP="002F5AE0">
      <w:r>
        <w:separator/>
      </w:r>
    </w:p>
  </w:endnote>
  <w:endnote w:type="continuationSeparator" w:id="0">
    <w:p w14:paraId="4FE57EAF" w14:textId="77777777" w:rsidR="00157661" w:rsidRDefault="00157661" w:rsidP="002F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Gill Sans MT">
    <w:panose1 w:val="020B0502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D9EB" w14:textId="77777777" w:rsidR="00EF0B00" w:rsidRDefault="00EF0B00">
    <w:pPr>
      <w:pStyle w:val="ab"/>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lang w:val="zh-CN"/>
      </w:rPr>
      <w:t>2</w:t>
    </w:r>
    <w:r>
      <w:rPr>
        <w:caps/>
        <w:color w:val="4472C4" w:themeColor="accent1"/>
      </w:rPr>
      <w:fldChar w:fldCharType="end"/>
    </w:r>
  </w:p>
  <w:p w14:paraId="4B2A0E06" w14:textId="77777777" w:rsidR="00EF0B00" w:rsidRDefault="00EF0B0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1132A" w14:textId="77777777" w:rsidR="00157661" w:rsidRDefault="00157661" w:rsidP="002F5AE0">
      <w:r>
        <w:separator/>
      </w:r>
    </w:p>
  </w:footnote>
  <w:footnote w:type="continuationSeparator" w:id="0">
    <w:p w14:paraId="0470BE16" w14:textId="77777777" w:rsidR="00157661" w:rsidRDefault="00157661" w:rsidP="002F5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3FC"/>
    <w:multiLevelType w:val="hybridMultilevel"/>
    <w:tmpl w:val="879CF51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16D50F1"/>
    <w:multiLevelType w:val="hybridMultilevel"/>
    <w:tmpl w:val="1FC04E7E"/>
    <w:lvl w:ilvl="0" w:tplc="04090011">
      <w:start w:val="1"/>
      <w:numFmt w:val="decimal"/>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 w15:restartNumberingAfterBreak="0">
    <w:nsid w:val="0F3A5E2E"/>
    <w:multiLevelType w:val="multilevel"/>
    <w:tmpl w:val="8ECEE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6551F"/>
    <w:multiLevelType w:val="hybridMultilevel"/>
    <w:tmpl w:val="A8E84330"/>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22C2B31"/>
    <w:multiLevelType w:val="multilevel"/>
    <w:tmpl w:val="6B32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07DBB"/>
    <w:multiLevelType w:val="hybridMultilevel"/>
    <w:tmpl w:val="92B825B6"/>
    <w:lvl w:ilvl="0" w:tplc="951026D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3C505F6"/>
    <w:multiLevelType w:val="multilevel"/>
    <w:tmpl w:val="B774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367260"/>
    <w:multiLevelType w:val="multilevel"/>
    <w:tmpl w:val="4674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B4D0D"/>
    <w:multiLevelType w:val="hybridMultilevel"/>
    <w:tmpl w:val="533210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30C70F8D"/>
    <w:multiLevelType w:val="hybridMultilevel"/>
    <w:tmpl w:val="8D7667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12063A6"/>
    <w:multiLevelType w:val="hybridMultilevel"/>
    <w:tmpl w:val="8884921C"/>
    <w:lvl w:ilvl="0" w:tplc="FFFFFFFF">
      <w:start w:val="1"/>
      <w:numFmt w:val="decimal"/>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3CA12894"/>
    <w:multiLevelType w:val="hybridMultilevel"/>
    <w:tmpl w:val="23FE2ADA"/>
    <w:lvl w:ilvl="0" w:tplc="FFFFFFFF">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412D23A2"/>
    <w:multiLevelType w:val="hybridMultilevel"/>
    <w:tmpl w:val="6484787E"/>
    <w:lvl w:ilvl="0" w:tplc="0409000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3" w15:restartNumberingAfterBreak="0">
    <w:nsid w:val="41A16CBC"/>
    <w:multiLevelType w:val="multilevel"/>
    <w:tmpl w:val="8F6C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230EC2"/>
    <w:multiLevelType w:val="hybridMultilevel"/>
    <w:tmpl w:val="91367214"/>
    <w:lvl w:ilvl="0" w:tplc="FFFFFFFF">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CC606F5"/>
    <w:multiLevelType w:val="hybridMultilevel"/>
    <w:tmpl w:val="E9E0F7AE"/>
    <w:lvl w:ilvl="0" w:tplc="5282C5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D9C109A"/>
    <w:multiLevelType w:val="hybridMultilevel"/>
    <w:tmpl w:val="3C76ECB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516A1509"/>
    <w:multiLevelType w:val="hybridMultilevel"/>
    <w:tmpl w:val="CB08674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542F6792"/>
    <w:multiLevelType w:val="hybridMultilevel"/>
    <w:tmpl w:val="3028F188"/>
    <w:lvl w:ilvl="0" w:tplc="0409000B">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569C5F42"/>
    <w:multiLevelType w:val="hybridMultilevel"/>
    <w:tmpl w:val="9968CC22"/>
    <w:lvl w:ilvl="0" w:tplc="04090001">
      <w:start w:val="1"/>
      <w:numFmt w:val="bullet"/>
      <w:lvlText w:val=""/>
      <w:lvlJc w:val="left"/>
      <w:pPr>
        <w:ind w:left="780" w:hanging="42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885294"/>
    <w:multiLevelType w:val="hybridMultilevel"/>
    <w:tmpl w:val="8884921C"/>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57D55A41"/>
    <w:multiLevelType w:val="hybridMultilevel"/>
    <w:tmpl w:val="EEFE0DE8"/>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617B06AC"/>
    <w:multiLevelType w:val="hybridMultilevel"/>
    <w:tmpl w:val="2C74CB82"/>
    <w:lvl w:ilvl="0" w:tplc="0409000B">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3" w15:restartNumberingAfterBreak="0">
    <w:nsid w:val="6B100974"/>
    <w:multiLevelType w:val="hybridMultilevel"/>
    <w:tmpl w:val="8FC2702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752605CE"/>
    <w:multiLevelType w:val="hybridMultilevel"/>
    <w:tmpl w:val="E0AEF5C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7B426BC9"/>
    <w:multiLevelType w:val="multilevel"/>
    <w:tmpl w:val="81B4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616DC"/>
    <w:multiLevelType w:val="hybridMultilevel"/>
    <w:tmpl w:val="6D9EAC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699017680">
    <w:abstractNumId w:val="19"/>
  </w:num>
  <w:num w:numId="2" w16cid:durableId="39477123">
    <w:abstractNumId w:val="15"/>
  </w:num>
  <w:num w:numId="3" w16cid:durableId="848718529">
    <w:abstractNumId w:val="16"/>
  </w:num>
  <w:num w:numId="4" w16cid:durableId="256642906">
    <w:abstractNumId w:val="26"/>
  </w:num>
  <w:num w:numId="5" w16cid:durableId="89012529">
    <w:abstractNumId w:val="24"/>
  </w:num>
  <w:num w:numId="6" w16cid:durableId="703677450">
    <w:abstractNumId w:val="17"/>
  </w:num>
  <w:num w:numId="7" w16cid:durableId="1914772168">
    <w:abstractNumId w:val="8"/>
  </w:num>
  <w:num w:numId="8" w16cid:durableId="1829859201">
    <w:abstractNumId w:val="0"/>
  </w:num>
  <w:num w:numId="9" w16cid:durableId="2002198986">
    <w:abstractNumId w:val="9"/>
  </w:num>
  <w:num w:numId="10" w16cid:durableId="2821450">
    <w:abstractNumId w:val="21"/>
  </w:num>
  <w:num w:numId="11" w16cid:durableId="1934241574">
    <w:abstractNumId w:val="3"/>
  </w:num>
  <w:num w:numId="12" w16cid:durableId="45882361">
    <w:abstractNumId w:val="20"/>
  </w:num>
  <w:num w:numId="13" w16cid:durableId="487138435">
    <w:abstractNumId w:val="25"/>
  </w:num>
  <w:num w:numId="14" w16cid:durableId="1540435601">
    <w:abstractNumId w:val="4"/>
  </w:num>
  <w:num w:numId="15" w16cid:durableId="1523935172">
    <w:abstractNumId w:val="7"/>
  </w:num>
  <w:num w:numId="16" w16cid:durableId="1318418670">
    <w:abstractNumId w:val="6"/>
  </w:num>
  <w:num w:numId="17" w16cid:durableId="221478409">
    <w:abstractNumId w:val="2"/>
  </w:num>
  <w:num w:numId="18" w16cid:durableId="968512380">
    <w:abstractNumId w:val="13"/>
  </w:num>
  <w:num w:numId="19" w16cid:durableId="992569077">
    <w:abstractNumId w:val="1"/>
  </w:num>
  <w:num w:numId="20" w16cid:durableId="1698845326">
    <w:abstractNumId w:val="10"/>
  </w:num>
  <w:num w:numId="21" w16cid:durableId="72240815">
    <w:abstractNumId w:val="18"/>
  </w:num>
  <w:num w:numId="22" w16cid:durableId="746927025">
    <w:abstractNumId w:val="11"/>
  </w:num>
  <w:num w:numId="23" w16cid:durableId="2104297144">
    <w:abstractNumId w:val="22"/>
  </w:num>
  <w:num w:numId="24" w16cid:durableId="745497246">
    <w:abstractNumId w:val="5"/>
  </w:num>
  <w:num w:numId="25" w16cid:durableId="1600796839">
    <w:abstractNumId w:val="12"/>
  </w:num>
  <w:num w:numId="26" w16cid:durableId="1996228036">
    <w:abstractNumId w:val="23"/>
  </w:num>
  <w:num w:numId="27" w16cid:durableId="14876282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cwNzW2sDQxMTEwNjBV0lEKTi0uzszPAykwMqoFAICDObUtAAAA"/>
  </w:docVars>
  <w:rsids>
    <w:rsidRoot w:val="00997951"/>
    <w:rsid w:val="00001913"/>
    <w:rsid w:val="00006550"/>
    <w:rsid w:val="00011A01"/>
    <w:rsid w:val="00013094"/>
    <w:rsid w:val="000148F2"/>
    <w:rsid w:val="00014AE0"/>
    <w:rsid w:val="00016F89"/>
    <w:rsid w:val="00017316"/>
    <w:rsid w:val="00017DD6"/>
    <w:rsid w:val="00020632"/>
    <w:rsid w:val="00020C87"/>
    <w:rsid w:val="000210D4"/>
    <w:rsid w:val="00026373"/>
    <w:rsid w:val="0003287E"/>
    <w:rsid w:val="00032F36"/>
    <w:rsid w:val="00033E8A"/>
    <w:rsid w:val="00035303"/>
    <w:rsid w:val="00040856"/>
    <w:rsid w:val="000415E2"/>
    <w:rsid w:val="000429E1"/>
    <w:rsid w:val="00042D39"/>
    <w:rsid w:val="00046B91"/>
    <w:rsid w:val="0005048C"/>
    <w:rsid w:val="00053300"/>
    <w:rsid w:val="0005342D"/>
    <w:rsid w:val="00054E83"/>
    <w:rsid w:val="00060603"/>
    <w:rsid w:val="0006114E"/>
    <w:rsid w:val="00061623"/>
    <w:rsid w:val="00061B1B"/>
    <w:rsid w:val="00063AD5"/>
    <w:rsid w:val="00064A6B"/>
    <w:rsid w:val="00064E30"/>
    <w:rsid w:val="00064ECC"/>
    <w:rsid w:val="0006658A"/>
    <w:rsid w:val="0006698D"/>
    <w:rsid w:val="00072993"/>
    <w:rsid w:val="00073E12"/>
    <w:rsid w:val="000743E5"/>
    <w:rsid w:val="00074D0E"/>
    <w:rsid w:val="00077045"/>
    <w:rsid w:val="00081EF1"/>
    <w:rsid w:val="00082000"/>
    <w:rsid w:val="00082C25"/>
    <w:rsid w:val="000834D4"/>
    <w:rsid w:val="0009155A"/>
    <w:rsid w:val="00091D21"/>
    <w:rsid w:val="000930D2"/>
    <w:rsid w:val="00097B71"/>
    <w:rsid w:val="00097EBF"/>
    <w:rsid w:val="00097FDE"/>
    <w:rsid w:val="000A0AC6"/>
    <w:rsid w:val="000A0F95"/>
    <w:rsid w:val="000A1C4C"/>
    <w:rsid w:val="000A3DAF"/>
    <w:rsid w:val="000A4158"/>
    <w:rsid w:val="000B0DBC"/>
    <w:rsid w:val="000B13FE"/>
    <w:rsid w:val="000B223D"/>
    <w:rsid w:val="000B3FA2"/>
    <w:rsid w:val="000B552A"/>
    <w:rsid w:val="000B5F35"/>
    <w:rsid w:val="000C0764"/>
    <w:rsid w:val="000C315C"/>
    <w:rsid w:val="000C320A"/>
    <w:rsid w:val="000C3A1C"/>
    <w:rsid w:val="000C5C5C"/>
    <w:rsid w:val="000D0DBA"/>
    <w:rsid w:val="000D1C97"/>
    <w:rsid w:val="000D3919"/>
    <w:rsid w:val="000D3EA2"/>
    <w:rsid w:val="000D4BE3"/>
    <w:rsid w:val="000D55DD"/>
    <w:rsid w:val="000D733D"/>
    <w:rsid w:val="000D73DF"/>
    <w:rsid w:val="000D75E9"/>
    <w:rsid w:val="000D7A92"/>
    <w:rsid w:val="000E1EC7"/>
    <w:rsid w:val="000E211B"/>
    <w:rsid w:val="000E270E"/>
    <w:rsid w:val="000E310B"/>
    <w:rsid w:val="000E3E2C"/>
    <w:rsid w:val="000E517E"/>
    <w:rsid w:val="000E5C21"/>
    <w:rsid w:val="000E663B"/>
    <w:rsid w:val="000F28FD"/>
    <w:rsid w:val="000F426E"/>
    <w:rsid w:val="000F4A4E"/>
    <w:rsid w:val="000F505B"/>
    <w:rsid w:val="000F6793"/>
    <w:rsid w:val="001025AD"/>
    <w:rsid w:val="00102B12"/>
    <w:rsid w:val="001040C8"/>
    <w:rsid w:val="00106616"/>
    <w:rsid w:val="00107ABB"/>
    <w:rsid w:val="00111A56"/>
    <w:rsid w:val="0011318B"/>
    <w:rsid w:val="00114A1C"/>
    <w:rsid w:val="00115A66"/>
    <w:rsid w:val="00115E2E"/>
    <w:rsid w:val="00115FE6"/>
    <w:rsid w:val="00120994"/>
    <w:rsid w:val="00123F22"/>
    <w:rsid w:val="001243A9"/>
    <w:rsid w:val="001249B3"/>
    <w:rsid w:val="0012501D"/>
    <w:rsid w:val="0012558C"/>
    <w:rsid w:val="00127393"/>
    <w:rsid w:val="0012779F"/>
    <w:rsid w:val="00130912"/>
    <w:rsid w:val="00130E21"/>
    <w:rsid w:val="00131F1B"/>
    <w:rsid w:val="00132521"/>
    <w:rsid w:val="00133080"/>
    <w:rsid w:val="001337C9"/>
    <w:rsid w:val="0013415F"/>
    <w:rsid w:val="001349E7"/>
    <w:rsid w:val="00142721"/>
    <w:rsid w:val="0014548C"/>
    <w:rsid w:val="00146CAF"/>
    <w:rsid w:val="00147A8C"/>
    <w:rsid w:val="0015123E"/>
    <w:rsid w:val="001516E7"/>
    <w:rsid w:val="001526CD"/>
    <w:rsid w:val="00152AB0"/>
    <w:rsid w:val="00152FED"/>
    <w:rsid w:val="00154D77"/>
    <w:rsid w:val="00155FFD"/>
    <w:rsid w:val="00156BC0"/>
    <w:rsid w:val="00157661"/>
    <w:rsid w:val="00160381"/>
    <w:rsid w:val="00161E43"/>
    <w:rsid w:val="001622C4"/>
    <w:rsid w:val="001640B1"/>
    <w:rsid w:val="00166EF9"/>
    <w:rsid w:val="00170D3C"/>
    <w:rsid w:val="00173141"/>
    <w:rsid w:val="00173846"/>
    <w:rsid w:val="001744C2"/>
    <w:rsid w:val="0017572A"/>
    <w:rsid w:val="0017650C"/>
    <w:rsid w:val="00177D28"/>
    <w:rsid w:val="001811DB"/>
    <w:rsid w:val="00181899"/>
    <w:rsid w:val="001829BE"/>
    <w:rsid w:val="001833A6"/>
    <w:rsid w:val="001862D8"/>
    <w:rsid w:val="00187A93"/>
    <w:rsid w:val="001919E3"/>
    <w:rsid w:val="00191D0C"/>
    <w:rsid w:val="00193081"/>
    <w:rsid w:val="00194029"/>
    <w:rsid w:val="00194743"/>
    <w:rsid w:val="00195F83"/>
    <w:rsid w:val="00197E1C"/>
    <w:rsid w:val="00197F69"/>
    <w:rsid w:val="001A00DF"/>
    <w:rsid w:val="001A6326"/>
    <w:rsid w:val="001A6510"/>
    <w:rsid w:val="001A79A8"/>
    <w:rsid w:val="001B04B3"/>
    <w:rsid w:val="001B0B87"/>
    <w:rsid w:val="001B2DE7"/>
    <w:rsid w:val="001B3671"/>
    <w:rsid w:val="001B70B4"/>
    <w:rsid w:val="001C0295"/>
    <w:rsid w:val="001C1304"/>
    <w:rsid w:val="001C1E7A"/>
    <w:rsid w:val="001C514E"/>
    <w:rsid w:val="001C7681"/>
    <w:rsid w:val="001C77DC"/>
    <w:rsid w:val="001D05E3"/>
    <w:rsid w:val="001D453E"/>
    <w:rsid w:val="001D46FC"/>
    <w:rsid w:val="001D585E"/>
    <w:rsid w:val="001E0D6D"/>
    <w:rsid w:val="001E6B53"/>
    <w:rsid w:val="001F00BB"/>
    <w:rsid w:val="001F58BB"/>
    <w:rsid w:val="001F6665"/>
    <w:rsid w:val="0020001D"/>
    <w:rsid w:val="002002DA"/>
    <w:rsid w:val="00202259"/>
    <w:rsid w:val="00204496"/>
    <w:rsid w:val="00204599"/>
    <w:rsid w:val="0020799E"/>
    <w:rsid w:val="00210357"/>
    <w:rsid w:val="00212776"/>
    <w:rsid w:val="002146A0"/>
    <w:rsid w:val="00215795"/>
    <w:rsid w:val="0021656A"/>
    <w:rsid w:val="00216BA2"/>
    <w:rsid w:val="00216E8A"/>
    <w:rsid w:val="00217CD1"/>
    <w:rsid w:val="002210B4"/>
    <w:rsid w:val="002220A5"/>
    <w:rsid w:val="00230C02"/>
    <w:rsid w:val="00232DEE"/>
    <w:rsid w:val="00233C28"/>
    <w:rsid w:val="00235AF7"/>
    <w:rsid w:val="00236FFF"/>
    <w:rsid w:val="00241F76"/>
    <w:rsid w:val="00243011"/>
    <w:rsid w:val="00243FA2"/>
    <w:rsid w:val="002446D8"/>
    <w:rsid w:val="00247B95"/>
    <w:rsid w:val="0025083C"/>
    <w:rsid w:val="00251597"/>
    <w:rsid w:val="00253273"/>
    <w:rsid w:val="00253320"/>
    <w:rsid w:val="0025451F"/>
    <w:rsid w:val="00254836"/>
    <w:rsid w:val="00257BF6"/>
    <w:rsid w:val="0026069C"/>
    <w:rsid w:val="00263687"/>
    <w:rsid w:val="0026486C"/>
    <w:rsid w:val="002661CE"/>
    <w:rsid w:val="00270303"/>
    <w:rsid w:val="0027157A"/>
    <w:rsid w:val="00275AEA"/>
    <w:rsid w:val="00276028"/>
    <w:rsid w:val="00276C5B"/>
    <w:rsid w:val="002823B4"/>
    <w:rsid w:val="00285FFA"/>
    <w:rsid w:val="00287C6B"/>
    <w:rsid w:val="00291BE7"/>
    <w:rsid w:val="00292987"/>
    <w:rsid w:val="002935E3"/>
    <w:rsid w:val="00293688"/>
    <w:rsid w:val="00294828"/>
    <w:rsid w:val="00294E54"/>
    <w:rsid w:val="002A436C"/>
    <w:rsid w:val="002A6AC4"/>
    <w:rsid w:val="002A74DF"/>
    <w:rsid w:val="002B0603"/>
    <w:rsid w:val="002B0E5B"/>
    <w:rsid w:val="002B2AEF"/>
    <w:rsid w:val="002B346F"/>
    <w:rsid w:val="002B35F1"/>
    <w:rsid w:val="002B3753"/>
    <w:rsid w:val="002B4EFB"/>
    <w:rsid w:val="002B4F7B"/>
    <w:rsid w:val="002B5E21"/>
    <w:rsid w:val="002B695D"/>
    <w:rsid w:val="002B6FDD"/>
    <w:rsid w:val="002C03EC"/>
    <w:rsid w:val="002C0F2E"/>
    <w:rsid w:val="002D00B7"/>
    <w:rsid w:val="002D02B0"/>
    <w:rsid w:val="002D4E2D"/>
    <w:rsid w:val="002D5770"/>
    <w:rsid w:val="002D5EAB"/>
    <w:rsid w:val="002D6965"/>
    <w:rsid w:val="002E020B"/>
    <w:rsid w:val="002E19F1"/>
    <w:rsid w:val="002E32EB"/>
    <w:rsid w:val="002E5A1D"/>
    <w:rsid w:val="002E5FA4"/>
    <w:rsid w:val="002F147A"/>
    <w:rsid w:val="002F3562"/>
    <w:rsid w:val="002F3B20"/>
    <w:rsid w:val="002F3BE8"/>
    <w:rsid w:val="002F5AE0"/>
    <w:rsid w:val="002F61DF"/>
    <w:rsid w:val="002F69BB"/>
    <w:rsid w:val="002F7390"/>
    <w:rsid w:val="002F7C8D"/>
    <w:rsid w:val="00300191"/>
    <w:rsid w:val="00300A00"/>
    <w:rsid w:val="00300F02"/>
    <w:rsid w:val="00301C92"/>
    <w:rsid w:val="0030252A"/>
    <w:rsid w:val="00302C1C"/>
    <w:rsid w:val="00303320"/>
    <w:rsid w:val="00306BD6"/>
    <w:rsid w:val="00307010"/>
    <w:rsid w:val="00311487"/>
    <w:rsid w:val="00316865"/>
    <w:rsid w:val="00316A41"/>
    <w:rsid w:val="00325F55"/>
    <w:rsid w:val="00327FD8"/>
    <w:rsid w:val="00331208"/>
    <w:rsid w:val="00331E50"/>
    <w:rsid w:val="003339E0"/>
    <w:rsid w:val="003363C3"/>
    <w:rsid w:val="00341A5F"/>
    <w:rsid w:val="00342CCA"/>
    <w:rsid w:val="00343A41"/>
    <w:rsid w:val="00346344"/>
    <w:rsid w:val="00353A9C"/>
    <w:rsid w:val="00353CBF"/>
    <w:rsid w:val="00354D57"/>
    <w:rsid w:val="0035690A"/>
    <w:rsid w:val="00360A5C"/>
    <w:rsid w:val="0036176D"/>
    <w:rsid w:val="00363DBC"/>
    <w:rsid w:val="003660B4"/>
    <w:rsid w:val="00366C26"/>
    <w:rsid w:val="00366D85"/>
    <w:rsid w:val="00371D80"/>
    <w:rsid w:val="00374EE6"/>
    <w:rsid w:val="00376EDB"/>
    <w:rsid w:val="003837C0"/>
    <w:rsid w:val="00383BBB"/>
    <w:rsid w:val="00384012"/>
    <w:rsid w:val="003938AA"/>
    <w:rsid w:val="0039477C"/>
    <w:rsid w:val="00395C4D"/>
    <w:rsid w:val="0039731C"/>
    <w:rsid w:val="00397BC5"/>
    <w:rsid w:val="003A2A5A"/>
    <w:rsid w:val="003A3037"/>
    <w:rsid w:val="003A410A"/>
    <w:rsid w:val="003A449C"/>
    <w:rsid w:val="003A4A55"/>
    <w:rsid w:val="003A6FAC"/>
    <w:rsid w:val="003B08A7"/>
    <w:rsid w:val="003B32C3"/>
    <w:rsid w:val="003B41B9"/>
    <w:rsid w:val="003B4903"/>
    <w:rsid w:val="003B4AF6"/>
    <w:rsid w:val="003B6FF3"/>
    <w:rsid w:val="003C0652"/>
    <w:rsid w:val="003C3D4F"/>
    <w:rsid w:val="003C6CED"/>
    <w:rsid w:val="003C6F90"/>
    <w:rsid w:val="003C7C24"/>
    <w:rsid w:val="003D356D"/>
    <w:rsid w:val="003D3925"/>
    <w:rsid w:val="003D3B44"/>
    <w:rsid w:val="003D732F"/>
    <w:rsid w:val="003D758C"/>
    <w:rsid w:val="003D7A4C"/>
    <w:rsid w:val="003E3680"/>
    <w:rsid w:val="003E3D40"/>
    <w:rsid w:val="003E5BE4"/>
    <w:rsid w:val="003E5EAE"/>
    <w:rsid w:val="003F09EC"/>
    <w:rsid w:val="003F4108"/>
    <w:rsid w:val="003F6EBD"/>
    <w:rsid w:val="003F74B9"/>
    <w:rsid w:val="003F7BAE"/>
    <w:rsid w:val="00401537"/>
    <w:rsid w:val="00401A91"/>
    <w:rsid w:val="004040DD"/>
    <w:rsid w:val="00404A45"/>
    <w:rsid w:val="00407268"/>
    <w:rsid w:val="004078B7"/>
    <w:rsid w:val="00411185"/>
    <w:rsid w:val="00411541"/>
    <w:rsid w:val="004120A5"/>
    <w:rsid w:val="00412635"/>
    <w:rsid w:val="0041337E"/>
    <w:rsid w:val="004157FA"/>
    <w:rsid w:val="00417135"/>
    <w:rsid w:val="00422BE4"/>
    <w:rsid w:val="00425F59"/>
    <w:rsid w:val="00426AC2"/>
    <w:rsid w:val="004328E2"/>
    <w:rsid w:val="00433E71"/>
    <w:rsid w:val="00434A18"/>
    <w:rsid w:val="00435784"/>
    <w:rsid w:val="0043689C"/>
    <w:rsid w:val="00436930"/>
    <w:rsid w:val="004370E8"/>
    <w:rsid w:val="004376BE"/>
    <w:rsid w:val="0044241A"/>
    <w:rsid w:val="00444675"/>
    <w:rsid w:val="00450100"/>
    <w:rsid w:val="0045106C"/>
    <w:rsid w:val="004539A7"/>
    <w:rsid w:val="0045683F"/>
    <w:rsid w:val="00457034"/>
    <w:rsid w:val="004601E7"/>
    <w:rsid w:val="004621B0"/>
    <w:rsid w:val="00464F92"/>
    <w:rsid w:val="00465964"/>
    <w:rsid w:val="004665B1"/>
    <w:rsid w:val="0047606A"/>
    <w:rsid w:val="00486981"/>
    <w:rsid w:val="00491C8C"/>
    <w:rsid w:val="0049246A"/>
    <w:rsid w:val="00492EA0"/>
    <w:rsid w:val="00493DAB"/>
    <w:rsid w:val="004952B9"/>
    <w:rsid w:val="00495555"/>
    <w:rsid w:val="004979D4"/>
    <w:rsid w:val="004A04A0"/>
    <w:rsid w:val="004A0E53"/>
    <w:rsid w:val="004A13B4"/>
    <w:rsid w:val="004A1D71"/>
    <w:rsid w:val="004A2660"/>
    <w:rsid w:val="004A335F"/>
    <w:rsid w:val="004A3951"/>
    <w:rsid w:val="004A3995"/>
    <w:rsid w:val="004A47B0"/>
    <w:rsid w:val="004A5628"/>
    <w:rsid w:val="004A5A3E"/>
    <w:rsid w:val="004B02AC"/>
    <w:rsid w:val="004B2985"/>
    <w:rsid w:val="004B4211"/>
    <w:rsid w:val="004B4D5C"/>
    <w:rsid w:val="004B4D85"/>
    <w:rsid w:val="004B7B7B"/>
    <w:rsid w:val="004C004F"/>
    <w:rsid w:val="004C031E"/>
    <w:rsid w:val="004C083E"/>
    <w:rsid w:val="004C3104"/>
    <w:rsid w:val="004C3862"/>
    <w:rsid w:val="004C4EE4"/>
    <w:rsid w:val="004C6AFF"/>
    <w:rsid w:val="004D31D1"/>
    <w:rsid w:val="004D3A95"/>
    <w:rsid w:val="004D6699"/>
    <w:rsid w:val="004D68B5"/>
    <w:rsid w:val="004D7480"/>
    <w:rsid w:val="004D75D2"/>
    <w:rsid w:val="004E13E2"/>
    <w:rsid w:val="004E207D"/>
    <w:rsid w:val="004E46C2"/>
    <w:rsid w:val="004E4EDE"/>
    <w:rsid w:val="004E512E"/>
    <w:rsid w:val="004E6142"/>
    <w:rsid w:val="004E734B"/>
    <w:rsid w:val="004F0158"/>
    <w:rsid w:val="004F094B"/>
    <w:rsid w:val="004F3DB9"/>
    <w:rsid w:val="004F646B"/>
    <w:rsid w:val="004F6B13"/>
    <w:rsid w:val="0050049F"/>
    <w:rsid w:val="00501D30"/>
    <w:rsid w:val="00507CE2"/>
    <w:rsid w:val="00507D2D"/>
    <w:rsid w:val="00510BBD"/>
    <w:rsid w:val="00510BF8"/>
    <w:rsid w:val="00511681"/>
    <w:rsid w:val="005129E0"/>
    <w:rsid w:val="00514F1F"/>
    <w:rsid w:val="0051508D"/>
    <w:rsid w:val="00515AD6"/>
    <w:rsid w:val="00517946"/>
    <w:rsid w:val="00520F5F"/>
    <w:rsid w:val="00520FB8"/>
    <w:rsid w:val="00523176"/>
    <w:rsid w:val="005258DA"/>
    <w:rsid w:val="00526027"/>
    <w:rsid w:val="005278B5"/>
    <w:rsid w:val="0053141E"/>
    <w:rsid w:val="00532E89"/>
    <w:rsid w:val="00532F34"/>
    <w:rsid w:val="00536126"/>
    <w:rsid w:val="005366CD"/>
    <w:rsid w:val="00537416"/>
    <w:rsid w:val="005400F1"/>
    <w:rsid w:val="00541AC2"/>
    <w:rsid w:val="005424AA"/>
    <w:rsid w:val="0054685F"/>
    <w:rsid w:val="00551E6A"/>
    <w:rsid w:val="00552146"/>
    <w:rsid w:val="005540D7"/>
    <w:rsid w:val="0055643C"/>
    <w:rsid w:val="00557527"/>
    <w:rsid w:val="00557EB7"/>
    <w:rsid w:val="005617D6"/>
    <w:rsid w:val="00563C75"/>
    <w:rsid w:val="00565C61"/>
    <w:rsid w:val="005663D7"/>
    <w:rsid w:val="00572886"/>
    <w:rsid w:val="00572AB8"/>
    <w:rsid w:val="00573765"/>
    <w:rsid w:val="00574A04"/>
    <w:rsid w:val="0057694C"/>
    <w:rsid w:val="005815FB"/>
    <w:rsid w:val="00583914"/>
    <w:rsid w:val="00583F29"/>
    <w:rsid w:val="005853A8"/>
    <w:rsid w:val="00586900"/>
    <w:rsid w:val="00594EDB"/>
    <w:rsid w:val="005A0172"/>
    <w:rsid w:val="005A22A6"/>
    <w:rsid w:val="005A32A7"/>
    <w:rsid w:val="005A555B"/>
    <w:rsid w:val="005A6998"/>
    <w:rsid w:val="005A6AB7"/>
    <w:rsid w:val="005A7EE5"/>
    <w:rsid w:val="005B19D2"/>
    <w:rsid w:val="005B39FA"/>
    <w:rsid w:val="005B3C54"/>
    <w:rsid w:val="005B4442"/>
    <w:rsid w:val="005B4DC3"/>
    <w:rsid w:val="005B52E7"/>
    <w:rsid w:val="005B53B6"/>
    <w:rsid w:val="005B59BC"/>
    <w:rsid w:val="005B6460"/>
    <w:rsid w:val="005B71C4"/>
    <w:rsid w:val="005C3008"/>
    <w:rsid w:val="005C7060"/>
    <w:rsid w:val="005C7515"/>
    <w:rsid w:val="005D0DAE"/>
    <w:rsid w:val="005D1B16"/>
    <w:rsid w:val="005D2537"/>
    <w:rsid w:val="005D40FE"/>
    <w:rsid w:val="005D484A"/>
    <w:rsid w:val="005D5248"/>
    <w:rsid w:val="005D62FA"/>
    <w:rsid w:val="005D75C8"/>
    <w:rsid w:val="005E4C89"/>
    <w:rsid w:val="005E66B8"/>
    <w:rsid w:val="005E7CD1"/>
    <w:rsid w:val="005F264D"/>
    <w:rsid w:val="005F3328"/>
    <w:rsid w:val="005F51D4"/>
    <w:rsid w:val="005F5ADE"/>
    <w:rsid w:val="005F66A8"/>
    <w:rsid w:val="005F6FAA"/>
    <w:rsid w:val="00600EE6"/>
    <w:rsid w:val="00601EA8"/>
    <w:rsid w:val="00605708"/>
    <w:rsid w:val="00607F11"/>
    <w:rsid w:val="00613CC6"/>
    <w:rsid w:val="00613EA7"/>
    <w:rsid w:val="0061442B"/>
    <w:rsid w:val="006156E0"/>
    <w:rsid w:val="00621517"/>
    <w:rsid w:val="006217F7"/>
    <w:rsid w:val="006232B5"/>
    <w:rsid w:val="00624177"/>
    <w:rsid w:val="006246CD"/>
    <w:rsid w:val="0062511F"/>
    <w:rsid w:val="006253B0"/>
    <w:rsid w:val="0062578A"/>
    <w:rsid w:val="006262D8"/>
    <w:rsid w:val="00626A6D"/>
    <w:rsid w:val="00627AAB"/>
    <w:rsid w:val="00627B4A"/>
    <w:rsid w:val="00630CB0"/>
    <w:rsid w:val="00631CE6"/>
    <w:rsid w:val="00632085"/>
    <w:rsid w:val="00632902"/>
    <w:rsid w:val="006356F3"/>
    <w:rsid w:val="0063760F"/>
    <w:rsid w:val="00637A52"/>
    <w:rsid w:val="00641872"/>
    <w:rsid w:val="00641E80"/>
    <w:rsid w:val="00643155"/>
    <w:rsid w:val="0064672A"/>
    <w:rsid w:val="00653CC1"/>
    <w:rsid w:val="00657DC5"/>
    <w:rsid w:val="0066002C"/>
    <w:rsid w:val="00660F97"/>
    <w:rsid w:val="00670055"/>
    <w:rsid w:val="00671CFD"/>
    <w:rsid w:val="006750C7"/>
    <w:rsid w:val="00676345"/>
    <w:rsid w:val="00677758"/>
    <w:rsid w:val="00677CD3"/>
    <w:rsid w:val="00680386"/>
    <w:rsid w:val="006811C0"/>
    <w:rsid w:val="00682152"/>
    <w:rsid w:val="00682AC1"/>
    <w:rsid w:val="0068345A"/>
    <w:rsid w:val="0068352A"/>
    <w:rsid w:val="006854A8"/>
    <w:rsid w:val="00685C69"/>
    <w:rsid w:val="0068616E"/>
    <w:rsid w:val="00686B77"/>
    <w:rsid w:val="006903FB"/>
    <w:rsid w:val="006904A7"/>
    <w:rsid w:val="006907C0"/>
    <w:rsid w:val="0069180A"/>
    <w:rsid w:val="00691E9A"/>
    <w:rsid w:val="006936D6"/>
    <w:rsid w:val="006949C8"/>
    <w:rsid w:val="00694C99"/>
    <w:rsid w:val="00697E71"/>
    <w:rsid w:val="006A00EF"/>
    <w:rsid w:val="006A0528"/>
    <w:rsid w:val="006A3C5C"/>
    <w:rsid w:val="006A4C34"/>
    <w:rsid w:val="006A64AA"/>
    <w:rsid w:val="006B00FF"/>
    <w:rsid w:val="006B4FC5"/>
    <w:rsid w:val="006B6579"/>
    <w:rsid w:val="006B6A69"/>
    <w:rsid w:val="006C06C6"/>
    <w:rsid w:val="006C3FE6"/>
    <w:rsid w:val="006C4291"/>
    <w:rsid w:val="006C5619"/>
    <w:rsid w:val="006D1FC2"/>
    <w:rsid w:val="006D46DC"/>
    <w:rsid w:val="006D5F88"/>
    <w:rsid w:val="006D6213"/>
    <w:rsid w:val="006D6FE5"/>
    <w:rsid w:val="006E0441"/>
    <w:rsid w:val="006E1B84"/>
    <w:rsid w:val="006E2139"/>
    <w:rsid w:val="006E29D3"/>
    <w:rsid w:val="006E4C80"/>
    <w:rsid w:val="006E5A89"/>
    <w:rsid w:val="006F0FFC"/>
    <w:rsid w:val="006F1D4C"/>
    <w:rsid w:val="006F3136"/>
    <w:rsid w:val="006F4329"/>
    <w:rsid w:val="006F5ECC"/>
    <w:rsid w:val="00701574"/>
    <w:rsid w:val="00701AFD"/>
    <w:rsid w:val="00702B2C"/>
    <w:rsid w:val="00705289"/>
    <w:rsid w:val="00705E76"/>
    <w:rsid w:val="00707ED5"/>
    <w:rsid w:val="00711309"/>
    <w:rsid w:val="00714D91"/>
    <w:rsid w:val="00715B68"/>
    <w:rsid w:val="00715C56"/>
    <w:rsid w:val="00716D4B"/>
    <w:rsid w:val="0071701E"/>
    <w:rsid w:val="00720A34"/>
    <w:rsid w:val="00723041"/>
    <w:rsid w:val="007257C2"/>
    <w:rsid w:val="00726427"/>
    <w:rsid w:val="00726795"/>
    <w:rsid w:val="00727AE5"/>
    <w:rsid w:val="00731ED6"/>
    <w:rsid w:val="00733DA0"/>
    <w:rsid w:val="007341B9"/>
    <w:rsid w:val="007372E5"/>
    <w:rsid w:val="00737415"/>
    <w:rsid w:val="007377E6"/>
    <w:rsid w:val="00737FB0"/>
    <w:rsid w:val="00740414"/>
    <w:rsid w:val="0074173E"/>
    <w:rsid w:val="0074378C"/>
    <w:rsid w:val="00744598"/>
    <w:rsid w:val="00745911"/>
    <w:rsid w:val="00745C3A"/>
    <w:rsid w:val="007464B5"/>
    <w:rsid w:val="007468F5"/>
    <w:rsid w:val="007514D0"/>
    <w:rsid w:val="00751C04"/>
    <w:rsid w:val="00753431"/>
    <w:rsid w:val="00754057"/>
    <w:rsid w:val="007560F6"/>
    <w:rsid w:val="00757650"/>
    <w:rsid w:val="00757D62"/>
    <w:rsid w:val="00760AE1"/>
    <w:rsid w:val="0076278A"/>
    <w:rsid w:val="00764884"/>
    <w:rsid w:val="00766890"/>
    <w:rsid w:val="007678EF"/>
    <w:rsid w:val="00770C38"/>
    <w:rsid w:val="00771547"/>
    <w:rsid w:val="007830A1"/>
    <w:rsid w:val="00783607"/>
    <w:rsid w:val="00783AA2"/>
    <w:rsid w:val="00783B3E"/>
    <w:rsid w:val="00783E7A"/>
    <w:rsid w:val="00785E78"/>
    <w:rsid w:val="00785FAA"/>
    <w:rsid w:val="00790E9E"/>
    <w:rsid w:val="00791288"/>
    <w:rsid w:val="00791D5F"/>
    <w:rsid w:val="00793F99"/>
    <w:rsid w:val="00796211"/>
    <w:rsid w:val="00796AB0"/>
    <w:rsid w:val="007A3222"/>
    <w:rsid w:val="007A52E6"/>
    <w:rsid w:val="007A5802"/>
    <w:rsid w:val="007A61C7"/>
    <w:rsid w:val="007A6E38"/>
    <w:rsid w:val="007A6EB5"/>
    <w:rsid w:val="007A7C57"/>
    <w:rsid w:val="007B1E18"/>
    <w:rsid w:val="007B25CE"/>
    <w:rsid w:val="007B484C"/>
    <w:rsid w:val="007B6108"/>
    <w:rsid w:val="007B7DDA"/>
    <w:rsid w:val="007C0ED4"/>
    <w:rsid w:val="007C2FAD"/>
    <w:rsid w:val="007C36B5"/>
    <w:rsid w:val="007C50E5"/>
    <w:rsid w:val="007C708F"/>
    <w:rsid w:val="007C7A7D"/>
    <w:rsid w:val="007D20B8"/>
    <w:rsid w:val="007D4310"/>
    <w:rsid w:val="007D4556"/>
    <w:rsid w:val="007D52DB"/>
    <w:rsid w:val="007D6059"/>
    <w:rsid w:val="007D616F"/>
    <w:rsid w:val="007D66B3"/>
    <w:rsid w:val="007D6BC7"/>
    <w:rsid w:val="007E218A"/>
    <w:rsid w:val="007E5747"/>
    <w:rsid w:val="007E62E8"/>
    <w:rsid w:val="007F1321"/>
    <w:rsid w:val="007F32B6"/>
    <w:rsid w:val="007F59F7"/>
    <w:rsid w:val="007F6373"/>
    <w:rsid w:val="007F72BB"/>
    <w:rsid w:val="007F78E9"/>
    <w:rsid w:val="00801043"/>
    <w:rsid w:val="0080212A"/>
    <w:rsid w:val="0080306D"/>
    <w:rsid w:val="0080373C"/>
    <w:rsid w:val="00803957"/>
    <w:rsid w:val="00806F6F"/>
    <w:rsid w:val="00811205"/>
    <w:rsid w:val="008117B4"/>
    <w:rsid w:val="00816D4D"/>
    <w:rsid w:val="00823A9C"/>
    <w:rsid w:val="00823F2B"/>
    <w:rsid w:val="008243CF"/>
    <w:rsid w:val="00830CA1"/>
    <w:rsid w:val="0083404F"/>
    <w:rsid w:val="00844649"/>
    <w:rsid w:val="00846A95"/>
    <w:rsid w:val="00847C6B"/>
    <w:rsid w:val="00850202"/>
    <w:rsid w:val="008509AB"/>
    <w:rsid w:val="00850DF1"/>
    <w:rsid w:val="00850FBF"/>
    <w:rsid w:val="00851358"/>
    <w:rsid w:val="00851EF4"/>
    <w:rsid w:val="0085520F"/>
    <w:rsid w:val="00856C93"/>
    <w:rsid w:val="00860014"/>
    <w:rsid w:val="00861814"/>
    <w:rsid w:val="00861E70"/>
    <w:rsid w:val="00862B25"/>
    <w:rsid w:val="0086323A"/>
    <w:rsid w:val="008650B6"/>
    <w:rsid w:val="0086551B"/>
    <w:rsid w:val="00867D54"/>
    <w:rsid w:val="00870B5F"/>
    <w:rsid w:val="008717CF"/>
    <w:rsid w:val="00872444"/>
    <w:rsid w:val="00873FAE"/>
    <w:rsid w:val="00874314"/>
    <w:rsid w:val="00874E7A"/>
    <w:rsid w:val="008812A9"/>
    <w:rsid w:val="00881816"/>
    <w:rsid w:val="00882EFF"/>
    <w:rsid w:val="00885100"/>
    <w:rsid w:val="00885287"/>
    <w:rsid w:val="008861DA"/>
    <w:rsid w:val="00887E1B"/>
    <w:rsid w:val="0089129C"/>
    <w:rsid w:val="0089167B"/>
    <w:rsid w:val="008918CD"/>
    <w:rsid w:val="00893A66"/>
    <w:rsid w:val="00895CF2"/>
    <w:rsid w:val="008A1A49"/>
    <w:rsid w:val="008A2212"/>
    <w:rsid w:val="008A2731"/>
    <w:rsid w:val="008A2CC1"/>
    <w:rsid w:val="008A4CBF"/>
    <w:rsid w:val="008A549B"/>
    <w:rsid w:val="008A5D49"/>
    <w:rsid w:val="008A73D0"/>
    <w:rsid w:val="008A77E6"/>
    <w:rsid w:val="008A7AC9"/>
    <w:rsid w:val="008B0B5D"/>
    <w:rsid w:val="008B4999"/>
    <w:rsid w:val="008B68BA"/>
    <w:rsid w:val="008B730D"/>
    <w:rsid w:val="008C060B"/>
    <w:rsid w:val="008C0B07"/>
    <w:rsid w:val="008C369A"/>
    <w:rsid w:val="008C47CE"/>
    <w:rsid w:val="008C5051"/>
    <w:rsid w:val="008C5A44"/>
    <w:rsid w:val="008C67BD"/>
    <w:rsid w:val="008C76D4"/>
    <w:rsid w:val="008C76F6"/>
    <w:rsid w:val="008D020C"/>
    <w:rsid w:val="008E38E7"/>
    <w:rsid w:val="008E3EB5"/>
    <w:rsid w:val="008E3EB8"/>
    <w:rsid w:val="008E4070"/>
    <w:rsid w:val="008F0D34"/>
    <w:rsid w:val="008F2301"/>
    <w:rsid w:val="008F31FB"/>
    <w:rsid w:val="008F3E55"/>
    <w:rsid w:val="008F5E6E"/>
    <w:rsid w:val="008F65AE"/>
    <w:rsid w:val="00900EB2"/>
    <w:rsid w:val="00903199"/>
    <w:rsid w:val="00903884"/>
    <w:rsid w:val="00906DC8"/>
    <w:rsid w:val="0091013C"/>
    <w:rsid w:val="009107A7"/>
    <w:rsid w:val="00911489"/>
    <w:rsid w:val="00911A92"/>
    <w:rsid w:val="00911B9C"/>
    <w:rsid w:val="00920D6A"/>
    <w:rsid w:val="00921BD2"/>
    <w:rsid w:val="009247C1"/>
    <w:rsid w:val="00927819"/>
    <w:rsid w:val="00927AFE"/>
    <w:rsid w:val="009302BE"/>
    <w:rsid w:val="009305B4"/>
    <w:rsid w:val="009329CA"/>
    <w:rsid w:val="00933E07"/>
    <w:rsid w:val="0093467E"/>
    <w:rsid w:val="00935A4E"/>
    <w:rsid w:val="00935F8D"/>
    <w:rsid w:val="00936642"/>
    <w:rsid w:val="009405F8"/>
    <w:rsid w:val="00944D54"/>
    <w:rsid w:val="00946B71"/>
    <w:rsid w:val="0094756D"/>
    <w:rsid w:val="00951373"/>
    <w:rsid w:val="009528E8"/>
    <w:rsid w:val="009558F6"/>
    <w:rsid w:val="00957215"/>
    <w:rsid w:val="00957D69"/>
    <w:rsid w:val="00963274"/>
    <w:rsid w:val="00963362"/>
    <w:rsid w:val="00963F6F"/>
    <w:rsid w:val="00966239"/>
    <w:rsid w:val="00971036"/>
    <w:rsid w:val="0097167B"/>
    <w:rsid w:val="009725EF"/>
    <w:rsid w:val="00973E45"/>
    <w:rsid w:val="00976084"/>
    <w:rsid w:val="009778A6"/>
    <w:rsid w:val="00981101"/>
    <w:rsid w:val="009823F5"/>
    <w:rsid w:val="00983B20"/>
    <w:rsid w:val="009843C8"/>
    <w:rsid w:val="00984DF0"/>
    <w:rsid w:val="009875C2"/>
    <w:rsid w:val="00987E46"/>
    <w:rsid w:val="009903AF"/>
    <w:rsid w:val="009912A3"/>
    <w:rsid w:val="00992BD0"/>
    <w:rsid w:val="00994000"/>
    <w:rsid w:val="009959D6"/>
    <w:rsid w:val="00996700"/>
    <w:rsid w:val="00997951"/>
    <w:rsid w:val="009A02BF"/>
    <w:rsid w:val="009A17D4"/>
    <w:rsid w:val="009A24E1"/>
    <w:rsid w:val="009A2DBF"/>
    <w:rsid w:val="009A4DAF"/>
    <w:rsid w:val="009B3ABA"/>
    <w:rsid w:val="009B5D65"/>
    <w:rsid w:val="009B7741"/>
    <w:rsid w:val="009C167D"/>
    <w:rsid w:val="009C1CDB"/>
    <w:rsid w:val="009C1E76"/>
    <w:rsid w:val="009C22D2"/>
    <w:rsid w:val="009C2F8D"/>
    <w:rsid w:val="009C305F"/>
    <w:rsid w:val="009C7244"/>
    <w:rsid w:val="009C78E5"/>
    <w:rsid w:val="009C7AEA"/>
    <w:rsid w:val="009D5246"/>
    <w:rsid w:val="009D578C"/>
    <w:rsid w:val="009E0CFF"/>
    <w:rsid w:val="009E37AD"/>
    <w:rsid w:val="009E5E88"/>
    <w:rsid w:val="009E7A51"/>
    <w:rsid w:val="009F0E22"/>
    <w:rsid w:val="009F4F34"/>
    <w:rsid w:val="00A002D0"/>
    <w:rsid w:val="00A00C08"/>
    <w:rsid w:val="00A0491D"/>
    <w:rsid w:val="00A06A55"/>
    <w:rsid w:val="00A10136"/>
    <w:rsid w:val="00A105D4"/>
    <w:rsid w:val="00A1534C"/>
    <w:rsid w:val="00A17AC3"/>
    <w:rsid w:val="00A224D4"/>
    <w:rsid w:val="00A246EC"/>
    <w:rsid w:val="00A262BD"/>
    <w:rsid w:val="00A30A1F"/>
    <w:rsid w:val="00A31D5B"/>
    <w:rsid w:val="00A348A5"/>
    <w:rsid w:val="00A34F8D"/>
    <w:rsid w:val="00A34FDF"/>
    <w:rsid w:val="00A35449"/>
    <w:rsid w:val="00A35BBB"/>
    <w:rsid w:val="00A40974"/>
    <w:rsid w:val="00A4168E"/>
    <w:rsid w:val="00A41D06"/>
    <w:rsid w:val="00A43140"/>
    <w:rsid w:val="00A43443"/>
    <w:rsid w:val="00A43493"/>
    <w:rsid w:val="00A46885"/>
    <w:rsid w:val="00A50F40"/>
    <w:rsid w:val="00A50FE3"/>
    <w:rsid w:val="00A51751"/>
    <w:rsid w:val="00A52BE0"/>
    <w:rsid w:val="00A54B63"/>
    <w:rsid w:val="00A63779"/>
    <w:rsid w:val="00A63D9C"/>
    <w:rsid w:val="00A640BB"/>
    <w:rsid w:val="00A66BA2"/>
    <w:rsid w:val="00A705DD"/>
    <w:rsid w:val="00A71168"/>
    <w:rsid w:val="00A72582"/>
    <w:rsid w:val="00A7291F"/>
    <w:rsid w:val="00A75327"/>
    <w:rsid w:val="00A753CD"/>
    <w:rsid w:val="00A75DAE"/>
    <w:rsid w:val="00A768BF"/>
    <w:rsid w:val="00A80F18"/>
    <w:rsid w:val="00A81484"/>
    <w:rsid w:val="00A81490"/>
    <w:rsid w:val="00A81972"/>
    <w:rsid w:val="00A82F32"/>
    <w:rsid w:val="00A83718"/>
    <w:rsid w:val="00A858E8"/>
    <w:rsid w:val="00A914F1"/>
    <w:rsid w:val="00A91F0C"/>
    <w:rsid w:val="00A91F3A"/>
    <w:rsid w:val="00A927C8"/>
    <w:rsid w:val="00A94AB6"/>
    <w:rsid w:val="00A95DBE"/>
    <w:rsid w:val="00A96AA2"/>
    <w:rsid w:val="00A9737D"/>
    <w:rsid w:val="00AA0F40"/>
    <w:rsid w:val="00AA1B34"/>
    <w:rsid w:val="00AA2B6B"/>
    <w:rsid w:val="00AA392E"/>
    <w:rsid w:val="00AA41AF"/>
    <w:rsid w:val="00AA4423"/>
    <w:rsid w:val="00AA46F7"/>
    <w:rsid w:val="00AA717A"/>
    <w:rsid w:val="00AB0226"/>
    <w:rsid w:val="00AB111F"/>
    <w:rsid w:val="00AB4AC8"/>
    <w:rsid w:val="00AB4E4F"/>
    <w:rsid w:val="00AB526D"/>
    <w:rsid w:val="00AB61A4"/>
    <w:rsid w:val="00AB69AF"/>
    <w:rsid w:val="00AB6BFE"/>
    <w:rsid w:val="00AB721F"/>
    <w:rsid w:val="00AB7347"/>
    <w:rsid w:val="00AB7348"/>
    <w:rsid w:val="00AB75FD"/>
    <w:rsid w:val="00AB76EC"/>
    <w:rsid w:val="00AC0E4B"/>
    <w:rsid w:val="00AD0A2B"/>
    <w:rsid w:val="00AD2AFC"/>
    <w:rsid w:val="00AD39C9"/>
    <w:rsid w:val="00AE0073"/>
    <w:rsid w:val="00AE0409"/>
    <w:rsid w:val="00AE39D1"/>
    <w:rsid w:val="00AF1BD3"/>
    <w:rsid w:val="00AF24D6"/>
    <w:rsid w:val="00AF36DE"/>
    <w:rsid w:val="00AF3D64"/>
    <w:rsid w:val="00AF7326"/>
    <w:rsid w:val="00AF756E"/>
    <w:rsid w:val="00AF797F"/>
    <w:rsid w:val="00AF7D71"/>
    <w:rsid w:val="00B0463D"/>
    <w:rsid w:val="00B0681A"/>
    <w:rsid w:val="00B112C4"/>
    <w:rsid w:val="00B120C2"/>
    <w:rsid w:val="00B128F9"/>
    <w:rsid w:val="00B12D58"/>
    <w:rsid w:val="00B133FD"/>
    <w:rsid w:val="00B13B39"/>
    <w:rsid w:val="00B156BA"/>
    <w:rsid w:val="00B15DD2"/>
    <w:rsid w:val="00B214A0"/>
    <w:rsid w:val="00B23210"/>
    <w:rsid w:val="00B2455A"/>
    <w:rsid w:val="00B265C7"/>
    <w:rsid w:val="00B270B9"/>
    <w:rsid w:val="00B27E28"/>
    <w:rsid w:val="00B30643"/>
    <w:rsid w:val="00B332A4"/>
    <w:rsid w:val="00B348AD"/>
    <w:rsid w:val="00B37144"/>
    <w:rsid w:val="00B42787"/>
    <w:rsid w:val="00B476B2"/>
    <w:rsid w:val="00B47ABD"/>
    <w:rsid w:val="00B521FC"/>
    <w:rsid w:val="00B53F57"/>
    <w:rsid w:val="00B53FAB"/>
    <w:rsid w:val="00B557A8"/>
    <w:rsid w:val="00B572A3"/>
    <w:rsid w:val="00B6003E"/>
    <w:rsid w:val="00B606CC"/>
    <w:rsid w:val="00B6159F"/>
    <w:rsid w:val="00B63F97"/>
    <w:rsid w:val="00B6709E"/>
    <w:rsid w:val="00B67C42"/>
    <w:rsid w:val="00B745ED"/>
    <w:rsid w:val="00B80BAB"/>
    <w:rsid w:val="00B810A3"/>
    <w:rsid w:val="00B81667"/>
    <w:rsid w:val="00B84373"/>
    <w:rsid w:val="00B844BA"/>
    <w:rsid w:val="00B84F5F"/>
    <w:rsid w:val="00B8762B"/>
    <w:rsid w:val="00B903AD"/>
    <w:rsid w:val="00B90933"/>
    <w:rsid w:val="00B934CE"/>
    <w:rsid w:val="00B93A08"/>
    <w:rsid w:val="00B94D49"/>
    <w:rsid w:val="00B96FFD"/>
    <w:rsid w:val="00B97655"/>
    <w:rsid w:val="00B97EF2"/>
    <w:rsid w:val="00BA0871"/>
    <w:rsid w:val="00BA0F09"/>
    <w:rsid w:val="00BA46ED"/>
    <w:rsid w:val="00BA79F9"/>
    <w:rsid w:val="00BB145E"/>
    <w:rsid w:val="00BB4655"/>
    <w:rsid w:val="00BC0234"/>
    <w:rsid w:val="00BC17C1"/>
    <w:rsid w:val="00BC21C5"/>
    <w:rsid w:val="00BC5381"/>
    <w:rsid w:val="00BC6064"/>
    <w:rsid w:val="00BC6CDC"/>
    <w:rsid w:val="00BC781F"/>
    <w:rsid w:val="00BD2D0C"/>
    <w:rsid w:val="00BD4966"/>
    <w:rsid w:val="00BD4B75"/>
    <w:rsid w:val="00BE1630"/>
    <w:rsid w:val="00BE1F75"/>
    <w:rsid w:val="00BE49CA"/>
    <w:rsid w:val="00BE4B9E"/>
    <w:rsid w:val="00BE4D7A"/>
    <w:rsid w:val="00BE7C82"/>
    <w:rsid w:val="00BF13CB"/>
    <w:rsid w:val="00BF3F12"/>
    <w:rsid w:val="00BF4CF9"/>
    <w:rsid w:val="00BF5D55"/>
    <w:rsid w:val="00BF6C4F"/>
    <w:rsid w:val="00C0133F"/>
    <w:rsid w:val="00C01DF6"/>
    <w:rsid w:val="00C02FFC"/>
    <w:rsid w:val="00C03585"/>
    <w:rsid w:val="00C05B24"/>
    <w:rsid w:val="00C065E2"/>
    <w:rsid w:val="00C06A73"/>
    <w:rsid w:val="00C074E3"/>
    <w:rsid w:val="00C10310"/>
    <w:rsid w:val="00C10559"/>
    <w:rsid w:val="00C13957"/>
    <w:rsid w:val="00C22D43"/>
    <w:rsid w:val="00C23F76"/>
    <w:rsid w:val="00C2625B"/>
    <w:rsid w:val="00C26E89"/>
    <w:rsid w:val="00C31964"/>
    <w:rsid w:val="00C32153"/>
    <w:rsid w:val="00C34A70"/>
    <w:rsid w:val="00C35051"/>
    <w:rsid w:val="00C357AB"/>
    <w:rsid w:val="00C3687F"/>
    <w:rsid w:val="00C3742B"/>
    <w:rsid w:val="00C379DC"/>
    <w:rsid w:val="00C413D1"/>
    <w:rsid w:val="00C41CD1"/>
    <w:rsid w:val="00C427C7"/>
    <w:rsid w:val="00C44864"/>
    <w:rsid w:val="00C5029F"/>
    <w:rsid w:val="00C507FC"/>
    <w:rsid w:val="00C51C81"/>
    <w:rsid w:val="00C51D85"/>
    <w:rsid w:val="00C52084"/>
    <w:rsid w:val="00C52B97"/>
    <w:rsid w:val="00C567B0"/>
    <w:rsid w:val="00C5716F"/>
    <w:rsid w:val="00C57C64"/>
    <w:rsid w:val="00C57ED8"/>
    <w:rsid w:val="00C6014D"/>
    <w:rsid w:val="00C636BA"/>
    <w:rsid w:val="00C6653E"/>
    <w:rsid w:val="00C66B35"/>
    <w:rsid w:val="00C67525"/>
    <w:rsid w:val="00C7116B"/>
    <w:rsid w:val="00C7255A"/>
    <w:rsid w:val="00C72685"/>
    <w:rsid w:val="00C7328A"/>
    <w:rsid w:val="00C73A91"/>
    <w:rsid w:val="00C76AEF"/>
    <w:rsid w:val="00C80947"/>
    <w:rsid w:val="00C80C0D"/>
    <w:rsid w:val="00C8202C"/>
    <w:rsid w:val="00C82679"/>
    <w:rsid w:val="00C84109"/>
    <w:rsid w:val="00C90BCA"/>
    <w:rsid w:val="00C92128"/>
    <w:rsid w:val="00C92240"/>
    <w:rsid w:val="00C95247"/>
    <w:rsid w:val="00CA0CF0"/>
    <w:rsid w:val="00CA1012"/>
    <w:rsid w:val="00CA26AF"/>
    <w:rsid w:val="00CA3C3C"/>
    <w:rsid w:val="00CA3D76"/>
    <w:rsid w:val="00CA616B"/>
    <w:rsid w:val="00CA62F1"/>
    <w:rsid w:val="00CA66F7"/>
    <w:rsid w:val="00CA717C"/>
    <w:rsid w:val="00CB10B9"/>
    <w:rsid w:val="00CB143A"/>
    <w:rsid w:val="00CB16AF"/>
    <w:rsid w:val="00CB199A"/>
    <w:rsid w:val="00CB40FB"/>
    <w:rsid w:val="00CB51EF"/>
    <w:rsid w:val="00CC016B"/>
    <w:rsid w:val="00CC27F9"/>
    <w:rsid w:val="00CC481A"/>
    <w:rsid w:val="00CD41A6"/>
    <w:rsid w:val="00CD50F8"/>
    <w:rsid w:val="00CD6DA8"/>
    <w:rsid w:val="00CD798D"/>
    <w:rsid w:val="00CE0C17"/>
    <w:rsid w:val="00CE3381"/>
    <w:rsid w:val="00CE4DAC"/>
    <w:rsid w:val="00CE62E1"/>
    <w:rsid w:val="00CF26B3"/>
    <w:rsid w:val="00CF2B3A"/>
    <w:rsid w:val="00CF5CBC"/>
    <w:rsid w:val="00CF6476"/>
    <w:rsid w:val="00CF64C0"/>
    <w:rsid w:val="00CF70E5"/>
    <w:rsid w:val="00D011AE"/>
    <w:rsid w:val="00D01CD1"/>
    <w:rsid w:val="00D029A8"/>
    <w:rsid w:val="00D03720"/>
    <w:rsid w:val="00D040C1"/>
    <w:rsid w:val="00D0439C"/>
    <w:rsid w:val="00D05E79"/>
    <w:rsid w:val="00D113B4"/>
    <w:rsid w:val="00D11B65"/>
    <w:rsid w:val="00D13939"/>
    <w:rsid w:val="00D15096"/>
    <w:rsid w:val="00D23901"/>
    <w:rsid w:val="00D23D16"/>
    <w:rsid w:val="00D23E82"/>
    <w:rsid w:val="00D24B9E"/>
    <w:rsid w:val="00D26218"/>
    <w:rsid w:val="00D27D7B"/>
    <w:rsid w:val="00D3190B"/>
    <w:rsid w:val="00D35410"/>
    <w:rsid w:val="00D35424"/>
    <w:rsid w:val="00D3751E"/>
    <w:rsid w:val="00D40B69"/>
    <w:rsid w:val="00D46A6C"/>
    <w:rsid w:val="00D46A85"/>
    <w:rsid w:val="00D46ADD"/>
    <w:rsid w:val="00D46EB0"/>
    <w:rsid w:val="00D47612"/>
    <w:rsid w:val="00D47620"/>
    <w:rsid w:val="00D513B6"/>
    <w:rsid w:val="00D51B3D"/>
    <w:rsid w:val="00D5297A"/>
    <w:rsid w:val="00D52DEB"/>
    <w:rsid w:val="00D54969"/>
    <w:rsid w:val="00D54FA2"/>
    <w:rsid w:val="00D55D9D"/>
    <w:rsid w:val="00D55F5B"/>
    <w:rsid w:val="00D56B82"/>
    <w:rsid w:val="00D57858"/>
    <w:rsid w:val="00D6320A"/>
    <w:rsid w:val="00D64FF6"/>
    <w:rsid w:val="00D6661D"/>
    <w:rsid w:val="00D67C04"/>
    <w:rsid w:val="00D7379F"/>
    <w:rsid w:val="00D73845"/>
    <w:rsid w:val="00D7522A"/>
    <w:rsid w:val="00D75575"/>
    <w:rsid w:val="00D75CD0"/>
    <w:rsid w:val="00D7730F"/>
    <w:rsid w:val="00D802D1"/>
    <w:rsid w:val="00D81712"/>
    <w:rsid w:val="00D917DF"/>
    <w:rsid w:val="00DA16CC"/>
    <w:rsid w:val="00DB0CD8"/>
    <w:rsid w:val="00DB15EB"/>
    <w:rsid w:val="00DB2586"/>
    <w:rsid w:val="00DB3909"/>
    <w:rsid w:val="00DB6275"/>
    <w:rsid w:val="00DB6C6D"/>
    <w:rsid w:val="00DB7443"/>
    <w:rsid w:val="00DC01D6"/>
    <w:rsid w:val="00DC092D"/>
    <w:rsid w:val="00DC100D"/>
    <w:rsid w:val="00DC12F2"/>
    <w:rsid w:val="00DC3DB4"/>
    <w:rsid w:val="00DC6870"/>
    <w:rsid w:val="00DD32F4"/>
    <w:rsid w:val="00DD4906"/>
    <w:rsid w:val="00DD7279"/>
    <w:rsid w:val="00DD797E"/>
    <w:rsid w:val="00DE0105"/>
    <w:rsid w:val="00DE2C40"/>
    <w:rsid w:val="00DE3332"/>
    <w:rsid w:val="00DE37C3"/>
    <w:rsid w:val="00DE576B"/>
    <w:rsid w:val="00DE5F07"/>
    <w:rsid w:val="00DE7CA6"/>
    <w:rsid w:val="00DF15E6"/>
    <w:rsid w:val="00DF267F"/>
    <w:rsid w:val="00DF3772"/>
    <w:rsid w:val="00DF41C3"/>
    <w:rsid w:val="00E02976"/>
    <w:rsid w:val="00E032F3"/>
    <w:rsid w:val="00E05B08"/>
    <w:rsid w:val="00E05C04"/>
    <w:rsid w:val="00E1222D"/>
    <w:rsid w:val="00E129AF"/>
    <w:rsid w:val="00E13E56"/>
    <w:rsid w:val="00E14F68"/>
    <w:rsid w:val="00E154A2"/>
    <w:rsid w:val="00E15A43"/>
    <w:rsid w:val="00E15A49"/>
    <w:rsid w:val="00E15FF3"/>
    <w:rsid w:val="00E20E4C"/>
    <w:rsid w:val="00E22C49"/>
    <w:rsid w:val="00E23461"/>
    <w:rsid w:val="00E24C2A"/>
    <w:rsid w:val="00E26B6F"/>
    <w:rsid w:val="00E30DEA"/>
    <w:rsid w:val="00E33A4B"/>
    <w:rsid w:val="00E34851"/>
    <w:rsid w:val="00E35F33"/>
    <w:rsid w:val="00E41B3E"/>
    <w:rsid w:val="00E42DF0"/>
    <w:rsid w:val="00E45352"/>
    <w:rsid w:val="00E464F9"/>
    <w:rsid w:val="00E52349"/>
    <w:rsid w:val="00E5633C"/>
    <w:rsid w:val="00E57309"/>
    <w:rsid w:val="00E5739C"/>
    <w:rsid w:val="00E61B89"/>
    <w:rsid w:val="00E650A5"/>
    <w:rsid w:val="00E655CD"/>
    <w:rsid w:val="00E658A2"/>
    <w:rsid w:val="00E67EA0"/>
    <w:rsid w:val="00E73E92"/>
    <w:rsid w:val="00E74075"/>
    <w:rsid w:val="00E74948"/>
    <w:rsid w:val="00E77236"/>
    <w:rsid w:val="00E803B9"/>
    <w:rsid w:val="00E81F3F"/>
    <w:rsid w:val="00E81FD0"/>
    <w:rsid w:val="00E81FEC"/>
    <w:rsid w:val="00E8457F"/>
    <w:rsid w:val="00E84E2B"/>
    <w:rsid w:val="00E93A34"/>
    <w:rsid w:val="00E96B8B"/>
    <w:rsid w:val="00EA2148"/>
    <w:rsid w:val="00EB060F"/>
    <w:rsid w:val="00EB1B92"/>
    <w:rsid w:val="00EB3F51"/>
    <w:rsid w:val="00EB740C"/>
    <w:rsid w:val="00EC23D7"/>
    <w:rsid w:val="00EC3284"/>
    <w:rsid w:val="00EC3932"/>
    <w:rsid w:val="00EC49F6"/>
    <w:rsid w:val="00EC4B4B"/>
    <w:rsid w:val="00ED1D52"/>
    <w:rsid w:val="00ED3245"/>
    <w:rsid w:val="00ED432C"/>
    <w:rsid w:val="00ED5563"/>
    <w:rsid w:val="00ED6419"/>
    <w:rsid w:val="00ED73A4"/>
    <w:rsid w:val="00ED7AE1"/>
    <w:rsid w:val="00ED7CD0"/>
    <w:rsid w:val="00EE17A3"/>
    <w:rsid w:val="00EE1CB3"/>
    <w:rsid w:val="00EE376D"/>
    <w:rsid w:val="00EE3DFD"/>
    <w:rsid w:val="00EE474D"/>
    <w:rsid w:val="00EE58FB"/>
    <w:rsid w:val="00EE594B"/>
    <w:rsid w:val="00EE6F89"/>
    <w:rsid w:val="00EF09D6"/>
    <w:rsid w:val="00EF0B00"/>
    <w:rsid w:val="00EF68E6"/>
    <w:rsid w:val="00F042DB"/>
    <w:rsid w:val="00F05C69"/>
    <w:rsid w:val="00F066AC"/>
    <w:rsid w:val="00F06909"/>
    <w:rsid w:val="00F10570"/>
    <w:rsid w:val="00F1072F"/>
    <w:rsid w:val="00F1407D"/>
    <w:rsid w:val="00F20EC2"/>
    <w:rsid w:val="00F2143D"/>
    <w:rsid w:val="00F21A82"/>
    <w:rsid w:val="00F23950"/>
    <w:rsid w:val="00F23CEF"/>
    <w:rsid w:val="00F253B9"/>
    <w:rsid w:val="00F25A19"/>
    <w:rsid w:val="00F25B50"/>
    <w:rsid w:val="00F26CEC"/>
    <w:rsid w:val="00F27438"/>
    <w:rsid w:val="00F3056B"/>
    <w:rsid w:val="00F3140E"/>
    <w:rsid w:val="00F32868"/>
    <w:rsid w:val="00F33088"/>
    <w:rsid w:val="00F34DC8"/>
    <w:rsid w:val="00F35DE0"/>
    <w:rsid w:val="00F36A5B"/>
    <w:rsid w:val="00F40F0E"/>
    <w:rsid w:val="00F4725D"/>
    <w:rsid w:val="00F4774E"/>
    <w:rsid w:val="00F509BE"/>
    <w:rsid w:val="00F51FE6"/>
    <w:rsid w:val="00F554CD"/>
    <w:rsid w:val="00F55F4B"/>
    <w:rsid w:val="00F57141"/>
    <w:rsid w:val="00F57E4E"/>
    <w:rsid w:val="00F610AB"/>
    <w:rsid w:val="00F62DD0"/>
    <w:rsid w:val="00F63BCC"/>
    <w:rsid w:val="00F65516"/>
    <w:rsid w:val="00F657AC"/>
    <w:rsid w:val="00F65F79"/>
    <w:rsid w:val="00F71995"/>
    <w:rsid w:val="00F71E20"/>
    <w:rsid w:val="00F71E48"/>
    <w:rsid w:val="00F71FB7"/>
    <w:rsid w:val="00F7522A"/>
    <w:rsid w:val="00F76631"/>
    <w:rsid w:val="00F76F34"/>
    <w:rsid w:val="00F77736"/>
    <w:rsid w:val="00F821FA"/>
    <w:rsid w:val="00F82B3E"/>
    <w:rsid w:val="00F83928"/>
    <w:rsid w:val="00F8407B"/>
    <w:rsid w:val="00F85303"/>
    <w:rsid w:val="00F85B13"/>
    <w:rsid w:val="00F86E17"/>
    <w:rsid w:val="00F92BB4"/>
    <w:rsid w:val="00F93421"/>
    <w:rsid w:val="00F94B38"/>
    <w:rsid w:val="00F97FFC"/>
    <w:rsid w:val="00FA1A52"/>
    <w:rsid w:val="00FA1C7D"/>
    <w:rsid w:val="00FA20AC"/>
    <w:rsid w:val="00FA2E6D"/>
    <w:rsid w:val="00FA3C84"/>
    <w:rsid w:val="00FA3EB2"/>
    <w:rsid w:val="00FA59FF"/>
    <w:rsid w:val="00FA780C"/>
    <w:rsid w:val="00FA7E95"/>
    <w:rsid w:val="00FB2361"/>
    <w:rsid w:val="00FB3F08"/>
    <w:rsid w:val="00FB7622"/>
    <w:rsid w:val="00FC40A4"/>
    <w:rsid w:val="00FC4701"/>
    <w:rsid w:val="00FC54CF"/>
    <w:rsid w:val="00FC7651"/>
    <w:rsid w:val="00FD08CC"/>
    <w:rsid w:val="00FD0B72"/>
    <w:rsid w:val="00FD1D91"/>
    <w:rsid w:val="00FD2893"/>
    <w:rsid w:val="00FE0068"/>
    <w:rsid w:val="00FE118C"/>
    <w:rsid w:val="00FE212C"/>
    <w:rsid w:val="00FE7DFF"/>
    <w:rsid w:val="00FF0530"/>
    <w:rsid w:val="00FF06E3"/>
    <w:rsid w:val="00FF1133"/>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894B9"/>
  <w15:chartTrackingRefBased/>
  <w15:docId w15:val="{24165A4A-F5AA-8742-8D91-6790ADFB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5516"/>
    <w:rPr>
      <w:rFonts w:ascii="Times New Roman" w:eastAsia="Times New Roman" w:hAnsi="Times New Roman" w:cs="Times New Roman"/>
      <w:kern w:val="0"/>
      <w:sz w:val="24"/>
    </w:rPr>
  </w:style>
  <w:style w:type="paragraph" w:styleId="1">
    <w:name w:val="heading 1"/>
    <w:basedOn w:val="a"/>
    <w:next w:val="a"/>
    <w:link w:val="10"/>
    <w:uiPriority w:val="9"/>
    <w:qFormat/>
    <w:rsid w:val="004E4EDE"/>
    <w:pPr>
      <w:keepNext/>
      <w:keepLines/>
      <w:spacing w:before="340" w:after="330" w:line="578" w:lineRule="auto"/>
      <w:outlineLvl w:val="0"/>
    </w:pPr>
    <w:rPr>
      <w:rFonts w:ascii="宋体" w:hAnsi="宋体" w:cs="宋体"/>
      <w:b/>
      <w:bCs/>
      <w:kern w:val="44"/>
      <w:sz w:val="44"/>
      <w:szCs w:val="44"/>
    </w:rPr>
  </w:style>
  <w:style w:type="paragraph" w:styleId="2">
    <w:name w:val="heading 2"/>
    <w:basedOn w:val="a"/>
    <w:next w:val="a"/>
    <w:link w:val="20"/>
    <w:uiPriority w:val="9"/>
    <w:unhideWhenUsed/>
    <w:qFormat/>
    <w:rsid w:val="006232B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783607"/>
    <w:pPr>
      <w:keepNext/>
      <w:keepLines/>
      <w:spacing w:before="260" w:after="260" w:line="416" w:lineRule="auto"/>
      <w:outlineLvl w:val="2"/>
    </w:pPr>
    <w:rPr>
      <w:rFonts w:ascii="宋体" w:hAnsi="宋体" w:cs="宋体"/>
      <w:b/>
      <w:bCs/>
      <w:sz w:val="32"/>
      <w:szCs w:val="32"/>
    </w:rPr>
  </w:style>
  <w:style w:type="paragraph" w:styleId="4">
    <w:name w:val="heading 4"/>
    <w:basedOn w:val="a"/>
    <w:next w:val="a"/>
    <w:link w:val="40"/>
    <w:uiPriority w:val="9"/>
    <w:semiHidden/>
    <w:unhideWhenUsed/>
    <w:qFormat/>
    <w:rsid w:val="0029368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93688"/>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29368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9368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9368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9368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级标题"/>
    <w:basedOn w:val="1"/>
    <w:qFormat/>
    <w:rsid w:val="004E4EDE"/>
    <w:pPr>
      <w:spacing w:before="480" w:after="360" w:line="240" w:lineRule="auto"/>
    </w:pPr>
    <w:rPr>
      <w:rFonts w:ascii="Times New Roman" w:eastAsia="黑体" w:hAnsi="Times New Roman" w:cs="Times New Roman"/>
      <w:sz w:val="32"/>
      <w:szCs w:val="32"/>
    </w:rPr>
  </w:style>
  <w:style w:type="character" w:customStyle="1" w:styleId="10">
    <w:name w:val="标题 1 字符"/>
    <w:basedOn w:val="a0"/>
    <w:link w:val="1"/>
    <w:uiPriority w:val="9"/>
    <w:rsid w:val="004E4EDE"/>
    <w:rPr>
      <w:b/>
      <w:bCs/>
      <w:kern w:val="44"/>
      <w:sz w:val="44"/>
      <w:szCs w:val="44"/>
    </w:rPr>
  </w:style>
  <w:style w:type="paragraph" w:styleId="a4">
    <w:name w:val="Normal (Web)"/>
    <w:basedOn w:val="a"/>
    <w:uiPriority w:val="99"/>
    <w:semiHidden/>
    <w:unhideWhenUsed/>
    <w:rsid w:val="00997951"/>
    <w:pPr>
      <w:spacing w:before="100" w:beforeAutospacing="1" w:after="100" w:afterAutospacing="1"/>
    </w:pPr>
    <w:rPr>
      <w:rFonts w:ascii="宋体" w:hAnsi="宋体" w:cs="宋体"/>
    </w:rPr>
  </w:style>
  <w:style w:type="paragraph" w:styleId="a5">
    <w:name w:val="List Paragraph"/>
    <w:basedOn w:val="a"/>
    <w:uiPriority w:val="34"/>
    <w:qFormat/>
    <w:rsid w:val="00493DAB"/>
    <w:pPr>
      <w:ind w:firstLineChars="200" w:firstLine="420"/>
    </w:pPr>
    <w:rPr>
      <w:rFonts w:ascii="宋体" w:hAnsi="宋体" w:cs="宋体"/>
      <w:szCs w:val="22"/>
    </w:rPr>
  </w:style>
  <w:style w:type="table" w:styleId="a6">
    <w:name w:val="Table Grid"/>
    <w:basedOn w:val="a1"/>
    <w:uiPriority w:val="39"/>
    <w:rsid w:val="00097EB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949C8"/>
    <w:rPr>
      <w:color w:val="0563C1"/>
      <w:u w:val="single"/>
    </w:rPr>
  </w:style>
  <w:style w:type="character" w:styleId="a8">
    <w:name w:val="FollowedHyperlink"/>
    <w:basedOn w:val="a0"/>
    <w:uiPriority w:val="99"/>
    <w:semiHidden/>
    <w:unhideWhenUsed/>
    <w:rsid w:val="006949C8"/>
    <w:rPr>
      <w:color w:val="954F72"/>
      <w:u w:val="single"/>
    </w:rPr>
  </w:style>
  <w:style w:type="paragraph" w:customStyle="1" w:styleId="msonormal0">
    <w:name w:val="msonormal"/>
    <w:basedOn w:val="a"/>
    <w:rsid w:val="006949C8"/>
    <w:pPr>
      <w:spacing w:before="100" w:beforeAutospacing="1" w:after="100" w:afterAutospacing="1"/>
    </w:pPr>
    <w:rPr>
      <w:rFonts w:ascii="宋体" w:hAnsi="宋体" w:cs="宋体"/>
    </w:rPr>
  </w:style>
  <w:style w:type="paragraph" w:customStyle="1" w:styleId="font5">
    <w:name w:val="font5"/>
    <w:basedOn w:val="a"/>
    <w:rsid w:val="006949C8"/>
    <w:pPr>
      <w:spacing w:before="100" w:beforeAutospacing="1" w:after="100" w:afterAutospacing="1"/>
    </w:pPr>
    <w:rPr>
      <w:rFonts w:ascii="DengXian" w:eastAsia="DengXian" w:hAnsi="DengXian" w:cs="宋体"/>
      <w:sz w:val="18"/>
      <w:szCs w:val="18"/>
    </w:rPr>
  </w:style>
  <w:style w:type="paragraph" w:customStyle="1" w:styleId="xl63">
    <w:name w:val="xl63"/>
    <w:basedOn w:val="a"/>
    <w:rsid w:val="006949C8"/>
    <w:pPr>
      <w:pBdr>
        <w:top w:val="single" w:sz="8" w:space="0" w:color="auto"/>
        <w:bottom w:val="single" w:sz="8" w:space="0" w:color="auto"/>
      </w:pBdr>
      <w:shd w:val="clear" w:color="000000" w:fill="D0CECE"/>
      <w:spacing w:before="100" w:beforeAutospacing="1" w:after="100" w:afterAutospacing="1"/>
      <w:jc w:val="center"/>
    </w:pPr>
    <w:rPr>
      <w:rFonts w:ascii="Arial" w:hAnsi="Arial" w:cs="Arial"/>
      <w:b/>
      <w:bCs/>
      <w:color w:val="000000"/>
      <w:sz w:val="20"/>
      <w:szCs w:val="20"/>
    </w:rPr>
  </w:style>
  <w:style w:type="paragraph" w:customStyle="1" w:styleId="xl64">
    <w:name w:val="xl64"/>
    <w:basedOn w:val="a"/>
    <w:rsid w:val="006949C8"/>
    <w:pPr>
      <w:spacing w:before="100" w:beforeAutospacing="1" w:after="100" w:afterAutospacing="1"/>
      <w:jc w:val="center"/>
    </w:pPr>
    <w:rPr>
      <w:rFonts w:ascii="Arial" w:hAnsi="Arial" w:cs="Arial"/>
      <w:color w:val="000000"/>
      <w:sz w:val="20"/>
      <w:szCs w:val="20"/>
    </w:rPr>
  </w:style>
  <w:style w:type="paragraph" w:customStyle="1" w:styleId="xl65">
    <w:name w:val="xl65"/>
    <w:basedOn w:val="a"/>
    <w:rsid w:val="006949C8"/>
    <w:pPr>
      <w:pBdr>
        <w:top w:val="single" w:sz="8" w:space="0" w:color="auto"/>
        <w:bottom w:val="single" w:sz="8" w:space="0" w:color="auto"/>
      </w:pBdr>
      <w:shd w:val="clear" w:color="000000" w:fill="D0CECE"/>
      <w:spacing w:before="100" w:beforeAutospacing="1" w:after="100" w:afterAutospacing="1"/>
    </w:pPr>
    <w:rPr>
      <w:rFonts w:ascii="Arial" w:hAnsi="Arial" w:cs="Arial"/>
      <w:b/>
      <w:bCs/>
      <w:color w:val="000000"/>
      <w:sz w:val="20"/>
      <w:szCs w:val="20"/>
    </w:rPr>
  </w:style>
  <w:style w:type="paragraph" w:customStyle="1" w:styleId="xl66">
    <w:name w:val="xl66"/>
    <w:basedOn w:val="a"/>
    <w:rsid w:val="006949C8"/>
    <w:pPr>
      <w:spacing w:before="100" w:beforeAutospacing="1" w:after="100" w:afterAutospacing="1"/>
    </w:pPr>
    <w:rPr>
      <w:rFonts w:ascii="Arial" w:hAnsi="Arial" w:cs="Arial"/>
      <w:color w:val="000000"/>
      <w:sz w:val="20"/>
      <w:szCs w:val="20"/>
    </w:rPr>
  </w:style>
  <w:style w:type="paragraph" w:customStyle="1" w:styleId="xl67">
    <w:name w:val="xl67"/>
    <w:basedOn w:val="a"/>
    <w:rsid w:val="006949C8"/>
    <w:pPr>
      <w:spacing w:before="100" w:beforeAutospacing="1" w:after="100" w:afterAutospacing="1"/>
    </w:pPr>
    <w:rPr>
      <w:rFonts w:ascii="Arial" w:hAnsi="Arial" w:cs="Arial"/>
      <w:color w:val="000000"/>
      <w:sz w:val="20"/>
      <w:szCs w:val="20"/>
    </w:rPr>
  </w:style>
  <w:style w:type="paragraph" w:customStyle="1" w:styleId="xl68">
    <w:name w:val="xl68"/>
    <w:basedOn w:val="a"/>
    <w:rsid w:val="006949C8"/>
    <w:pPr>
      <w:spacing w:before="100" w:beforeAutospacing="1" w:after="100" w:afterAutospacing="1"/>
    </w:pPr>
    <w:rPr>
      <w:rFonts w:ascii="宋体" w:hAnsi="宋体" w:cs="宋体"/>
    </w:rPr>
  </w:style>
  <w:style w:type="paragraph" w:customStyle="1" w:styleId="xl69">
    <w:name w:val="xl69"/>
    <w:basedOn w:val="a"/>
    <w:rsid w:val="006949C8"/>
    <w:pPr>
      <w:spacing w:before="100" w:beforeAutospacing="1" w:after="100" w:afterAutospacing="1"/>
      <w:jc w:val="center"/>
    </w:pPr>
    <w:rPr>
      <w:rFonts w:ascii="Arial" w:hAnsi="Arial" w:cs="Arial"/>
      <w:color w:val="000000"/>
      <w:sz w:val="20"/>
      <w:szCs w:val="20"/>
    </w:rPr>
  </w:style>
  <w:style w:type="paragraph" w:styleId="TOC">
    <w:name w:val="TOC Heading"/>
    <w:basedOn w:val="1"/>
    <w:next w:val="a"/>
    <w:uiPriority w:val="39"/>
    <w:unhideWhenUsed/>
    <w:qFormat/>
    <w:rsid w:val="00E464F9"/>
    <w:pPr>
      <w:spacing w:before="480" w:after="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a"/>
    <w:next w:val="a"/>
    <w:autoRedefine/>
    <w:uiPriority w:val="39"/>
    <w:unhideWhenUsed/>
    <w:rsid w:val="00E464F9"/>
    <w:pPr>
      <w:spacing w:before="120"/>
      <w:ind w:left="240"/>
    </w:pPr>
    <w:rPr>
      <w:rFonts w:asciiTheme="minorHAnsi" w:eastAsiaTheme="minorHAnsi" w:hAnsi="宋体" w:cs="宋体"/>
      <w:i/>
      <w:iCs/>
      <w:sz w:val="20"/>
      <w:szCs w:val="20"/>
    </w:rPr>
  </w:style>
  <w:style w:type="paragraph" w:styleId="TOC1">
    <w:name w:val="toc 1"/>
    <w:basedOn w:val="a"/>
    <w:next w:val="a"/>
    <w:autoRedefine/>
    <w:uiPriority w:val="39"/>
    <w:unhideWhenUsed/>
    <w:rsid w:val="00AB7347"/>
    <w:pPr>
      <w:tabs>
        <w:tab w:val="right" w:leader="dot" w:pos="8290"/>
      </w:tabs>
      <w:spacing w:before="240" w:after="120" w:line="360" w:lineRule="auto"/>
    </w:pPr>
    <w:rPr>
      <w:rFonts w:ascii="Arial" w:eastAsiaTheme="minorHAnsi" w:hAnsi="Arial" w:cs="Arial"/>
      <w:b/>
      <w:bCs/>
      <w:sz w:val="28"/>
      <w:szCs w:val="28"/>
    </w:rPr>
  </w:style>
  <w:style w:type="paragraph" w:styleId="TOC3">
    <w:name w:val="toc 3"/>
    <w:basedOn w:val="a"/>
    <w:next w:val="a"/>
    <w:autoRedefine/>
    <w:uiPriority w:val="39"/>
    <w:unhideWhenUsed/>
    <w:rsid w:val="00E464F9"/>
    <w:pPr>
      <w:ind w:left="480"/>
    </w:pPr>
    <w:rPr>
      <w:rFonts w:asciiTheme="minorHAnsi" w:eastAsiaTheme="minorHAnsi" w:hAnsi="宋体" w:cs="宋体"/>
      <w:sz w:val="20"/>
      <w:szCs w:val="20"/>
    </w:rPr>
  </w:style>
  <w:style w:type="paragraph" w:styleId="TOC4">
    <w:name w:val="toc 4"/>
    <w:basedOn w:val="a"/>
    <w:next w:val="a"/>
    <w:autoRedefine/>
    <w:uiPriority w:val="39"/>
    <w:unhideWhenUsed/>
    <w:rsid w:val="00E464F9"/>
    <w:pPr>
      <w:ind w:left="720"/>
    </w:pPr>
    <w:rPr>
      <w:rFonts w:asciiTheme="minorHAnsi" w:eastAsiaTheme="minorHAnsi" w:hAnsi="宋体" w:cs="宋体"/>
      <w:sz w:val="20"/>
      <w:szCs w:val="20"/>
    </w:rPr>
  </w:style>
  <w:style w:type="paragraph" w:styleId="TOC5">
    <w:name w:val="toc 5"/>
    <w:basedOn w:val="a"/>
    <w:next w:val="a"/>
    <w:autoRedefine/>
    <w:uiPriority w:val="39"/>
    <w:unhideWhenUsed/>
    <w:rsid w:val="00E464F9"/>
    <w:pPr>
      <w:ind w:left="960"/>
    </w:pPr>
    <w:rPr>
      <w:rFonts w:asciiTheme="minorHAnsi" w:eastAsiaTheme="minorHAnsi" w:hAnsi="宋体" w:cs="宋体"/>
      <w:sz w:val="20"/>
      <w:szCs w:val="20"/>
    </w:rPr>
  </w:style>
  <w:style w:type="paragraph" w:styleId="TOC6">
    <w:name w:val="toc 6"/>
    <w:basedOn w:val="a"/>
    <w:next w:val="a"/>
    <w:autoRedefine/>
    <w:uiPriority w:val="39"/>
    <w:unhideWhenUsed/>
    <w:rsid w:val="00E464F9"/>
    <w:pPr>
      <w:ind w:left="1200"/>
    </w:pPr>
    <w:rPr>
      <w:rFonts w:asciiTheme="minorHAnsi" w:eastAsiaTheme="minorHAnsi" w:hAnsi="宋体" w:cs="宋体"/>
      <w:sz w:val="20"/>
      <w:szCs w:val="20"/>
    </w:rPr>
  </w:style>
  <w:style w:type="paragraph" w:styleId="TOC7">
    <w:name w:val="toc 7"/>
    <w:basedOn w:val="a"/>
    <w:next w:val="a"/>
    <w:autoRedefine/>
    <w:uiPriority w:val="39"/>
    <w:unhideWhenUsed/>
    <w:rsid w:val="00E464F9"/>
    <w:pPr>
      <w:ind w:left="1440"/>
    </w:pPr>
    <w:rPr>
      <w:rFonts w:asciiTheme="minorHAnsi" w:eastAsiaTheme="minorHAnsi" w:hAnsi="宋体" w:cs="宋体"/>
      <w:sz w:val="20"/>
      <w:szCs w:val="20"/>
    </w:rPr>
  </w:style>
  <w:style w:type="paragraph" w:styleId="TOC8">
    <w:name w:val="toc 8"/>
    <w:basedOn w:val="a"/>
    <w:next w:val="a"/>
    <w:autoRedefine/>
    <w:uiPriority w:val="39"/>
    <w:unhideWhenUsed/>
    <w:rsid w:val="00E464F9"/>
    <w:pPr>
      <w:ind w:left="1680"/>
    </w:pPr>
    <w:rPr>
      <w:rFonts w:asciiTheme="minorHAnsi" w:eastAsiaTheme="minorHAnsi" w:hAnsi="宋体" w:cs="宋体"/>
      <w:sz w:val="20"/>
      <w:szCs w:val="20"/>
    </w:rPr>
  </w:style>
  <w:style w:type="paragraph" w:styleId="TOC9">
    <w:name w:val="toc 9"/>
    <w:basedOn w:val="a"/>
    <w:next w:val="a"/>
    <w:autoRedefine/>
    <w:uiPriority w:val="39"/>
    <w:unhideWhenUsed/>
    <w:rsid w:val="00E464F9"/>
    <w:pPr>
      <w:ind w:left="1920"/>
    </w:pPr>
    <w:rPr>
      <w:rFonts w:asciiTheme="minorHAnsi" w:eastAsiaTheme="minorHAnsi" w:hAnsi="宋体" w:cs="宋体"/>
      <w:sz w:val="20"/>
      <w:szCs w:val="20"/>
    </w:rPr>
  </w:style>
  <w:style w:type="paragraph" w:styleId="a9">
    <w:name w:val="header"/>
    <w:basedOn w:val="a"/>
    <w:link w:val="aa"/>
    <w:uiPriority w:val="99"/>
    <w:unhideWhenUsed/>
    <w:rsid w:val="002F5AE0"/>
    <w:pPr>
      <w:tabs>
        <w:tab w:val="center" w:pos="4153"/>
        <w:tab w:val="right" w:pos="8306"/>
      </w:tabs>
    </w:pPr>
    <w:rPr>
      <w:rFonts w:ascii="宋体" w:hAnsi="宋体" w:cs="宋体"/>
    </w:rPr>
  </w:style>
  <w:style w:type="character" w:customStyle="1" w:styleId="aa">
    <w:name w:val="页眉 字符"/>
    <w:basedOn w:val="a0"/>
    <w:link w:val="a9"/>
    <w:uiPriority w:val="99"/>
    <w:rsid w:val="002F5AE0"/>
    <w:rPr>
      <w:rFonts w:ascii="宋体" w:eastAsia="宋体" w:hAnsi="宋体" w:cs="宋体"/>
      <w:kern w:val="0"/>
      <w:sz w:val="24"/>
    </w:rPr>
  </w:style>
  <w:style w:type="paragraph" w:styleId="ab">
    <w:name w:val="footer"/>
    <w:basedOn w:val="a"/>
    <w:link w:val="ac"/>
    <w:uiPriority w:val="99"/>
    <w:unhideWhenUsed/>
    <w:rsid w:val="002F5AE0"/>
    <w:pPr>
      <w:tabs>
        <w:tab w:val="center" w:pos="4153"/>
        <w:tab w:val="right" w:pos="8306"/>
      </w:tabs>
    </w:pPr>
    <w:rPr>
      <w:rFonts w:ascii="宋体" w:hAnsi="宋体" w:cs="宋体"/>
    </w:rPr>
  </w:style>
  <w:style w:type="character" w:customStyle="1" w:styleId="ac">
    <w:name w:val="页脚 字符"/>
    <w:basedOn w:val="a0"/>
    <w:link w:val="ab"/>
    <w:uiPriority w:val="99"/>
    <w:rsid w:val="002F5AE0"/>
    <w:rPr>
      <w:rFonts w:ascii="宋体" w:eastAsia="宋体" w:hAnsi="宋体" w:cs="宋体"/>
      <w:kern w:val="0"/>
      <w:sz w:val="24"/>
    </w:rPr>
  </w:style>
  <w:style w:type="character" w:styleId="ad">
    <w:name w:val="annotation reference"/>
    <w:basedOn w:val="a0"/>
    <w:uiPriority w:val="99"/>
    <w:semiHidden/>
    <w:unhideWhenUsed/>
    <w:rsid w:val="005F6FAA"/>
    <w:rPr>
      <w:sz w:val="16"/>
      <w:szCs w:val="16"/>
    </w:rPr>
  </w:style>
  <w:style w:type="paragraph" w:styleId="ae">
    <w:name w:val="annotation text"/>
    <w:basedOn w:val="a"/>
    <w:link w:val="af"/>
    <w:uiPriority w:val="99"/>
    <w:semiHidden/>
    <w:unhideWhenUsed/>
    <w:rsid w:val="005F6FAA"/>
    <w:rPr>
      <w:rFonts w:ascii="宋体" w:hAnsi="宋体" w:cs="宋体"/>
      <w:sz w:val="20"/>
      <w:szCs w:val="20"/>
    </w:rPr>
  </w:style>
  <w:style w:type="character" w:customStyle="1" w:styleId="af">
    <w:name w:val="批注文字 字符"/>
    <w:basedOn w:val="a0"/>
    <w:link w:val="ae"/>
    <w:uiPriority w:val="99"/>
    <w:semiHidden/>
    <w:rsid w:val="005F6FAA"/>
    <w:rPr>
      <w:rFonts w:ascii="宋体" w:eastAsia="宋体" w:hAnsi="宋体" w:cs="宋体"/>
      <w:kern w:val="0"/>
      <w:sz w:val="20"/>
      <w:szCs w:val="20"/>
    </w:rPr>
  </w:style>
  <w:style w:type="paragraph" w:styleId="af0">
    <w:name w:val="annotation subject"/>
    <w:basedOn w:val="ae"/>
    <w:next w:val="ae"/>
    <w:link w:val="af1"/>
    <w:uiPriority w:val="99"/>
    <w:semiHidden/>
    <w:unhideWhenUsed/>
    <w:rsid w:val="005F6FAA"/>
    <w:rPr>
      <w:b/>
      <w:bCs/>
    </w:rPr>
  </w:style>
  <w:style w:type="character" w:customStyle="1" w:styleId="af1">
    <w:name w:val="批注主题 字符"/>
    <w:basedOn w:val="af"/>
    <w:link w:val="af0"/>
    <w:uiPriority w:val="99"/>
    <w:semiHidden/>
    <w:rsid w:val="005F6FAA"/>
    <w:rPr>
      <w:rFonts w:ascii="宋体" w:eastAsia="宋体" w:hAnsi="宋体" w:cs="宋体"/>
      <w:b/>
      <w:bCs/>
      <w:kern w:val="0"/>
      <w:sz w:val="20"/>
      <w:szCs w:val="20"/>
    </w:rPr>
  </w:style>
  <w:style w:type="paragraph" w:styleId="af2">
    <w:name w:val="Balloon Text"/>
    <w:basedOn w:val="a"/>
    <w:link w:val="af3"/>
    <w:uiPriority w:val="99"/>
    <w:semiHidden/>
    <w:unhideWhenUsed/>
    <w:rsid w:val="005F6FAA"/>
    <w:rPr>
      <w:rFonts w:ascii="Microsoft YaHei UI" w:eastAsia="Microsoft YaHei UI" w:hAnsi="宋体" w:cs="宋体"/>
      <w:sz w:val="18"/>
      <w:szCs w:val="18"/>
    </w:rPr>
  </w:style>
  <w:style w:type="character" w:customStyle="1" w:styleId="af3">
    <w:name w:val="批注框文本 字符"/>
    <w:basedOn w:val="a0"/>
    <w:link w:val="af2"/>
    <w:uiPriority w:val="99"/>
    <w:semiHidden/>
    <w:rsid w:val="005F6FAA"/>
    <w:rPr>
      <w:rFonts w:ascii="Microsoft YaHei UI" w:eastAsia="Microsoft YaHei UI" w:hAnsi="宋体" w:cs="宋体"/>
      <w:kern w:val="0"/>
      <w:sz w:val="18"/>
      <w:szCs w:val="18"/>
    </w:rPr>
  </w:style>
  <w:style w:type="paragraph" w:customStyle="1" w:styleId="font6">
    <w:name w:val="font6"/>
    <w:basedOn w:val="a"/>
    <w:rsid w:val="00146CAF"/>
    <w:pPr>
      <w:spacing w:before="100" w:beforeAutospacing="1" w:after="100" w:afterAutospacing="1"/>
    </w:pPr>
    <w:rPr>
      <w:rFonts w:ascii="Cambria Math" w:hAnsi="Cambria Math" w:cs="宋体"/>
      <w:color w:val="000000"/>
      <w:sz w:val="20"/>
      <w:szCs w:val="20"/>
    </w:rPr>
  </w:style>
  <w:style w:type="paragraph" w:customStyle="1" w:styleId="xl70">
    <w:name w:val="xl70"/>
    <w:basedOn w:val="a"/>
    <w:rsid w:val="00146CAF"/>
    <w:pPr>
      <w:pBdr>
        <w:bottom w:val="single" w:sz="8" w:space="0" w:color="auto"/>
        <w:right w:val="single" w:sz="8" w:space="0" w:color="auto"/>
      </w:pBdr>
      <w:spacing w:before="100" w:beforeAutospacing="1" w:after="100" w:afterAutospacing="1"/>
    </w:pPr>
    <w:rPr>
      <w:rFonts w:ascii="Arial" w:hAnsi="Arial" w:cs="Arial"/>
      <w:color w:val="000000"/>
      <w:sz w:val="20"/>
      <w:szCs w:val="20"/>
    </w:rPr>
  </w:style>
  <w:style w:type="character" w:customStyle="1" w:styleId="20">
    <w:name w:val="标题 2 字符"/>
    <w:basedOn w:val="a0"/>
    <w:link w:val="2"/>
    <w:uiPriority w:val="9"/>
    <w:rsid w:val="006232B5"/>
    <w:rPr>
      <w:rFonts w:asciiTheme="majorHAnsi" w:eastAsiaTheme="majorEastAsia" w:hAnsiTheme="majorHAnsi" w:cstheme="majorBidi"/>
      <w:b/>
      <w:bCs/>
      <w:kern w:val="0"/>
      <w:sz w:val="32"/>
      <w:szCs w:val="32"/>
    </w:rPr>
  </w:style>
  <w:style w:type="table" w:styleId="11">
    <w:name w:val="Grid Table 1 Light"/>
    <w:basedOn w:val="a1"/>
    <w:uiPriority w:val="46"/>
    <w:rsid w:val="006232B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ont7">
    <w:name w:val="font7"/>
    <w:basedOn w:val="a"/>
    <w:rsid w:val="004A04A0"/>
    <w:pPr>
      <w:spacing w:before="100" w:beforeAutospacing="1" w:after="100" w:afterAutospacing="1"/>
    </w:pPr>
    <w:rPr>
      <w:rFonts w:ascii="Microsoft YaHei UI" w:eastAsia="Microsoft YaHei UI" w:hAnsi="Microsoft YaHei UI" w:cs="宋体"/>
      <w:color w:val="000000"/>
      <w:sz w:val="20"/>
      <w:szCs w:val="20"/>
    </w:rPr>
  </w:style>
  <w:style w:type="paragraph" w:customStyle="1" w:styleId="font8">
    <w:name w:val="font8"/>
    <w:basedOn w:val="a"/>
    <w:rsid w:val="004A04A0"/>
    <w:pPr>
      <w:spacing w:before="100" w:beforeAutospacing="1" w:after="100" w:afterAutospacing="1"/>
    </w:pPr>
    <w:rPr>
      <w:rFonts w:ascii="Microsoft YaHei UI" w:eastAsia="Microsoft YaHei UI" w:hAnsi="Microsoft YaHei UI" w:cs="宋体"/>
      <w:b/>
      <w:bCs/>
      <w:color w:val="000000"/>
      <w:sz w:val="20"/>
      <w:szCs w:val="20"/>
    </w:rPr>
  </w:style>
  <w:style w:type="paragraph" w:customStyle="1" w:styleId="xl71">
    <w:name w:val="xl71"/>
    <w:basedOn w:val="a"/>
    <w:rsid w:val="004A04A0"/>
    <w:pPr>
      <w:spacing w:before="100" w:beforeAutospacing="1" w:after="100" w:afterAutospacing="1"/>
    </w:pPr>
    <w:rPr>
      <w:rFonts w:ascii="Gill Sans MT" w:hAnsi="Gill Sans MT" w:cs="宋体"/>
    </w:rPr>
  </w:style>
  <w:style w:type="paragraph" w:customStyle="1" w:styleId="xl72">
    <w:name w:val="xl72"/>
    <w:basedOn w:val="a"/>
    <w:rsid w:val="004A04A0"/>
    <w:pPr>
      <w:spacing w:before="100" w:beforeAutospacing="1" w:after="100" w:afterAutospacing="1"/>
    </w:pPr>
    <w:rPr>
      <w:rFonts w:ascii="Gill Sans MT" w:hAnsi="Gill Sans MT" w:cs="宋体"/>
    </w:rPr>
  </w:style>
  <w:style w:type="paragraph" w:customStyle="1" w:styleId="xl73">
    <w:name w:val="xl73"/>
    <w:basedOn w:val="a"/>
    <w:rsid w:val="004A04A0"/>
    <w:pPr>
      <w:spacing w:before="100" w:beforeAutospacing="1" w:after="100" w:afterAutospacing="1"/>
    </w:pPr>
    <w:rPr>
      <w:rFonts w:ascii="Gill Sans MT" w:hAnsi="Gill Sans MT" w:cs="宋体"/>
      <w:color w:val="000000"/>
    </w:rPr>
  </w:style>
  <w:style w:type="paragraph" w:customStyle="1" w:styleId="xl74">
    <w:name w:val="xl74"/>
    <w:basedOn w:val="a"/>
    <w:rsid w:val="004A04A0"/>
    <w:pPr>
      <w:spacing w:before="100" w:beforeAutospacing="1" w:after="100" w:afterAutospacing="1"/>
    </w:pPr>
    <w:rPr>
      <w:rFonts w:ascii="Gill Sans MT" w:hAnsi="Gill Sans MT" w:cs="宋体"/>
      <w:color w:val="7030A0"/>
    </w:rPr>
  </w:style>
  <w:style w:type="paragraph" w:customStyle="1" w:styleId="xl75">
    <w:name w:val="xl75"/>
    <w:basedOn w:val="a"/>
    <w:rsid w:val="004A04A0"/>
    <w:pPr>
      <w:spacing w:before="100" w:beforeAutospacing="1" w:after="100" w:afterAutospacing="1"/>
    </w:pPr>
    <w:rPr>
      <w:rFonts w:ascii="Gill Sans MT" w:hAnsi="Gill Sans MT" w:cs="宋体"/>
    </w:rPr>
  </w:style>
  <w:style w:type="paragraph" w:customStyle="1" w:styleId="xl76">
    <w:name w:val="xl76"/>
    <w:basedOn w:val="a"/>
    <w:rsid w:val="004A04A0"/>
    <w:pPr>
      <w:pBdr>
        <w:top w:val="single" w:sz="4" w:space="0" w:color="auto"/>
        <w:left w:val="single" w:sz="4" w:space="0" w:color="auto"/>
        <w:bottom w:val="single" w:sz="4" w:space="0" w:color="auto"/>
      </w:pBdr>
      <w:shd w:val="clear" w:color="000000" w:fill="9AD3DA"/>
      <w:spacing w:before="100" w:beforeAutospacing="1" w:after="100" w:afterAutospacing="1"/>
      <w:jc w:val="center"/>
    </w:pPr>
    <w:rPr>
      <w:rFonts w:ascii="Gill Sans MT" w:hAnsi="Gill Sans MT" w:cs="宋体"/>
      <w:b/>
      <w:bCs/>
    </w:rPr>
  </w:style>
  <w:style w:type="paragraph" w:customStyle="1" w:styleId="xl77">
    <w:name w:val="xl77"/>
    <w:basedOn w:val="a"/>
    <w:rsid w:val="004A04A0"/>
    <w:pPr>
      <w:shd w:val="clear" w:color="000000" w:fill="FF0000"/>
      <w:spacing w:before="100" w:beforeAutospacing="1" w:after="100" w:afterAutospacing="1"/>
    </w:pPr>
    <w:rPr>
      <w:rFonts w:ascii="Gill Sans MT" w:hAnsi="Gill Sans MT" w:cs="宋体"/>
    </w:rPr>
  </w:style>
  <w:style w:type="paragraph" w:customStyle="1" w:styleId="xl78">
    <w:name w:val="xl78"/>
    <w:basedOn w:val="a"/>
    <w:rsid w:val="004A04A0"/>
    <w:pPr>
      <w:spacing w:before="100" w:beforeAutospacing="1" w:after="100" w:afterAutospacing="1"/>
    </w:pPr>
    <w:rPr>
      <w:rFonts w:ascii="Gill Sans MT" w:hAnsi="Gill Sans MT" w:cs="宋体"/>
      <w:color w:val="000000"/>
    </w:rPr>
  </w:style>
  <w:style w:type="paragraph" w:customStyle="1" w:styleId="xl79">
    <w:name w:val="xl79"/>
    <w:basedOn w:val="a"/>
    <w:rsid w:val="004A04A0"/>
    <w:pPr>
      <w:spacing w:before="100" w:beforeAutospacing="1" w:after="100" w:afterAutospacing="1"/>
    </w:pPr>
    <w:rPr>
      <w:rFonts w:ascii="Gill Sans MT" w:hAnsi="Gill Sans MT" w:cs="宋体"/>
      <w:color w:val="FF0000"/>
    </w:rPr>
  </w:style>
  <w:style w:type="paragraph" w:customStyle="1" w:styleId="xl80">
    <w:name w:val="xl80"/>
    <w:basedOn w:val="a"/>
    <w:rsid w:val="004A04A0"/>
    <w:pPr>
      <w:spacing w:before="100" w:beforeAutospacing="1" w:after="100" w:afterAutospacing="1"/>
    </w:pPr>
    <w:rPr>
      <w:rFonts w:ascii="Gill Sans MT" w:hAnsi="Gill Sans MT" w:cs="宋体"/>
    </w:rPr>
  </w:style>
  <w:style w:type="paragraph" w:customStyle="1" w:styleId="xl81">
    <w:name w:val="xl81"/>
    <w:basedOn w:val="a"/>
    <w:rsid w:val="004A04A0"/>
    <w:pPr>
      <w:shd w:val="clear" w:color="000000" w:fill="FF0000"/>
      <w:spacing w:before="100" w:beforeAutospacing="1" w:after="100" w:afterAutospacing="1"/>
    </w:pPr>
    <w:rPr>
      <w:rFonts w:ascii="Gill Sans MT" w:hAnsi="Gill Sans MT" w:cs="宋体"/>
    </w:rPr>
  </w:style>
  <w:style w:type="paragraph" w:customStyle="1" w:styleId="xl82">
    <w:name w:val="xl82"/>
    <w:basedOn w:val="a"/>
    <w:rsid w:val="004A04A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Gill Sans MT" w:hAnsi="Gill Sans MT" w:cs="宋体"/>
      <w:b/>
      <w:bCs/>
    </w:rPr>
  </w:style>
  <w:style w:type="paragraph" w:customStyle="1" w:styleId="xl83">
    <w:name w:val="xl83"/>
    <w:basedOn w:val="a"/>
    <w:rsid w:val="004A04A0"/>
    <w:pPr>
      <w:pBdr>
        <w:top w:val="single" w:sz="4" w:space="0" w:color="auto"/>
        <w:left w:val="single" w:sz="4" w:space="0" w:color="auto"/>
        <w:bottom w:val="single" w:sz="4" w:space="0" w:color="auto"/>
      </w:pBdr>
      <w:shd w:val="clear" w:color="000000" w:fill="FFC000"/>
      <w:spacing w:before="100" w:beforeAutospacing="1" w:after="100" w:afterAutospacing="1"/>
      <w:jc w:val="center"/>
    </w:pPr>
    <w:rPr>
      <w:rFonts w:ascii="Gill Sans MT" w:hAnsi="Gill Sans MT" w:cs="宋体"/>
      <w:b/>
      <w:bCs/>
    </w:rPr>
  </w:style>
  <w:style w:type="paragraph" w:customStyle="1" w:styleId="xl84">
    <w:name w:val="xl84"/>
    <w:basedOn w:val="a"/>
    <w:rsid w:val="004A04A0"/>
    <w:pPr>
      <w:pBdr>
        <w:top w:val="single" w:sz="4" w:space="0" w:color="auto"/>
        <w:left w:val="single" w:sz="4" w:space="0" w:color="auto"/>
        <w:bottom w:val="single" w:sz="4" w:space="0" w:color="auto"/>
      </w:pBdr>
      <w:shd w:val="clear" w:color="000000" w:fill="ABD8CA"/>
      <w:spacing w:before="100" w:beforeAutospacing="1" w:after="100" w:afterAutospacing="1"/>
      <w:jc w:val="center"/>
    </w:pPr>
    <w:rPr>
      <w:rFonts w:ascii="Gill Sans MT" w:hAnsi="Gill Sans MT" w:cs="宋体"/>
      <w:b/>
      <w:bCs/>
    </w:rPr>
  </w:style>
  <w:style w:type="paragraph" w:customStyle="1" w:styleId="xl85">
    <w:name w:val="xl85"/>
    <w:basedOn w:val="a"/>
    <w:rsid w:val="004A04A0"/>
    <w:pPr>
      <w:pBdr>
        <w:top w:val="single" w:sz="4" w:space="0" w:color="auto"/>
        <w:bottom w:val="single" w:sz="4" w:space="0" w:color="auto"/>
        <w:right w:val="single" w:sz="4" w:space="0" w:color="auto"/>
      </w:pBdr>
      <w:shd w:val="clear" w:color="000000" w:fill="ABD8CA"/>
      <w:spacing w:before="100" w:beforeAutospacing="1" w:after="100" w:afterAutospacing="1"/>
      <w:jc w:val="center"/>
    </w:pPr>
    <w:rPr>
      <w:rFonts w:ascii="Gill Sans MT" w:hAnsi="Gill Sans MT" w:cs="宋体"/>
      <w:b/>
      <w:bCs/>
    </w:rPr>
  </w:style>
  <w:style w:type="paragraph" w:customStyle="1" w:styleId="xl86">
    <w:name w:val="xl86"/>
    <w:basedOn w:val="a"/>
    <w:rsid w:val="004A04A0"/>
    <w:pPr>
      <w:spacing w:before="100" w:beforeAutospacing="1" w:after="100" w:afterAutospacing="1"/>
      <w:jc w:val="center"/>
    </w:pPr>
    <w:rPr>
      <w:rFonts w:ascii="Gill Sans MT" w:hAnsi="Gill Sans MT" w:cs="宋体"/>
    </w:rPr>
  </w:style>
  <w:style w:type="character" w:customStyle="1" w:styleId="30">
    <w:name w:val="标题 3 字符"/>
    <w:basedOn w:val="a0"/>
    <w:link w:val="3"/>
    <w:uiPriority w:val="9"/>
    <w:rsid w:val="00783607"/>
    <w:rPr>
      <w:rFonts w:ascii="宋体" w:eastAsia="宋体" w:hAnsi="宋体" w:cs="宋体"/>
      <w:b/>
      <w:bCs/>
      <w:kern w:val="0"/>
      <w:sz w:val="32"/>
      <w:szCs w:val="32"/>
    </w:rPr>
  </w:style>
  <w:style w:type="character" w:customStyle="1" w:styleId="apple-converted-space">
    <w:name w:val="apple-converted-space"/>
    <w:basedOn w:val="a0"/>
    <w:rsid w:val="007E62E8"/>
  </w:style>
  <w:style w:type="character" w:styleId="af4">
    <w:name w:val="Unresolved Mention"/>
    <w:basedOn w:val="a0"/>
    <w:uiPriority w:val="99"/>
    <w:semiHidden/>
    <w:unhideWhenUsed/>
    <w:rsid w:val="00637A52"/>
    <w:rPr>
      <w:color w:val="605E5C"/>
      <w:shd w:val="clear" w:color="auto" w:fill="E1DFDD"/>
    </w:rPr>
  </w:style>
  <w:style w:type="paragraph" w:styleId="af5">
    <w:name w:val="Plain Text"/>
    <w:basedOn w:val="a"/>
    <w:link w:val="af6"/>
    <w:uiPriority w:val="99"/>
    <w:unhideWhenUsed/>
    <w:rsid w:val="00514F1F"/>
    <w:pPr>
      <w:widowControl w:val="0"/>
      <w:jc w:val="both"/>
    </w:pPr>
    <w:rPr>
      <w:rFonts w:asciiTheme="minorEastAsia" w:eastAsiaTheme="minorEastAsia" w:hAnsi="Courier New" w:cs="Courier New"/>
      <w:kern w:val="2"/>
      <w:sz w:val="21"/>
    </w:rPr>
  </w:style>
  <w:style w:type="character" w:customStyle="1" w:styleId="af6">
    <w:name w:val="纯文本 字符"/>
    <w:basedOn w:val="a0"/>
    <w:link w:val="af5"/>
    <w:uiPriority w:val="99"/>
    <w:rsid w:val="00514F1F"/>
    <w:rPr>
      <w:rFonts w:asciiTheme="minorEastAsia" w:hAnsi="Courier New" w:cs="Courier New"/>
    </w:rPr>
  </w:style>
  <w:style w:type="character" w:customStyle="1" w:styleId="40">
    <w:name w:val="标题 4 字符"/>
    <w:basedOn w:val="a0"/>
    <w:link w:val="4"/>
    <w:uiPriority w:val="9"/>
    <w:semiHidden/>
    <w:rsid w:val="00293688"/>
    <w:rPr>
      <w:rFonts w:ascii="Times New Roman" w:eastAsia="Times New Roman" w:hAnsi="Times New Roman" w:cstheme="majorBidi"/>
      <w:color w:val="2F5496" w:themeColor="accent1" w:themeShade="BF"/>
      <w:kern w:val="0"/>
      <w:sz w:val="28"/>
      <w:szCs w:val="28"/>
    </w:rPr>
  </w:style>
  <w:style w:type="character" w:customStyle="1" w:styleId="50">
    <w:name w:val="标题 5 字符"/>
    <w:basedOn w:val="a0"/>
    <w:link w:val="5"/>
    <w:uiPriority w:val="9"/>
    <w:semiHidden/>
    <w:rsid w:val="00293688"/>
    <w:rPr>
      <w:rFonts w:ascii="Times New Roman" w:eastAsia="Times New Roman" w:hAnsi="Times New Roman" w:cstheme="majorBidi"/>
      <w:color w:val="2F5496" w:themeColor="accent1" w:themeShade="BF"/>
      <w:kern w:val="0"/>
      <w:sz w:val="24"/>
    </w:rPr>
  </w:style>
  <w:style w:type="character" w:customStyle="1" w:styleId="60">
    <w:name w:val="标题 6 字符"/>
    <w:basedOn w:val="a0"/>
    <w:link w:val="6"/>
    <w:uiPriority w:val="9"/>
    <w:semiHidden/>
    <w:rsid w:val="00293688"/>
    <w:rPr>
      <w:rFonts w:ascii="Times New Roman" w:eastAsia="Times New Roman" w:hAnsi="Times New Roman" w:cstheme="majorBidi"/>
      <w:b/>
      <w:bCs/>
      <w:color w:val="2F5496" w:themeColor="accent1" w:themeShade="BF"/>
      <w:kern w:val="0"/>
      <w:sz w:val="24"/>
    </w:rPr>
  </w:style>
  <w:style w:type="character" w:customStyle="1" w:styleId="70">
    <w:name w:val="标题 7 字符"/>
    <w:basedOn w:val="a0"/>
    <w:link w:val="7"/>
    <w:uiPriority w:val="9"/>
    <w:semiHidden/>
    <w:rsid w:val="00293688"/>
    <w:rPr>
      <w:rFonts w:ascii="Times New Roman" w:eastAsia="Times New Roman" w:hAnsi="Times New Roman" w:cstheme="majorBidi"/>
      <w:b/>
      <w:bCs/>
      <w:color w:val="595959" w:themeColor="text1" w:themeTint="A6"/>
      <w:kern w:val="0"/>
      <w:sz w:val="24"/>
    </w:rPr>
  </w:style>
  <w:style w:type="character" w:customStyle="1" w:styleId="80">
    <w:name w:val="标题 8 字符"/>
    <w:basedOn w:val="a0"/>
    <w:link w:val="8"/>
    <w:uiPriority w:val="9"/>
    <w:semiHidden/>
    <w:rsid w:val="00293688"/>
    <w:rPr>
      <w:rFonts w:ascii="Times New Roman" w:eastAsia="Times New Roman" w:hAnsi="Times New Roman" w:cstheme="majorBidi"/>
      <w:color w:val="595959" w:themeColor="text1" w:themeTint="A6"/>
      <w:kern w:val="0"/>
      <w:sz w:val="24"/>
    </w:rPr>
  </w:style>
  <w:style w:type="character" w:customStyle="1" w:styleId="90">
    <w:name w:val="标题 9 字符"/>
    <w:basedOn w:val="a0"/>
    <w:link w:val="9"/>
    <w:uiPriority w:val="9"/>
    <w:semiHidden/>
    <w:rsid w:val="00293688"/>
    <w:rPr>
      <w:rFonts w:ascii="Times New Roman" w:eastAsiaTheme="majorEastAsia" w:hAnsi="Times New Roman" w:cstheme="majorBidi"/>
      <w:color w:val="595959" w:themeColor="text1" w:themeTint="A6"/>
      <w:kern w:val="0"/>
      <w:sz w:val="24"/>
    </w:rPr>
  </w:style>
  <w:style w:type="paragraph" w:styleId="af7">
    <w:name w:val="Title"/>
    <w:basedOn w:val="a"/>
    <w:next w:val="a"/>
    <w:link w:val="af8"/>
    <w:uiPriority w:val="10"/>
    <w:qFormat/>
    <w:rsid w:val="00293688"/>
    <w:pPr>
      <w:spacing w:after="80"/>
      <w:contextualSpacing/>
      <w:jc w:val="center"/>
    </w:pPr>
    <w:rPr>
      <w:rFonts w:asciiTheme="majorHAnsi" w:eastAsiaTheme="majorEastAsia" w:hAnsiTheme="majorHAnsi" w:cstheme="majorBidi"/>
      <w:spacing w:val="-10"/>
      <w:kern w:val="28"/>
      <w:sz w:val="56"/>
      <w:szCs w:val="56"/>
    </w:rPr>
  </w:style>
  <w:style w:type="character" w:customStyle="1" w:styleId="af8">
    <w:name w:val="标题 字符"/>
    <w:basedOn w:val="a0"/>
    <w:link w:val="af7"/>
    <w:uiPriority w:val="10"/>
    <w:rsid w:val="00293688"/>
    <w:rPr>
      <w:rFonts w:asciiTheme="majorHAnsi" w:eastAsiaTheme="majorEastAsia" w:hAnsiTheme="majorHAnsi" w:cstheme="majorBidi"/>
      <w:spacing w:val="-10"/>
      <w:kern w:val="28"/>
      <w:sz w:val="56"/>
      <w:szCs w:val="56"/>
    </w:rPr>
  </w:style>
  <w:style w:type="paragraph" w:styleId="af9">
    <w:name w:val="Subtitle"/>
    <w:basedOn w:val="a"/>
    <w:next w:val="a"/>
    <w:link w:val="afa"/>
    <w:uiPriority w:val="11"/>
    <w:qFormat/>
    <w:rsid w:val="0029368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fa">
    <w:name w:val="副标题 字符"/>
    <w:basedOn w:val="a0"/>
    <w:link w:val="af9"/>
    <w:uiPriority w:val="11"/>
    <w:rsid w:val="00293688"/>
    <w:rPr>
      <w:rFonts w:asciiTheme="majorHAnsi" w:eastAsiaTheme="majorEastAsia" w:hAnsiTheme="majorHAnsi" w:cstheme="majorBidi"/>
      <w:color w:val="595959" w:themeColor="text1" w:themeTint="A6"/>
      <w:spacing w:val="15"/>
      <w:kern w:val="0"/>
      <w:sz w:val="28"/>
      <w:szCs w:val="28"/>
    </w:rPr>
  </w:style>
  <w:style w:type="paragraph" w:styleId="afb">
    <w:name w:val="Quote"/>
    <w:basedOn w:val="a"/>
    <w:next w:val="a"/>
    <w:link w:val="afc"/>
    <w:uiPriority w:val="29"/>
    <w:qFormat/>
    <w:rsid w:val="00293688"/>
    <w:pPr>
      <w:spacing w:before="160"/>
      <w:jc w:val="center"/>
    </w:pPr>
    <w:rPr>
      <w:i/>
      <w:iCs/>
      <w:color w:val="404040" w:themeColor="text1" w:themeTint="BF"/>
    </w:rPr>
  </w:style>
  <w:style w:type="character" w:customStyle="1" w:styleId="afc">
    <w:name w:val="引用 字符"/>
    <w:basedOn w:val="a0"/>
    <w:link w:val="afb"/>
    <w:uiPriority w:val="29"/>
    <w:rsid w:val="00293688"/>
    <w:rPr>
      <w:rFonts w:ascii="Times New Roman" w:eastAsia="Times New Roman" w:hAnsi="Times New Roman" w:cs="Times New Roman"/>
      <w:i/>
      <w:iCs/>
      <w:color w:val="404040" w:themeColor="text1" w:themeTint="BF"/>
      <w:kern w:val="0"/>
      <w:sz w:val="24"/>
    </w:rPr>
  </w:style>
  <w:style w:type="character" w:styleId="afd">
    <w:name w:val="Intense Emphasis"/>
    <w:basedOn w:val="a0"/>
    <w:uiPriority w:val="21"/>
    <w:qFormat/>
    <w:rsid w:val="00293688"/>
    <w:rPr>
      <w:i/>
      <w:iCs/>
      <w:color w:val="2F5496" w:themeColor="accent1" w:themeShade="BF"/>
    </w:rPr>
  </w:style>
  <w:style w:type="paragraph" w:styleId="afe">
    <w:name w:val="Intense Quote"/>
    <w:basedOn w:val="a"/>
    <w:next w:val="a"/>
    <w:link w:val="aff"/>
    <w:uiPriority w:val="30"/>
    <w:qFormat/>
    <w:rsid w:val="002936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
    <w:name w:val="明显引用 字符"/>
    <w:basedOn w:val="a0"/>
    <w:link w:val="afe"/>
    <w:uiPriority w:val="30"/>
    <w:rsid w:val="00293688"/>
    <w:rPr>
      <w:rFonts w:ascii="Times New Roman" w:eastAsia="Times New Roman" w:hAnsi="Times New Roman" w:cs="Times New Roman"/>
      <w:i/>
      <w:iCs/>
      <w:color w:val="2F5496" w:themeColor="accent1" w:themeShade="BF"/>
      <w:kern w:val="0"/>
      <w:sz w:val="24"/>
    </w:rPr>
  </w:style>
  <w:style w:type="character" w:styleId="aff0">
    <w:name w:val="Intense Reference"/>
    <w:basedOn w:val="a0"/>
    <w:uiPriority w:val="32"/>
    <w:qFormat/>
    <w:rsid w:val="00293688"/>
    <w:rPr>
      <w:b/>
      <w:bCs/>
      <w:smallCaps/>
      <w:color w:val="2F5496" w:themeColor="accent1" w:themeShade="BF"/>
      <w:spacing w:val="5"/>
    </w:rPr>
  </w:style>
  <w:style w:type="character" w:styleId="aff1">
    <w:name w:val="Strong"/>
    <w:basedOn w:val="a0"/>
    <w:uiPriority w:val="22"/>
    <w:qFormat/>
    <w:rsid w:val="00A34FDF"/>
    <w:rPr>
      <w:b/>
      <w:bCs/>
    </w:rPr>
  </w:style>
  <w:style w:type="paragraph" w:styleId="aff2">
    <w:name w:val="footnote text"/>
    <w:basedOn w:val="a"/>
    <w:link w:val="aff3"/>
    <w:uiPriority w:val="99"/>
    <w:semiHidden/>
    <w:unhideWhenUsed/>
    <w:rsid w:val="00EF0B00"/>
    <w:pPr>
      <w:snapToGrid w:val="0"/>
    </w:pPr>
    <w:rPr>
      <w:sz w:val="18"/>
      <w:szCs w:val="18"/>
    </w:rPr>
  </w:style>
  <w:style w:type="character" w:customStyle="1" w:styleId="aff3">
    <w:name w:val="脚注文本 字符"/>
    <w:basedOn w:val="a0"/>
    <w:link w:val="aff2"/>
    <w:uiPriority w:val="99"/>
    <w:semiHidden/>
    <w:rsid w:val="00EF0B00"/>
    <w:rPr>
      <w:rFonts w:ascii="Times New Roman" w:eastAsia="Times New Roman" w:hAnsi="Times New Roman" w:cs="Times New Roman"/>
      <w:kern w:val="0"/>
      <w:sz w:val="18"/>
      <w:szCs w:val="18"/>
    </w:rPr>
  </w:style>
  <w:style w:type="character" w:styleId="aff4">
    <w:name w:val="footnote reference"/>
    <w:basedOn w:val="a0"/>
    <w:uiPriority w:val="99"/>
    <w:semiHidden/>
    <w:unhideWhenUsed/>
    <w:rsid w:val="00EF0B00"/>
    <w:rPr>
      <w:vertAlign w:val="superscript"/>
    </w:rPr>
  </w:style>
  <w:style w:type="table" w:styleId="12">
    <w:name w:val="Plain Table 1"/>
    <w:basedOn w:val="a1"/>
    <w:uiPriority w:val="41"/>
    <w:rsid w:val="003A4A5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2501">
      <w:bodyDiv w:val="1"/>
      <w:marLeft w:val="0"/>
      <w:marRight w:val="0"/>
      <w:marTop w:val="0"/>
      <w:marBottom w:val="0"/>
      <w:divBdr>
        <w:top w:val="none" w:sz="0" w:space="0" w:color="auto"/>
        <w:left w:val="none" w:sz="0" w:space="0" w:color="auto"/>
        <w:bottom w:val="none" w:sz="0" w:space="0" w:color="auto"/>
        <w:right w:val="none" w:sz="0" w:space="0" w:color="auto"/>
      </w:divBdr>
    </w:div>
    <w:div w:id="35666084">
      <w:bodyDiv w:val="1"/>
      <w:marLeft w:val="0"/>
      <w:marRight w:val="0"/>
      <w:marTop w:val="0"/>
      <w:marBottom w:val="0"/>
      <w:divBdr>
        <w:top w:val="none" w:sz="0" w:space="0" w:color="auto"/>
        <w:left w:val="none" w:sz="0" w:space="0" w:color="auto"/>
        <w:bottom w:val="none" w:sz="0" w:space="0" w:color="auto"/>
        <w:right w:val="none" w:sz="0" w:space="0" w:color="auto"/>
      </w:divBdr>
    </w:div>
    <w:div w:id="39329119">
      <w:bodyDiv w:val="1"/>
      <w:marLeft w:val="0"/>
      <w:marRight w:val="0"/>
      <w:marTop w:val="0"/>
      <w:marBottom w:val="0"/>
      <w:divBdr>
        <w:top w:val="none" w:sz="0" w:space="0" w:color="auto"/>
        <w:left w:val="none" w:sz="0" w:space="0" w:color="auto"/>
        <w:bottom w:val="none" w:sz="0" w:space="0" w:color="auto"/>
        <w:right w:val="none" w:sz="0" w:space="0" w:color="auto"/>
      </w:divBdr>
    </w:div>
    <w:div w:id="42757846">
      <w:bodyDiv w:val="1"/>
      <w:marLeft w:val="0"/>
      <w:marRight w:val="0"/>
      <w:marTop w:val="0"/>
      <w:marBottom w:val="0"/>
      <w:divBdr>
        <w:top w:val="none" w:sz="0" w:space="0" w:color="auto"/>
        <w:left w:val="none" w:sz="0" w:space="0" w:color="auto"/>
        <w:bottom w:val="none" w:sz="0" w:space="0" w:color="auto"/>
        <w:right w:val="none" w:sz="0" w:space="0" w:color="auto"/>
      </w:divBdr>
    </w:div>
    <w:div w:id="64498321">
      <w:bodyDiv w:val="1"/>
      <w:marLeft w:val="0"/>
      <w:marRight w:val="0"/>
      <w:marTop w:val="0"/>
      <w:marBottom w:val="0"/>
      <w:divBdr>
        <w:top w:val="none" w:sz="0" w:space="0" w:color="auto"/>
        <w:left w:val="none" w:sz="0" w:space="0" w:color="auto"/>
        <w:bottom w:val="none" w:sz="0" w:space="0" w:color="auto"/>
        <w:right w:val="none" w:sz="0" w:space="0" w:color="auto"/>
      </w:divBdr>
    </w:div>
    <w:div w:id="77793374">
      <w:bodyDiv w:val="1"/>
      <w:marLeft w:val="0"/>
      <w:marRight w:val="0"/>
      <w:marTop w:val="0"/>
      <w:marBottom w:val="0"/>
      <w:divBdr>
        <w:top w:val="none" w:sz="0" w:space="0" w:color="auto"/>
        <w:left w:val="none" w:sz="0" w:space="0" w:color="auto"/>
        <w:bottom w:val="none" w:sz="0" w:space="0" w:color="auto"/>
        <w:right w:val="none" w:sz="0" w:space="0" w:color="auto"/>
      </w:divBdr>
    </w:div>
    <w:div w:id="85735198">
      <w:bodyDiv w:val="1"/>
      <w:marLeft w:val="0"/>
      <w:marRight w:val="0"/>
      <w:marTop w:val="0"/>
      <w:marBottom w:val="0"/>
      <w:divBdr>
        <w:top w:val="none" w:sz="0" w:space="0" w:color="auto"/>
        <w:left w:val="none" w:sz="0" w:space="0" w:color="auto"/>
        <w:bottom w:val="none" w:sz="0" w:space="0" w:color="auto"/>
        <w:right w:val="none" w:sz="0" w:space="0" w:color="auto"/>
      </w:divBdr>
      <w:divsChild>
        <w:div w:id="1285769014">
          <w:marLeft w:val="0"/>
          <w:marRight w:val="0"/>
          <w:marTop w:val="0"/>
          <w:marBottom w:val="0"/>
          <w:divBdr>
            <w:top w:val="none" w:sz="0" w:space="0" w:color="auto"/>
            <w:left w:val="none" w:sz="0" w:space="0" w:color="auto"/>
            <w:bottom w:val="none" w:sz="0" w:space="0" w:color="auto"/>
            <w:right w:val="none" w:sz="0" w:space="0" w:color="auto"/>
          </w:divBdr>
          <w:divsChild>
            <w:div w:id="756639446">
              <w:marLeft w:val="0"/>
              <w:marRight w:val="0"/>
              <w:marTop w:val="0"/>
              <w:marBottom w:val="0"/>
              <w:divBdr>
                <w:top w:val="none" w:sz="0" w:space="0" w:color="auto"/>
                <w:left w:val="none" w:sz="0" w:space="0" w:color="auto"/>
                <w:bottom w:val="none" w:sz="0" w:space="0" w:color="auto"/>
                <w:right w:val="none" w:sz="0" w:space="0" w:color="auto"/>
              </w:divBdr>
              <w:divsChild>
                <w:div w:id="1465661782">
                  <w:marLeft w:val="0"/>
                  <w:marRight w:val="0"/>
                  <w:marTop w:val="0"/>
                  <w:marBottom w:val="0"/>
                  <w:divBdr>
                    <w:top w:val="none" w:sz="0" w:space="0" w:color="auto"/>
                    <w:left w:val="none" w:sz="0" w:space="0" w:color="auto"/>
                    <w:bottom w:val="none" w:sz="0" w:space="0" w:color="auto"/>
                    <w:right w:val="none" w:sz="0" w:space="0" w:color="auto"/>
                  </w:divBdr>
                  <w:divsChild>
                    <w:div w:id="112573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28256">
      <w:bodyDiv w:val="1"/>
      <w:marLeft w:val="0"/>
      <w:marRight w:val="0"/>
      <w:marTop w:val="0"/>
      <w:marBottom w:val="0"/>
      <w:divBdr>
        <w:top w:val="none" w:sz="0" w:space="0" w:color="auto"/>
        <w:left w:val="none" w:sz="0" w:space="0" w:color="auto"/>
        <w:bottom w:val="none" w:sz="0" w:space="0" w:color="auto"/>
        <w:right w:val="none" w:sz="0" w:space="0" w:color="auto"/>
      </w:divBdr>
    </w:div>
    <w:div w:id="112287511">
      <w:bodyDiv w:val="1"/>
      <w:marLeft w:val="0"/>
      <w:marRight w:val="0"/>
      <w:marTop w:val="0"/>
      <w:marBottom w:val="0"/>
      <w:divBdr>
        <w:top w:val="none" w:sz="0" w:space="0" w:color="auto"/>
        <w:left w:val="none" w:sz="0" w:space="0" w:color="auto"/>
        <w:bottom w:val="none" w:sz="0" w:space="0" w:color="auto"/>
        <w:right w:val="none" w:sz="0" w:space="0" w:color="auto"/>
      </w:divBdr>
    </w:div>
    <w:div w:id="113329995">
      <w:bodyDiv w:val="1"/>
      <w:marLeft w:val="0"/>
      <w:marRight w:val="0"/>
      <w:marTop w:val="0"/>
      <w:marBottom w:val="0"/>
      <w:divBdr>
        <w:top w:val="none" w:sz="0" w:space="0" w:color="auto"/>
        <w:left w:val="none" w:sz="0" w:space="0" w:color="auto"/>
        <w:bottom w:val="none" w:sz="0" w:space="0" w:color="auto"/>
        <w:right w:val="none" w:sz="0" w:space="0" w:color="auto"/>
      </w:divBdr>
    </w:div>
    <w:div w:id="125660004">
      <w:bodyDiv w:val="1"/>
      <w:marLeft w:val="0"/>
      <w:marRight w:val="0"/>
      <w:marTop w:val="0"/>
      <w:marBottom w:val="0"/>
      <w:divBdr>
        <w:top w:val="none" w:sz="0" w:space="0" w:color="auto"/>
        <w:left w:val="none" w:sz="0" w:space="0" w:color="auto"/>
        <w:bottom w:val="none" w:sz="0" w:space="0" w:color="auto"/>
        <w:right w:val="none" w:sz="0" w:space="0" w:color="auto"/>
      </w:divBdr>
    </w:div>
    <w:div w:id="127361274">
      <w:bodyDiv w:val="1"/>
      <w:marLeft w:val="0"/>
      <w:marRight w:val="0"/>
      <w:marTop w:val="0"/>
      <w:marBottom w:val="0"/>
      <w:divBdr>
        <w:top w:val="none" w:sz="0" w:space="0" w:color="auto"/>
        <w:left w:val="none" w:sz="0" w:space="0" w:color="auto"/>
        <w:bottom w:val="none" w:sz="0" w:space="0" w:color="auto"/>
        <w:right w:val="none" w:sz="0" w:space="0" w:color="auto"/>
      </w:divBdr>
    </w:div>
    <w:div w:id="128475602">
      <w:bodyDiv w:val="1"/>
      <w:marLeft w:val="0"/>
      <w:marRight w:val="0"/>
      <w:marTop w:val="0"/>
      <w:marBottom w:val="0"/>
      <w:divBdr>
        <w:top w:val="none" w:sz="0" w:space="0" w:color="auto"/>
        <w:left w:val="none" w:sz="0" w:space="0" w:color="auto"/>
        <w:bottom w:val="none" w:sz="0" w:space="0" w:color="auto"/>
        <w:right w:val="none" w:sz="0" w:space="0" w:color="auto"/>
      </w:divBdr>
    </w:div>
    <w:div w:id="139274040">
      <w:bodyDiv w:val="1"/>
      <w:marLeft w:val="0"/>
      <w:marRight w:val="0"/>
      <w:marTop w:val="0"/>
      <w:marBottom w:val="0"/>
      <w:divBdr>
        <w:top w:val="none" w:sz="0" w:space="0" w:color="auto"/>
        <w:left w:val="none" w:sz="0" w:space="0" w:color="auto"/>
        <w:bottom w:val="none" w:sz="0" w:space="0" w:color="auto"/>
        <w:right w:val="none" w:sz="0" w:space="0" w:color="auto"/>
      </w:divBdr>
    </w:div>
    <w:div w:id="141388015">
      <w:bodyDiv w:val="1"/>
      <w:marLeft w:val="0"/>
      <w:marRight w:val="0"/>
      <w:marTop w:val="0"/>
      <w:marBottom w:val="0"/>
      <w:divBdr>
        <w:top w:val="none" w:sz="0" w:space="0" w:color="auto"/>
        <w:left w:val="none" w:sz="0" w:space="0" w:color="auto"/>
        <w:bottom w:val="none" w:sz="0" w:space="0" w:color="auto"/>
        <w:right w:val="none" w:sz="0" w:space="0" w:color="auto"/>
      </w:divBdr>
    </w:div>
    <w:div w:id="149098848">
      <w:bodyDiv w:val="1"/>
      <w:marLeft w:val="0"/>
      <w:marRight w:val="0"/>
      <w:marTop w:val="0"/>
      <w:marBottom w:val="0"/>
      <w:divBdr>
        <w:top w:val="none" w:sz="0" w:space="0" w:color="auto"/>
        <w:left w:val="none" w:sz="0" w:space="0" w:color="auto"/>
        <w:bottom w:val="none" w:sz="0" w:space="0" w:color="auto"/>
        <w:right w:val="none" w:sz="0" w:space="0" w:color="auto"/>
      </w:divBdr>
    </w:div>
    <w:div w:id="149560094">
      <w:bodyDiv w:val="1"/>
      <w:marLeft w:val="0"/>
      <w:marRight w:val="0"/>
      <w:marTop w:val="0"/>
      <w:marBottom w:val="0"/>
      <w:divBdr>
        <w:top w:val="none" w:sz="0" w:space="0" w:color="auto"/>
        <w:left w:val="none" w:sz="0" w:space="0" w:color="auto"/>
        <w:bottom w:val="none" w:sz="0" w:space="0" w:color="auto"/>
        <w:right w:val="none" w:sz="0" w:space="0" w:color="auto"/>
      </w:divBdr>
    </w:div>
    <w:div w:id="154417615">
      <w:bodyDiv w:val="1"/>
      <w:marLeft w:val="0"/>
      <w:marRight w:val="0"/>
      <w:marTop w:val="0"/>
      <w:marBottom w:val="0"/>
      <w:divBdr>
        <w:top w:val="none" w:sz="0" w:space="0" w:color="auto"/>
        <w:left w:val="none" w:sz="0" w:space="0" w:color="auto"/>
        <w:bottom w:val="none" w:sz="0" w:space="0" w:color="auto"/>
        <w:right w:val="none" w:sz="0" w:space="0" w:color="auto"/>
      </w:divBdr>
    </w:div>
    <w:div w:id="162018356">
      <w:bodyDiv w:val="1"/>
      <w:marLeft w:val="0"/>
      <w:marRight w:val="0"/>
      <w:marTop w:val="0"/>
      <w:marBottom w:val="0"/>
      <w:divBdr>
        <w:top w:val="none" w:sz="0" w:space="0" w:color="auto"/>
        <w:left w:val="none" w:sz="0" w:space="0" w:color="auto"/>
        <w:bottom w:val="none" w:sz="0" w:space="0" w:color="auto"/>
        <w:right w:val="none" w:sz="0" w:space="0" w:color="auto"/>
      </w:divBdr>
    </w:div>
    <w:div w:id="166555026">
      <w:bodyDiv w:val="1"/>
      <w:marLeft w:val="0"/>
      <w:marRight w:val="0"/>
      <w:marTop w:val="0"/>
      <w:marBottom w:val="0"/>
      <w:divBdr>
        <w:top w:val="none" w:sz="0" w:space="0" w:color="auto"/>
        <w:left w:val="none" w:sz="0" w:space="0" w:color="auto"/>
        <w:bottom w:val="none" w:sz="0" w:space="0" w:color="auto"/>
        <w:right w:val="none" w:sz="0" w:space="0" w:color="auto"/>
      </w:divBdr>
    </w:div>
    <w:div w:id="167136931">
      <w:bodyDiv w:val="1"/>
      <w:marLeft w:val="0"/>
      <w:marRight w:val="0"/>
      <w:marTop w:val="0"/>
      <w:marBottom w:val="0"/>
      <w:divBdr>
        <w:top w:val="none" w:sz="0" w:space="0" w:color="auto"/>
        <w:left w:val="none" w:sz="0" w:space="0" w:color="auto"/>
        <w:bottom w:val="none" w:sz="0" w:space="0" w:color="auto"/>
        <w:right w:val="none" w:sz="0" w:space="0" w:color="auto"/>
      </w:divBdr>
    </w:div>
    <w:div w:id="168296812">
      <w:bodyDiv w:val="1"/>
      <w:marLeft w:val="0"/>
      <w:marRight w:val="0"/>
      <w:marTop w:val="0"/>
      <w:marBottom w:val="0"/>
      <w:divBdr>
        <w:top w:val="none" w:sz="0" w:space="0" w:color="auto"/>
        <w:left w:val="none" w:sz="0" w:space="0" w:color="auto"/>
        <w:bottom w:val="none" w:sz="0" w:space="0" w:color="auto"/>
        <w:right w:val="none" w:sz="0" w:space="0" w:color="auto"/>
      </w:divBdr>
    </w:div>
    <w:div w:id="170335783">
      <w:bodyDiv w:val="1"/>
      <w:marLeft w:val="0"/>
      <w:marRight w:val="0"/>
      <w:marTop w:val="0"/>
      <w:marBottom w:val="0"/>
      <w:divBdr>
        <w:top w:val="none" w:sz="0" w:space="0" w:color="auto"/>
        <w:left w:val="none" w:sz="0" w:space="0" w:color="auto"/>
        <w:bottom w:val="none" w:sz="0" w:space="0" w:color="auto"/>
        <w:right w:val="none" w:sz="0" w:space="0" w:color="auto"/>
      </w:divBdr>
    </w:div>
    <w:div w:id="171576294">
      <w:bodyDiv w:val="1"/>
      <w:marLeft w:val="0"/>
      <w:marRight w:val="0"/>
      <w:marTop w:val="0"/>
      <w:marBottom w:val="0"/>
      <w:divBdr>
        <w:top w:val="none" w:sz="0" w:space="0" w:color="auto"/>
        <w:left w:val="none" w:sz="0" w:space="0" w:color="auto"/>
        <w:bottom w:val="none" w:sz="0" w:space="0" w:color="auto"/>
        <w:right w:val="none" w:sz="0" w:space="0" w:color="auto"/>
      </w:divBdr>
    </w:div>
    <w:div w:id="173879592">
      <w:bodyDiv w:val="1"/>
      <w:marLeft w:val="0"/>
      <w:marRight w:val="0"/>
      <w:marTop w:val="0"/>
      <w:marBottom w:val="0"/>
      <w:divBdr>
        <w:top w:val="none" w:sz="0" w:space="0" w:color="auto"/>
        <w:left w:val="none" w:sz="0" w:space="0" w:color="auto"/>
        <w:bottom w:val="none" w:sz="0" w:space="0" w:color="auto"/>
        <w:right w:val="none" w:sz="0" w:space="0" w:color="auto"/>
      </w:divBdr>
    </w:div>
    <w:div w:id="178735302">
      <w:bodyDiv w:val="1"/>
      <w:marLeft w:val="0"/>
      <w:marRight w:val="0"/>
      <w:marTop w:val="0"/>
      <w:marBottom w:val="0"/>
      <w:divBdr>
        <w:top w:val="none" w:sz="0" w:space="0" w:color="auto"/>
        <w:left w:val="none" w:sz="0" w:space="0" w:color="auto"/>
        <w:bottom w:val="none" w:sz="0" w:space="0" w:color="auto"/>
        <w:right w:val="none" w:sz="0" w:space="0" w:color="auto"/>
      </w:divBdr>
    </w:div>
    <w:div w:id="181013941">
      <w:bodyDiv w:val="1"/>
      <w:marLeft w:val="0"/>
      <w:marRight w:val="0"/>
      <w:marTop w:val="0"/>
      <w:marBottom w:val="0"/>
      <w:divBdr>
        <w:top w:val="none" w:sz="0" w:space="0" w:color="auto"/>
        <w:left w:val="none" w:sz="0" w:space="0" w:color="auto"/>
        <w:bottom w:val="none" w:sz="0" w:space="0" w:color="auto"/>
        <w:right w:val="none" w:sz="0" w:space="0" w:color="auto"/>
      </w:divBdr>
    </w:div>
    <w:div w:id="183905188">
      <w:bodyDiv w:val="1"/>
      <w:marLeft w:val="0"/>
      <w:marRight w:val="0"/>
      <w:marTop w:val="0"/>
      <w:marBottom w:val="0"/>
      <w:divBdr>
        <w:top w:val="none" w:sz="0" w:space="0" w:color="auto"/>
        <w:left w:val="none" w:sz="0" w:space="0" w:color="auto"/>
        <w:bottom w:val="none" w:sz="0" w:space="0" w:color="auto"/>
        <w:right w:val="none" w:sz="0" w:space="0" w:color="auto"/>
      </w:divBdr>
    </w:div>
    <w:div w:id="189685313">
      <w:bodyDiv w:val="1"/>
      <w:marLeft w:val="0"/>
      <w:marRight w:val="0"/>
      <w:marTop w:val="0"/>
      <w:marBottom w:val="0"/>
      <w:divBdr>
        <w:top w:val="none" w:sz="0" w:space="0" w:color="auto"/>
        <w:left w:val="none" w:sz="0" w:space="0" w:color="auto"/>
        <w:bottom w:val="none" w:sz="0" w:space="0" w:color="auto"/>
        <w:right w:val="none" w:sz="0" w:space="0" w:color="auto"/>
      </w:divBdr>
      <w:divsChild>
        <w:div w:id="1346982371">
          <w:marLeft w:val="0"/>
          <w:marRight w:val="0"/>
          <w:marTop w:val="100"/>
          <w:marBottom w:val="100"/>
          <w:divBdr>
            <w:top w:val="none" w:sz="0" w:space="0" w:color="auto"/>
            <w:left w:val="none" w:sz="0" w:space="0" w:color="auto"/>
            <w:bottom w:val="none" w:sz="0" w:space="0" w:color="auto"/>
            <w:right w:val="none" w:sz="0" w:space="0" w:color="auto"/>
          </w:divBdr>
          <w:divsChild>
            <w:div w:id="515074885">
              <w:marLeft w:val="0"/>
              <w:marRight w:val="0"/>
              <w:marTop w:val="0"/>
              <w:marBottom w:val="0"/>
              <w:divBdr>
                <w:top w:val="none" w:sz="0" w:space="0" w:color="auto"/>
                <w:left w:val="none" w:sz="0" w:space="0" w:color="auto"/>
                <w:bottom w:val="none" w:sz="0" w:space="0" w:color="auto"/>
                <w:right w:val="none" w:sz="0" w:space="0" w:color="auto"/>
              </w:divBdr>
              <w:divsChild>
                <w:div w:id="1522934490">
                  <w:marLeft w:val="0"/>
                  <w:marRight w:val="0"/>
                  <w:marTop w:val="0"/>
                  <w:marBottom w:val="0"/>
                  <w:divBdr>
                    <w:top w:val="none" w:sz="0" w:space="0" w:color="auto"/>
                    <w:left w:val="none" w:sz="0" w:space="0" w:color="auto"/>
                    <w:bottom w:val="none" w:sz="0" w:space="0" w:color="auto"/>
                    <w:right w:val="none" w:sz="0" w:space="0" w:color="auto"/>
                  </w:divBdr>
                </w:div>
                <w:div w:id="106819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51790">
          <w:marLeft w:val="0"/>
          <w:marRight w:val="0"/>
          <w:marTop w:val="100"/>
          <w:marBottom w:val="100"/>
          <w:divBdr>
            <w:top w:val="none" w:sz="0" w:space="0" w:color="auto"/>
            <w:left w:val="none" w:sz="0" w:space="0" w:color="auto"/>
            <w:bottom w:val="none" w:sz="0" w:space="0" w:color="auto"/>
            <w:right w:val="none" w:sz="0" w:space="0" w:color="auto"/>
          </w:divBdr>
          <w:divsChild>
            <w:div w:id="1940336820">
              <w:marLeft w:val="0"/>
              <w:marRight w:val="0"/>
              <w:marTop w:val="0"/>
              <w:marBottom w:val="0"/>
              <w:divBdr>
                <w:top w:val="none" w:sz="0" w:space="0" w:color="auto"/>
                <w:left w:val="none" w:sz="0" w:space="0" w:color="auto"/>
                <w:bottom w:val="none" w:sz="0" w:space="0" w:color="auto"/>
                <w:right w:val="none" w:sz="0" w:space="0" w:color="auto"/>
              </w:divBdr>
              <w:divsChild>
                <w:div w:id="487403485">
                  <w:marLeft w:val="0"/>
                  <w:marRight w:val="0"/>
                  <w:marTop w:val="0"/>
                  <w:marBottom w:val="0"/>
                  <w:divBdr>
                    <w:top w:val="none" w:sz="0" w:space="0" w:color="auto"/>
                    <w:left w:val="none" w:sz="0" w:space="0" w:color="auto"/>
                    <w:bottom w:val="none" w:sz="0" w:space="0" w:color="auto"/>
                    <w:right w:val="none" w:sz="0" w:space="0" w:color="auto"/>
                  </w:divBdr>
                </w:div>
                <w:div w:id="24807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5655">
      <w:bodyDiv w:val="1"/>
      <w:marLeft w:val="0"/>
      <w:marRight w:val="0"/>
      <w:marTop w:val="0"/>
      <w:marBottom w:val="0"/>
      <w:divBdr>
        <w:top w:val="none" w:sz="0" w:space="0" w:color="auto"/>
        <w:left w:val="none" w:sz="0" w:space="0" w:color="auto"/>
        <w:bottom w:val="none" w:sz="0" w:space="0" w:color="auto"/>
        <w:right w:val="none" w:sz="0" w:space="0" w:color="auto"/>
      </w:divBdr>
    </w:div>
    <w:div w:id="196502531">
      <w:bodyDiv w:val="1"/>
      <w:marLeft w:val="0"/>
      <w:marRight w:val="0"/>
      <w:marTop w:val="0"/>
      <w:marBottom w:val="0"/>
      <w:divBdr>
        <w:top w:val="none" w:sz="0" w:space="0" w:color="auto"/>
        <w:left w:val="none" w:sz="0" w:space="0" w:color="auto"/>
        <w:bottom w:val="none" w:sz="0" w:space="0" w:color="auto"/>
        <w:right w:val="none" w:sz="0" w:space="0" w:color="auto"/>
      </w:divBdr>
    </w:div>
    <w:div w:id="200636996">
      <w:bodyDiv w:val="1"/>
      <w:marLeft w:val="0"/>
      <w:marRight w:val="0"/>
      <w:marTop w:val="0"/>
      <w:marBottom w:val="0"/>
      <w:divBdr>
        <w:top w:val="none" w:sz="0" w:space="0" w:color="auto"/>
        <w:left w:val="none" w:sz="0" w:space="0" w:color="auto"/>
        <w:bottom w:val="none" w:sz="0" w:space="0" w:color="auto"/>
        <w:right w:val="none" w:sz="0" w:space="0" w:color="auto"/>
      </w:divBdr>
    </w:div>
    <w:div w:id="202059609">
      <w:bodyDiv w:val="1"/>
      <w:marLeft w:val="0"/>
      <w:marRight w:val="0"/>
      <w:marTop w:val="0"/>
      <w:marBottom w:val="0"/>
      <w:divBdr>
        <w:top w:val="none" w:sz="0" w:space="0" w:color="auto"/>
        <w:left w:val="none" w:sz="0" w:space="0" w:color="auto"/>
        <w:bottom w:val="none" w:sz="0" w:space="0" w:color="auto"/>
        <w:right w:val="none" w:sz="0" w:space="0" w:color="auto"/>
      </w:divBdr>
      <w:divsChild>
        <w:div w:id="1185486773">
          <w:marLeft w:val="0"/>
          <w:marRight w:val="0"/>
          <w:marTop w:val="0"/>
          <w:marBottom w:val="0"/>
          <w:divBdr>
            <w:top w:val="none" w:sz="0" w:space="0" w:color="auto"/>
            <w:left w:val="none" w:sz="0" w:space="0" w:color="auto"/>
            <w:bottom w:val="none" w:sz="0" w:space="0" w:color="auto"/>
            <w:right w:val="none" w:sz="0" w:space="0" w:color="auto"/>
          </w:divBdr>
          <w:divsChild>
            <w:div w:id="77555022">
              <w:marLeft w:val="0"/>
              <w:marRight w:val="0"/>
              <w:marTop w:val="0"/>
              <w:marBottom w:val="240"/>
              <w:divBdr>
                <w:top w:val="none" w:sz="0" w:space="0" w:color="auto"/>
                <w:left w:val="none" w:sz="0" w:space="0" w:color="auto"/>
                <w:bottom w:val="none" w:sz="0" w:space="0" w:color="auto"/>
                <w:right w:val="none" w:sz="0" w:space="0" w:color="auto"/>
              </w:divBdr>
              <w:divsChild>
                <w:div w:id="349842498">
                  <w:marLeft w:val="360"/>
                  <w:marRight w:val="96"/>
                  <w:marTop w:val="0"/>
                  <w:marBottom w:val="0"/>
                  <w:divBdr>
                    <w:top w:val="none" w:sz="0" w:space="0" w:color="auto"/>
                    <w:left w:val="none" w:sz="0" w:space="0" w:color="auto"/>
                    <w:bottom w:val="none" w:sz="0" w:space="0" w:color="auto"/>
                    <w:right w:val="none" w:sz="0" w:space="0" w:color="auto"/>
                  </w:divBdr>
                </w:div>
              </w:divsChild>
            </w:div>
            <w:div w:id="431978918">
              <w:marLeft w:val="0"/>
              <w:marRight w:val="0"/>
              <w:marTop w:val="0"/>
              <w:marBottom w:val="240"/>
              <w:divBdr>
                <w:top w:val="none" w:sz="0" w:space="0" w:color="auto"/>
                <w:left w:val="none" w:sz="0" w:space="0" w:color="auto"/>
                <w:bottom w:val="none" w:sz="0" w:space="0" w:color="auto"/>
                <w:right w:val="none" w:sz="0" w:space="0" w:color="auto"/>
              </w:divBdr>
              <w:divsChild>
                <w:div w:id="393822617">
                  <w:marLeft w:val="360"/>
                  <w:marRight w:val="96"/>
                  <w:marTop w:val="0"/>
                  <w:marBottom w:val="0"/>
                  <w:divBdr>
                    <w:top w:val="none" w:sz="0" w:space="0" w:color="auto"/>
                    <w:left w:val="none" w:sz="0" w:space="0" w:color="auto"/>
                    <w:bottom w:val="none" w:sz="0" w:space="0" w:color="auto"/>
                    <w:right w:val="none" w:sz="0" w:space="0" w:color="auto"/>
                  </w:divBdr>
                </w:div>
              </w:divsChild>
            </w:div>
            <w:div w:id="995917725">
              <w:marLeft w:val="0"/>
              <w:marRight w:val="0"/>
              <w:marTop w:val="0"/>
              <w:marBottom w:val="0"/>
              <w:divBdr>
                <w:top w:val="none" w:sz="0" w:space="0" w:color="auto"/>
                <w:left w:val="none" w:sz="0" w:space="0" w:color="auto"/>
                <w:bottom w:val="none" w:sz="0" w:space="0" w:color="auto"/>
                <w:right w:val="none" w:sz="0" w:space="0" w:color="auto"/>
              </w:divBdr>
              <w:divsChild>
                <w:div w:id="16706434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9221893">
      <w:bodyDiv w:val="1"/>
      <w:marLeft w:val="0"/>
      <w:marRight w:val="0"/>
      <w:marTop w:val="0"/>
      <w:marBottom w:val="0"/>
      <w:divBdr>
        <w:top w:val="none" w:sz="0" w:space="0" w:color="auto"/>
        <w:left w:val="none" w:sz="0" w:space="0" w:color="auto"/>
        <w:bottom w:val="none" w:sz="0" w:space="0" w:color="auto"/>
        <w:right w:val="none" w:sz="0" w:space="0" w:color="auto"/>
      </w:divBdr>
    </w:div>
    <w:div w:id="234164831">
      <w:bodyDiv w:val="1"/>
      <w:marLeft w:val="0"/>
      <w:marRight w:val="0"/>
      <w:marTop w:val="0"/>
      <w:marBottom w:val="0"/>
      <w:divBdr>
        <w:top w:val="none" w:sz="0" w:space="0" w:color="auto"/>
        <w:left w:val="none" w:sz="0" w:space="0" w:color="auto"/>
        <w:bottom w:val="none" w:sz="0" w:space="0" w:color="auto"/>
        <w:right w:val="none" w:sz="0" w:space="0" w:color="auto"/>
      </w:divBdr>
    </w:div>
    <w:div w:id="243036244">
      <w:bodyDiv w:val="1"/>
      <w:marLeft w:val="0"/>
      <w:marRight w:val="0"/>
      <w:marTop w:val="0"/>
      <w:marBottom w:val="0"/>
      <w:divBdr>
        <w:top w:val="none" w:sz="0" w:space="0" w:color="auto"/>
        <w:left w:val="none" w:sz="0" w:space="0" w:color="auto"/>
        <w:bottom w:val="none" w:sz="0" w:space="0" w:color="auto"/>
        <w:right w:val="none" w:sz="0" w:space="0" w:color="auto"/>
      </w:divBdr>
    </w:div>
    <w:div w:id="247736080">
      <w:bodyDiv w:val="1"/>
      <w:marLeft w:val="0"/>
      <w:marRight w:val="0"/>
      <w:marTop w:val="0"/>
      <w:marBottom w:val="0"/>
      <w:divBdr>
        <w:top w:val="none" w:sz="0" w:space="0" w:color="auto"/>
        <w:left w:val="none" w:sz="0" w:space="0" w:color="auto"/>
        <w:bottom w:val="none" w:sz="0" w:space="0" w:color="auto"/>
        <w:right w:val="none" w:sz="0" w:space="0" w:color="auto"/>
      </w:divBdr>
    </w:div>
    <w:div w:id="250236364">
      <w:bodyDiv w:val="1"/>
      <w:marLeft w:val="0"/>
      <w:marRight w:val="0"/>
      <w:marTop w:val="0"/>
      <w:marBottom w:val="0"/>
      <w:divBdr>
        <w:top w:val="none" w:sz="0" w:space="0" w:color="auto"/>
        <w:left w:val="none" w:sz="0" w:space="0" w:color="auto"/>
        <w:bottom w:val="none" w:sz="0" w:space="0" w:color="auto"/>
        <w:right w:val="none" w:sz="0" w:space="0" w:color="auto"/>
      </w:divBdr>
    </w:div>
    <w:div w:id="269900093">
      <w:bodyDiv w:val="1"/>
      <w:marLeft w:val="0"/>
      <w:marRight w:val="0"/>
      <w:marTop w:val="0"/>
      <w:marBottom w:val="0"/>
      <w:divBdr>
        <w:top w:val="none" w:sz="0" w:space="0" w:color="auto"/>
        <w:left w:val="none" w:sz="0" w:space="0" w:color="auto"/>
        <w:bottom w:val="none" w:sz="0" w:space="0" w:color="auto"/>
        <w:right w:val="none" w:sz="0" w:space="0" w:color="auto"/>
      </w:divBdr>
    </w:div>
    <w:div w:id="272982331">
      <w:bodyDiv w:val="1"/>
      <w:marLeft w:val="0"/>
      <w:marRight w:val="0"/>
      <w:marTop w:val="0"/>
      <w:marBottom w:val="0"/>
      <w:divBdr>
        <w:top w:val="none" w:sz="0" w:space="0" w:color="auto"/>
        <w:left w:val="none" w:sz="0" w:space="0" w:color="auto"/>
        <w:bottom w:val="none" w:sz="0" w:space="0" w:color="auto"/>
        <w:right w:val="none" w:sz="0" w:space="0" w:color="auto"/>
      </w:divBdr>
    </w:div>
    <w:div w:id="276837194">
      <w:bodyDiv w:val="1"/>
      <w:marLeft w:val="0"/>
      <w:marRight w:val="0"/>
      <w:marTop w:val="0"/>
      <w:marBottom w:val="0"/>
      <w:divBdr>
        <w:top w:val="none" w:sz="0" w:space="0" w:color="auto"/>
        <w:left w:val="none" w:sz="0" w:space="0" w:color="auto"/>
        <w:bottom w:val="none" w:sz="0" w:space="0" w:color="auto"/>
        <w:right w:val="none" w:sz="0" w:space="0" w:color="auto"/>
      </w:divBdr>
    </w:div>
    <w:div w:id="277417260">
      <w:bodyDiv w:val="1"/>
      <w:marLeft w:val="0"/>
      <w:marRight w:val="0"/>
      <w:marTop w:val="0"/>
      <w:marBottom w:val="0"/>
      <w:divBdr>
        <w:top w:val="none" w:sz="0" w:space="0" w:color="auto"/>
        <w:left w:val="none" w:sz="0" w:space="0" w:color="auto"/>
        <w:bottom w:val="none" w:sz="0" w:space="0" w:color="auto"/>
        <w:right w:val="none" w:sz="0" w:space="0" w:color="auto"/>
      </w:divBdr>
    </w:div>
    <w:div w:id="291249573">
      <w:bodyDiv w:val="1"/>
      <w:marLeft w:val="0"/>
      <w:marRight w:val="0"/>
      <w:marTop w:val="0"/>
      <w:marBottom w:val="0"/>
      <w:divBdr>
        <w:top w:val="none" w:sz="0" w:space="0" w:color="auto"/>
        <w:left w:val="none" w:sz="0" w:space="0" w:color="auto"/>
        <w:bottom w:val="none" w:sz="0" w:space="0" w:color="auto"/>
        <w:right w:val="none" w:sz="0" w:space="0" w:color="auto"/>
      </w:divBdr>
    </w:div>
    <w:div w:id="299769825">
      <w:bodyDiv w:val="1"/>
      <w:marLeft w:val="0"/>
      <w:marRight w:val="0"/>
      <w:marTop w:val="0"/>
      <w:marBottom w:val="0"/>
      <w:divBdr>
        <w:top w:val="none" w:sz="0" w:space="0" w:color="auto"/>
        <w:left w:val="none" w:sz="0" w:space="0" w:color="auto"/>
        <w:bottom w:val="none" w:sz="0" w:space="0" w:color="auto"/>
        <w:right w:val="none" w:sz="0" w:space="0" w:color="auto"/>
      </w:divBdr>
    </w:div>
    <w:div w:id="315106302">
      <w:bodyDiv w:val="1"/>
      <w:marLeft w:val="0"/>
      <w:marRight w:val="0"/>
      <w:marTop w:val="0"/>
      <w:marBottom w:val="0"/>
      <w:divBdr>
        <w:top w:val="none" w:sz="0" w:space="0" w:color="auto"/>
        <w:left w:val="none" w:sz="0" w:space="0" w:color="auto"/>
        <w:bottom w:val="none" w:sz="0" w:space="0" w:color="auto"/>
        <w:right w:val="none" w:sz="0" w:space="0" w:color="auto"/>
      </w:divBdr>
      <w:divsChild>
        <w:div w:id="198591550">
          <w:marLeft w:val="0"/>
          <w:marRight w:val="0"/>
          <w:marTop w:val="0"/>
          <w:marBottom w:val="0"/>
          <w:divBdr>
            <w:top w:val="none" w:sz="0" w:space="0" w:color="auto"/>
            <w:left w:val="none" w:sz="0" w:space="0" w:color="auto"/>
            <w:bottom w:val="none" w:sz="0" w:space="0" w:color="auto"/>
            <w:right w:val="none" w:sz="0" w:space="0" w:color="auto"/>
          </w:divBdr>
          <w:divsChild>
            <w:div w:id="1209994561">
              <w:marLeft w:val="0"/>
              <w:marRight w:val="0"/>
              <w:marTop w:val="0"/>
              <w:marBottom w:val="0"/>
              <w:divBdr>
                <w:top w:val="none" w:sz="0" w:space="0" w:color="auto"/>
                <w:left w:val="none" w:sz="0" w:space="0" w:color="auto"/>
                <w:bottom w:val="none" w:sz="0" w:space="0" w:color="auto"/>
                <w:right w:val="none" w:sz="0" w:space="0" w:color="auto"/>
              </w:divBdr>
              <w:divsChild>
                <w:div w:id="156526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40369">
      <w:bodyDiv w:val="1"/>
      <w:marLeft w:val="0"/>
      <w:marRight w:val="0"/>
      <w:marTop w:val="0"/>
      <w:marBottom w:val="0"/>
      <w:divBdr>
        <w:top w:val="none" w:sz="0" w:space="0" w:color="auto"/>
        <w:left w:val="none" w:sz="0" w:space="0" w:color="auto"/>
        <w:bottom w:val="none" w:sz="0" w:space="0" w:color="auto"/>
        <w:right w:val="none" w:sz="0" w:space="0" w:color="auto"/>
      </w:divBdr>
    </w:div>
    <w:div w:id="323513183">
      <w:bodyDiv w:val="1"/>
      <w:marLeft w:val="0"/>
      <w:marRight w:val="0"/>
      <w:marTop w:val="0"/>
      <w:marBottom w:val="0"/>
      <w:divBdr>
        <w:top w:val="none" w:sz="0" w:space="0" w:color="auto"/>
        <w:left w:val="none" w:sz="0" w:space="0" w:color="auto"/>
        <w:bottom w:val="none" w:sz="0" w:space="0" w:color="auto"/>
        <w:right w:val="none" w:sz="0" w:space="0" w:color="auto"/>
      </w:divBdr>
    </w:div>
    <w:div w:id="337925684">
      <w:bodyDiv w:val="1"/>
      <w:marLeft w:val="0"/>
      <w:marRight w:val="0"/>
      <w:marTop w:val="0"/>
      <w:marBottom w:val="0"/>
      <w:divBdr>
        <w:top w:val="none" w:sz="0" w:space="0" w:color="auto"/>
        <w:left w:val="none" w:sz="0" w:space="0" w:color="auto"/>
        <w:bottom w:val="none" w:sz="0" w:space="0" w:color="auto"/>
        <w:right w:val="none" w:sz="0" w:space="0" w:color="auto"/>
      </w:divBdr>
    </w:div>
    <w:div w:id="353966532">
      <w:bodyDiv w:val="1"/>
      <w:marLeft w:val="0"/>
      <w:marRight w:val="0"/>
      <w:marTop w:val="0"/>
      <w:marBottom w:val="0"/>
      <w:divBdr>
        <w:top w:val="none" w:sz="0" w:space="0" w:color="auto"/>
        <w:left w:val="none" w:sz="0" w:space="0" w:color="auto"/>
        <w:bottom w:val="none" w:sz="0" w:space="0" w:color="auto"/>
        <w:right w:val="none" w:sz="0" w:space="0" w:color="auto"/>
      </w:divBdr>
    </w:div>
    <w:div w:id="394477390">
      <w:bodyDiv w:val="1"/>
      <w:marLeft w:val="0"/>
      <w:marRight w:val="0"/>
      <w:marTop w:val="0"/>
      <w:marBottom w:val="0"/>
      <w:divBdr>
        <w:top w:val="none" w:sz="0" w:space="0" w:color="auto"/>
        <w:left w:val="none" w:sz="0" w:space="0" w:color="auto"/>
        <w:bottom w:val="none" w:sz="0" w:space="0" w:color="auto"/>
        <w:right w:val="none" w:sz="0" w:space="0" w:color="auto"/>
      </w:divBdr>
    </w:div>
    <w:div w:id="400564562">
      <w:bodyDiv w:val="1"/>
      <w:marLeft w:val="0"/>
      <w:marRight w:val="0"/>
      <w:marTop w:val="0"/>
      <w:marBottom w:val="0"/>
      <w:divBdr>
        <w:top w:val="none" w:sz="0" w:space="0" w:color="auto"/>
        <w:left w:val="none" w:sz="0" w:space="0" w:color="auto"/>
        <w:bottom w:val="none" w:sz="0" w:space="0" w:color="auto"/>
        <w:right w:val="none" w:sz="0" w:space="0" w:color="auto"/>
      </w:divBdr>
    </w:div>
    <w:div w:id="407923584">
      <w:bodyDiv w:val="1"/>
      <w:marLeft w:val="0"/>
      <w:marRight w:val="0"/>
      <w:marTop w:val="0"/>
      <w:marBottom w:val="0"/>
      <w:divBdr>
        <w:top w:val="none" w:sz="0" w:space="0" w:color="auto"/>
        <w:left w:val="none" w:sz="0" w:space="0" w:color="auto"/>
        <w:bottom w:val="none" w:sz="0" w:space="0" w:color="auto"/>
        <w:right w:val="none" w:sz="0" w:space="0" w:color="auto"/>
      </w:divBdr>
      <w:divsChild>
        <w:div w:id="293682257">
          <w:marLeft w:val="0"/>
          <w:marRight w:val="0"/>
          <w:marTop w:val="0"/>
          <w:marBottom w:val="0"/>
          <w:divBdr>
            <w:top w:val="none" w:sz="0" w:space="0" w:color="auto"/>
            <w:left w:val="none" w:sz="0" w:space="0" w:color="auto"/>
            <w:bottom w:val="none" w:sz="0" w:space="0" w:color="auto"/>
            <w:right w:val="none" w:sz="0" w:space="0" w:color="auto"/>
          </w:divBdr>
          <w:divsChild>
            <w:div w:id="77019103">
              <w:marLeft w:val="0"/>
              <w:marRight w:val="0"/>
              <w:marTop w:val="0"/>
              <w:marBottom w:val="0"/>
              <w:divBdr>
                <w:top w:val="none" w:sz="0" w:space="0" w:color="auto"/>
                <w:left w:val="none" w:sz="0" w:space="0" w:color="auto"/>
                <w:bottom w:val="none" w:sz="0" w:space="0" w:color="auto"/>
                <w:right w:val="none" w:sz="0" w:space="0" w:color="auto"/>
              </w:divBdr>
              <w:divsChild>
                <w:div w:id="64763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668950">
      <w:bodyDiv w:val="1"/>
      <w:marLeft w:val="0"/>
      <w:marRight w:val="0"/>
      <w:marTop w:val="0"/>
      <w:marBottom w:val="0"/>
      <w:divBdr>
        <w:top w:val="none" w:sz="0" w:space="0" w:color="auto"/>
        <w:left w:val="none" w:sz="0" w:space="0" w:color="auto"/>
        <w:bottom w:val="none" w:sz="0" w:space="0" w:color="auto"/>
        <w:right w:val="none" w:sz="0" w:space="0" w:color="auto"/>
      </w:divBdr>
    </w:div>
    <w:div w:id="418018798">
      <w:bodyDiv w:val="1"/>
      <w:marLeft w:val="0"/>
      <w:marRight w:val="0"/>
      <w:marTop w:val="0"/>
      <w:marBottom w:val="0"/>
      <w:divBdr>
        <w:top w:val="none" w:sz="0" w:space="0" w:color="auto"/>
        <w:left w:val="none" w:sz="0" w:space="0" w:color="auto"/>
        <w:bottom w:val="none" w:sz="0" w:space="0" w:color="auto"/>
        <w:right w:val="none" w:sz="0" w:space="0" w:color="auto"/>
      </w:divBdr>
    </w:div>
    <w:div w:id="419331149">
      <w:bodyDiv w:val="1"/>
      <w:marLeft w:val="0"/>
      <w:marRight w:val="0"/>
      <w:marTop w:val="0"/>
      <w:marBottom w:val="0"/>
      <w:divBdr>
        <w:top w:val="none" w:sz="0" w:space="0" w:color="auto"/>
        <w:left w:val="none" w:sz="0" w:space="0" w:color="auto"/>
        <w:bottom w:val="none" w:sz="0" w:space="0" w:color="auto"/>
        <w:right w:val="none" w:sz="0" w:space="0" w:color="auto"/>
      </w:divBdr>
    </w:div>
    <w:div w:id="427192316">
      <w:bodyDiv w:val="1"/>
      <w:marLeft w:val="0"/>
      <w:marRight w:val="0"/>
      <w:marTop w:val="0"/>
      <w:marBottom w:val="0"/>
      <w:divBdr>
        <w:top w:val="none" w:sz="0" w:space="0" w:color="auto"/>
        <w:left w:val="none" w:sz="0" w:space="0" w:color="auto"/>
        <w:bottom w:val="none" w:sz="0" w:space="0" w:color="auto"/>
        <w:right w:val="none" w:sz="0" w:space="0" w:color="auto"/>
      </w:divBdr>
    </w:div>
    <w:div w:id="441921064">
      <w:bodyDiv w:val="1"/>
      <w:marLeft w:val="0"/>
      <w:marRight w:val="0"/>
      <w:marTop w:val="0"/>
      <w:marBottom w:val="0"/>
      <w:divBdr>
        <w:top w:val="none" w:sz="0" w:space="0" w:color="auto"/>
        <w:left w:val="none" w:sz="0" w:space="0" w:color="auto"/>
        <w:bottom w:val="none" w:sz="0" w:space="0" w:color="auto"/>
        <w:right w:val="none" w:sz="0" w:space="0" w:color="auto"/>
      </w:divBdr>
    </w:div>
    <w:div w:id="449671129">
      <w:bodyDiv w:val="1"/>
      <w:marLeft w:val="0"/>
      <w:marRight w:val="0"/>
      <w:marTop w:val="0"/>
      <w:marBottom w:val="0"/>
      <w:divBdr>
        <w:top w:val="none" w:sz="0" w:space="0" w:color="auto"/>
        <w:left w:val="none" w:sz="0" w:space="0" w:color="auto"/>
        <w:bottom w:val="none" w:sz="0" w:space="0" w:color="auto"/>
        <w:right w:val="none" w:sz="0" w:space="0" w:color="auto"/>
      </w:divBdr>
      <w:divsChild>
        <w:div w:id="230390816">
          <w:marLeft w:val="0"/>
          <w:marRight w:val="0"/>
          <w:marTop w:val="0"/>
          <w:marBottom w:val="0"/>
          <w:divBdr>
            <w:top w:val="none" w:sz="0" w:space="0" w:color="auto"/>
            <w:left w:val="none" w:sz="0" w:space="0" w:color="auto"/>
            <w:bottom w:val="none" w:sz="0" w:space="0" w:color="auto"/>
            <w:right w:val="none" w:sz="0" w:space="0" w:color="auto"/>
          </w:divBdr>
        </w:div>
        <w:div w:id="1905332552">
          <w:marLeft w:val="0"/>
          <w:marRight w:val="0"/>
          <w:marTop w:val="0"/>
          <w:marBottom w:val="0"/>
          <w:divBdr>
            <w:top w:val="none" w:sz="0" w:space="0" w:color="auto"/>
            <w:left w:val="none" w:sz="0" w:space="0" w:color="auto"/>
            <w:bottom w:val="none" w:sz="0" w:space="0" w:color="auto"/>
            <w:right w:val="none" w:sz="0" w:space="0" w:color="auto"/>
          </w:divBdr>
        </w:div>
        <w:div w:id="354383660">
          <w:marLeft w:val="0"/>
          <w:marRight w:val="0"/>
          <w:marTop w:val="0"/>
          <w:marBottom w:val="0"/>
          <w:divBdr>
            <w:top w:val="none" w:sz="0" w:space="0" w:color="auto"/>
            <w:left w:val="none" w:sz="0" w:space="0" w:color="auto"/>
            <w:bottom w:val="none" w:sz="0" w:space="0" w:color="auto"/>
            <w:right w:val="none" w:sz="0" w:space="0" w:color="auto"/>
          </w:divBdr>
        </w:div>
        <w:div w:id="1869757742">
          <w:marLeft w:val="0"/>
          <w:marRight w:val="0"/>
          <w:marTop w:val="0"/>
          <w:marBottom w:val="0"/>
          <w:divBdr>
            <w:top w:val="none" w:sz="0" w:space="0" w:color="auto"/>
            <w:left w:val="none" w:sz="0" w:space="0" w:color="auto"/>
            <w:bottom w:val="none" w:sz="0" w:space="0" w:color="auto"/>
            <w:right w:val="none" w:sz="0" w:space="0" w:color="auto"/>
          </w:divBdr>
        </w:div>
      </w:divsChild>
    </w:div>
    <w:div w:id="465854985">
      <w:bodyDiv w:val="1"/>
      <w:marLeft w:val="0"/>
      <w:marRight w:val="0"/>
      <w:marTop w:val="0"/>
      <w:marBottom w:val="0"/>
      <w:divBdr>
        <w:top w:val="none" w:sz="0" w:space="0" w:color="auto"/>
        <w:left w:val="none" w:sz="0" w:space="0" w:color="auto"/>
        <w:bottom w:val="none" w:sz="0" w:space="0" w:color="auto"/>
        <w:right w:val="none" w:sz="0" w:space="0" w:color="auto"/>
      </w:divBdr>
    </w:div>
    <w:div w:id="468404207">
      <w:bodyDiv w:val="1"/>
      <w:marLeft w:val="0"/>
      <w:marRight w:val="0"/>
      <w:marTop w:val="0"/>
      <w:marBottom w:val="0"/>
      <w:divBdr>
        <w:top w:val="none" w:sz="0" w:space="0" w:color="auto"/>
        <w:left w:val="none" w:sz="0" w:space="0" w:color="auto"/>
        <w:bottom w:val="none" w:sz="0" w:space="0" w:color="auto"/>
        <w:right w:val="none" w:sz="0" w:space="0" w:color="auto"/>
      </w:divBdr>
    </w:div>
    <w:div w:id="501773661">
      <w:bodyDiv w:val="1"/>
      <w:marLeft w:val="0"/>
      <w:marRight w:val="0"/>
      <w:marTop w:val="0"/>
      <w:marBottom w:val="0"/>
      <w:divBdr>
        <w:top w:val="none" w:sz="0" w:space="0" w:color="auto"/>
        <w:left w:val="none" w:sz="0" w:space="0" w:color="auto"/>
        <w:bottom w:val="none" w:sz="0" w:space="0" w:color="auto"/>
        <w:right w:val="none" w:sz="0" w:space="0" w:color="auto"/>
      </w:divBdr>
    </w:div>
    <w:div w:id="504326390">
      <w:bodyDiv w:val="1"/>
      <w:marLeft w:val="0"/>
      <w:marRight w:val="0"/>
      <w:marTop w:val="0"/>
      <w:marBottom w:val="0"/>
      <w:divBdr>
        <w:top w:val="none" w:sz="0" w:space="0" w:color="auto"/>
        <w:left w:val="none" w:sz="0" w:space="0" w:color="auto"/>
        <w:bottom w:val="none" w:sz="0" w:space="0" w:color="auto"/>
        <w:right w:val="none" w:sz="0" w:space="0" w:color="auto"/>
      </w:divBdr>
    </w:div>
    <w:div w:id="508956342">
      <w:bodyDiv w:val="1"/>
      <w:marLeft w:val="0"/>
      <w:marRight w:val="0"/>
      <w:marTop w:val="0"/>
      <w:marBottom w:val="0"/>
      <w:divBdr>
        <w:top w:val="none" w:sz="0" w:space="0" w:color="auto"/>
        <w:left w:val="none" w:sz="0" w:space="0" w:color="auto"/>
        <w:bottom w:val="none" w:sz="0" w:space="0" w:color="auto"/>
        <w:right w:val="none" w:sz="0" w:space="0" w:color="auto"/>
      </w:divBdr>
    </w:div>
    <w:div w:id="510025666">
      <w:bodyDiv w:val="1"/>
      <w:marLeft w:val="0"/>
      <w:marRight w:val="0"/>
      <w:marTop w:val="0"/>
      <w:marBottom w:val="0"/>
      <w:divBdr>
        <w:top w:val="none" w:sz="0" w:space="0" w:color="auto"/>
        <w:left w:val="none" w:sz="0" w:space="0" w:color="auto"/>
        <w:bottom w:val="none" w:sz="0" w:space="0" w:color="auto"/>
        <w:right w:val="none" w:sz="0" w:space="0" w:color="auto"/>
      </w:divBdr>
    </w:div>
    <w:div w:id="513349969">
      <w:bodyDiv w:val="1"/>
      <w:marLeft w:val="0"/>
      <w:marRight w:val="0"/>
      <w:marTop w:val="0"/>
      <w:marBottom w:val="0"/>
      <w:divBdr>
        <w:top w:val="none" w:sz="0" w:space="0" w:color="auto"/>
        <w:left w:val="none" w:sz="0" w:space="0" w:color="auto"/>
        <w:bottom w:val="none" w:sz="0" w:space="0" w:color="auto"/>
        <w:right w:val="none" w:sz="0" w:space="0" w:color="auto"/>
      </w:divBdr>
    </w:div>
    <w:div w:id="516315575">
      <w:bodyDiv w:val="1"/>
      <w:marLeft w:val="0"/>
      <w:marRight w:val="0"/>
      <w:marTop w:val="0"/>
      <w:marBottom w:val="0"/>
      <w:divBdr>
        <w:top w:val="none" w:sz="0" w:space="0" w:color="auto"/>
        <w:left w:val="none" w:sz="0" w:space="0" w:color="auto"/>
        <w:bottom w:val="none" w:sz="0" w:space="0" w:color="auto"/>
        <w:right w:val="none" w:sz="0" w:space="0" w:color="auto"/>
      </w:divBdr>
    </w:div>
    <w:div w:id="528184070">
      <w:bodyDiv w:val="1"/>
      <w:marLeft w:val="0"/>
      <w:marRight w:val="0"/>
      <w:marTop w:val="0"/>
      <w:marBottom w:val="0"/>
      <w:divBdr>
        <w:top w:val="none" w:sz="0" w:space="0" w:color="auto"/>
        <w:left w:val="none" w:sz="0" w:space="0" w:color="auto"/>
        <w:bottom w:val="none" w:sz="0" w:space="0" w:color="auto"/>
        <w:right w:val="none" w:sz="0" w:space="0" w:color="auto"/>
      </w:divBdr>
    </w:div>
    <w:div w:id="531771441">
      <w:bodyDiv w:val="1"/>
      <w:marLeft w:val="0"/>
      <w:marRight w:val="0"/>
      <w:marTop w:val="0"/>
      <w:marBottom w:val="0"/>
      <w:divBdr>
        <w:top w:val="none" w:sz="0" w:space="0" w:color="auto"/>
        <w:left w:val="none" w:sz="0" w:space="0" w:color="auto"/>
        <w:bottom w:val="none" w:sz="0" w:space="0" w:color="auto"/>
        <w:right w:val="none" w:sz="0" w:space="0" w:color="auto"/>
      </w:divBdr>
    </w:div>
    <w:div w:id="533543396">
      <w:bodyDiv w:val="1"/>
      <w:marLeft w:val="0"/>
      <w:marRight w:val="0"/>
      <w:marTop w:val="0"/>
      <w:marBottom w:val="0"/>
      <w:divBdr>
        <w:top w:val="none" w:sz="0" w:space="0" w:color="auto"/>
        <w:left w:val="none" w:sz="0" w:space="0" w:color="auto"/>
        <w:bottom w:val="none" w:sz="0" w:space="0" w:color="auto"/>
        <w:right w:val="none" w:sz="0" w:space="0" w:color="auto"/>
      </w:divBdr>
    </w:div>
    <w:div w:id="539822983">
      <w:bodyDiv w:val="1"/>
      <w:marLeft w:val="0"/>
      <w:marRight w:val="0"/>
      <w:marTop w:val="0"/>
      <w:marBottom w:val="0"/>
      <w:divBdr>
        <w:top w:val="none" w:sz="0" w:space="0" w:color="auto"/>
        <w:left w:val="none" w:sz="0" w:space="0" w:color="auto"/>
        <w:bottom w:val="none" w:sz="0" w:space="0" w:color="auto"/>
        <w:right w:val="none" w:sz="0" w:space="0" w:color="auto"/>
      </w:divBdr>
    </w:div>
    <w:div w:id="542063543">
      <w:bodyDiv w:val="1"/>
      <w:marLeft w:val="0"/>
      <w:marRight w:val="0"/>
      <w:marTop w:val="0"/>
      <w:marBottom w:val="0"/>
      <w:divBdr>
        <w:top w:val="none" w:sz="0" w:space="0" w:color="auto"/>
        <w:left w:val="none" w:sz="0" w:space="0" w:color="auto"/>
        <w:bottom w:val="none" w:sz="0" w:space="0" w:color="auto"/>
        <w:right w:val="none" w:sz="0" w:space="0" w:color="auto"/>
      </w:divBdr>
    </w:div>
    <w:div w:id="544561327">
      <w:bodyDiv w:val="1"/>
      <w:marLeft w:val="0"/>
      <w:marRight w:val="0"/>
      <w:marTop w:val="0"/>
      <w:marBottom w:val="0"/>
      <w:divBdr>
        <w:top w:val="none" w:sz="0" w:space="0" w:color="auto"/>
        <w:left w:val="none" w:sz="0" w:space="0" w:color="auto"/>
        <w:bottom w:val="none" w:sz="0" w:space="0" w:color="auto"/>
        <w:right w:val="none" w:sz="0" w:space="0" w:color="auto"/>
      </w:divBdr>
    </w:div>
    <w:div w:id="549347594">
      <w:bodyDiv w:val="1"/>
      <w:marLeft w:val="0"/>
      <w:marRight w:val="0"/>
      <w:marTop w:val="0"/>
      <w:marBottom w:val="0"/>
      <w:divBdr>
        <w:top w:val="none" w:sz="0" w:space="0" w:color="auto"/>
        <w:left w:val="none" w:sz="0" w:space="0" w:color="auto"/>
        <w:bottom w:val="none" w:sz="0" w:space="0" w:color="auto"/>
        <w:right w:val="none" w:sz="0" w:space="0" w:color="auto"/>
      </w:divBdr>
    </w:div>
    <w:div w:id="558438584">
      <w:bodyDiv w:val="1"/>
      <w:marLeft w:val="0"/>
      <w:marRight w:val="0"/>
      <w:marTop w:val="0"/>
      <w:marBottom w:val="0"/>
      <w:divBdr>
        <w:top w:val="none" w:sz="0" w:space="0" w:color="auto"/>
        <w:left w:val="none" w:sz="0" w:space="0" w:color="auto"/>
        <w:bottom w:val="none" w:sz="0" w:space="0" w:color="auto"/>
        <w:right w:val="none" w:sz="0" w:space="0" w:color="auto"/>
      </w:divBdr>
    </w:div>
    <w:div w:id="561253527">
      <w:bodyDiv w:val="1"/>
      <w:marLeft w:val="0"/>
      <w:marRight w:val="0"/>
      <w:marTop w:val="0"/>
      <w:marBottom w:val="0"/>
      <w:divBdr>
        <w:top w:val="none" w:sz="0" w:space="0" w:color="auto"/>
        <w:left w:val="none" w:sz="0" w:space="0" w:color="auto"/>
        <w:bottom w:val="none" w:sz="0" w:space="0" w:color="auto"/>
        <w:right w:val="none" w:sz="0" w:space="0" w:color="auto"/>
      </w:divBdr>
    </w:div>
    <w:div w:id="564099876">
      <w:bodyDiv w:val="1"/>
      <w:marLeft w:val="0"/>
      <w:marRight w:val="0"/>
      <w:marTop w:val="0"/>
      <w:marBottom w:val="0"/>
      <w:divBdr>
        <w:top w:val="none" w:sz="0" w:space="0" w:color="auto"/>
        <w:left w:val="none" w:sz="0" w:space="0" w:color="auto"/>
        <w:bottom w:val="none" w:sz="0" w:space="0" w:color="auto"/>
        <w:right w:val="none" w:sz="0" w:space="0" w:color="auto"/>
      </w:divBdr>
    </w:div>
    <w:div w:id="567031028">
      <w:bodyDiv w:val="1"/>
      <w:marLeft w:val="0"/>
      <w:marRight w:val="0"/>
      <w:marTop w:val="0"/>
      <w:marBottom w:val="0"/>
      <w:divBdr>
        <w:top w:val="none" w:sz="0" w:space="0" w:color="auto"/>
        <w:left w:val="none" w:sz="0" w:space="0" w:color="auto"/>
        <w:bottom w:val="none" w:sz="0" w:space="0" w:color="auto"/>
        <w:right w:val="none" w:sz="0" w:space="0" w:color="auto"/>
      </w:divBdr>
      <w:divsChild>
        <w:div w:id="1505973862">
          <w:marLeft w:val="0"/>
          <w:marRight w:val="0"/>
          <w:marTop w:val="0"/>
          <w:marBottom w:val="0"/>
          <w:divBdr>
            <w:top w:val="none" w:sz="0" w:space="0" w:color="auto"/>
            <w:left w:val="none" w:sz="0" w:space="0" w:color="auto"/>
            <w:bottom w:val="none" w:sz="0" w:space="0" w:color="auto"/>
            <w:right w:val="none" w:sz="0" w:space="0" w:color="auto"/>
          </w:divBdr>
          <w:divsChild>
            <w:div w:id="1917087394">
              <w:marLeft w:val="0"/>
              <w:marRight w:val="0"/>
              <w:marTop w:val="0"/>
              <w:marBottom w:val="0"/>
              <w:divBdr>
                <w:top w:val="none" w:sz="0" w:space="0" w:color="auto"/>
                <w:left w:val="none" w:sz="0" w:space="0" w:color="auto"/>
                <w:bottom w:val="none" w:sz="0" w:space="0" w:color="auto"/>
                <w:right w:val="none" w:sz="0" w:space="0" w:color="auto"/>
              </w:divBdr>
              <w:divsChild>
                <w:div w:id="210857644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74052655">
      <w:bodyDiv w:val="1"/>
      <w:marLeft w:val="0"/>
      <w:marRight w:val="0"/>
      <w:marTop w:val="0"/>
      <w:marBottom w:val="0"/>
      <w:divBdr>
        <w:top w:val="none" w:sz="0" w:space="0" w:color="auto"/>
        <w:left w:val="none" w:sz="0" w:space="0" w:color="auto"/>
        <w:bottom w:val="none" w:sz="0" w:space="0" w:color="auto"/>
        <w:right w:val="none" w:sz="0" w:space="0" w:color="auto"/>
      </w:divBdr>
    </w:div>
    <w:div w:id="578637231">
      <w:bodyDiv w:val="1"/>
      <w:marLeft w:val="0"/>
      <w:marRight w:val="0"/>
      <w:marTop w:val="0"/>
      <w:marBottom w:val="0"/>
      <w:divBdr>
        <w:top w:val="none" w:sz="0" w:space="0" w:color="auto"/>
        <w:left w:val="none" w:sz="0" w:space="0" w:color="auto"/>
        <w:bottom w:val="none" w:sz="0" w:space="0" w:color="auto"/>
        <w:right w:val="none" w:sz="0" w:space="0" w:color="auto"/>
      </w:divBdr>
    </w:div>
    <w:div w:id="580483004">
      <w:bodyDiv w:val="1"/>
      <w:marLeft w:val="0"/>
      <w:marRight w:val="0"/>
      <w:marTop w:val="0"/>
      <w:marBottom w:val="0"/>
      <w:divBdr>
        <w:top w:val="none" w:sz="0" w:space="0" w:color="auto"/>
        <w:left w:val="none" w:sz="0" w:space="0" w:color="auto"/>
        <w:bottom w:val="none" w:sz="0" w:space="0" w:color="auto"/>
        <w:right w:val="none" w:sz="0" w:space="0" w:color="auto"/>
      </w:divBdr>
    </w:div>
    <w:div w:id="583345434">
      <w:bodyDiv w:val="1"/>
      <w:marLeft w:val="0"/>
      <w:marRight w:val="0"/>
      <w:marTop w:val="0"/>
      <w:marBottom w:val="0"/>
      <w:divBdr>
        <w:top w:val="none" w:sz="0" w:space="0" w:color="auto"/>
        <w:left w:val="none" w:sz="0" w:space="0" w:color="auto"/>
        <w:bottom w:val="none" w:sz="0" w:space="0" w:color="auto"/>
        <w:right w:val="none" w:sz="0" w:space="0" w:color="auto"/>
      </w:divBdr>
    </w:div>
    <w:div w:id="592785102">
      <w:bodyDiv w:val="1"/>
      <w:marLeft w:val="0"/>
      <w:marRight w:val="0"/>
      <w:marTop w:val="0"/>
      <w:marBottom w:val="0"/>
      <w:divBdr>
        <w:top w:val="none" w:sz="0" w:space="0" w:color="auto"/>
        <w:left w:val="none" w:sz="0" w:space="0" w:color="auto"/>
        <w:bottom w:val="none" w:sz="0" w:space="0" w:color="auto"/>
        <w:right w:val="none" w:sz="0" w:space="0" w:color="auto"/>
      </w:divBdr>
    </w:div>
    <w:div w:id="595751524">
      <w:bodyDiv w:val="1"/>
      <w:marLeft w:val="0"/>
      <w:marRight w:val="0"/>
      <w:marTop w:val="0"/>
      <w:marBottom w:val="0"/>
      <w:divBdr>
        <w:top w:val="none" w:sz="0" w:space="0" w:color="auto"/>
        <w:left w:val="none" w:sz="0" w:space="0" w:color="auto"/>
        <w:bottom w:val="none" w:sz="0" w:space="0" w:color="auto"/>
        <w:right w:val="none" w:sz="0" w:space="0" w:color="auto"/>
      </w:divBdr>
    </w:div>
    <w:div w:id="603533527">
      <w:bodyDiv w:val="1"/>
      <w:marLeft w:val="0"/>
      <w:marRight w:val="0"/>
      <w:marTop w:val="0"/>
      <w:marBottom w:val="0"/>
      <w:divBdr>
        <w:top w:val="none" w:sz="0" w:space="0" w:color="auto"/>
        <w:left w:val="none" w:sz="0" w:space="0" w:color="auto"/>
        <w:bottom w:val="none" w:sz="0" w:space="0" w:color="auto"/>
        <w:right w:val="none" w:sz="0" w:space="0" w:color="auto"/>
      </w:divBdr>
    </w:div>
    <w:div w:id="616108822">
      <w:bodyDiv w:val="1"/>
      <w:marLeft w:val="0"/>
      <w:marRight w:val="0"/>
      <w:marTop w:val="0"/>
      <w:marBottom w:val="0"/>
      <w:divBdr>
        <w:top w:val="none" w:sz="0" w:space="0" w:color="auto"/>
        <w:left w:val="none" w:sz="0" w:space="0" w:color="auto"/>
        <w:bottom w:val="none" w:sz="0" w:space="0" w:color="auto"/>
        <w:right w:val="none" w:sz="0" w:space="0" w:color="auto"/>
      </w:divBdr>
    </w:div>
    <w:div w:id="621423098">
      <w:bodyDiv w:val="1"/>
      <w:marLeft w:val="0"/>
      <w:marRight w:val="0"/>
      <w:marTop w:val="0"/>
      <w:marBottom w:val="0"/>
      <w:divBdr>
        <w:top w:val="none" w:sz="0" w:space="0" w:color="auto"/>
        <w:left w:val="none" w:sz="0" w:space="0" w:color="auto"/>
        <w:bottom w:val="none" w:sz="0" w:space="0" w:color="auto"/>
        <w:right w:val="none" w:sz="0" w:space="0" w:color="auto"/>
      </w:divBdr>
    </w:div>
    <w:div w:id="628320461">
      <w:bodyDiv w:val="1"/>
      <w:marLeft w:val="0"/>
      <w:marRight w:val="0"/>
      <w:marTop w:val="0"/>
      <w:marBottom w:val="0"/>
      <w:divBdr>
        <w:top w:val="none" w:sz="0" w:space="0" w:color="auto"/>
        <w:left w:val="none" w:sz="0" w:space="0" w:color="auto"/>
        <w:bottom w:val="none" w:sz="0" w:space="0" w:color="auto"/>
        <w:right w:val="none" w:sz="0" w:space="0" w:color="auto"/>
      </w:divBdr>
    </w:div>
    <w:div w:id="629701518">
      <w:bodyDiv w:val="1"/>
      <w:marLeft w:val="0"/>
      <w:marRight w:val="0"/>
      <w:marTop w:val="0"/>
      <w:marBottom w:val="0"/>
      <w:divBdr>
        <w:top w:val="none" w:sz="0" w:space="0" w:color="auto"/>
        <w:left w:val="none" w:sz="0" w:space="0" w:color="auto"/>
        <w:bottom w:val="none" w:sz="0" w:space="0" w:color="auto"/>
        <w:right w:val="none" w:sz="0" w:space="0" w:color="auto"/>
      </w:divBdr>
    </w:div>
    <w:div w:id="634994706">
      <w:bodyDiv w:val="1"/>
      <w:marLeft w:val="0"/>
      <w:marRight w:val="0"/>
      <w:marTop w:val="0"/>
      <w:marBottom w:val="0"/>
      <w:divBdr>
        <w:top w:val="none" w:sz="0" w:space="0" w:color="auto"/>
        <w:left w:val="none" w:sz="0" w:space="0" w:color="auto"/>
        <w:bottom w:val="none" w:sz="0" w:space="0" w:color="auto"/>
        <w:right w:val="none" w:sz="0" w:space="0" w:color="auto"/>
      </w:divBdr>
    </w:div>
    <w:div w:id="640311503">
      <w:bodyDiv w:val="1"/>
      <w:marLeft w:val="0"/>
      <w:marRight w:val="0"/>
      <w:marTop w:val="0"/>
      <w:marBottom w:val="0"/>
      <w:divBdr>
        <w:top w:val="none" w:sz="0" w:space="0" w:color="auto"/>
        <w:left w:val="none" w:sz="0" w:space="0" w:color="auto"/>
        <w:bottom w:val="none" w:sz="0" w:space="0" w:color="auto"/>
        <w:right w:val="none" w:sz="0" w:space="0" w:color="auto"/>
      </w:divBdr>
    </w:div>
    <w:div w:id="647242677">
      <w:bodyDiv w:val="1"/>
      <w:marLeft w:val="0"/>
      <w:marRight w:val="0"/>
      <w:marTop w:val="0"/>
      <w:marBottom w:val="0"/>
      <w:divBdr>
        <w:top w:val="none" w:sz="0" w:space="0" w:color="auto"/>
        <w:left w:val="none" w:sz="0" w:space="0" w:color="auto"/>
        <w:bottom w:val="none" w:sz="0" w:space="0" w:color="auto"/>
        <w:right w:val="none" w:sz="0" w:space="0" w:color="auto"/>
      </w:divBdr>
      <w:divsChild>
        <w:div w:id="1945456830">
          <w:marLeft w:val="0"/>
          <w:marRight w:val="0"/>
          <w:marTop w:val="0"/>
          <w:marBottom w:val="0"/>
          <w:divBdr>
            <w:top w:val="none" w:sz="0" w:space="0" w:color="auto"/>
            <w:left w:val="none" w:sz="0" w:space="0" w:color="auto"/>
            <w:bottom w:val="none" w:sz="0" w:space="0" w:color="auto"/>
            <w:right w:val="none" w:sz="0" w:space="0" w:color="auto"/>
          </w:divBdr>
          <w:divsChild>
            <w:div w:id="755638674">
              <w:marLeft w:val="0"/>
              <w:marRight w:val="0"/>
              <w:marTop w:val="0"/>
              <w:marBottom w:val="0"/>
              <w:divBdr>
                <w:top w:val="none" w:sz="0" w:space="0" w:color="auto"/>
                <w:left w:val="none" w:sz="0" w:space="0" w:color="auto"/>
                <w:bottom w:val="none" w:sz="0" w:space="0" w:color="auto"/>
                <w:right w:val="none" w:sz="0" w:space="0" w:color="auto"/>
              </w:divBdr>
              <w:divsChild>
                <w:div w:id="199722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88044">
      <w:bodyDiv w:val="1"/>
      <w:marLeft w:val="0"/>
      <w:marRight w:val="0"/>
      <w:marTop w:val="0"/>
      <w:marBottom w:val="0"/>
      <w:divBdr>
        <w:top w:val="none" w:sz="0" w:space="0" w:color="auto"/>
        <w:left w:val="none" w:sz="0" w:space="0" w:color="auto"/>
        <w:bottom w:val="none" w:sz="0" w:space="0" w:color="auto"/>
        <w:right w:val="none" w:sz="0" w:space="0" w:color="auto"/>
      </w:divBdr>
    </w:div>
    <w:div w:id="660425980">
      <w:bodyDiv w:val="1"/>
      <w:marLeft w:val="0"/>
      <w:marRight w:val="0"/>
      <w:marTop w:val="0"/>
      <w:marBottom w:val="0"/>
      <w:divBdr>
        <w:top w:val="none" w:sz="0" w:space="0" w:color="auto"/>
        <w:left w:val="none" w:sz="0" w:space="0" w:color="auto"/>
        <w:bottom w:val="none" w:sz="0" w:space="0" w:color="auto"/>
        <w:right w:val="none" w:sz="0" w:space="0" w:color="auto"/>
      </w:divBdr>
    </w:div>
    <w:div w:id="668674622">
      <w:bodyDiv w:val="1"/>
      <w:marLeft w:val="0"/>
      <w:marRight w:val="0"/>
      <w:marTop w:val="0"/>
      <w:marBottom w:val="0"/>
      <w:divBdr>
        <w:top w:val="none" w:sz="0" w:space="0" w:color="auto"/>
        <w:left w:val="none" w:sz="0" w:space="0" w:color="auto"/>
        <w:bottom w:val="none" w:sz="0" w:space="0" w:color="auto"/>
        <w:right w:val="none" w:sz="0" w:space="0" w:color="auto"/>
      </w:divBdr>
    </w:div>
    <w:div w:id="668754355">
      <w:bodyDiv w:val="1"/>
      <w:marLeft w:val="0"/>
      <w:marRight w:val="0"/>
      <w:marTop w:val="0"/>
      <w:marBottom w:val="0"/>
      <w:divBdr>
        <w:top w:val="none" w:sz="0" w:space="0" w:color="auto"/>
        <w:left w:val="none" w:sz="0" w:space="0" w:color="auto"/>
        <w:bottom w:val="none" w:sz="0" w:space="0" w:color="auto"/>
        <w:right w:val="none" w:sz="0" w:space="0" w:color="auto"/>
      </w:divBdr>
    </w:div>
    <w:div w:id="709689608">
      <w:bodyDiv w:val="1"/>
      <w:marLeft w:val="0"/>
      <w:marRight w:val="0"/>
      <w:marTop w:val="0"/>
      <w:marBottom w:val="0"/>
      <w:divBdr>
        <w:top w:val="none" w:sz="0" w:space="0" w:color="auto"/>
        <w:left w:val="none" w:sz="0" w:space="0" w:color="auto"/>
        <w:bottom w:val="none" w:sz="0" w:space="0" w:color="auto"/>
        <w:right w:val="none" w:sz="0" w:space="0" w:color="auto"/>
      </w:divBdr>
    </w:div>
    <w:div w:id="717514256">
      <w:bodyDiv w:val="1"/>
      <w:marLeft w:val="0"/>
      <w:marRight w:val="0"/>
      <w:marTop w:val="0"/>
      <w:marBottom w:val="0"/>
      <w:divBdr>
        <w:top w:val="none" w:sz="0" w:space="0" w:color="auto"/>
        <w:left w:val="none" w:sz="0" w:space="0" w:color="auto"/>
        <w:bottom w:val="none" w:sz="0" w:space="0" w:color="auto"/>
        <w:right w:val="none" w:sz="0" w:space="0" w:color="auto"/>
      </w:divBdr>
    </w:div>
    <w:div w:id="720637274">
      <w:bodyDiv w:val="1"/>
      <w:marLeft w:val="0"/>
      <w:marRight w:val="0"/>
      <w:marTop w:val="0"/>
      <w:marBottom w:val="0"/>
      <w:divBdr>
        <w:top w:val="none" w:sz="0" w:space="0" w:color="auto"/>
        <w:left w:val="none" w:sz="0" w:space="0" w:color="auto"/>
        <w:bottom w:val="none" w:sz="0" w:space="0" w:color="auto"/>
        <w:right w:val="none" w:sz="0" w:space="0" w:color="auto"/>
      </w:divBdr>
    </w:div>
    <w:div w:id="722407066">
      <w:bodyDiv w:val="1"/>
      <w:marLeft w:val="0"/>
      <w:marRight w:val="0"/>
      <w:marTop w:val="0"/>
      <w:marBottom w:val="0"/>
      <w:divBdr>
        <w:top w:val="none" w:sz="0" w:space="0" w:color="auto"/>
        <w:left w:val="none" w:sz="0" w:space="0" w:color="auto"/>
        <w:bottom w:val="none" w:sz="0" w:space="0" w:color="auto"/>
        <w:right w:val="none" w:sz="0" w:space="0" w:color="auto"/>
      </w:divBdr>
    </w:div>
    <w:div w:id="727919785">
      <w:bodyDiv w:val="1"/>
      <w:marLeft w:val="0"/>
      <w:marRight w:val="0"/>
      <w:marTop w:val="0"/>
      <w:marBottom w:val="0"/>
      <w:divBdr>
        <w:top w:val="none" w:sz="0" w:space="0" w:color="auto"/>
        <w:left w:val="none" w:sz="0" w:space="0" w:color="auto"/>
        <w:bottom w:val="none" w:sz="0" w:space="0" w:color="auto"/>
        <w:right w:val="none" w:sz="0" w:space="0" w:color="auto"/>
      </w:divBdr>
    </w:div>
    <w:div w:id="731737184">
      <w:bodyDiv w:val="1"/>
      <w:marLeft w:val="0"/>
      <w:marRight w:val="0"/>
      <w:marTop w:val="0"/>
      <w:marBottom w:val="0"/>
      <w:divBdr>
        <w:top w:val="none" w:sz="0" w:space="0" w:color="auto"/>
        <w:left w:val="none" w:sz="0" w:space="0" w:color="auto"/>
        <w:bottom w:val="none" w:sz="0" w:space="0" w:color="auto"/>
        <w:right w:val="none" w:sz="0" w:space="0" w:color="auto"/>
      </w:divBdr>
    </w:div>
    <w:div w:id="731999301">
      <w:bodyDiv w:val="1"/>
      <w:marLeft w:val="0"/>
      <w:marRight w:val="0"/>
      <w:marTop w:val="0"/>
      <w:marBottom w:val="0"/>
      <w:divBdr>
        <w:top w:val="none" w:sz="0" w:space="0" w:color="auto"/>
        <w:left w:val="none" w:sz="0" w:space="0" w:color="auto"/>
        <w:bottom w:val="none" w:sz="0" w:space="0" w:color="auto"/>
        <w:right w:val="none" w:sz="0" w:space="0" w:color="auto"/>
      </w:divBdr>
    </w:div>
    <w:div w:id="752554998">
      <w:bodyDiv w:val="1"/>
      <w:marLeft w:val="0"/>
      <w:marRight w:val="0"/>
      <w:marTop w:val="0"/>
      <w:marBottom w:val="0"/>
      <w:divBdr>
        <w:top w:val="none" w:sz="0" w:space="0" w:color="auto"/>
        <w:left w:val="none" w:sz="0" w:space="0" w:color="auto"/>
        <w:bottom w:val="none" w:sz="0" w:space="0" w:color="auto"/>
        <w:right w:val="none" w:sz="0" w:space="0" w:color="auto"/>
      </w:divBdr>
    </w:div>
    <w:div w:id="759713705">
      <w:bodyDiv w:val="1"/>
      <w:marLeft w:val="0"/>
      <w:marRight w:val="0"/>
      <w:marTop w:val="0"/>
      <w:marBottom w:val="0"/>
      <w:divBdr>
        <w:top w:val="none" w:sz="0" w:space="0" w:color="auto"/>
        <w:left w:val="none" w:sz="0" w:space="0" w:color="auto"/>
        <w:bottom w:val="none" w:sz="0" w:space="0" w:color="auto"/>
        <w:right w:val="none" w:sz="0" w:space="0" w:color="auto"/>
      </w:divBdr>
    </w:div>
    <w:div w:id="767847168">
      <w:bodyDiv w:val="1"/>
      <w:marLeft w:val="0"/>
      <w:marRight w:val="0"/>
      <w:marTop w:val="0"/>
      <w:marBottom w:val="0"/>
      <w:divBdr>
        <w:top w:val="none" w:sz="0" w:space="0" w:color="auto"/>
        <w:left w:val="none" w:sz="0" w:space="0" w:color="auto"/>
        <w:bottom w:val="none" w:sz="0" w:space="0" w:color="auto"/>
        <w:right w:val="none" w:sz="0" w:space="0" w:color="auto"/>
      </w:divBdr>
    </w:div>
    <w:div w:id="777525676">
      <w:bodyDiv w:val="1"/>
      <w:marLeft w:val="0"/>
      <w:marRight w:val="0"/>
      <w:marTop w:val="0"/>
      <w:marBottom w:val="0"/>
      <w:divBdr>
        <w:top w:val="none" w:sz="0" w:space="0" w:color="auto"/>
        <w:left w:val="none" w:sz="0" w:space="0" w:color="auto"/>
        <w:bottom w:val="none" w:sz="0" w:space="0" w:color="auto"/>
        <w:right w:val="none" w:sz="0" w:space="0" w:color="auto"/>
      </w:divBdr>
    </w:div>
    <w:div w:id="780957764">
      <w:bodyDiv w:val="1"/>
      <w:marLeft w:val="0"/>
      <w:marRight w:val="0"/>
      <w:marTop w:val="0"/>
      <w:marBottom w:val="0"/>
      <w:divBdr>
        <w:top w:val="none" w:sz="0" w:space="0" w:color="auto"/>
        <w:left w:val="none" w:sz="0" w:space="0" w:color="auto"/>
        <w:bottom w:val="none" w:sz="0" w:space="0" w:color="auto"/>
        <w:right w:val="none" w:sz="0" w:space="0" w:color="auto"/>
      </w:divBdr>
    </w:div>
    <w:div w:id="782656303">
      <w:bodyDiv w:val="1"/>
      <w:marLeft w:val="0"/>
      <w:marRight w:val="0"/>
      <w:marTop w:val="0"/>
      <w:marBottom w:val="0"/>
      <w:divBdr>
        <w:top w:val="none" w:sz="0" w:space="0" w:color="auto"/>
        <w:left w:val="none" w:sz="0" w:space="0" w:color="auto"/>
        <w:bottom w:val="none" w:sz="0" w:space="0" w:color="auto"/>
        <w:right w:val="none" w:sz="0" w:space="0" w:color="auto"/>
      </w:divBdr>
    </w:div>
    <w:div w:id="784274723">
      <w:bodyDiv w:val="1"/>
      <w:marLeft w:val="0"/>
      <w:marRight w:val="0"/>
      <w:marTop w:val="0"/>
      <w:marBottom w:val="0"/>
      <w:divBdr>
        <w:top w:val="none" w:sz="0" w:space="0" w:color="auto"/>
        <w:left w:val="none" w:sz="0" w:space="0" w:color="auto"/>
        <w:bottom w:val="none" w:sz="0" w:space="0" w:color="auto"/>
        <w:right w:val="none" w:sz="0" w:space="0" w:color="auto"/>
      </w:divBdr>
    </w:div>
    <w:div w:id="786505045">
      <w:bodyDiv w:val="1"/>
      <w:marLeft w:val="0"/>
      <w:marRight w:val="0"/>
      <w:marTop w:val="0"/>
      <w:marBottom w:val="0"/>
      <w:divBdr>
        <w:top w:val="none" w:sz="0" w:space="0" w:color="auto"/>
        <w:left w:val="none" w:sz="0" w:space="0" w:color="auto"/>
        <w:bottom w:val="none" w:sz="0" w:space="0" w:color="auto"/>
        <w:right w:val="none" w:sz="0" w:space="0" w:color="auto"/>
      </w:divBdr>
    </w:div>
    <w:div w:id="817571004">
      <w:bodyDiv w:val="1"/>
      <w:marLeft w:val="0"/>
      <w:marRight w:val="0"/>
      <w:marTop w:val="0"/>
      <w:marBottom w:val="0"/>
      <w:divBdr>
        <w:top w:val="none" w:sz="0" w:space="0" w:color="auto"/>
        <w:left w:val="none" w:sz="0" w:space="0" w:color="auto"/>
        <w:bottom w:val="none" w:sz="0" w:space="0" w:color="auto"/>
        <w:right w:val="none" w:sz="0" w:space="0" w:color="auto"/>
      </w:divBdr>
    </w:div>
    <w:div w:id="825898871">
      <w:bodyDiv w:val="1"/>
      <w:marLeft w:val="0"/>
      <w:marRight w:val="0"/>
      <w:marTop w:val="0"/>
      <w:marBottom w:val="0"/>
      <w:divBdr>
        <w:top w:val="none" w:sz="0" w:space="0" w:color="auto"/>
        <w:left w:val="none" w:sz="0" w:space="0" w:color="auto"/>
        <w:bottom w:val="none" w:sz="0" w:space="0" w:color="auto"/>
        <w:right w:val="none" w:sz="0" w:space="0" w:color="auto"/>
      </w:divBdr>
    </w:div>
    <w:div w:id="826674856">
      <w:bodyDiv w:val="1"/>
      <w:marLeft w:val="0"/>
      <w:marRight w:val="0"/>
      <w:marTop w:val="0"/>
      <w:marBottom w:val="0"/>
      <w:divBdr>
        <w:top w:val="none" w:sz="0" w:space="0" w:color="auto"/>
        <w:left w:val="none" w:sz="0" w:space="0" w:color="auto"/>
        <w:bottom w:val="none" w:sz="0" w:space="0" w:color="auto"/>
        <w:right w:val="none" w:sz="0" w:space="0" w:color="auto"/>
      </w:divBdr>
    </w:div>
    <w:div w:id="838080169">
      <w:bodyDiv w:val="1"/>
      <w:marLeft w:val="0"/>
      <w:marRight w:val="0"/>
      <w:marTop w:val="0"/>
      <w:marBottom w:val="0"/>
      <w:divBdr>
        <w:top w:val="none" w:sz="0" w:space="0" w:color="auto"/>
        <w:left w:val="none" w:sz="0" w:space="0" w:color="auto"/>
        <w:bottom w:val="none" w:sz="0" w:space="0" w:color="auto"/>
        <w:right w:val="none" w:sz="0" w:space="0" w:color="auto"/>
      </w:divBdr>
    </w:div>
    <w:div w:id="859003211">
      <w:bodyDiv w:val="1"/>
      <w:marLeft w:val="0"/>
      <w:marRight w:val="0"/>
      <w:marTop w:val="0"/>
      <w:marBottom w:val="0"/>
      <w:divBdr>
        <w:top w:val="none" w:sz="0" w:space="0" w:color="auto"/>
        <w:left w:val="none" w:sz="0" w:space="0" w:color="auto"/>
        <w:bottom w:val="none" w:sz="0" w:space="0" w:color="auto"/>
        <w:right w:val="none" w:sz="0" w:space="0" w:color="auto"/>
      </w:divBdr>
    </w:div>
    <w:div w:id="868681570">
      <w:bodyDiv w:val="1"/>
      <w:marLeft w:val="0"/>
      <w:marRight w:val="0"/>
      <w:marTop w:val="0"/>
      <w:marBottom w:val="0"/>
      <w:divBdr>
        <w:top w:val="none" w:sz="0" w:space="0" w:color="auto"/>
        <w:left w:val="none" w:sz="0" w:space="0" w:color="auto"/>
        <w:bottom w:val="none" w:sz="0" w:space="0" w:color="auto"/>
        <w:right w:val="none" w:sz="0" w:space="0" w:color="auto"/>
      </w:divBdr>
    </w:div>
    <w:div w:id="874345569">
      <w:bodyDiv w:val="1"/>
      <w:marLeft w:val="0"/>
      <w:marRight w:val="0"/>
      <w:marTop w:val="0"/>
      <w:marBottom w:val="0"/>
      <w:divBdr>
        <w:top w:val="none" w:sz="0" w:space="0" w:color="auto"/>
        <w:left w:val="none" w:sz="0" w:space="0" w:color="auto"/>
        <w:bottom w:val="none" w:sz="0" w:space="0" w:color="auto"/>
        <w:right w:val="none" w:sz="0" w:space="0" w:color="auto"/>
      </w:divBdr>
    </w:div>
    <w:div w:id="878206547">
      <w:bodyDiv w:val="1"/>
      <w:marLeft w:val="0"/>
      <w:marRight w:val="0"/>
      <w:marTop w:val="0"/>
      <w:marBottom w:val="0"/>
      <w:divBdr>
        <w:top w:val="none" w:sz="0" w:space="0" w:color="auto"/>
        <w:left w:val="none" w:sz="0" w:space="0" w:color="auto"/>
        <w:bottom w:val="none" w:sz="0" w:space="0" w:color="auto"/>
        <w:right w:val="none" w:sz="0" w:space="0" w:color="auto"/>
      </w:divBdr>
    </w:div>
    <w:div w:id="882601675">
      <w:bodyDiv w:val="1"/>
      <w:marLeft w:val="0"/>
      <w:marRight w:val="0"/>
      <w:marTop w:val="0"/>
      <w:marBottom w:val="0"/>
      <w:divBdr>
        <w:top w:val="none" w:sz="0" w:space="0" w:color="auto"/>
        <w:left w:val="none" w:sz="0" w:space="0" w:color="auto"/>
        <w:bottom w:val="none" w:sz="0" w:space="0" w:color="auto"/>
        <w:right w:val="none" w:sz="0" w:space="0" w:color="auto"/>
      </w:divBdr>
    </w:div>
    <w:div w:id="882671129">
      <w:bodyDiv w:val="1"/>
      <w:marLeft w:val="0"/>
      <w:marRight w:val="0"/>
      <w:marTop w:val="0"/>
      <w:marBottom w:val="0"/>
      <w:divBdr>
        <w:top w:val="none" w:sz="0" w:space="0" w:color="auto"/>
        <w:left w:val="none" w:sz="0" w:space="0" w:color="auto"/>
        <w:bottom w:val="none" w:sz="0" w:space="0" w:color="auto"/>
        <w:right w:val="none" w:sz="0" w:space="0" w:color="auto"/>
      </w:divBdr>
    </w:div>
    <w:div w:id="891891956">
      <w:bodyDiv w:val="1"/>
      <w:marLeft w:val="0"/>
      <w:marRight w:val="0"/>
      <w:marTop w:val="0"/>
      <w:marBottom w:val="0"/>
      <w:divBdr>
        <w:top w:val="none" w:sz="0" w:space="0" w:color="auto"/>
        <w:left w:val="none" w:sz="0" w:space="0" w:color="auto"/>
        <w:bottom w:val="none" w:sz="0" w:space="0" w:color="auto"/>
        <w:right w:val="none" w:sz="0" w:space="0" w:color="auto"/>
      </w:divBdr>
    </w:div>
    <w:div w:id="916090253">
      <w:bodyDiv w:val="1"/>
      <w:marLeft w:val="0"/>
      <w:marRight w:val="0"/>
      <w:marTop w:val="0"/>
      <w:marBottom w:val="0"/>
      <w:divBdr>
        <w:top w:val="none" w:sz="0" w:space="0" w:color="auto"/>
        <w:left w:val="none" w:sz="0" w:space="0" w:color="auto"/>
        <w:bottom w:val="none" w:sz="0" w:space="0" w:color="auto"/>
        <w:right w:val="none" w:sz="0" w:space="0" w:color="auto"/>
      </w:divBdr>
      <w:divsChild>
        <w:div w:id="1803960432">
          <w:marLeft w:val="0"/>
          <w:marRight w:val="0"/>
          <w:marTop w:val="0"/>
          <w:marBottom w:val="0"/>
          <w:divBdr>
            <w:top w:val="none" w:sz="0" w:space="0" w:color="auto"/>
            <w:left w:val="none" w:sz="0" w:space="0" w:color="auto"/>
            <w:bottom w:val="none" w:sz="0" w:space="0" w:color="auto"/>
            <w:right w:val="none" w:sz="0" w:space="0" w:color="auto"/>
          </w:divBdr>
          <w:divsChild>
            <w:div w:id="1644580609">
              <w:marLeft w:val="0"/>
              <w:marRight w:val="0"/>
              <w:marTop w:val="0"/>
              <w:marBottom w:val="0"/>
              <w:divBdr>
                <w:top w:val="none" w:sz="0" w:space="0" w:color="auto"/>
                <w:left w:val="none" w:sz="0" w:space="0" w:color="auto"/>
                <w:bottom w:val="none" w:sz="0" w:space="0" w:color="auto"/>
                <w:right w:val="none" w:sz="0" w:space="0" w:color="auto"/>
              </w:divBdr>
              <w:divsChild>
                <w:div w:id="19634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440483">
      <w:bodyDiv w:val="1"/>
      <w:marLeft w:val="0"/>
      <w:marRight w:val="0"/>
      <w:marTop w:val="0"/>
      <w:marBottom w:val="0"/>
      <w:divBdr>
        <w:top w:val="none" w:sz="0" w:space="0" w:color="auto"/>
        <w:left w:val="none" w:sz="0" w:space="0" w:color="auto"/>
        <w:bottom w:val="none" w:sz="0" w:space="0" w:color="auto"/>
        <w:right w:val="none" w:sz="0" w:space="0" w:color="auto"/>
      </w:divBdr>
    </w:div>
    <w:div w:id="933979571">
      <w:bodyDiv w:val="1"/>
      <w:marLeft w:val="0"/>
      <w:marRight w:val="0"/>
      <w:marTop w:val="0"/>
      <w:marBottom w:val="0"/>
      <w:divBdr>
        <w:top w:val="none" w:sz="0" w:space="0" w:color="auto"/>
        <w:left w:val="none" w:sz="0" w:space="0" w:color="auto"/>
        <w:bottom w:val="none" w:sz="0" w:space="0" w:color="auto"/>
        <w:right w:val="none" w:sz="0" w:space="0" w:color="auto"/>
      </w:divBdr>
    </w:div>
    <w:div w:id="944852193">
      <w:bodyDiv w:val="1"/>
      <w:marLeft w:val="0"/>
      <w:marRight w:val="0"/>
      <w:marTop w:val="0"/>
      <w:marBottom w:val="0"/>
      <w:divBdr>
        <w:top w:val="none" w:sz="0" w:space="0" w:color="auto"/>
        <w:left w:val="none" w:sz="0" w:space="0" w:color="auto"/>
        <w:bottom w:val="none" w:sz="0" w:space="0" w:color="auto"/>
        <w:right w:val="none" w:sz="0" w:space="0" w:color="auto"/>
      </w:divBdr>
    </w:div>
    <w:div w:id="948124592">
      <w:bodyDiv w:val="1"/>
      <w:marLeft w:val="0"/>
      <w:marRight w:val="0"/>
      <w:marTop w:val="0"/>
      <w:marBottom w:val="0"/>
      <w:divBdr>
        <w:top w:val="none" w:sz="0" w:space="0" w:color="auto"/>
        <w:left w:val="none" w:sz="0" w:space="0" w:color="auto"/>
        <w:bottom w:val="none" w:sz="0" w:space="0" w:color="auto"/>
        <w:right w:val="none" w:sz="0" w:space="0" w:color="auto"/>
      </w:divBdr>
    </w:div>
    <w:div w:id="948394814">
      <w:bodyDiv w:val="1"/>
      <w:marLeft w:val="0"/>
      <w:marRight w:val="0"/>
      <w:marTop w:val="0"/>
      <w:marBottom w:val="0"/>
      <w:divBdr>
        <w:top w:val="none" w:sz="0" w:space="0" w:color="auto"/>
        <w:left w:val="none" w:sz="0" w:space="0" w:color="auto"/>
        <w:bottom w:val="none" w:sz="0" w:space="0" w:color="auto"/>
        <w:right w:val="none" w:sz="0" w:space="0" w:color="auto"/>
      </w:divBdr>
    </w:div>
    <w:div w:id="950011967">
      <w:bodyDiv w:val="1"/>
      <w:marLeft w:val="0"/>
      <w:marRight w:val="0"/>
      <w:marTop w:val="0"/>
      <w:marBottom w:val="0"/>
      <w:divBdr>
        <w:top w:val="none" w:sz="0" w:space="0" w:color="auto"/>
        <w:left w:val="none" w:sz="0" w:space="0" w:color="auto"/>
        <w:bottom w:val="none" w:sz="0" w:space="0" w:color="auto"/>
        <w:right w:val="none" w:sz="0" w:space="0" w:color="auto"/>
      </w:divBdr>
    </w:div>
    <w:div w:id="953441639">
      <w:bodyDiv w:val="1"/>
      <w:marLeft w:val="0"/>
      <w:marRight w:val="0"/>
      <w:marTop w:val="0"/>
      <w:marBottom w:val="0"/>
      <w:divBdr>
        <w:top w:val="none" w:sz="0" w:space="0" w:color="auto"/>
        <w:left w:val="none" w:sz="0" w:space="0" w:color="auto"/>
        <w:bottom w:val="none" w:sz="0" w:space="0" w:color="auto"/>
        <w:right w:val="none" w:sz="0" w:space="0" w:color="auto"/>
      </w:divBdr>
    </w:div>
    <w:div w:id="954412643">
      <w:bodyDiv w:val="1"/>
      <w:marLeft w:val="0"/>
      <w:marRight w:val="0"/>
      <w:marTop w:val="0"/>
      <w:marBottom w:val="0"/>
      <w:divBdr>
        <w:top w:val="none" w:sz="0" w:space="0" w:color="auto"/>
        <w:left w:val="none" w:sz="0" w:space="0" w:color="auto"/>
        <w:bottom w:val="none" w:sz="0" w:space="0" w:color="auto"/>
        <w:right w:val="none" w:sz="0" w:space="0" w:color="auto"/>
      </w:divBdr>
      <w:divsChild>
        <w:div w:id="1142313524">
          <w:marLeft w:val="0"/>
          <w:marRight w:val="0"/>
          <w:marTop w:val="0"/>
          <w:marBottom w:val="0"/>
          <w:divBdr>
            <w:top w:val="none" w:sz="0" w:space="0" w:color="auto"/>
            <w:left w:val="none" w:sz="0" w:space="0" w:color="auto"/>
            <w:bottom w:val="none" w:sz="0" w:space="0" w:color="auto"/>
            <w:right w:val="none" w:sz="0" w:space="0" w:color="auto"/>
          </w:divBdr>
          <w:divsChild>
            <w:div w:id="699739361">
              <w:marLeft w:val="0"/>
              <w:marRight w:val="0"/>
              <w:marTop w:val="0"/>
              <w:marBottom w:val="0"/>
              <w:divBdr>
                <w:top w:val="none" w:sz="0" w:space="0" w:color="auto"/>
                <w:left w:val="none" w:sz="0" w:space="0" w:color="auto"/>
                <w:bottom w:val="none" w:sz="0" w:space="0" w:color="auto"/>
                <w:right w:val="none" w:sz="0" w:space="0" w:color="auto"/>
              </w:divBdr>
              <w:divsChild>
                <w:div w:id="81580547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70749003">
      <w:bodyDiv w:val="1"/>
      <w:marLeft w:val="0"/>
      <w:marRight w:val="0"/>
      <w:marTop w:val="0"/>
      <w:marBottom w:val="0"/>
      <w:divBdr>
        <w:top w:val="none" w:sz="0" w:space="0" w:color="auto"/>
        <w:left w:val="none" w:sz="0" w:space="0" w:color="auto"/>
        <w:bottom w:val="none" w:sz="0" w:space="0" w:color="auto"/>
        <w:right w:val="none" w:sz="0" w:space="0" w:color="auto"/>
      </w:divBdr>
    </w:div>
    <w:div w:id="977763442">
      <w:bodyDiv w:val="1"/>
      <w:marLeft w:val="0"/>
      <w:marRight w:val="0"/>
      <w:marTop w:val="0"/>
      <w:marBottom w:val="0"/>
      <w:divBdr>
        <w:top w:val="none" w:sz="0" w:space="0" w:color="auto"/>
        <w:left w:val="none" w:sz="0" w:space="0" w:color="auto"/>
        <w:bottom w:val="none" w:sz="0" w:space="0" w:color="auto"/>
        <w:right w:val="none" w:sz="0" w:space="0" w:color="auto"/>
      </w:divBdr>
    </w:div>
    <w:div w:id="981736911">
      <w:bodyDiv w:val="1"/>
      <w:marLeft w:val="0"/>
      <w:marRight w:val="0"/>
      <w:marTop w:val="0"/>
      <w:marBottom w:val="0"/>
      <w:divBdr>
        <w:top w:val="none" w:sz="0" w:space="0" w:color="auto"/>
        <w:left w:val="none" w:sz="0" w:space="0" w:color="auto"/>
        <w:bottom w:val="none" w:sz="0" w:space="0" w:color="auto"/>
        <w:right w:val="none" w:sz="0" w:space="0" w:color="auto"/>
      </w:divBdr>
    </w:div>
    <w:div w:id="989678274">
      <w:bodyDiv w:val="1"/>
      <w:marLeft w:val="0"/>
      <w:marRight w:val="0"/>
      <w:marTop w:val="0"/>
      <w:marBottom w:val="0"/>
      <w:divBdr>
        <w:top w:val="none" w:sz="0" w:space="0" w:color="auto"/>
        <w:left w:val="none" w:sz="0" w:space="0" w:color="auto"/>
        <w:bottom w:val="none" w:sz="0" w:space="0" w:color="auto"/>
        <w:right w:val="none" w:sz="0" w:space="0" w:color="auto"/>
      </w:divBdr>
    </w:div>
    <w:div w:id="1010645547">
      <w:bodyDiv w:val="1"/>
      <w:marLeft w:val="0"/>
      <w:marRight w:val="0"/>
      <w:marTop w:val="0"/>
      <w:marBottom w:val="0"/>
      <w:divBdr>
        <w:top w:val="none" w:sz="0" w:space="0" w:color="auto"/>
        <w:left w:val="none" w:sz="0" w:space="0" w:color="auto"/>
        <w:bottom w:val="none" w:sz="0" w:space="0" w:color="auto"/>
        <w:right w:val="none" w:sz="0" w:space="0" w:color="auto"/>
      </w:divBdr>
    </w:div>
    <w:div w:id="1016887950">
      <w:bodyDiv w:val="1"/>
      <w:marLeft w:val="0"/>
      <w:marRight w:val="0"/>
      <w:marTop w:val="0"/>
      <w:marBottom w:val="0"/>
      <w:divBdr>
        <w:top w:val="none" w:sz="0" w:space="0" w:color="auto"/>
        <w:left w:val="none" w:sz="0" w:space="0" w:color="auto"/>
        <w:bottom w:val="none" w:sz="0" w:space="0" w:color="auto"/>
        <w:right w:val="none" w:sz="0" w:space="0" w:color="auto"/>
      </w:divBdr>
    </w:div>
    <w:div w:id="1021395404">
      <w:bodyDiv w:val="1"/>
      <w:marLeft w:val="0"/>
      <w:marRight w:val="0"/>
      <w:marTop w:val="0"/>
      <w:marBottom w:val="0"/>
      <w:divBdr>
        <w:top w:val="none" w:sz="0" w:space="0" w:color="auto"/>
        <w:left w:val="none" w:sz="0" w:space="0" w:color="auto"/>
        <w:bottom w:val="none" w:sz="0" w:space="0" w:color="auto"/>
        <w:right w:val="none" w:sz="0" w:space="0" w:color="auto"/>
      </w:divBdr>
    </w:div>
    <w:div w:id="1022590308">
      <w:bodyDiv w:val="1"/>
      <w:marLeft w:val="0"/>
      <w:marRight w:val="0"/>
      <w:marTop w:val="0"/>
      <w:marBottom w:val="0"/>
      <w:divBdr>
        <w:top w:val="none" w:sz="0" w:space="0" w:color="auto"/>
        <w:left w:val="none" w:sz="0" w:space="0" w:color="auto"/>
        <w:bottom w:val="none" w:sz="0" w:space="0" w:color="auto"/>
        <w:right w:val="none" w:sz="0" w:space="0" w:color="auto"/>
      </w:divBdr>
    </w:div>
    <w:div w:id="1027296834">
      <w:bodyDiv w:val="1"/>
      <w:marLeft w:val="0"/>
      <w:marRight w:val="0"/>
      <w:marTop w:val="0"/>
      <w:marBottom w:val="0"/>
      <w:divBdr>
        <w:top w:val="none" w:sz="0" w:space="0" w:color="auto"/>
        <w:left w:val="none" w:sz="0" w:space="0" w:color="auto"/>
        <w:bottom w:val="none" w:sz="0" w:space="0" w:color="auto"/>
        <w:right w:val="none" w:sz="0" w:space="0" w:color="auto"/>
      </w:divBdr>
    </w:div>
    <w:div w:id="1048840822">
      <w:bodyDiv w:val="1"/>
      <w:marLeft w:val="0"/>
      <w:marRight w:val="0"/>
      <w:marTop w:val="0"/>
      <w:marBottom w:val="0"/>
      <w:divBdr>
        <w:top w:val="none" w:sz="0" w:space="0" w:color="auto"/>
        <w:left w:val="none" w:sz="0" w:space="0" w:color="auto"/>
        <w:bottom w:val="none" w:sz="0" w:space="0" w:color="auto"/>
        <w:right w:val="none" w:sz="0" w:space="0" w:color="auto"/>
      </w:divBdr>
    </w:div>
    <w:div w:id="1049300897">
      <w:bodyDiv w:val="1"/>
      <w:marLeft w:val="0"/>
      <w:marRight w:val="0"/>
      <w:marTop w:val="0"/>
      <w:marBottom w:val="0"/>
      <w:divBdr>
        <w:top w:val="none" w:sz="0" w:space="0" w:color="auto"/>
        <w:left w:val="none" w:sz="0" w:space="0" w:color="auto"/>
        <w:bottom w:val="none" w:sz="0" w:space="0" w:color="auto"/>
        <w:right w:val="none" w:sz="0" w:space="0" w:color="auto"/>
      </w:divBdr>
    </w:div>
    <w:div w:id="1050959552">
      <w:bodyDiv w:val="1"/>
      <w:marLeft w:val="0"/>
      <w:marRight w:val="0"/>
      <w:marTop w:val="0"/>
      <w:marBottom w:val="0"/>
      <w:divBdr>
        <w:top w:val="none" w:sz="0" w:space="0" w:color="auto"/>
        <w:left w:val="none" w:sz="0" w:space="0" w:color="auto"/>
        <w:bottom w:val="none" w:sz="0" w:space="0" w:color="auto"/>
        <w:right w:val="none" w:sz="0" w:space="0" w:color="auto"/>
      </w:divBdr>
    </w:div>
    <w:div w:id="1057437404">
      <w:bodyDiv w:val="1"/>
      <w:marLeft w:val="0"/>
      <w:marRight w:val="0"/>
      <w:marTop w:val="0"/>
      <w:marBottom w:val="0"/>
      <w:divBdr>
        <w:top w:val="none" w:sz="0" w:space="0" w:color="auto"/>
        <w:left w:val="none" w:sz="0" w:space="0" w:color="auto"/>
        <w:bottom w:val="none" w:sz="0" w:space="0" w:color="auto"/>
        <w:right w:val="none" w:sz="0" w:space="0" w:color="auto"/>
      </w:divBdr>
    </w:div>
    <w:div w:id="1057628450">
      <w:bodyDiv w:val="1"/>
      <w:marLeft w:val="0"/>
      <w:marRight w:val="0"/>
      <w:marTop w:val="0"/>
      <w:marBottom w:val="0"/>
      <w:divBdr>
        <w:top w:val="none" w:sz="0" w:space="0" w:color="auto"/>
        <w:left w:val="none" w:sz="0" w:space="0" w:color="auto"/>
        <w:bottom w:val="none" w:sz="0" w:space="0" w:color="auto"/>
        <w:right w:val="none" w:sz="0" w:space="0" w:color="auto"/>
      </w:divBdr>
    </w:div>
    <w:div w:id="1078403929">
      <w:bodyDiv w:val="1"/>
      <w:marLeft w:val="0"/>
      <w:marRight w:val="0"/>
      <w:marTop w:val="0"/>
      <w:marBottom w:val="0"/>
      <w:divBdr>
        <w:top w:val="none" w:sz="0" w:space="0" w:color="auto"/>
        <w:left w:val="none" w:sz="0" w:space="0" w:color="auto"/>
        <w:bottom w:val="none" w:sz="0" w:space="0" w:color="auto"/>
        <w:right w:val="none" w:sz="0" w:space="0" w:color="auto"/>
      </w:divBdr>
    </w:div>
    <w:div w:id="1079906602">
      <w:bodyDiv w:val="1"/>
      <w:marLeft w:val="0"/>
      <w:marRight w:val="0"/>
      <w:marTop w:val="0"/>
      <w:marBottom w:val="0"/>
      <w:divBdr>
        <w:top w:val="none" w:sz="0" w:space="0" w:color="auto"/>
        <w:left w:val="none" w:sz="0" w:space="0" w:color="auto"/>
        <w:bottom w:val="none" w:sz="0" w:space="0" w:color="auto"/>
        <w:right w:val="none" w:sz="0" w:space="0" w:color="auto"/>
      </w:divBdr>
    </w:div>
    <w:div w:id="1082486374">
      <w:bodyDiv w:val="1"/>
      <w:marLeft w:val="0"/>
      <w:marRight w:val="0"/>
      <w:marTop w:val="0"/>
      <w:marBottom w:val="0"/>
      <w:divBdr>
        <w:top w:val="none" w:sz="0" w:space="0" w:color="auto"/>
        <w:left w:val="none" w:sz="0" w:space="0" w:color="auto"/>
        <w:bottom w:val="none" w:sz="0" w:space="0" w:color="auto"/>
        <w:right w:val="none" w:sz="0" w:space="0" w:color="auto"/>
      </w:divBdr>
    </w:div>
    <w:div w:id="1102066332">
      <w:bodyDiv w:val="1"/>
      <w:marLeft w:val="0"/>
      <w:marRight w:val="0"/>
      <w:marTop w:val="0"/>
      <w:marBottom w:val="0"/>
      <w:divBdr>
        <w:top w:val="none" w:sz="0" w:space="0" w:color="auto"/>
        <w:left w:val="none" w:sz="0" w:space="0" w:color="auto"/>
        <w:bottom w:val="none" w:sz="0" w:space="0" w:color="auto"/>
        <w:right w:val="none" w:sz="0" w:space="0" w:color="auto"/>
      </w:divBdr>
    </w:div>
    <w:div w:id="1116094606">
      <w:bodyDiv w:val="1"/>
      <w:marLeft w:val="0"/>
      <w:marRight w:val="0"/>
      <w:marTop w:val="0"/>
      <w:marBottom w:val="0"/>
      <w:divBdr>
        <w:top w:val="none" w:sz="0" w:space="0" w:color="auto"/>
        <w:left w:val="none" w:sz="0" w:space="0" w:color="auto"/>
        <w:bottom w:val="none" w:sz="0" w:space="0" w:color="auto"/>
        <w:right w:val="none" w:sz="0" w:space="0" w:color="auto"/>
      </w:divBdr>
    </w:div>
    <w:div w:id="1120369730">
      <w:bodyDiv w:val="1"/>
      <w:marLeft w:val="0"/>
      <w:marRight w:val="0"/>
      <w:marTop w:val="0"/>
      <w:marBottom w:val="0"/>
      <w:divBdr>
        <w:top w:val="none" w:sz="0" w:space="0" w:color="auto"/>
        <w:left w:val="none" w:sz="0" w:space="0" w:color="auto"/>
        <w:bottom w:val="none" w:sz="0" w:space="0" w:color="auto"/>
        <w:right w:val="none" w:sz="0" w:space="0" w:color="auto"/>
      </w:divBdr>
    </w:div>
    <w:div w:id="1122068435">
      <w:bodyDiv w:val="1"/>
      <w:marLeft w:val="0"/>
      <w:marRight w:val="0"/>
      <w:marTop w:val="0"/>
      <w:marBottom w:val="0"/>
      <w:divBdr>
        <w:top w:val="none" w:sz="0" w:space="0" w:color="auto"/>
        <w:left w:val="none" w:sz="0" w:space="0" w:color="auto"/>
        <w:bottom w:val="none" w:sz="0" w:space="0" w:color="auto"/>
        <w:right w:val="none" w:sz="0" w:space="0" w:color="auto"/>
      </w:divBdr>
    </w:div>
    <w:div w:id="1126852322">
      <w:bodyDiv w:val="1"/>
      <w:marLeft w:val="0"/>
      <w:marRight w:val="0"/>
      <w:marTop w:val="0"/>
      <w:marBottom w:val="0"/>
      <w:divBdr>
        <w:top w:val="none" w:sz="0" w:space="0" w:color="auto"/>
        <w:left w:val="none" w:sz="0" w:space="0" w:color="auto"/>
        <w:bottom w:val="none" w:sz="0" w:space="0" w:color="auto"/>
        <w:right w:val="none" w:sz="0" w:space="0" w:color="auto"/>
      </w:divBdr>
    </w:div>
    <w:div w:id="1131287857">
      <w:bodyDiv w:val="1"/>
      <w:marLeft w:val="0"/>
      <w:marRight w:val="0"/>
      <w:marTop w:val="0"/>
      <w:marBottom w:val="0"/>
      <w:divBdr>
        <w:top w:val="none" w:sz="0" w:space="0" w:color="auto"/>
        <w:left w:val="none" w:sz="0" w:space="0" w:color="auto"/>
        <w:bottom w:val="none" w:sz="0" w:space="0" w:color="auto"/>
        <w:right w:val="none" w:sz="0" w:space="0" w:color="auto"/>
      </w:divBdr>
    </w:div>
    <w:div w:id="1134643208">
      <w:bodyDiv w:val="1"/>
      <w:marLeft w:val="0"/>
      <w:marRight w:val="0"/>
      <w:marTop w:val="0"/>
      <w:marBottom w:val="0"/>
      <w:divBdr>
        <w:top w:val="none" w:sz="0" w:space="0" w:color="auto"/>
        <w:left w:val="none" w:sz="0" w:space="0" w:color="auto"/>
        <w:bottom w:val="none" w:sz="0" w:space="0" w:color="auto"/>
        <w:right w:val="none" w:sz="0" w:space="0" w:color="auto"/>
      </w:divBdr>
    </w:div>
    <w:div w:id="1138064485">
      <w:bodyDiv w:val="1"/>
      <w:marLeft w:val="0"/>
      <w:marRight w:val="0"/>
      <w:marTop w:val="0"/>
      <w:marBottom w:val="0"/>
      <w:divBdr>
        <w:top w:val="none" w:sz="0" w:space="0" w:color="auto"/>
        <w:left w:val="none" w:sz="0" w:space="0" w:color="auto"/>
        <w:bottom w:val="none" w:sz="0" w:space="0" w:color="auto"/>
        <w:right w:val="none" w:sz="0" w:space="0" w:color="auto"/>
      </w:divBdr>
      <w:divsChild>
        <w:div w:id="23219047">
          <w:marLeft w:val="0"/>
          <w:marRight w:val="0"/>
          <w:marTop w:val="0"/>
          <w:marBottom w:val="0"/>
          <w:divBdr>
            <w:top w:val="none" w:sz="0" w:space="0" w:color="auto"/>
            <w:left w:val="none" w:sz="0" w:space="0" w:color="auto"/>
            <w:bottom w:val="none" w:sz="0" w:space="0" w:color="auto"/>
            <w:right w:val="none" w:sz="0" w:space="0" w:color="auto"/>
          </w:divBdr>
          <w:divsChild>
            <w:div w:id="1569614915">
              <w:marLeft w:val="0"/>
              <w:marRight w:val="0"/>
              <w:marTop w:val="0"/>
              <w:marBottom w:val="0"/>
              <w:divBdr>
                <w:top w:val="none" w:sz="0" w:space="0" w:color="auto"/>
                <w:left w:val="none" w:sz="0" w:space="0" w:color="auto"/>
                <w:bottom w:val="none" w:sz="0" w:space="0" w:color="auto"/>
                <w:right w:val="none" w:sz="0" w:space="0" w:color="auto"/>
              </w:divBdr>
              <w:divsChild>
                <w:div w:id="1410537856">
                  <w:marLeft w:val="0"/>
                  <w:marRight w:val="0"/>
                  <w:marTop w:val="0"/>
                  <w:marBottom w:val="0"/>
                  <w:divBdr>
                    <w:top w:val="none" w:sz="0" w:space="0" w:color="auto"/>
                    <w:left w:val="none" w:sz="0" w:space="0" w:color="auto"/>
                    <w:bottom w:val="none" w:sz="0" w:space="0" w:color="auto"/>
                    <w:right w:val="none" w:sz="0" w:space="0" w:color="auto"/>
                  </w:divBdr>
                  <w:divsChild>
                    <w:div w:id="94720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269509">
      <w:bodyDiv w:val="1"/>
      <w:marLeft w:val="0"/>
      <w:marRight w:val="0"/>
      <w:marTop w:val="0"/>
      <w:marBottom w:val="0"/>
      <w:divBdr>
        <w:top w:val="none" w:sz="0" w:space="0" w:color="auto"/>
        <w:left w:val="none" w:sz="0" w:space="0" w:color="auto"/>
        <w:bottom w:val="none" w:sz="0" w:space="0" w:color="auto"/>
        <w:right w:val="none" w:sz="0" w:space="0" w:color="auto"/>
      </w:divBdr>
    </w:div>
    <w:div w:id="1144392071">
      <w:bodyDiv w:val="1"/>
      <w:marLeft w:val="0"/>
      <w:marRight w:val="0"/>
      <w:marTop w:val="0"/>
      <w:marBottom w:val="0"/>
      <w:divBdr>
        <w:top w:val="none" w:sz="0" w:space="0" w:color="auto"/>
        <w:left w:val="none" w:sz="0" w:space="0" w:color="auto"/>
        <w:bottom w:val="none" w:sz="0" w:space="0" w:color="auto"/>
        <w:right w:val="none" w:sz="0" w:space="0" w:color="auto"/>
      </w:divBdr>
    </w:div>
    <w:div w:id="1151020596">
      <w:bodyDiv w:val="1"/>
      <w:marLeft w:val="0"/>
      <w:marRight w:val="0"/>
      <w:marTop w:val="0"/>
      <w:marBottom w:val="0"/>
      <w:divBdr>
        <w:top w:val="none" w:sz="0" w:space="0" w:color="auto"/>
        <w:left w:val="none" w:sz="0" w:space="0" w:color="auto"/>
        <w:bottom w:val="none" w:sz="0" w:space="0" w:color="auto"/>
        <w:right w:val="none" w:sz="0" w:space="0" w:color="auto"/>
      </w:divBdr>
    </w:div>
    <w:div w:id="1154108656">
      <w:bodyDiv w:val="1"/>
      <w:marLeft w:val="0"/>
      <w:marRight w:val="0"/>
      <w:marTop w:val="0"/>
      <w:marBottom w:val="0"/>
      <w:divBdr>
        <w:top w:val="none" w:sz="0" w:space="0" w:color="auto"/>
        <w:left w:val="none" w:sz="0" w:space="0" w:color="auto"/>
        <w:bottom w:val="none" w:sz="0" w:space="0" w:color="auto"/>
        <w:right w:val="none" w:sz="0" w:space="0" w:color="auto"/>
      </w:divBdr>
    </w:div>
    <w:div w:id="1156140824">
      <w:bodyDiv w:val="1"/>
      <w:marLeft w:val="0"/>
      <w:marRight w:val="0"/>
      <w:marTop w:val="0"/>
      <w:marBottom w:val="0"/>
      <w:divBdr>
        <w:top w:val="none" w:sz="0" w:space="0" w:color="auto"/>
        <w:left w:val="none" w:sz="0" w:space="0" w:color="auto"/>
        <w:bottom w:val="none" w:sz="0" w:space="0" w:color="auto"/>
        <w:right w:val="none" w:sz="0" w:space="0" w:color="auto"/>
      </w:divBdr>
    </w:div>
    <w:div w:id="1165583523">
      <w:bodyDiv w:val="1"/>
      <w:marLeft w:val="0"/>
      <w:marRight w:val="0"/>
      <w:marTop w:val="0"/>
      <w:marBottom w:val="0"/>
      <w:divBdr>
        <w:top w:val="none" w:sz="0" w:space="0" w:color="auto"/>
        <w:left w:val="none" w:sz="0" w:space="0" w:color="auto"/>
        <w:bottom w:val="none" w:sz="0" w:space="0" w:color="auto"/>
        <w:right w:val="none" w:sz="0" w:space="0" w:color="auto"/>
      </w:divBdr>
    </w:div>
    <w:div w:id="1165973314">
      <w:bodyDiv w:val="1"/>
      <w:marLeft w:val="0"/>
      <w:marRight w:val="0"/>
      <w:marTop w:val="0"/>
      <w:marBottom w:val="0"/>
      <w:divBdr>
        <w:top w:val="none" w:sz="0" w:space="0" w:color="auto"/>
        <w:left w:val="none" w:sz="0" w:space="0" w:color="auto"/>
        <w:bottom w:val="none" w:sz="0" w:space="0" w:color="auto"/>
        <w:right w:val="none" w:sz="0" w:space="0" w:color="auto"/>
      </w:divBdr>
    </w:div>
    <w:div w:id="1166476341">
      <w:bodyDiv w:val="1"/>
      <w:marLeft w:val="0"/>
      <w:marRight w:val="0"/>
      <w:marTop w:val="0"/>
      <w:marBottom w:val="0"/>
      <w:divBdr>
        <w:top w:val="none" w:sz="0" w:space="0" w:color="auto"/>
        <w:left w:val="none" w:sz="0" w:space="0" w:color="auto"/>
        <w:bottom w:val="none" w:sz="0" w:space="0" w:color="auto"/>
        <w:right w:val="none" w:sz="0" w:space="0" w:color="auto"/>
      </w:divBdr>
    </w:div>
    <w:div w:id="1182164863">
      <w:bodyDiv w:val="1"/>
      <w:marLeft w:val="0"/>
      <w:marRight w:val="0"/>
      <w:marTop w:val="0"/>
      <w:marBottom w:val="0"/>
      <w:divBdr>
        <w:top w:val="none" w:sz="0" w:space="0" w:color="auto"/>
        <w:left w:val="none" w:sz="0" w:space="0" w:color="auto"/>
        <w:bottom w:val="none" w:sz="0" w:space="0" w:color="auto"/>
        <w:right w:val="none" w:sz="0" w:space="0" w:color="auto"/>
      </w:divBdr>
    </w:div>
    <w:div w:id="1188522652">
      <w:bodyDiv w:val="1"/>
      <w:marLeft w:val="0"/>
      <w:marRight w:val="0"/>
      <w:marTop w:val="0"/>
      <w:marBottom w:val="0"/>
      <w:divBdr>
        <w:top w:val="none" w:sz="0" w:space="0" w:color="auto"/>
        <w:left w:val="none" w:sz="0" w:space="0" w:color="auto"/>
        <w:bottom w:val="none" w:sz="0" w:space="0" w:color="auto"/>
        <w:right w:val="none" w:sz="0" w:space="0" w:color="auto"/>
      </w:divBdr>
    </w:div>
    <w:div w:id="1200707362">
      <w:bodyDiv w:val="1"/>
      <w:marLeft w:val="0"/>
      <w:marRight w:val="0"/>
      <w:marTop w:val="0"/>
      <w:marBottom w:val="0"/>
      <w:divBdr>
        <w:top w:val="none" w:sz="0" w:space="0" w:color="auto"/>
        <w:left w:val="none" w:sz="0" w:space="0" w:color="auto"/>
        <w:bottom w:val="none" w:sz="0" w:space="0" w:color="auto"/>
        <w:right w:val="none" w:sz="0" w:space="0" w:color="auto"/>
      </w:divBdr>
    </w:div>
    <w:div w:id="1209341582">
      <w:bodyDiv w:val="1"/>
      <w:marLeft w:val="0"/>
      <w:marRight w:val="0"/>
      <w:marTop w:val="0"/>
      <w:marBottom w:val="0"/>
      <w:divBdr>
        <w:top w:val="none" w:sz="0" w:space="0" w:color="auto"/>
        <w:left w:val="none" w:sz="0" w:space="0" w:color="auto"/>
        <w:bottom w:val="none" w:sz="0" w:space="0" w:color="auto"/>
        <w:right w:val="none" w:sz="0" w:space="0" w:color="auto"/>
      </w:divBdr>
    </w:div>
    <w:div w:id="1243104310">
      <w:bodyDiv w:val="1"/>
      <w:marLeft w:val="0"/>
      <w:marRight w:val="0"/>
      <w:marTop w:val="0"/>
      <w:marBottom w:val="0"/>
      <w:divBdr>
        <w:top w:val="none" w:sz="0" w:space="0" w:color="auto"/>
        <w:left w:val="none" w:sz="0" w:space="0" w:color="auto"/>
        <w:bottom w:val="none" w:sz="0" w:space="0" w:color="auto"/>
        <w:right w:val="none" w:sz="0" w:space="0" w:color="auto"/>
      </w:divBdr>
    </w:div>
    <w:div w:id="1244100151">
      <w:bodyDiv w:val="1"/>
      <w:marLeft w:val="0"/>
      <w:marRight w:val="0"/>
      <w:marTop w:val="0"/>
      <w:marBottom w:val="0"/>
      <w:divBdr>
        <w:top w:val="none" w:sz="0" w:space="0" w:color="auto"/>
        <w:left w:val="none" w:sz="0" w:space="0" w:color="auto"/>
        <w:bottom w:val="none" w:sz="0" w:space="0" w:color="auto"/>
        <w:right w:val="none" w:sz="0" w:space="0" w:color="auto"/>
      </w:divBdr>
      <w:divsChild>
        <w:div w:id="1967618872">
          <w:marLeft w:val="0"/>
          <w:marRight w:val="0"/>
          <w:marTop w:val="0"/>
          <w:marBottom w:val="0"/>
          <w:divBdr>
            <w:top w:val="none" w:sz="0" w:space="0" w:color="auto"/>
            <w:left w:val="none" w:sz="0" w:space="0" w:color="auto"/>
            <w:bottom w:val="none" w:sz="0" w:space="0" w:color="auto"/>
            <w:right w:val="none" w:sz="0" w:space="0" w:color="auto"/>
          </w:divBdr>
          <w:divsChild>
            <w:div w:id="704984077">
              <w:marLeft w:val="0"/>
              <w:marRight w:val="0"/>
              <w:marTop w:val="0"/>
              <w:marBottom w:val="0"/>
              <w:divBdr>
                <w:top w:val="none" w:sz="0" w:space="0" w:color="auto"/>
                <w:left w:val="none" w:sz="0" w:space="0" w:color="auto"/>
                <w:bottom w:val="none" w:sz="0" w:space="0" w:color="auto"/>
                <w:right w:val="none" w:sz="0" w:space="0" w:color="auto"/>
              </w:divBdr>
              <w:divsChild>
                <w:div w:id="211952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6703">
      <w:bodyDiv w:val="1"/>
      <w:marLeft w:val="0"/>
      <w:marRight w:val="0"/>
      <w:marTop w:val="0"/>
      <w:marBottom w:val="0"/>
      <w:divBdr>
        <w:top w:val="none" w:sz="0" w:space="0" w:color="auto"/>
        <w:left w:val="none" w:sz="0" w:space="0" w:color="auto"/>
        <w:bottom w:val="none" w:sz="0" w:space="0" w:color="auto"/>
        <w:right w:val="none" w:sz="0" w:space="0" w:color="auto"/>
      </w:divBdr>
    </w:div>
    <w:div w:id="1268389866">
      <w:bodyDiv w:val="1"/>
      <w:marLeft w:val="0"/>
      <w:marRight w:val="0"/>
      <w:marTop w:val="0"/>
      <w:marBottom w:val="0"/>
      <w:divBdr>
        <w:top w:val="none" w:sz="0" w:space="0" w:color="auto"/>
        <w:left w:val="none" w:sz="0" w:space="0" w:color="auto"/>
        <w:bottom w:val="none" w:sz="0" w:space="0" w:color="auto"/>
        <w:right w:val="none" w:sz="0" w:space="0" w:color="auto"/>
      </w:divBdr>
    </w:div>
    <w:div w:id="1269511576">
      <w:bodyDiv w:val="1"/>
      <w:marLeft w:val="0"/>
      <w:marRight w:val="0"/>
      <w:marTop w:val="0"/>
      <w:marBottom w:val="0"/>
      <w:divBdr>
        <w:top w:val="none" w:sz="0" w:space="0" w:color="auto"/>
        <w:left w:val="none" w:sz="0" w:space="0" w:color="auto"/>
        <w:bottom w:val="none" w:sz="0" w:space="0" w:color="auto"/>
        <w:right w:val="none" w:sz="0" w:space="0" w:color="auto"/>
      </w:divBdr>
      <w:divsChild>
        <w:div w:id="615723476">
          <w:marLeft w:val="0"/>
          <w:marRight w:val="0"/>
          <w:marTop w:val="0"/>
          <w:marBottom w:val="0"/>
          <w:divBdr>
            <w:top w:val="none" w:sz="0" w:space="0" w:color="auto"/>
            <w:left w:val="none" w:sz="0" w:space="0" w:color="auto"/>
            <w:bottom w:val="none" w:sz="0" w:space="0" w:color="auto"/>
            <w:right w:val="none" w:sz="0" w:space="0" w:color="auto"/>
          </w:divBdr>
        </w:div>
        <w:div w:id="164977639">
          <w:marLeft w:val="0"/>
          <w:marRight w:val="0"/>
          <w:marTop w:val="0"/>
          <w:marBottom w:val="0"/>
          <w:divBdr>
            <w:top w:val="none" w:sz="0" w:space="0" w:color="auto"/>
            <w:left w:val="none" w:sz="0" w:space="0" w:color="auto"/>
            <w:bottom w:val="none" w:sz="0" w:space="0" w:color="auto"/>
            <w:right w:val="none" w:sz="0" w:space="0" w:color="auto"/>
          </w:divBdr>
        </w:div>
      </w:divsChild>
    </w:div>
    <w:div w:id="1270161160">
      <w:bodyDiv w:val="1"/>
      <w:marLeft w:val="0"/>
      <w:marRight w:val="0"/>
      <w:marTop w:val="0"/>
      <w:marBottom w:val="0"/>
      <w:divBdr>
        <w:top w:val="none" w:sz="0" w:space="0" w:color="auto"/>
        <w:left w:val="none" w:sz="0" w:space="0" w:color="auto"/>
        <w:bottom w:val="none" w:sz="0" w:space="0" w:color="auto"/>
        <w:right w:val="none" w:sz="0" w:space="0" w:color="auto"/>
      </w:divBdr>
    </w:div>
    <w:div w:id="1271357349">
      <w:bodyDiv w:val="1"/>
      <w:marLeft w:val="0"/>
      <w:marRight w:val="0"/>
      <w:marTop w:val="0"/>
      <w:marBottom w:val="0"/>
      <w:divBdr>
        <w:top w:val="none" w:sz="0" w:space="0" w:color="auto"/>
        <w:left w:val="none" w:sz="0" w:space="0" w:color="auto"/>
        <w:bottom w:val="none" w:sz="0" w:space="0" w:color="auto"/>
        <w:right w:val="none" w:sz="0" w:space="0" w:color="auto"/>
      </w:divBdr>
    </w:div>
    <w:div w:id="1295871824">
      <w:bodyDiv w:val="1"/>
      <w:marLeft w:val="0"/>
      <w:marRight w:val="0"/>
      <w:marTop w:val="0"/>
      <w:marBottom w:val="0"/>
      <w:divBdr>
        <w:top w:val="none" w:sz="0" w:space="0" w:color="auto"/>
        <w:left w:val="none" w:sz="0" w:space="0" w:color="auto"/>
        <w:bottom w:val="none" w:sz="0" w:space="0" w:color="auto"/>
        <w:right w:val="none" w:sz="0" w:space="0" w:color="auto"/>
      </w:divBdr>
    </w:div>
    <w:div w:id="1296526252">
      <w:bodyDiv w:val="1"/>
      <w:marLeft w:val="0"/>
      <w:marRight w:val="0"/>
      <w:marTop w:val="0"/>
      <w:marBottom w:val="0"/>
      <w:divBdr>
        <w:top w:val="none" w:sz="0" w:space="0" w:color="auto"/>
        <w:left w:val="none" w:sz="0" w:space="0" w:color="auto"/>
        <w:bottom w:val="none" w:sz="0" w:space="0" w:color="auto"/>
        <w:right w:val="none" w:sz="0" w:space="0" w:color="auto"/>
      </w:divBdr>
    </w:div>
    <w:div w:id="1301038109">
      <w:bodyDiv w:val="1"/>
      <w:marLeft w:val="0"/>
      <w:marRight w:val="0"/>
      <w:marTop w:val="0"/>
      <w:marBottom w:val="0"/>
      <w:divBdr>
        <w:top w:val="none" w:sz="0" w:space="0" w:color="auto"/>
        <w:left w:val="none" w:sz="0" w:space="0" w:color="auto"/>
        <w:bottom w:val="none" w:sz="0" w:space="0" w:color="auto"/>
        <w:right w:val="none" w:sz="0" w:space="0" w:color="auto"/>
      </w:divBdr>
      <w:divsChild>
        <w:div w:id="1818719893">
          <w:marLeft w:val="0"/>
          <w:marRight w:val="0"/>
          <w:marTop w:val="0"/>
          <w:marBottom w:val="0"/>
          <w:divBdr>
            <w:top w:val="none" w:sz="0" w:space="0" w:color="auto"/>
            <w:left w:val="none" w:sz="0" w:space="0" w:color="auto"/>
            <w:bottom w:val="none" w:sz="0" w:space="0" w:color="auto"/>
            <w:right w:val="none" w:sz="0" w:space="0" w:color="auto"/>
          </w:divBdr>
          <w:divsChild>
            <w:div w:id="1400131399">
              <w:marLeft w:val="0"/>
              <w:marRight w:val="0"/>
              <w:marTop w:val="0"/>
              <w:marBottom w:val="0"/>
              <w:divBdr>
                <w:top w:val="none" w:sz="0" w:space="0" w:color="auto"/>
                <w:left w:val="none" w:sz="0" w:space="0" w:color="auto"/>
                <w:bottom w:val="none" w:sz="0" w:space="0" w:color="auto"/>
                <w:right w:val="none" w:sz="0" w:space="0" w:color="auto"/>
              </w:divBdr>
              <w:divsChild>
                <w:div w:id="9995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00371">
      <w:bodyDiv w:val="1"/>
      <w:marLeft w:val="0"/>
      <w:marRight w:val="0"/>
      <w:marTop w:val="0"/>
      <w:marBottom w:val="0"/>
      <w:divBdr>
        <w:top w:val="none" w:sz="0" w:space="0" w:color="auto"/>
        <w:left w:val="none" w:sz="0" w:space="0" w:color="auto"/>
        <w:bottom w:val="none" w:sz="0" w:space="0" w:color="auto"/>
        <w:right w:val="none" w:sz="0" w:space="0" w:color="auto"/>
      </w:divBdr>
    </w:div>
    <w:div w:id="1321083937">
      <w:bodyDiv w:val="1"/>
      <w:marLeft w:val="0"/>
      <w:marRight w:val="0"/>
      <w:marTop w:val="0"/>
      <w:marBottom w:val="0"/>
      <w:divBdr>
        <w:top w:val="none" w:sz="0" w:space="0" w:color="auto"/>
        <w:left w:val="none" w:sz="0" w:space="0" w:color="auto"/>
        <w:bottom w:val="none" w:sz="0" w:space="0" w:color="auto"/>
        <w:right w:val="none" w:sz="0" w:space="0" w:color="auto"/>
      </w:divBdr>
    </w:div>
    <w:div w:id="1327978923">
      <w:bodyDiv w:val="1"/>
      <w:marLeft w:val="0"/>
      <w:marRight w:val="0"/>
      <w:marTop w:val="0"/>
      <w:marBottom w:val="0"/>
      <w:divBdr>
        <w:top w:val="none" w:sz="0" w:space="0" w:color="auto"/>
        <w:left w:val="none" w:sz="0" w:space="0" w:color="auto"/>
        <w:bottom w:val="none" w:sz="0" w:space="0" w:color="auto"/>
        <w:right w:val="none" w:sz="0" w:space="0" w:color="auto"/>
      </w:divBdr>
    </w:div>
    <w:div w:id="1348944990">
      <w:bodyDiv w:val="1"/>
      <w:marLeft w:val="0"/>
      <w:marRight w:val="0"/>
      <w:marTop w:val="0"/>
      <w:marBottom w:val="0"/>
      <w:divBdr>
        <w:top w:val="none" w:sz="0" w:space="0" w:color="auto"/>
        <w:left w:val="none" w:sz="0" w:space="0" w:color="auto"/>
        <w:bottom w:val="none" w:sz="0" w:space="0" w:color="auto"/>
        <w:right w:val="none" w:sz="0" w:space="0" w:color="auto"/>
      </w:divBdr>
    </w:div>
    <w:div w:id="1350640333">
      <w:bodyDiv w:val="1"/>
      <w:marLeft w:val="0"/>
      <w:marRight w:val="0"/>
      <w:marTop w:val="0"/>
      <w:marBottom w:val="0"/>
      <w:divBdr>
        <w:top w:val="none" w:sz="0" w:space="0" w:color="auto"/>
        <w:left w:val="none" w:sz="0" w:space="0" w:color="auto"/>
        <w:bottom w:val="none" w:sz="0" w:space="0" w:color="auto"/>
        <w:right w:val="none" w:sz="0" w:space="0" w:color="auto"/>
      </w:divBdr>
    </w:div>
    <w:div w:id="1359619111">
      <w:bodyDiv w:val="1"/>
      <w:marLeft w:val="0"/>
      <w:marRight w:val="0"/>
      <w:marTop w:val="0"/>
      <w:marBottom w:val="0"/>
      <w:divBdr>
        <w:top w:val="none" w:sz="0" w:space="0" w:color="auto"/>
        <w:left w:val="none" w:sz="0" w:space="0" w:color="auto"/>
        <w:bottom w:val="none" w:sz="0" w:space="0" w:color="auto"/>
        <w:right w:val="none" w:sz="0" w:space="0" w:color="auto"/>
      </w:divBdr>
    </w:div>
    <w:div w:id="1361975459">
      <w:bodyDiv w:val="1"/>
      <w:marLeft w:val="0"/>
      <w:marRight w:val="0"/>
      <w:marTop w:val="0"/>
      <w:marBottom w:val="0"/>
      <w:divBdr>
        <w:top w:val="none" w:sz="0" w:space="0" w:color="auto"/>
        <w:left w:val="none" w:sz="0" w:space="0" w:color="auto"/>
        <w:bottom w:val="none" w:sz="0" w:space="0" w:color="auto"/>
        <w:right w:val="none" w:sz="0" w:space="0" w:color="auto"/>
      </w:divBdr>
    </w:div>
    <w:div w:id="1383478375">
      <w:bodyDiv w:val="1"/>
      <w:marLeft w:val="0"/>
      <w:marRight w:val="0"/>
      <w:marTop w:val="0"/>
      <w:marBottom w:val="0"/>
      <w:divBdr>
        <w:top w:val="none" w:sz="0" w:space="0" w:color="auto"/>
        <w:left w:val="none" w:sz="0" w:space="0" w:color="auto"/>
        <w:bottom w:val="none" w:sz="0" w:space="0" w:color="auto"/>
        <w:right w:val="none" w:sz="0" w:space="0" w:color="auto"/>
      </w:divBdr>
    </w:div>
    <w:div w:id="1385517675">
      <w:bodyDiv w:val="1"/>
      <w:marLeft w:val="0"/>
      <w:marRight w:val="0"/>
      <w:marTop w:val="0"/>
      <w:marBottom w:val="0"/>
      <w:divBdr>
        <w:top w:val="none" w:sz="0" w:space="0" w:color="auto"/>
        <w:left w:val="none" w:sz="0" w:space="0" w:color="auto"/>
        <w:bottom w:val="none" w:sz="0" w:space="0" w:color="auto"/>
        <w:right w:val="none" w:sz="0" w:space="0" w:color="auto"/>
      </w:divBdr>
    </w:div>
    <w:div w:id="1387218124">
      <w:bodyDiv w:val="1"/>
      <w:marLeft w:val="0"/>
      <w:marRight w:val="0"/>
      <w:marTop w:val="0"/>
      <w:marBottom w:val="0"/>
      <w:divBdr>
        <w:top w:val="none" w:sz="0" w:space="0" w:color="auto"/>
        <w:left w:val="none" w:sz="0" w:space="0" w:color="auto"/>
        <w:bottom w:val="none" w:sz="0" w:space="0" w:color="auto"/>
        <w:right w:val="none" w:sz="0" w:space="0" w:color="auto"/>
      </w:divBdr>
    </w:div>
    <w:div w:id="1387727155">
      <w:bodyDiv w:val="1"/>
      <w:marLeft w:val="0"/>
      <w:marRight w:val="0"/>
      <w:marTop w:val="0"/>
      <w:marBottom w:val="0"/>
      <w:divBdr>
        <w:top w:val="none" w:sz="0" w:space="0" w:color="auto"/>
        <w:left w:val="none" w:sz="0" w:space="0" w:color="auto"/>
        <w:bottom w:val="none" w:sz="0" w:space="0" w:color="auto"/>
        <w:right w:val="none" w:sz="0" w:space="0" w:color="auto"/>
      </w:divBdr>
    </w:div>
    <w:div w:id="1399016578">
      <w:bodyDiv w:val="1"/>
      <w:marLeft w:val="0"/>
      <w:marRight w:val="0"/>
      <w:marTop w:val="0"/>
      <w:marBottom w:val="0"/>
      <w:divBdr>
        <w:top w:val="none" w:sz="0" w:space="0" w:color="auto"/>
        <w:left w:val="none" w:sz="0" w:space="0" w:color="auto"/>
        <w:bottom w:val="none" w:sz="0" w:space="0" w:color="auto"/>
        <w:right w:val="none" w:sz="0" w:space="0" w:color="auto"/>
      </w:divBdr>
    </w:div>
    <w:div w:id="1404525889">
      <w:bodyDiv w:val="1"/>
      <w:marLeft w:val="0"/>
      <w:marRight w:val="0"/>
      <w:marTop w:val="0"/>
      <w:marBottom w:val="0"/>
      <w:divBdr>
        <w:top w:val="none" w:sz="0" w:space="0" w:color="auto"/>
        <w:left w:val="none" w:sz="0" w:space="0" w:color="auto"/>
        <w:bottom w:val="none" w:sz="0" w:space="0" w:color="auto"/>
        <w:right w:val="none" w:sz="0" w:space="0" w:color="auto"/>
      </w:divBdr>
    </w:div>
    <w:div w:id="1404765413">
      <w:bodyDiv w:val="1"/>
      <w:marLeft w:val="0"/>
      <w:marRight w:val="0"/>
      <w:marTop w:val="0"/>
      <w:marBottom w:val="0"/>
      <w:divBdr>
        <w:top w:val="none" w:sz="0" w:space="0" w:color="auto"/>
        <w:left w:val="none" w:sz="0" w:space="0" w:color="auto"/>
        <w:bottom w:val="none" w:sz="0" w:space="0" w:color="auto"/>
        <w:right w:val="none" w:sz="0" w:space="0" w:color="auto"/>
      </w:divBdr>
    </w:div>
    <w:div w:id="1410427234">
      <w:bodyDiv w:val="1"/>
      <w:marLeft w:val="0"/>
      <w:marRight w:val="0"/>
      <w:marTop w:val="0"/>
      <w:marBottom w:val="0"/>
      <w:divBdr>
        <w:top w:val="none" w:sz="0" w:space="0" w:color="auto"/>
        <w:left w:val="none" w:sz="0" w:space="0" w:color="auto"/>
        <w:bottom w:val="none" w:sz="0" w:space="0" w:color="auto"/>
        <w:right w:val="none" w:sz="0" w:space="0" w:color="auto"/>
      </w:divBdr>
    </w:div>
    <w:div w:id="1419643376">
      <w:bodyDiv w:val="1"/>
      <w:marLeft w:val="0"/>
      <w:marRight w:val="0"/>
      <w:marTop w:val="0"/>
      <w:marBottom w:val="0"/>
      <w:divBdr>
        <w:top w:val="none" w:sz="0" w:space="0" w:color="auto"/>
        <w:left w:val="none" w:sz="0" w:space="0" w:color="auto"/>
        <w:bottom w:val="none" w:sz="0" w:space="0" w:color="auto"/>
        <w:right w:val="none" w:sz="0" w:space="0" w:color="auto"/>
      </w:divBdr>
    </w:div>
    <w:div w:id="1426077681">
      <w:bodyDiv w:val="1"/>
      <w:marLeft w:val="0"/>
      <w:marRight w:val="0"/>
      <w:marTop w:val="0"/>
      <w:marBottom w:val="0"/>
      <w:divBdr>
        <w:top w:val="none" w:sz="0" w:space="0" w:color="auto"/>
        <w:left w:val="none" w:sz="0" w:space="0" w:color="auto"/>
        <w:bottom w:val="none" w:sz="0" w:space="0" w:color="auto"/>
        <w:right w:val="none" w:sz="0" w:space="0" w:color="auto"/>
      </w:divBdr>
    </w:div>
    <w:div w:id="1436947938">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 w:id="1445808819">
      <w:bodyDiv w:val="1"/>
      <w:marLeft w:val="0"/>
      <w:marRight w:val="0"/>
      <w:marTop w:val="0"/>
      <w:marBottom w:val="0"/>
      <w:divBdr>
        <w:top w:val="none" w:sz="0" w:space="0" w:color="auto"/>
        <w:left w:val="none" w:sz="0" w:space="0" w:color="auto"/>
        <w:bottom w:val="none" w:sz="0" w:space="0" w:color="auto"/>
        <w:right w:val="none" w:sz="0" w:space="0" w:color="auto"/>
      </w:divBdr>
    </w:div>
    <w:div w:id="1455438218">
      <w:bodyDiv w:val="1"/>
      <w:marLeft w:val="0"/>
      <w:marRight w:val="0"/>
      <w:marTop w:val="0"/>
      <w:marBottom w:val="0"/>
      <w:divBdr>
        <w:top w:val="none" w:sz="0" w:space="0" w:color="auto"/>
        <w:left w:val="none" w:sz="0" w:space="0" w:color="auto"/>
        <w:bottom w:val="none" w:sz="0" w:space="0" w:color="auto"/>
        <w:right w:val="none" w:sz="0" w:space="0" w:color="auto"/>
      </w:divBdr>
    </w:div>
    <w:div w:id="1457219752">
      <w:bodyDiv w:val="1"/>
      <w:marLeft w:val="0"/>
      <w:marRight w:val="0"/>
      <w:marTop w:val="0"/>
      <w:marBottom w:val="0"/>
      <w:divBdr>
        <w:top w:val="none" w:sz="0" w:space="0" w:color="auto"/>
        <w:left w:val="none" w:sz="0" w:space="0" w:color="auto"/>
        <w:bottom w:val="none" w:sz="0" w:space="0" w:color="auto"/>
        <w:right w:val="none" w:sz="0" w:space="0" w:color="auto"/>
      </w:divBdr>
    </w:div>
    <w:div w:id="1457800142">
      <w:bodyDiv w:val="1"/>
      <w:marLeft w:val="0"/>
      <w:marRight w:val="0"/>
      <w:marTop w:val="0"/>
      <w:marBottom w:val="0"/>
      <w:divBdr>
        <w:top w:val="none" w:sz="0" w:space="0" w:color="auto"/>
        <w:left w:val="none" w:sz="0" w:space="0" w:color="auto"/>
        <w:bottom w:val="none" w:sz="0" w:space="0" w:color="auto"/>
        <w:right w:val="none" w:sz="0" w:space="0" w:color="auto"/>
      </w:divBdr>
    </w:div>
    <w:div w:id="1467043366">
      <w:bodyDiv w:val="1"/>
      <w:marLeft w:val="0"/>
      <w:marRight w:val="0"/>
      <w:marTop w:val="0"/>
      <w:marBottom w:val="0"/>
      <w:divBdr>
        <w:top w:val="none" w:sz="0" w:space="0" w:color="auto"/>
        <w:left w:val="none" w:sz="0" w:space="0" w:color="auto"/>
        <w:bottom w:val="none" w:sz="0" w:space="0" w:color="auto"/>
        <w:right w:val="none" w:sz="0" w:space="0" w:color="auto"/>
      </w:divBdr>
    </w:div>
    <w:div w:id="1473254248">
      <w:bodyDiv w:val="1"/>
      <w:marLeft w:val="0"/>
      <w:marRight w:val="0"/>
      <w:marTop w:val="0"/>
      <w:marBottom w:val="0"/>
      <w:divBdr>
        <w:top w:val="none" w:sz="0" w:space="0" w:color="auto"/>
        <w:left w:val="none" w:sz="0" w:space="0" w:color="auto"/>
        <w:bottom w:val="none" w:sz="0" w:space="0" w:color="auto"/>
        <w:right w:val="none" w:sz="0" w:space="0" w:color="auto"/>
      </w:divBdr>
    </w:div>
    <w:div w:id="1475757079">
      <w:bodyDiv w:val="1"/>
      <w:marLeft w:val="0"/>
      <w:marRight w:val="0"/>
      <w:marTop w:val="0"/>
      <w:marBottom w:val="0"/>
      <w:divBdr>
        <w:top w:val="none" w:sz="0" w:space="0" w:color="auto"/>
        <w:left w:val="none" w:sz="0" w:space="0" w:color="auto"/>
        <w:bottom w:val="none" w:sz="0" w:space="0" w:color="auto"/>
        <w:right w:val="none" w:sz="0" w:space="0" w:color="auto"/>
      </w:divBdr>
    </w:div>
    <w:div w:id="1480076593">
      <w:bodyDiv w:val="1"/>
      <w:marLeft w:val="0"/>
      <w:marRight w:val="0"/>
      <w:marTop w:val="0"/>
      <w:marBottom w:val="0"/>
      <w:divBdr>
        <w:top w:val="none" w:sz="0" w:space="0" w:color="auto"/>
        <w:left w:val="none" w:sz="0" w:space="0" w:color="auto"/>
        <w:bottom w:val="none" w:sz="0" w:space="0" w:color="auto"/>
        <w:right w:val="none" w:sz="0" w:space="0" w:color="auto"/>
      </w:divBdr>
    </w:div>
    <w:div w:id="1495754115">
      <w:bodyDiv w:val="1"/>
      <w:marLeft w:val="0"/>
      <w:marRight w:val="0"/>
      <w:marTop w:val="0"/>
      <w:marBottom w:val="0"/>
      <w:divBdr>
        <w:top w:val="none" w:sz="0" w:space="0" w:color="auto"/>
        <w:left w:val="none" w:sz="0" w:space="0" w:color="auto"/>
        <w:bottom w:val="none" w:sz="0" w:space="0" w:color="auto"/>
        <w:right w:val="none" w:sz="0" w:space="0" w:color="auto"/>
      </w:divBdr>
    </w:div>
    <w:div w:id="1512375505">
      <w:bodyDiv w:val="1"/>
      <w:marLeft w:val="0"/>
      <w:marRight w:val="0"/>
      <w:marTop w:val="0"/>
      <w:marBottom w:val="0"/>
      <w:divBdr>
        <w:top w:val="none" w:sz="0" w:space="0" w:color="auto"/>
        <w:left w:val="none" w:sz="0" w:space="0" w:color="auto"/>
        <w:bottom w:val="none" w:sz="0" w:space="0" w:color="auto"/>
        <w:right w:val="none" w:sz="0" w:space="0" w:color="auto"/>
      </w:divBdr>
      <w:divsChild>
        <w:div w:id="17587740">
          <w:marLeft w:val="0"/>
          <w:marRight w:val="0"/>
          <w:marTop w:val="0"/>
          <w:marBottom w:val="0"/>
          <w:divBdr>
            <w:top w:val="none" w:sz="0" w:space="0" w:color="auto"/>
            <w:left w:val="none" w:sz="0" w:space="0" w:color="auto"/>
            <w:bottom w:val="none" w:sz="0" w:space="0" w:color="auto"/>
            <w:right w:val="none" w:sz="0" w:space="0" w:color="auto"/>
          </w:divBdr>
        </w:div>
        <w:div w:id="2016877909">
          <w:marLeft w:val="0"/>
          <w:marRight w:val="0"/>
          <w:marTop w:val="225"/>
          <w:marBottom w:val="0"/>
          <w:divBdr>
            <w:top w:val="none" w:sz="0" w:space="0" w:color="auto"/>
            <w:left w:val="none" w:sz="0" w:space="0" w:color="auto"/>
            <w:bottom w:val="none" w:sz="0" w:space="0" w:color="auto"/>
            <w:right w:val="none" w:sz="0" w:space="0" w:color="auto"/>
          </w:divBdr>
        </w:div>
      </w:divsChild>
    </w:div>
    <w:div w:id="1522206414">
      <w:bodyDiv w:val="1"/>
      <w:marLeft w:val="0"/>
      <w:marRight w:val="0"/>
      <w:marTop w:val="0"/>
      <w:marBottom w:val="0"/>
      <w:divBdr>
        <w:top w:val="none" w:sz="0" w:space="0" w:color="auto"/>
        <w:left w:val="none" w:sz="0" w:space="0" w:color="auto"/>
        <w:bottom w:val="none" w:sz="0" w:space="0" w:color="auto"/>
        <w:right w:val="none" w:sz="0" w:space="0" w:color="auto"/>
      </w:divBdr>
    </w:div>
    <w:div w:id="1547986926">
      <w:bodyDiv w:val="1"/>
      <w:marLeft w:val="0"/>
      <w:marRight w:val="0"/>
      <w:marTop w:val="0"/>
      <w:marBottom w:val="0"/>
      <w:divBdr>
        <w:top w:val="none" w:sz="0" w:space="0" w:color="auto"/>
        <w:left w:val="none" w:sz="0" w:space="0" w:color="auto"/>
        <w:bottom w:val="none" w:sz="0" w:space="0" w:color="auto"/>
        <w:right w:val="none" w:sz="0" w:space="0" w:color="auto"/>
      </w:divBdr>
    </w:div>
    <w:div w:id="1550845731">
      <w:bodyDiv w:val="1"/>
      <w:marLeft w:val="0"/>
      <w:marRight w:val="0"/>
      <w:marTop w:val="0"/>
      <w:marBottom w:val="0"/>
      <w:divBdr>
        <w:top w:val="none" w:sz="0" w:space="0" w:color="auto"/>
        <w:left w:val="none" w:sz="0" w:space="0" w:color="auto"/>
        <w:bottom w:val="none" w:sz="0" w:space="0" w:color="auto"/>
        <w:right w:val="none" w:sz="0" w:space="0" w:color="auto"/>
      </w:divBdr>
      <w:divsChild>
        <w:div w:id="652567264">
          <w:marLeft w:val="0"/>
          <w:marRight w:val="0"/>
          <w:marTop w:val="0"/>
          <w:marBottom w:val="0"/>
          <w:divBdr>
            <w:top w:val="none" w:sz="0" w:space="0" w:color="auto"/>
            <w:left w:val="none" w:sz="0" w:space="0" w:color="auto"/>
            <w:bottom w:val="none" w:sz="0" w:space="0" w:color="auto"/>
            <w:right w:val="none" w:sz="0" w:space="0" w:color="auto"/>
          </w:divBdr>
          <w:divsChild>
            <w:div w:id="1750540138">
              <w:marLeft w:val="0"/>
              <w:marRight w:val="0"/>
              <w:marTop w:val="0"/>
              <w:marBottom w:val="0"/>
              <w:divBdr>
                <w:top w:val="none" w:sz="0" w:space="0" w:color="auto"/>
                <w:left w:val="none" w:sz="0" w:space="0" w:color="auto"/>
                <w:bottom w:val="none" w:sz="0" w:space="0" w:color="auto"/>
                <w:right w:val="none" w:sz="0" w:space="0" w:color="auto"/>
              </w:divBdr>
              <w:divsChild>
                <w:div w:id="111425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127901">
      <w:bodyDiv w:val="1"/>
      <w:marLeft w:val="0"/>
      <w:marRight w:val="0"/>
      <w:marTop w:val="0"/>
      <w:marBottom w:val="0"/>
      <w:divBdr>
        <w:top w:val="none" w:sz="0" w:space="0" w:color="auto"/>
        <w:left w:val="none" w:sz="0" w:space="0" w:color="auto"/>
        <w:bottom w:val="none" w:sz="0" w:space="0" w:color="auto"/>
        <w:right w:val="none" w:sz="0" w:space="0" w:color="auto"/>
      </w:divBdr>
    </w:div>
    <w:div w:id="1558542650">
      <w:bodyDiv w:val="1"/>
      <w:marLeft w:val="0"/>
      <w:marRight w:val="0"/>
      <w:marTop w:val="0"/>
      <w:marBottom w:val="0"/>
      <w:divBdr>
        <w:top w:val="none" w:sz="0" w:space="0" w:color="auto"/>
        <w:left w:val="none" w:sz="0" w:space="0" w:color="auto"/>
        <w:bottom w:val="none" w:sz="0" w:space="0" w:color="auto"/>
        <w:right w:val="none" w:sz="0" w:space="0" w:color="auto"/>
      </w:divBdr>
    </w:div>
    <w:div w:id="1562862033">
      <w:bodyDiv w:val="1"/>
      <w:marLeft w:val="0"/>
      <w:marRight w:val="0"/>
      <w:marTop w:val="0"/>
      <w:marBottom w:val="0"/>
      <w:divBdr>
        <w:top w:val="none" w:sz="0" w:space="0" w:color="auto"/>
        <w:left w:val="none" w:sz="0" w:space="0" w:color="auto"/>
        <w:bottom w:val="none" w:sz="0" w:space="0" w:color="auto"/>
        <w:right w:val="none" w:sz="0" w:space="0" w:color="auto"/>
      </w:divBdr>
    </w:div>
    <w:div w:id="1572033680">
      <w:bodyDiv w:val="1"/>
      <w:marLeft w:val="0"/>
      <w:marRight w:val="0"/>
      <w:marTop w:val="0"/>
      <w:marBottom w:val="0"/>
      <w:divBdr>
        <w:top w:val="none" w:sz="0" w:space="0" w:color="auto"/>
        <w:left w:val="none" w:sz="0" w:space="0" w:color="auto"/>
        <w:bottom w:val="none" w:sz="0" w:space="0" w:color="auto"/>
        <w:right w:val="none" w:sz="0" w:space="0" w:color="auto"/>
      </w:divBdr>
    </w:div>
    <w:div w:id="1578442500">
      <w:bodyDiv w:val="1"/>
      <w:marLeft w:val="0"/>
      <w:marRight w:val="0"/>
      <w:marTop w:val="0"/>
      <w:marBottom w:val="0"/>
      <w:divBdr>
        <w:top w:val="none" w:sz="0" w:space="0" w:color="auto"/>
        <w:left w:val="none" w:sz="0" w:space="0" w:color="auto"/>
        <w:bottom w:val="none" w:sz="0" w:space="0" w:color="auto"/>
        <w:right w:val="none" w:sz="0" w:space="0" w:color="auto"/>
      </w:divBdr>
    </w:div>
    <w:div w:id="1579443994">
      <w:bodyDiv w:val="1"/>
      <w:marLeft w:val="0"/>
      <w:marRight w:val="0"/>
      <w:marTop w:val="0"/>
      <w:marBottom w:val="0"/>
      <w:divBdr>
        <w:top w:val="none" w:sz="0" w:space="0" w:color="auto"/>
        <w:left w:val="none" w:sz="0" w:space="0" w:color="auto"/>
        <w:bottom w:val="none" w:sz="0" w:space="0" w:color="auto"/>
        <w:right w:val="none" w:sz="0" w:space="0" w:color="auto"/>
      </w:divBdr>
    </w:div>
    <w:div w:id="1583025206">
      <w:bodyDiv w:val="1"/>
      <w:marLeft w:val="0"/>
      <w:marRight w:val="0"/>
      <w:marTop w:val="0"/>
      <w:marBottom w:val="0"/>
      <w:divBdr>
        <w:top w:val="none" w:sz="0" w:space="0" w:color="auto"/>
        <w:left w:val="none" w:sz="0" w:space="0" w:color="auto"/>
        <w:bottom w:val="none" w:sz="0" w:space="0" w:color="auto"/>
        <w:right w:val="none" w:sz="0" w:space="0" w:color="auto"/>
      </w:divBdr>
    </w:div>
    <w:div w:id="1595020063">
      <w:bodyDiv w:val="1"/>
      <w:marLeft w:val="0"/>
      <w:marRight w:val="0"/>
      <w:marTop w:val="0"/>
      <w:marBottom w:val="0"/>
      <w:divBdr>
        <w:top w:val="none" w:sz="0" w:space="0" w:color="auto"/>
        <w:left w:val="none" w:sz="0" w:space="0" w:color="auto"/>
        <w:bottom w:val="none" w:sz="0" w:space="0" w:color="auto"/>
        <w:right w:val="none" w:sz="0" w:space="0" w:color="auto"/>
      </w:divBdr>
    </w:div>
    <w:div w:id="1598515230">
      <w:bodyDiv w:val="1"/>
      <w:marLeft w:val="0"/>
      <w:marRight w:val="0"/>
      <w:marTop w:val="0"/>
      <w:marBottom w:val="0"/>
      <w:divBdr>
        <w:top w:val="none" w:sz="0" w:space="0" w:color="auto"/>
        <w:left w:val="none" w:sz="0" w:space="0" w:color="auto"/>
        <w:bottom w:val="none" w:sz="0" w:space="0" w:color="auto"/>
        <w:right w:val="none" w:sz="0" w:space="0" w:color="auto"/>
      </w:divBdr>
    </w:div>
    <w:div w:id="1600215224">
      <w:bodyDiv w:val="1"/>
      <w:marLeft w:val="0"/>
      <w:marRight w:val="0"/>
      <w:marTop w:val="0"/>
      <w:marBottom w:val="0"/>
      <w:divBdr>
        <w:top w:val="none" w:sz="0" w:space="0" w:color="auto"/>
        <w:left w:val="none" w:sz="0" w:space="0" w:color="auto"/>
        <w:bottom w:val="none" w:sz="0" w:space="0" w:color="auto"/>
        <w:right w:val="none" w:sz="0" w:space="0" w:color="auto"/>
      </w:divBdr>
    </w:div>
    <w:div w:id="1602835545">
      <w:bodyDiv w:val="1"/>
      <w:marLeft w:val="0"/>
      <w:marRight w:val="0"/>
      <w:marTop w:val="0"/>
      <w:marBottom w:val="0"/>
      <w:divBdr>
        <w:top w:val="none" w:sz="0" w:space="0" w:color="auto"/>
        <w:left w:val="none" w:sz="0" w:space="0" w:color="auto"/>
        <w:bottom w:val="none" w:sz="0" w:space="0" w:color="auto"/>
        <w:right w:val="none" w:sz="0" w:space="0" w:color="auto"/>
      </w:divBdr>
    </w:div>
    <w:div w:id="1614046944">
      <w:bodyDiv w:val="1"/>
      <w:marLeft w:val="0"/>
      <w:marRight w:val="0"/>
      <w:marTop w:val="0"/>
      <w:marBottom w:val="0"/>
      <w:divBdr>
        <w:top w:val="none" w:sz="0" w:space="0" w:color="auto"/>
        <w:left w:val="none" w:sz="0" w:space="0" w:color="auto"/>
        <w:bottom w:val="none" w:sz="0" w:space="0" w:color="auto"/>
        <w:right w:val="none" w:sz="0" w:space="0" w:color="auto"/>
      </w:divBdr>
    </w:div>
    <w:div w:id="1617102718">
      <w:bodyDiv w:val="1"/>
      <w:marLeft w:val="0"/>
      <w:marRight w:val="0"/>
      <w:marTop w:val="0"/>
      <w:marBottom w:val="0"/>
      <w:divBdr>
        <w:top w:val="none" w:sz="0" w:space="0" w:color="auto"/>
        <w:left w:val="none" w:sz="0" w:space="0" w:color="auto"/>
        <w:bottom w:val="none" w:sz="0" w:space="0" w:color="auto"/>
        <w:right w:val="none" w:sz="0" w:space="0" w:color="auto"/>
      </w:divBdr>
    </w:div>
    <w:div w:id="1624848184">
      <w:bodyDiv w:val="1"/>
      <w:marLeft w:val="0"/>
      <w:marRight w:val="0"/>
      <w:marTop w:val="0"/>
      <w:marBottom w:val="0"/>
      <w:divBdr>
        <w:top w:val="none" w:sz="0" w:space="0" w:color="auto"/>
        <w:left w:val="none" w:sz="0" w:space="0" w:color="auto"/>
        <w:bottom w:val="none" w:sz="0" w:space="0" w:color="auto"/>
        <w:right w:val="none" w:sz="0" w:space="0" w:color="auto"/>
      </w:divBdr>
      <w:divsChild>
        <w:div w:id="1143350276">
          <w:marLeft w:val="0"/>
          <w:marRight w:val="0"/>
          <w:marTop w:val="0"/>
          <w:marBottom w:val="0"/>
          <w:divBdr>
            <w:top w:val="none" w:sz="0" w:space="0" w:color="auto"/>
            <w:left w:val="none" w:sz="0" w:space="0" w:color="auto"/>
            <w:bottom w:val="none" w:sz="0" w:space="0" w:color="auto"/>
            <w:right w:val="none" w:sz="0" w:space="0" w:color="auto"/>
          </w:divBdr>
          <w:divsChild>
            <w:div w:id="37365909">
              <w:marLeft w:val="0"/>
              <w:marRight w:val="0"/>
              <w:marTop w:val="0"/>
              <w:marBottom w:val="0"/>
              <w:divBdr>
                <w:top w:val="none" w:sz="0" w:space="0" w:color="auto"/>
                <w:left w:val="none" w:sz="0" w:space="0" w:color="auto"/>
                <w:bottom w:val="none" w:sz="0" w:space="0" w:color="auto"/>
                <w:right w:val="none" w:sz="0" w:space="0" w:color="auto"/>
              </w:divBdr>
            </w:div>
            <w:div w:id="664011498">
              <w:marLeft w:val="0"/>
              <w:marRight w:val="0"/>
              <w:marTop w:val="0"/>
              <w:marBottom w:val="0"/>
              <w:divBdr>
                <w:top w:val="none" w:sz="0" w:space="0" w:color="auto"/>
                <w:left w:val="none" w:sz="0" w:space="0" w:color="auto"/>
                <w:bottom w:val="none" w:sz="0" w:space="0" w:color="auto"/>
                <w:right w:val="none" w:sz="0" w:space="0" w:color="auto"/>
              </w:divBdr>
              <w:divsChild>
                <w:div w:id="177590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36931">
      <w:bodyDiv w:val="1"/>
      <w:marLeft w:val="0"/>
      <w:marRight w:val="0"/>
      <w:marTop w:val="0"/>
      <w:marBottom w:val="0"/>
      <w:divBdr>
        <w:top w:val="none" w:sz="0" w:space="0" w:color="auto"/>
        <w:left w:val="none" w:sz="0" w:space="0" w:color="auto"/>
        <w:bottom w:val="none" w:sz="0" w:space="0" w:color="auto"/>
        <w:right w:val="none" w:sz="0" w:space="0" w:color="auto"/>
      </w:divBdr>
      <w:divsChild>
        <w:div w:id="274018737">
          <w:marLeft w:val="0"/>
          <w:marRight w:val="0"/>
          <w:marTop w:val="0"/>
          <w:marBottom w:val="0"/>
          <w:divBdr>
            <w:top w:val="none" w:sz="0" w:space="0" w:color="auto"/>
            <w:left w:val="none" w:sz="0" w:space="0" w:color="auto"/>
            <w:bottom w:val="none" w:sz="0" w:space="0" w:color="auto"/>
            <w:right w:val="none" w:sz="0" w:space="0" w:color="auto"/>
          </w:divBdr>
        </w:div>
        <w:div w:id="1620449983">
          <w:marLeft w:val="0"/>
          <w:marRight w:val="0"/>
          <w:marTop w:val="0"/>
          <w:marBottom w:val="0"/>
          <w:divBdr>
            <w:top w:val="none" w:sz="0" w:space="0" w:color="auto"/>
            <w:left w:val="none" w:sz="0" w:space="0" w:color="auto"/>
            <w:bottom w:val="none" w:sz="0" w:space="0" w:color="auto"/>
            <w:right w:val="none" w:sz="0" w:space="0" w:color="auto"/>
          </w:divBdr>
        </w:div>
      </w:divsChild>
    </w:div>
    <w:div w:id="1642660202">
      <w:bodyDiv w:val="1"/>
      <w:marLeft w:val="0"/>
      <w:marRight w:val="0"/>
      <w:marTop w:val="0"/>
      <w:marBottom w:val="0"/>
      <w:divBdr>
        <w:top w:val="none" w:sz="0" w:space="0" w:color="auto"/>
        <w:left w:val="none" w:sz="0" w:space="0" w:color="auto"/>
        <w:bottom w:val="none" w:sz="0" w:space="0" w:color="auto"/>
        <w:right w:val="none" w:sz="0" w:space="0" w:color="auto"/>
      </w:divBdr>
    </w:div>
    <w:div w:id="1646810322">
      <w:bodyDiv w:val="1"/>
      <w:marLeft w:val="0"/>
      <w:marRight w:val="0"/>
      <w:marTop w:val="0"/>
      <w:marBottom w:val="0"/>
      <w:divBdr>
        <w:top w:val="none" w:sz="0" w:space="0" w:color="auto"/>
        <w:left w:val="none" w:sz="0" w:space="0" w:color="auto"/>
        <w:bottom w:val="none" w:sz="0" w:space="0" w:color="auto"/>
        <w:right w:val="none" w:sz="0" w:space="0" w:color="auto"/>
      </w:divBdr>
    </w:div>
    <w:div w:id="1662271376">
      <w:bodyDiv w:val="1"/>
      <w:marLeft w:val="0"/>
      <w:marRight w:val="0"/>
      <w:marTop w:val="0"/>
      <w:marBottom w:val="0"/>
      <w:divBdr>
        <w:top w:val="none" w:sz="0" w:space="0" w:color="auto"/>
        <w:left w:val="none" w:sz="0" w:space="0" w:color="auto"/>
        <w:bottom w:val="none" w:sz="0" w:space="0" w:color="auto"/>
        <w:right w:val="none" w:sz="0" w:space="0" w:color="auto"/>
      </w:divBdr>
    </w:div>
    <w:div w:id="1664312162">
      <w:bodyDiv w:val="1"/>
      <w:marLeft w:val="0"/>
      <w:marRight w:val="0"/>
      <w:marTop w:val="0"/>
      <w:marBottom w:val="0"/>
      <w:divBdr>
        <w:top w:val="none" w:sz="0" w:space="0" w:color="auto"/>
        <w:left w:val="none" w:sz="0" w:space="0" w:color="auto"/>
        <w:bottom w:val="none" w:sz="0" w:space="0" w:color="auto"/>
        <w:right w:val="none" w:sz="0" w:space="0" w:color="auto"/>
      </w:divBdr>
    </w:div>
    <w:div w:id="1664316638">
      <w:bodyDiv w:val="1"/>
      <w:marLeft w:val="0"/>
      <w:marRight w:val="0"/>
      <w:marTop w:val="0"/>
      <w:marBottom w:val="0"/>
      <w:divBdr>
        <w:top w:val="none" w:sz="0" w:space="0" w:color="auto"/>
        <w:left w:val="none" w:sz="0" w:space="0" w:color="auto"/>
        <w:bottom w:val="none" w:sz="0" w:space="0" w:color="auto"/>
        <w:right w:val="none" w:sz="0" w:space="0" w:color="auto"/>
      </w:divBdr>
    </w:div>
    <w:div w:id="1669019401">
      <w:bodyDiv w:val="1"/>
      <w:marLeft w:val="0"/>
      <w:marRight w:val="0"/>
      <w:marTop w:val="0"/>
      <w:marBottom w:val="0"/>
      <w:divBdr>
        <w:top w:val="none" w:sz="0" w:space="0" w:color="auto"/>
        <w:left w:val="none" w:sz="0" w:space="0" w:color="auto"/>
        <w:bottom w:val="none" w:sz="0" w:space="0" w:color="auto"/>
        <w:right w:val="none" w:sz="0" w:space="0" w:color="auto"/>
      </w:divBdr>
    </w:div>
    <w:div w:id="1679455968">
      <w:bodyDiv w:val="1"/>
      <w:marLeft w:val="0"/>
      <w:marRight w:val="0"/>
      <w:marTop w:val="0"/>
      <w:marBottom w:val="0"/>
      <w:divBdr>
        <w:top w:val="none" w:sz="0" w:space="0" w:color="auto"/>
        <w:left w:val="none" w:sz="0" w:space="0" w:color="auto"/>
        <w:bottom w:val="none" w:sz="0" w:space="0" w:color="auto"/>
        <w:right w:val="none" w:sz="0" w:space="0" w:color="auto"/>
      </w:divBdr>
    </w:div>
    <w:div w:id="1687556920">
      <w:bodyDiv w:val="1"/>
      <w:marLeft w:val="0"/>
      <w:marRight w:val="0"/>
      <w:marTop w:val="0"/>
      <w:marBottom w:val="0"/>
      <w:divBdr>
        <w:top w:val="none" w:sz="0" w:space="0" w:color="auto"/>
        <w:left w:val="none" w:sz="0" w:space="0" w:color="auto"/>
        <w:bottom w:val="none" w:sz="0" w:space="0" w:color="auto"/>
        <w:right w:val="none" w:sz="0" w:space="0" w:color="auto"/>
      </w:divBdr>
    </w:div>
    <w:div w:id="1688142136">
      <w:bodyDiv w:val="1"/>
      <w:marLeft w:val="0"/>
      <w:marRight w:val="0"/>
      <w:marTop w:val="0"/>
      <w:marBottom w:val="0"/>
      <w:divBdr>
        <w:top w:val="none" w:sz="0" w:space="0" w:color="auto"/>
        <w:left w:val="none" w:sz="0" w:space="0" w:color="auto"/>
        <w:bottom w:val="none" w:sz="0" w:space="0" w:color="auto"/>
        <w:right w:val="none" w:sz="0" w:space="0" w:color="auto"/>
      </w:divBdr>
    </w:div>
    <w:div w:id="1691369219">
      <w:bodyDiv w:val="1"/>
      <w:marLeft w:val="0"/>
      <w:marRight w:val="0"/>
      <w:marTop w:val="0"/>
      <w:marBottom w:val="0"/>
      <w:divBdr>
        <w:top w:val="none" w:sz="0" w:space="0" w:color="auto"/>
        <w:left w:val="none" w:sz="0" w:space="0" w:color="auto"/>
        <w:bottom w:val="none" w:sz="0" w:space="0" w:color="auto"/>
        <w:right w:val="none" w:sz="0" w:space="0" w:color="auto"/>
      </w:divBdr>
      <w:divsChild>
        <w:div w:id="988167448">
          <w:marLeft w:val="0"/>
          <w:marRight w:val="0"/>
          <w:marTop w:val="0"/>
          <w:marBottom w:val="0"/>
          <w:divBdr>
            <w:top w:val="none" w:sz="0" w:space="0" w:color="auto"/>
            <w:left w:val="none" w:sz="0" w:space="0" w:color="auto"/>
            <w:bottom w:val="none" w:sz="0" w:space="0" w:color="auto"/>
            <w:right w:val="none" w:sz="0" w:space="0" w:color="auto"/>
          </w:divBdr>
        </w:div>
      </w:divsChild>
    </w:div>
    <w:div w:id="1693453209">
      <w:bodyDiv w:val="1"/>
      <w:marLeft w:val="0"/>
      <w:marRight w:val="0"/>
      <w:marTop w:val="0"/>
      <w:marBottom w:val="0"/>
      <w:divBdr>
        <w:top w:val="none" w:sz="0" w:space="0" w:color="auto"/>
        <w:left w:val="none" w:sz="0" w:space="0" w:color="auto"/>
        <w:bottom w:val="none" w:sz="0" w:space="0" w:color="auto"/>
        <w:right w:val="none" w:sz="0" w:space="0" w:color="auto"/>
      </w:divBdr>
    </w:div>
    <w:div w:id="1695644289">
      <w:bodyDiv w:val="1"/>
      <w:marLeft w:val="0"/>
      <w:marRight w:val="0"/>
      <w:marTop w:val="0"/>
      <w:marBottom w:val="0"/>
      <w:divBdr>
        <w:top w:val="none" w:sz="0" w:space="0" w:color="auto"/>
        <w:left w:val="none" w:sz="0" w:space="0" w:color="auto"/>
        <w:bottom w:val="none" w:sz="0" w:space="0" w:color="auto"/>
        <w:right w:val="none" w:sz="0" w:space="0" w:color="auto"/>
      </w:divBdr>
    </w:div>
    <w:div w:id="1703820043">
      <w:bodyDiv w:val="1"/>
      <w:marLeft w:val="0"/>
      <w:marRight w:val="0"/>
      <w:marTop w:val="0"/>
      <w:marBottom w:val="0"/>
      <w:divBdr>
        <w:top w:val="none" w:sz="0" w:space="0" w:color="auto"/>
        <w:left w:val="none" w:sz="0" w:space="0" w:color="auto"/>
        <w:bottom w:val="none" w:sz="0" w:space="0" w:color="auto"/>
        <w:right w:val="none" w:sz="0" w:space="0" w:color="auto"/>
      </w:divBdr>
    </w:div>
    <w:div w:id="1715620915">
      <w:bodyDiv w:val="1"/>
      <w:marLeft w:val="0"/>
      <w:marRight w:val="0"/>
      <w:marTop w:val="0"/>
      <w:marBottom w:val="0"/>
      <w:divBdr>
        <w:top w:val="none" w:sz="0" w:space="0" w:color="auto"/>
        <w:left w:val="none" w:sz="0" w:space="0" w:color="auto"/>
        <w:bottom w:val="none" w:sz="0" w:space="0" w:color="auto"/>
        <w:right w:val="none" w:sz="0" w:space="0" w:color="auto"/>
      </w:divBdr>
    </w:div>
    <w:div w:id="1723019424">
      <w:bodyDiv w:val="1"/>
      <w:marLeft w:val="0"/>
      <w:marRight w:val="0"/>
      <w:marTop w:val="0"/>
      <w:marBottom w:val="0"/>
      <w:divBdr>
        <w:top w:val="none" w:sz="0" w:space="0" w:color="auto"/>
        <w:left w:val="none" w:sz="0" w:space="0" w:color="auto"/>
        <w:bottom w:val="none" w:sz="0" w:space="0" w:color="auto"/>
        <w:right w:val="none" w:sz="0" w:space="0" w:color="auto"/>
      </w:divBdr>
    </w:div>
    <w:div w:id="1727988793">
      <w:bodyDiv w:val="1"/>
      <w:marLeft w:val="0"/>
      <w:marRight w:val="0"/>
      <w:marTop w:val="0"/>
      <w:marBottom w:val="0"/>
      <w:divBdr>
        <w:top w:val="none" w:sz="0" w:space="0" w:color="auto"/>
        <w:left w:val="none" w:sz="0" w:space="0" w:color="auto"/>
        <w:bottom w:val="none" w:sz="0" w:space="0" w:color="auto"/>
        <w:right w:val="none" w:sz="0" w:space="0" w:color="auto"/>
      </w:divBdr>
    </w:div>
    <w:div w:id="1730838419">
      <w:bodyDiv w:val="1"/>
      <w:marLeft w:val="0"/>
      <w:marRight w:val="0"/>
      <w:marTop w:val="0"/>
      <w:marBottom w:val="0"/>
      <w:divBdr>
        <w:top w:val="none" w:sz="0" w:space="0" w:color="auto"/>
        <w:left w:val="none" w:sz="0" w:space="0" w:color="auto"/>
        <w:bottom w:val="none" w:sz="0" w:space="0" w:color="auto"/>
        <w:right w:val="none" w:sz="0" w:space="0" w:color="auto"/>
      </w:divBdr>
      <w:divsChild>
        <w:div w:id="2117165576">
          <w:marLeft w:val="0"/>
          <w:marRight w:val="0"/>
          <w:marTop w:val="0"/>
          <w:marBottom w:val="0"/>
          <w:divBdr>
            <w:top w:val="none" w:sz="0" w:space="0" w:color="auto"/>
            <w:left w:val="none" w:sz="0" w:space="0" w:color="auto"/>
            <w:bottom w:val="none" w:sz="0" w:space="0" w:color="auto"/>
            <w:right w:val="none" w:sz="0" w:space="0" w:color="auto"/>
          </w:divBdr>
          <w:divsChild>
            <w:div w:id="919291512">
              <w:marLeft w:val="0"/>
              <w:marRight w:val="0"/>
              <w:marTop w:val="0"/>
              <w:marBottom w:val="0"/>
              <w:divBdr>
                <w:top w:val="none" w:sz="0" w:space="0" w:color="auto"/>
                <w:left w:val="none" w:sz="0" w:space="0" w:color="auto"/>
                <w:bottom w:val="none" w:sz="0" w:space="0" w:color="auto"/>
                <w:right w:val="none" w:sz="0" w:space="0" w:color="auto"/>
              </w:divBdr>
              <w:divsChild>
                <w:div w:id="28149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855109">
      <w:bodyDiv w:val="1"/>
      <w:marLeft w:val="0"/>
      <w:marRight w:val="0"/>
      <w:marTop w:val="0"/>
      <w:marBottom w:val="0"/>
      <w:divBdr>
        <w:top w:val="none" w:sz="0" w:space="0" w:color="auto"/>
        <w:left w:val="none" w:sz="0" w:space="0" w:color="auto"/>
        <w:bottom w:val="none" w:sz="0" w:space="0" w:color="auto"/>
        <w:right w:val="none" w:sz="0" w:space="0" w:color="auto"/>
      </w:divBdr>
    </w:div>
    <w:div w:id="1737821184">
      <w:bodyDiv w:val="1"/>
      <w:marLeft w:val="0"/>
      <w:marRight w:val="0"/>
      <w:marTop w:val="0"/>
      <w:marBottom w:val="0"/>
      <w:divBdr>
        <w:top w:val="none" w:sz="0" w:space="0" w:color="auto"/>
        <w:left w:val="none" w:sz="0" w:space="0" w:color="auto"/>
        <w:bottom w:val="none" w:sz="0" w:space="0" w:color="auto"/>
        <w:right w:val="none" w:sz="0" w:space="0" w:color="auto"/>
      </w:divBdr>
    </w:div>
    <w:div w:id="1737973501">
      <w:bodyDiv w:val="1"/>
      <w:marLeft w:val="0"/>
      <w:marRight w:val="0"/>
      <w:marTop w:val="0"/>
      <w:marBottom w:val="0"/>
      <w:divBdr>
        <w:top w:val="none" w:sz="0" w:space="0" w:color="auto"/>
        <w:left w:val="none" w:sz="0" w:space="0" w:color="auto"/>
        <w:bottom w:val="none" w:sz="0" w:space="0" w:color="auto"/>
        <w:right w:val="none" w:sz="0" w:space="0" w:color="auto"/>
      </w:divBdr>
    </w:div>
    <w:div w:id="1763455011">
      <w:bodyDiv w:val="1"/>
      <w:marLeft w:val="0"/>
      <w:marRight w:val="0"/>
      <w:marTop w:val="0"/>
      <w:marBottom w:val="0"/>
      <w:divBdr>
        <w:top w:val="none" w:sz="0" w:space="0" w:color="auto"/>
        <w:left w:val="none" w:sz="0" w:space="0" w:color="auto"/>
        <w:bottom w:val="none" w:sz="0" w:space="0" w:color="auto"/>
        <w:right w:val="none" w:sz="0" w:space="0" w:color="auto"/>
      </w:divBdr>
    </w:div>
    <w:div w:id="1766342362">
      <w:bodyDiv w:val="1"/>
      <w:marLeft w:val="0"/>
      <w:marRight w:val="0"/>
      <w:marTop w:val="0"/>
      <w:marBottom w:val="0"/>
      <w:divBdr>
        <w:top w:val="none" w:sz="0" w:space="0" w:color="auto"/>
        <w:left w:val="none" w:sz="0" w:space="0" w:color="auto"/>
        <w:bottom w:val="none" w:sz="0" w:space="0" w:color="auto"/>
        <w:right w:val="none" w:sz="0" w:space="0" w:color="auto"/>
      </w:divBdr>
    </w:div>
    <w:div w:id="1773356513">
      <w:bodyDiv w:val="1"/>
      <w:marLeft w:val="0"/>
      <w:marRight w:val="0"/>
      <w:marTop w:val="0"/>
      <w:marBottom w:val="0"/>
      <w:divBdr>
        <w:top w:val="none" w:sz="0" w:space="0" w:color="auto"/>
        <w:left w:val="none" w:sz="0" w:space="0" w:color="auto"/>
        <w:bottom w:val="none" w:sz="0" w:space="0" w:color="auto"/>
        <w:right w:val="none" w:sz="0" w:space="0" w:color="auto"/>
      </w:divBdr>
    </w:div>
    <w:div w:id="1774746411">
      <w:bodyDiv w:val="1"/>
      <w:marLeft w:val="0"/>
      <w:marRight w:val="0"/>
      <w:marTop w:val="0"/>
      <w:marBottom w:val="0"/>
      <w:divBdr>
        <w:top w:val="none" w:sz="0" w:space="0" w:color="auto"/>
        <w:left w:val="none" w:sz="0" w:space="0" w:color="auto"/>
        <w:bottom w:val="none" w:sz="0" w:space="0" w:color="auto"/>
        <w:right w:val="none" w:sz="0" w:space="0" w:color="auto"/>
      </w:divBdr>
    </w:div>
    <w:div w:id="1781610470">
      <w:bodyDiv w:val="1"/>
      <w:marLeft w:val="0"/>
      <w:marRight w:val="0"/>
      <w:marTop w:val="0"/>
      <w:marBottom w:val="0"/>
      <w:divBdr>
        <w:top w:val="none" w:sz="0" w:space="0" w:color="auto"/>
        <w:left w:val="none" w:sz="0" w:space="0" w:color="auto"/>
        <w:bottom w:val="none" w:sz="0" w:space="0" w:color="auto"/>
        <w:right w:val="none" w:sz="0" w:space="0" w:color="auto"/>
      </w:divBdr>
    </w:div>
    <w:div w:id="1782646787">
      <w:bodyDiv w:val="1"/>
      <w:marLeft w:val="0"/>
      <w:marRight w:val="0"/>
      <w:marTop w:val="0"/>
      <w:marBottom w:val="0"/>
      <w:divBdr>
        <w:top w:val="none" w:sz="0" w:space="0" w:color="auto"/>
        <w:left w:val="none" w:sz="0" w:space="0" w:color="auto"/>
        <w:bottom w:val="none" w:sz="0" w:space="0" w:color="auto"/>
        <w:right w:val="none" w:sz="0" w:space="0" w:color="auto"/>
      </w:divBdr>
    </w:div>
    <w:div w:id="1786728778">
      <w:bodyDiv w:val="1"/>
      <w:marLeft w:val="0"/>
      <w:marRight w:val="0"/>
      <w:marTop w:val="0"/>
      <w:marBottom w:val="0"/>
      <w:divBdr>
        <w:top w:val="none" w:sz="0" w:space="0" w:color="auto"/>
        <w:left w:val="none" w:sz="0" w:space="0" w:color="auto"/>
        <w:bottom w:val="none" w:sz="0" w:space="0" w:color="auto"/>
        <w:right w:val="none" w:sz="0" w:space="0" w:color="auto"/>
      </w:divBdr>
    </w:div>
    <w:div w:id="1786846197">
      <w:bodyDiv w:val="1"/>
      <w:marLeft w:val="0"/>
      <w:marRight w:val="0"/>
      <w:marTop w:val="0"/>
      <w:marBottom w:val="0"/>
      <w:divBdr>
        <w:top w:val="none" w:sz="0" w:space="0" w:color="auto"/>
        <w:left w:val="none" w:sz="0" w:space="0" w:color="auto"/>
        <w:bottom w:val="none" w:sz="0" w:space="0" w:color="auto"/>
        <w:right w:val="none" w:sz="0" w:space="0" w:color="auto"/>
      </w:divBdr>
    </w:div>
    <w:div w:id="1790005226">
      <w:bodyDiv w:val="1"/>
      <w:marLeft w:val="0"/>
      <w:marRight w:val="0"/>
      <w:marTop w:val="0"/>
      <w:marBottom w:val="0"/>
      <w:divBdr>
        <w:top w:val="none" w:sz="0" w:space="0" w:color="auto"/>
        <w:left w:val="none" w:sz="0" w:space="0" w:color="auto"/>
        <w:bottom w:val="none" w:sz="0" w:space="0" w:color="auto"/>
        <w:right w:val="none" w:sz="0" w:space="0" w:color="auto"/>
      </w:divBdr>
    </w:div>
    <w:div w:id="1793130504">
      <w:bodyDiv w:val="1"/>
      <w:marLeft w:val="0"/>
      <w:marRight w:val="0"/>
      <w:marTop w:val="0"/>
      <w:marBottom w:val="0"/>
      <w:divBdr>
        <w:top w:val="none" w:sz="0" w:space="0" w:color="auto"/>
        <w:left w:val="none" w:sz="0" w:space="0" w:color="auto"/>
        <w:bottom w:val="none" w:sz="0" w:space="0" w:color="auto"/>
        <w:right w:val="none" w:sz="0" w:space="0" w:color="auto"/>
      </w:divBdr>
    </w:div>
    <w:div w:id="1796750411">
      <w:bodyDiv w:val="1"/>
      <w:marLeft w:val="0"/>
      <w:marRight w:val="0"/>
      <w:marTop w:val="0"/>
      <w:marBottom w:val="0"/>
      <w:divBdr>
        <w:top w:val="none" w:sz="0" w:space="0" w:color="auto"/>
        <w:left w:val="none" w:sz="0" w:space="0" w:color="auto"/>
        <w:bottom w:val="none" w:sz="0" w:space="0" w:color="auto"/>
        <w:right w:val="none" w:sz="0" w:space="0" w:color="auto"/>
      </w:divBdr>
    </w:div>
    <w:div w:id="1797798765">
      <w:bodyDiv w:val="1"/>
      <w:marLeft w:val="0"/>
      <w:marRight w:val="0"/>
      <w:marTop w:val="0"/>
      <w:marBottom w:val="0"/>
      <w:divBdr>
        <w:top w:val="none" w:sz="0" w:space="0" w:color="auto"/>
        <w:left w:val="none" w:sz="0" w:space="0" w:color="auto"/>
        <w:bottom w:val="none" w:sz="0" w:space="0" w:color="auto"/>
        <w:right w:val="none" w:sz="0" w:space="0" w:color="auto"/>
      </w:divBdr>
    </w:div>
    <w:div w:id="1804959209">
      <w:bodyDiv w:val="1"/>
      <w:marLeft w:val="0"/>
      <w:marRight w:val="0"/>
      <w:marTop w:val="0"/>
      <w:marBottom w:val="0"/>
      <w:divBdr>
        <w:top w:val="none" w:sz="0" w:space="0" w:color="auto"/>
        <w:left w:val="none" w:sz="0" w:space="0" w:color="auto"/>
        <w:bottom w:val="none" w:sz="0" w:space="0" w:color="auto"/>
        <w:right w:val="none" w:sz="0" w:space="0" w:color="auto"/>
      </w:divBdr>
    </w:div>
    <w:div w:id="1814985121">
      <w:bodyDiv w:val="1"/>
      <w:marLeft w:val="0"/>
      <w:marRight w:val="0"/>
      <w:marTop w:val="0"/>
      <w:marBottom w:val="0"/>
      <w:divBdr>
        <w:top w:val="none" w:sz="0" w:space="0" w:color="auto"/>
        <w:left w:val="none" w:sz="0" w:space="0" w:color="auto"/>
        <w:bottom w:val="none" w:sz="0" w:space="0" w:color="auto"/>
        <w:right w:val="none" w:sz="0" w:space="0" w:color="auto"/>
      </w:divBdr>
    </w:div>
    <w:div w:id="1819809720">
      <w:bodyDiv w:val="1"/>
      <w:marLeft w:val="0"/>
      <w:marRight w:val="0"/>
      <w:marTop w:val="0"/>
      <w:marBottom w:val="0"/>
      <w:divBdr>
        <w:top w:val="none" w:sz="0" w:space="0" w:color="auto"/>
        <w:left w:val="none" w:sz="0" w:space="0" w:color="auto"/>
        <w:bottom w:val="none" w:sz="0" w:space="0" w:color="auto"/>
        <w:right w:val="none" w:sz="0" w:space="0" w:color="auto"/>
      </w:divBdr>
      <w:divsChild>
        <w:div w:id="1613509905">
          <w:marLeft w:val="0"/>
          <w:marRight w:val="0"/>
          <w:marTop w:val="0"/>
          <w:marBottom w:val="0"/>
          <w:divBdr>
            <w:top w:val="none" w:sz="0" w:space="0" w:color="auto"/>
            <w:left w:val="none" w:sz="0" w:space="0" w:color="auto"/>
            <w:bottom w:val="none" w:sz="0" w:space="0" w:color="auto"/>
            <w:right w:val="none" w:sz="0" w:space="0" w:color="auto"/>
          </w:divBdr>
          <w:divsChild>
            <w:div w:id="1618443148">
              <w:marLeft w:val="0"/>
              <w:marRight w:val="0"/>
              <w:marTop w:val="0"/>
              <w:marBottom w:val="0"/>
              <w:divBdr>
                <w:top w:val="none" w:sz="0" w:space="0" w:color="auto"/>
                <w:left w:val="none" w:sz="0" w:space="0" w:color="auto"/>
                <w:bottom w:val="none" w:sz="0" w:space="0" w:color="auto"/>
                <w:right w:val="none" w:sz="0" w:space="0" w:color="auto"/>
              </w:divBdr>
              <w:divsChild>
                <w:div w:id="1945570961">
                  <w:marLeft w:val="0"/>
                  <w:marRight w:val="0"/>
                  <w:marTop w:val="0"/>
                  <w:marBottom w:val="0"/>
                  <w:divBdr>
                    <w:top w:val="none" w:sz="0" w:space="0" w:color="auto"/>
                    <w:left w:val="none" w:sz="0" w:space="0" w:color="auto"/>
                    <w:bottom w:val="none" w:sz="0" w:space="0" w:color="auto"/>
                    <w:right w:val="none" w:sz="0" w:space="0" w:color="auto"/>
                  </w:divBdr>
                  <w:divsChild>
                    <w:div w:id="19853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893610">
      <w:bodyDiv w:val="1"/>
      <w:marLeft w:val="0"/>
      <w:marRight w:val="0"/>
      <w:marTop w:val="0"/>
      <w:marBottom w:val="0"/>
      <w:divBdr>
        <w:top w:val="none" w:sz="0" w:space="0" w:color="auto"/>
        <w:left w:val="none" w:sz="0" w:space="0" w:color="auto"/>
        <w:bottom w:val="none" w:sz="0" w:space="0" w:color="auto"/>
        <w:right w:val="none" w:sz="0" w:space="0" w:color="auto"/>
      </w:divBdr>
    </w:div>
    <w:div w:id="1832285317">
      <w:bodyDiv w:val="1"/>
      <w:marLeft w:val="0"/>
      <w:marRight w:val="0"/>
      <w:marTop w:val="0"/>
      <w:marBottom w:val="0"/>
      <w:divBdr>
        <w:top w:val="none" w:sz="0" w:space="0" w:color="auto"/>
        <w:left w:val="none" w:sz="0" w:space="0" w:color="auto"/>
        <w:bottom w:val="none" w:sz="0" w:space="0" w:color="auto"/>
        <w:right w:val="none" w:sz="0" w:space="0" w:color="auto"/>
      </w:divBdr>
    </w:div>
    <w:div w:id="1834375764">
      <w:bodyDiv w:val="1"/>
      <w:marLeft w:val="0"/>
      <w:marRight w:val="0"/>
      <w:marTop w:val="0"/>
      <w:marBottom w:val="0"/>
      <w:divBdr>
        <w:top w:val="none" w:sz="0" w:space="0" w:color="auto"/>
        <w:left w:val="none" w:sz="0" w:space="0" w:color="auto"/>
        <w:bottom w:val="none" w:sz="0" w:space="0" w:color="auto"/>
        <w:right w:val="none" w:sz="0" w:space="0" w:color="auto"/>
      </w:divBdr>
    </w:div>
    <w:div w:id="1837189157">
      <w:bodyDiv w:val="1"/>
      <w:marLeft w:val="0"/>
      <w:marRight w:val="0"/>
      <w:marTop w:val="0"/>
      <w:marBottom w:val="0"/>
      <w:divBdr>
        <w:top w:val="none" w:sz="0" w:space="0" w:color="auto"/>
        <w:left w:val="none" w:sz="0" w:space="0" w:color="auto"/>
        <w:bottom w:val="none" w:sz="0" w:space="0" w:color="auto"/>
        <w:right w:val="none" w:sz="0" w:space="0" w:color="auto"/>
      </w:divBdr>
    </w:div>
    <w:div w:id="1839424545">
      <w:bodyDiv w:val="1"/>
      <w:marLeft w:val="0"/>
      <w:marRight w:val="0"/>
      <w:marTop w:val="0"/>
      <w:marBottom w:val="0"/>
      <w:divBdr>
        <w:top w:val="none" w:sz="0" w:space="0" w:color="auto"/>
        <w:left w:val="none" w:sz="0" w:space="0" w:color="auto"/>
        <w:bottom w:val="none" w:sz="0" w:space="0" w:color="auto"/>
        <w:right w:val="none" w:sz="0" w:space="0" w:color="auto"/>
      </w:divBdr>
    </w:div>
    <w:div w:id="1849903693">
      <w:bodyDiv w:val="1"/>
      <w:marLeft w:val="0"/>
      <w:marRight w:val="0"/>
      <w:marTop w:val="0"/>
      <w:marBottom w:val="0"/>
      <w:divBdr>
        <w:top w:val="none" w:sz="0" w:space="0" w:color="auto"/>
        <w:left w:val="none" w:sz="0" w:space="0" w:color="auto"/>
        <w:bottom w:val="none" w:sz="0" w:space="0" w:color="auto"/>
        <w:right w:val="none" w:sz="0" w:space="0" w:color="auto"/>
      </w:divBdr>
    </w:div>
    <w:div w:id="1853491481">
      <w:bodyDiv w:val="1"/>
      <w:marLeft w:val="0"/>
      <w:marRight w:val="0"/>
      <w:marTop w:val="0"/>
      <w:marBottom w:val="0"/>
      <w:divBdr>
        <w:top w:val="none" w:sz="0" w:space="0" w:color="auto"/>
        <w:left w:val="none" w:sz="0" w:space="0" w:color="auto"/>
        <w:bottom w:val="none" w:sz="0" w:space="0" w:color="auto"/>
        <w:right w:val="none" w:sz="0" w:space="0" w:color="auto"/>
      </w:divBdr>
    </w:div>
    <w:div w:id="1864780056">
      <w:bodyDiv w:val="1"/>
      <w:marLeft w:val="0"/>
      <w:marRight w:val="0"/>
      <w:marTop w:val="0"/>
      <w:marBottom w:val="0"/>
      <w:divBdr>
        <w:top w:val="none" w:sz="0" w:space="0" w:color="auto"/>
        <w:left w:val="none" w:sz="0" w:space="0" w:color="auto"/>
        <w:bottom w:val="none" w:sz="0" w:space="0" w:color="auto"/>
        <w:right w:val="none" w:sz="0" w:space="0" w:color="auto"/>
      </w:divBdr>
    </w:div>
    <w:div w:id="1865823919">
      <w:bodyDiv w:val="1"/>
      <w:marLeft w:val="0"/>
      <w:marRight w:val="0"/>
      <w:marTop w:val="0"/>
      <w:marBottom w:val="0"/>
      <w:divBdr>
        <w:top w:val="none" w:sz="0" w:space="0" w:color="auto"/>
        <w:left w:val="none" w:sz="0" w:space="0" w:color="auto"/>
        <w:bottom w:val="none" w:sz="0" w:space="0" w:color="auto"/>
        <w:right w:val="none" w:sz="0" w:space="0" w:color="auto"/>
      </w:divBdr>
      <w:divsChild>
        <w:div w:id="1829515314">
          <w:marLeft w:val="0"/>
          <w:marRight w:val="0"/>
          <w:marTop w:val="100"/>
          <w:marBottom w:val="100"/>
          <w:divBdr>
            <w:top w:val="none" w:sz="0" w:space="0" w:color="auto"/>
            <w:left w:val="none" w:sz="0" w:space="0" w:color="auto"/>
            <w:bottom w:val="none" w:sz="0" w:space="0" w:color="auto"/>
            <w:right w:val="none" w:sz="0" w:space="0" w:color="auto"/>
          </w:divBdr>
          <w:divsChild>
            <w:div w:id="1129399500">
              <w:marLeft w:val="0"/>
              <w:marRight w:val="0"/>
              <w:marTop w:val="0"/>
              <w:marBottom w:val="0"/>
              <w:divBdr>
                <w:top w:val="none" w:sz="0" w:space="0" w:color="auto"/>
                <w:left w:val="none" w:sz="0" w:space="0" w:color="auto"/>
                <w:bottom w:val="none" w:sz="0" w:space="0" w:color="auto"/>
                <w:right w:val="none" w:sz="0" w:space="0" w:color="auto"/>
              </w:divBdr>
              <w:divsChild>
                <w:div w:id="2108386930">
                  <w:marLeft w:val="0"/>
                  <w:marRight w:val="0"/>
                  <w:marTop w:val="0"/>
                  <w:marBottom w:val="0"/>
                  <w:divBdr>
                    <w:top w:val="none" w:sz="0" w:space="0" w:color="auto"/>
                    <w:left w:val="none" w:sz="0" w:space="0" w:color="auto"/>
                    <w:bottom w:val="none" w:sz="0" w:space="0" w:color="auto"/>
                    <w:right w:val="none" w:sz="0" w:space="0" w:color="auto"/>
                  </w:divBdr>
                </w:div>
                <w:div w:id="20511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828732">
          <w:marLeft w:val="0"/>
          <w:marRight w:val="0"/>
          <w:marTop w:val="100"/>
          <w:marBottom w:val="100"/>
          <w:divBdr>
            <w:top w:val="none" w:sz="0" w:space="0" w:color="auto"/>
            <w:left w:val="none" w:sz="0" w:space="0" w:color="auto"/>
            <w:bottom w:val="none" w:sz="0" w:space="0" w:color="auto"/>
            <w:right w:val="none" w:sz="0" w:space="0" w:color="auto"/>
          </w:divBdr>
          <w:divsChild>
            <w:div w:id="203181658">
              <w:marLeft w:val="0"/>
              <w:marRight w:val="0"/>
              <w:marTop w:val="0"/>
              <w:marBottom w:val="0"/>
              <w:divBdr>
                <w:top w:val="none" w:sz="0" w:space="0" w:color="auto"/>
                <w:left w:val="none" w:sz="0" w:space="0" w:color="auto"/>
                <w:bottom w:val="none" w:sz="0" w:space="0" w:color="auto"/>
                <w:right w:val="none" w:sz="0" w:space="0" w:color="auto"/>
              </w:divBdr>
              <w:divsChild>
                <w:div w:id="321395468">
                  <w:marLeft w:val="0"/>
                  <w:marRight w:val="0"/>
                  <w:marTop w:val="0"/>
                  <w:marBottom w:val="0"/>
                  <w:divBdr>
                    <w:top w:val="none" w:sz="0" w:space="0" w:color="auto"/>
                    <w:left w:val="none" w:sz="0" w:space="0" w:color="auto"/>
                    <w:bottom w:val="none" w:sz="0" w:space="0" w:color="auto"/>
                    <w:right w:val="none" w:sz="0" w:space="0" w:color="auto"/>
                  </w:divBdr>
                </w:div>
                <w:div w:id="37227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458697">
      <w:bodyDiv w:val="1"/>
      <w:marLeft w:val="0"/>
      <w:marRight w:val="0"/>
      <w:marTop w:val="0"/>
      <w:marBottom w:val="0"/>
      <w:divBdr>
        <w:top w:val="none" w:sz="0" w:space="0" w:color="auto"/>
        <w:left w:val="none" w:sz="0" w:space="0" w:color="auto"/>
        <w:bottom w:val="none" w:sz="0" w:space="0" w:color="auto"/>
        <w:right w:val="none" w:sz="0" w:space="0" w:color="auto"/>
      </w:divBdr>
    </w:div>
    <w:div w:id="1881164828">
      <w:bodyDiv w:val="1"/>
      <w:marLeft w:val="0"/>
      <w:marRight w:val="0"/>
      <w:marTop w:val="0"/>
      <w:marBottom w:val="0"/>
      <w:divBdr>
        <w:top w:val="none" w:sz="0" w:space="0" w:color="auto"/>
        <w:left w:val="none" w:sz="0" w:space="0" w:color="auto"/>
        <w:bottom w:val="none" w:sz="0" w:space="0" w:color="auto"/>
        <w:right w:val="none" w:sz="0" w:space="0" w:color="auto"/>
      </w:divBdr>
    </w:div>
    <w:div w:id="1886793936">
      <w:bodyDiv w:val="1"/>
      <w:marLeft w:val="0"/>
      <w:marRight w:val="0"/>
      <w:marTop w:val="0"/>
      <w:marBottom w:val="0"/>
      <w:divBdr>
        <w:top w:val="none" w:sz="0" w:space="0" w:color="auto"/>
        <w:left w:val="none" w:sz="0" w:space="0" w:color="auto"/>
        <w:bottom w:val="none" w:sz="0" w:space="0" w:color="auto"/>
        <w:right w:val="none" w:sz="0" w:space="0" w:color="auto"/>
      </w:divBdr>
    </w:div>
    <w:div w:id="1889879696">
      <w:bodyDiv w:val="1"/>
      <w:marLeft w:val="0"/>
      <w:marRight w:val="0"/>
      <w:marTop w:val="0"/>
      <w:marBottom w:val="0"/>
      <w:divBdr>
        <w:top w:val="none" w:sz="0" w:space="0" w:color="auto"/>
        <w:left w:val="none" w:sz="0" w:space="0" w:color="auto"/>
        <w:bottom w:val="none" w:sz="0" w:space="0" w:color="auto"/>
        <w:right w:val="none" w:sz="0" w:space="0" w:color="auto"/>
      </w:divBdr>
    </w:div>
    <w:div w:id="1898856377">
      <w:bodyDiv w:val="1"/>
      <w:marLeft w:val="0"/>
      <w:marRight w:val="0"/>
      <w:marTop w:val="0"/>
      <w:marBottom w:val="0"/>
      <w:divBdr>
        <w:top w:val="none" w:sz="0" w:space="0" w:color="auto"/>
        <w:left w:val="none" w:sz="0" w:space="0" w:color="auto"/>
        <w:bottom w:val="none" w:sz="0" w:space="0" w:color="auto"/>
        <w:right w:val="none" w:sz="0" w:space="0" w:color="auto"/>
      </w:divBdr>
    </w:div>
    <w:div w:id="1902598090">
      <w:bodyDiv w:val="1"/>
      <w:marLeft w:val="0"/>
      <w:marRight w:val="0"/>
      <w:marTop w:val="0"/>
      <w:marBottom w:val="0"/>
      <w:divBdr>
        <w:top w:val="none" w:sz="0" w:space="0" w:color="auto"/>
        <w:left w:val="none" w:sz="0" w:space="0" w:color="auto"/>
        <w:bottom w:val="none" w:sz="0" w:space="0" w:color="auto"/>
        <w:right w:val="none" w:sz="0" w:space="0" w:color="auto"/>
      </w:divBdr>
    </w:div>
    <w:div w:id="1910580652">
      <w:bodyDiv w:val="1"/>
      <w:marLeft w:val="0"/>
      <w:marRight w:val="0"/>
      <w:marTop w:val="0"/>
      <w:marBottom w:val="0"/>
      <w:divBdr>
        <w:top w:val="none" w:sz="0" w:space="0" w:color="auto"/>
        <w:left w:val="none" w:sz="0" w:space="0" w:color="auto"/>
        <w:bottom w:val="none" w:sz="0" w:space="0" w:color="auto"/>
        <w:right w:val="none" w:sz="0" w:space="0" w:color="auto"/>
      </w:divBdr>
    </w:div>
    <w:div w:id="1930967325">
      <w:bodyDiv w:val="1"/>
      <w:marLeft w:val="0"/>
      <w:marRight w:val="0"/>
      <w:marTop w:val="0"/>
      <w:marBottom w:val="0"/>
      <w:divBdr>
        <w:top w:val="none" w:sz="0" w:space="0" w:color="auto"/>
        <w:left w:val="none" w:sz="0" w:space="0" w:color="auto"/>
        <w:bottom w:val="none" w:sz="0" w:space="0" w:color="auto"/>
        <w:right w:val="none" w:sz="0" w:space="0" w:color="auto"/>
      </w:divBdr>
    </w:div>
    <w:div w:id="1938713426">
      <w:bodyDiv w:val="1"/>
      <w:marLeft w:val="0"/>
      <w:marRight w:val="0"/>
      <w:marTop w:val="0"/>
      <w:marBottom w:val="0"/>
      <w:divBdr>
        <w:top w:val="none" w:sz="0" w:space="0" w:color="auto"/>
        <w:left w:val="none" w:sz="0" w:space="0" w:color="auto"/>
        <w:bottom w:val="none" w:sz="0" w:space="0" w:color="auto"/>
        <w:right w:val="none" w:sz="0" w:space="0" w:color="auto"/>
      </w:divBdr>
    </w:div>
    <w:div w:id="1940138940">
      <w:bodyDiv w:val="1"/>
      <w:marLeft w:val="0"/>
      <w:marRight w:val="0"/>
      <w:marTop w:val="0"/>
      <w:marBottom w:val="0"/>
      <w:divBdr>
        <w:top w:val="none" w:sz="0" w:space="0" w:color="auto"/>
        <w:left w:val="none" w:sz="0" w:space="0" w:color="auto"/>
        <w:bottom w:val="none" w:sz="0" w:space="0" w:color="auto"/>
        <w:right w:val="none" w:sz="0" w:space="0" w:color="auto"/>
      </w:divBdr>
    </w:div>
    <w:div w:id="1950233583">
      <w:bodyDiv w:val="1"/>
      <w:marLeft w:val="0"/>
      <w:marRight w:val="0"/>
      <w:marTop w:val="0"/>
      <w:marBottom w:val="0"/>
      <w:divBdr>
        <w:top w:val="none" w:sz="0" w:space="0" w:color="auto"/>
        <w:left w:val="none" w:sz="0" w:space="0" w:color="auto"/>
        <w:bottom w:val="none" w:sz="0" w:space="0" w:color="auto"/>
        <w:right w:val="none" w:sz="0" w:space="0" w:color="auto"/>
      </w:divBdr>
    </w:div>
    <w:div w:id="1954942532">
      <w:bodyDiv w:val="1"/>
      <w:marLeft w:val="0"/>
      <w:marRight w:val="0"/>
      <w:marTop w:val="0"/>
      <w:marBottom w:val="0"/>
      <w:divBdr>
        <w:top w:val="none" w:sz="0" w:space="0" w:color="auto"/>
        <w:left w:val="none" w:sz="0" w:space="0" w:color="auto"/>
        <w:bottom w:val="none" w:sz="0" w:space="0" w:color="auto"/>
        <w:right w:val="none" w:sz="0" w:space="0" w:color="auto"/>
      </w:divBdr>
    </w:div>
    <w:div w:id="1957520818">
      <w:bodyDiv w:val="1"/>
      <w:marLeft w:val="0"/>
      <w:marRight w:val="0"/>
      <w:marTop w:val="0"/>
      <w:marBottom w:val="0"/>
      <w:divBdr>
        <w:top w:val="none" w:sz="0" w:space="0" w:color="auto"/>
        <w:left w:val="none" w:sz="0" w:space="0" w:color="auto"/>
        <w:bottom w:val="none" w:sz="0" w:space="0" w:color="auto"/>
        <w:right w:val="none" w:sz="0" w:space="0" w:color="auto"/>
      </w:divBdr>
    </w:div>
    <w:div w:id="1958682765">
      <w:bodyDiv w:val="1"/>
      <w:marLeft w:val="0"/>
      <w:marRight w:val="0"/>
      <w:marTop w:val="0"/>
      <w:marBottom w:val="0"/>
      <w:divBdr>
        <w:top w:val="none" w:sz="0" w:space="0" w:color="auto"/>
        <w:left w:val="none" w:sz="0" w:space="0" w:color="auto"/>
        <w:bottom w:val="none" w:sz="0" w:space="0" w:color="auto"/>
        <w:right w:val="none" w:sz="0" w:space="0" w:color="auto"/>
      </w:divBdr>
    </w:div>
    <w:div w:id="1969510120">
      <w:bodyDiv w:val="1"/>
      <w:marLeft w:val="0"/>
      <w:marRight w:val="0"/>
      <w:marTop w:val="0"/>
      <w:marBottom w:val="0"/>
      <w:divBdr>
        <w:top w:val="none" w:sz="0" w:space="0" w:color="auto"/>
        <w:left w:val="none" w:sz="0" w:space="0" w:color="auto"/>
        <w:bottom w:val="none" w:sz="0" w:space="0" w:color="auto"/>
        <w:right w:val="none" w:sz="0" w:space="0" w:color="auto"/>
      </w:divBdr>
    </w:div>
    <w:div w:id="1980457030">
      <w:bodyDiv w:val="1"/>
      <w:marLeft w:val="0"/>
      <w:marRight w:val="0"/>
      <w:marTop w:val="0"/>
      <w:marBottom w:val="0"/>
      <w:divBdr>
        <w:top w:val="none" w:sz="0" w:space="0" w:color="auto"/>
        <w:left w:val="none" w:sz="0" w:space="0" w:color="auto"/>
        <w:bottom w:val="none" w:sz="0" w:space="0" w:color="auto"/>
        <w:right w:val="none" w:sz="0" w:space="0" w:color="auto"/>
      </w:divBdr>
    </w:div>
    <w:div w:id="1987054070">
      <w:bodyDiv w:val="1"/>
      <w:marLeft w:val="0"/>
      <w:marRight w:val="0"/>
      <w:marTop w:val="0"/>
      <w:marBottom w:val="0"/>
      <w:divBdr>
        <w:top w:val="none" w:sz="0" w:space="0" w:color="auto"/>
        <w:left w:val="none" w:sz="0" w:space="0" w:color="auto"/>
        <w:bottom w:val="none" w:sz="0" w:space="0" w:color="auto"/>
        <w:right w:val="none" w:sz="0" w:space="0" w:color="auto"/>
      </w:divBdr>
    </w:div>
    <w:div w:id="1990858665">
      <w:bodyDiv w:val="1"/>
      <w:marLeft w:val="0"/>
      <w:marRight w:val="0"/>
      <w:marTop w:val="0"/>
      <w:marBottom w:val="0"/>
      <w:divBdr>
        <w:top w:val="none" w:sz="0" w:space="0" w:color="auto"/>
        <w:left w:val="none" w:sz="0" w:space="0" w:color="auto"/>
        <w:bottom w:val="none" w:sz="0" w:space="0" w:color="auto"/>
        <w:right w:val="none" w:sz="0" w:space="0" w:color="auto"/>
      </w:divBdr>
    </w:div>
    <w:div w:id="1993949167">
      <w:bodyDiv w:val="1"/>
      <w:marLeft w:val="0"/>
      <w:marRight w:val="0"/>
      <w:marTop w:val="0"/>
      <w:marBottom w:val="0"/>
      <w:divBdr>
        <w:top w:val="none" w:sz="0" w:space="0" w:color="auto"/>
        <w:left w:val="none" w:sz="0" w:space="0" w:color="auto"/>
        <w:bottom w:val="none" w:sz="0" w:space="0" w:color="auto"/>
        <w:right w:val="none" w:sz="0" w:space="0" w:color="auto"/>
      </w:divBdr>
    </w:div>
    <w:div w:id="1999963992">
      <w:bodyDiv w:val="1"/>
      <w:marLeft w:val="0"/>
      <w:marRight w:val="0"/>
      <w:marTop w:val="0"/>
      <w:marBottom w:val="0"/>
      <w:divBdr>
        <w:top w:val="none" w:sz="0" w:space="0" w:color="auto"/>
        <w:left w:val="none" w:sz="0" w:space="0" w:color="auto"/>
        <w:bottom w:val="none" w:sz="0" w:space="0" w:color="auto"/>
        <w:right w:val="none" w:sz="0" w:space="0" w:color="auto"/>
      </w:divBdr>
    </w:div>
    <w:div w:id="2002544116">
      <w:bodyDiv w:val="1"/>
      <w:marLeft w:val="0"/>
      <w:marRight w:val="0"/>
      <w:marTop w:val="0"/>
      <w:marBottom w:val="0"/>
      <w:divBdr>
        <w:top w:val="none" w:sz="0" w:space="0" w:color="auto"/>
        <w:left w:val="none" w:sz="0" w:space="0" w:color="auto"/>
        <w:bottom w:val="none" w:sz="0" w:space="0" w:color="auto"/>
        <w:right w:val="none" w:sz="0" w:space="0" w:color="auto"/>
      </w:divBdr>
    </w:div>
    <w:div w:id="2031565280">
      <w:bodyDiv w:val="1"/>
      <w:marLeft w:val="0"/>
      <w:marRight w:val="0"/>
      <w:marTop w:val="0"/>
      <w:marBottom w:val="0"/>
      <w:divBdr>
        <w:top w:val="none" w:sz="0" w:space="0" w:color="auto"/>
        <w:left w:val="none" w:sz="0" w:space="0" w:color="auto"/>
        <w:bottom w:val="none" w:sz="0" w:space="0" w:color="auto"/>
        <w:right w:val="none" w:sz="0" w:space="0" w:color="auto"/>
      </w:divBdr>
    </w:div>
    <w:div w:id="2033064525">
      <w:bodyDiv w:val="1"/>
      <w:marLeft w:val="0"/>
      <w:marRight w:val="0"/>
      <w:marTop w:val="0"/>
      <w:marBottom w:val="0"/>
      <w:divBdr>
        <w:top w:val="none" w:sz="0" w:space="0" w:color="auto"/>
        <w:left w:val="none" w:sz="0" w:space="0" w:color="auto"/>
        <w:bottom w:val="none" w:sz="0" w:space="0" w:color="auto"/>
        <w:right w:val="none" w:sz="0" w:space="0" w:color="auto"/>
      </w:divBdr>
    </w:div>
    <w:div w:id="2050567171">
      <w:bodyDiv w:val="1"/>
      <w:marLeft w:val="0"/>
      <w:marRight w:val="0"/>
      <w:marTop w:val="0"/>
      <w:marBottom w:val="0"/>
      <w:divBdr>
        <w:top w:val="none" w:sz="0" w:space="0" w:color="auto"/>
        <w:left w:val="none" w:sz="0" w:space="0" w:color="auto"/>
        <w:bottom w:val="none" w:sz="0" w:space="0" w:color="auto"/>
        <w:right w:val="none" w:sz="0" w:space="0" w:color="auto"/>
      </w:divBdr>
    </w:div>
    <w:div w:id="2052149390">
      <w:bodyDiv w:val="1"/>
      <w:marLeft w:val="0"/>
      <w:marRight w:val="0"/>
      <w:marTop w:val="0"/>
      <w:marBottom w:val="0"/>
      <w:divBdr>
        <w:top w:val="none" w:sz="0" w:space="0" w:color="auto"/>
        <w:left w:val="none" w:sz="0" w:space="0" w:color="auto"/>
        <w:bottom w:val="none" w:sz="0" w:space="0" w:color="auto"/>
        <w:right w:val="none" w:sz="0" w:space="0" w:color="auto"/>
      </w:divBdr>
    </w:div>
    <w:div w:id="2052222204">
      <w:bodyDiv w:val="1"/>
      <w:marLeft w:val="0"/>
      <w:marRight w:val="0"/>
      <w:marTop w:val="0"/>
      <w:marBottom w:val="0"/>
      <w:divBdr>
        <w:top w:val="none" w:sz="0" w:space="0" w:color="auto"/>
        <w:left w:val="none" w:sz="0" w:space="0" w:color="auto"/>
        <w:bottom w:val="none" w:sz="0" w:space="0" w:color="auto"/>
        <w:right w:val="none" w:sz="0" w:space="0" w:color="auto"/>
      </w:divBdr>
    </w:div>
    <w:div w:id="2062629943">
      <w:bodyDiv w:val="1"/>
      <w:marLeft w:val="0"/>
      <w:marRight w:val="0"/>
      <w:marTop w:val="0"/>
      <w:marBottom w:val="0"/>
      <w:divBdr>
        <w:top w:val="none" w:sz="0" w:space="0" w:color="auto"/>
        <w:left w:val="none" w:sz="0" w:space="0" w:color="auto"/>
        <w:bottom w:val="none" w:sz="0" w:space="0" w:color="auto"/>
        <w:right w:val="none" w:sz="0" w:space="0" w:color="auto"/>
      </w:divBdr>
    </w:div>
    <w:div w:id="2071227747">
      <w:bodyDiv w:val="1"/>
      <w:marLeft w:val="0"/>
      <w:marRight w:val="0"/>
      <w:marTop w:val="0"/>
      <w:marBottom w:val="0"/>
      <w:divBdr>
        <w:top w:val="none" w:sz="0" w:space="0" w:color="auto"/>
        <w:left w:val="none" w:sz="0" w:space="0" w:color="auto"/>
        <w:bottom w:val="none" w:sz="0" w:space="0" w:color="auto"/>
        <w:right w:val="none" w:sz="0" w:space="0" w:color="auto"/>
      </w:divBdr>
    </w:div>
    <w:div w:id="2084794411">
      <w:bodyDiv w:val="1"/>
      <w:marLeft w:val="0"/>
      <w:marRight w:val="0"/>
      <w:marTop w:val="0"/>
      <w:marBottom w:val="0"/>
      <w:divBdr>
        <w:top w:val="none" w:sz="0" w:space="0" w:color="auto"/>
        <w:left w:val="none" w:sz="0" w:space="0" w:color="auto"/>
        <w:bottom w:val="none" w:sz="0" w:space="0" w:color="auto"/>
        <w:right w:val="none" w:sz="0" w:space="0" w:color="auto"/>
      </w:divBdr>
    </w:div>
    <w:div w:id="2086566140">
      <w:bodyDiv w:val="1"/>
      <w:marLeft w:val="0"/>
      <w:marRight w:val="0"/>
      <w:marTop w:val="0"/>
      <w:marBottom w:val="0"/>
      <w:divBdr>
        <w:top w:val="none" w:sz="0" w:space="0" w:color="auto"/>
        <w:left w:val="none" w:sz="0" w:space="0" w:color="auto"/>
        <w:bottom w:val="none" w:sz="0" w:space="0" w:color="auto"/>
        <w:right w:val="none" w:sz="0" w:space="0" w:color="auto"/>
      </w:divBdr>
    </w:div>
    <w:div w:id="2090691784">
      <w:bodyDiv w:val="1"/>
      <w:marLeft w:val="0"/>
      <w:marRight w:val="0"/>
      <w:marTop w:val="0"/>
      <w:marBottom w:val="0"/>
      <w:divBdr>
        <w:top w:val="none" w:sz="0" w:space="0" w:color="auto"/>
        <w:left w:val="none" w:sz="0" w:space="0" w:color="auto"/>
        <w:bottom w:val="none" w:sz="0" w:space="0" w:color="auto"/>
        <w:right w:val="none" w:sz="0" w:space="0" w:color="auto"/>
      </w:divBdr>
    </w:div>
    <w:div w:id="2094621593">
      <w:bodyDiv w:val="1"/>
      <w:marLeft w:val="0"/>
      <w:marRight w:val="0"/>
      <w:marTop w:val="0"/>
      <w:marBottom w:val="0"/>
      <w:divBdr>
        <w:top w:val="none" w:sz="0" w:space="0" w:color="auto"/>
        <w:left w:val="none" w:sz="0" w:space="0" w:color="auto"/>
        <w:bottom w:val="none" w:sz="0" w:space="0" w:color="auto"/>
        <w:right w:val="none" w:sz="0" w:space="0" w:color="auto"/>
      </w:divBdr>
    </w:div>
    <w:div w:id="2096895556">
      <w:bodyDiv w:val="1"/>
      <w:marLeft w:val="0"/>
      <w:marRight w:val="0"/>
      <w:marTop w:val="0"/>
      <w:marBottom w:val="0"/>
      <w:divBdr>
        <w:top w:val="none" w:sz="0" w:space="0" w:color="auto"/>
        <w:left w:val="none" w:sz="0" w:space="0" w:color="auto"/>
        <w:bottom w:val="none" w:sz="0" w:space="0" w:color="auto"/>
        <w:right w:val="none" w:sz="0" w:space="0" w:color="auto"/>
      </w:divBdr>
    </w:div>
    <w:div w:id="2106533704">
      <w:bodyDiv w:val="1"/>
      <w:marLeft w:val="0"/>
      <w:marRight w:val="0"/>
      <w:marTop w:val="0"/>
      <w:marBottom w:val="0"/>
      <w:divBdr>
        <w:top w:val="none" w:sz="0" w:space="0" w:color="auto"/>
        <w:left w:val="none" w:sz="0" w:space="0" w:color="auto"/>
        <w:bottom w:val="none" w:sz="0" w:space="0" w:color="auto"/>
        <w:right w:val="none" w:sz="0" w:space="0" w:color="auto"/>
      </w:divBdr>
    </w:div>
    <w:div w:id="2108650878">
      <w:bodyDiv w:val="1"/>
      <w:marLeft w:val="0"/>
      <w:marRight w:val="0"/>
      <w:marTop w:val="0"/>
      <w:marBottom w:val="0"/>
      <w:divBdr>
        <w:top w:val="none" w:sz="0" w:space="0" w:color="auto"/>
        <w:left w:val="none" w:sz="0" w:space="0" w:color="auto"/>
        <w:bottom w:val="none" w:sz="0" w:space="0" w:color="auto"/>
        <w:right w:val="none" w:sz="0" w:space="0" w:color="auto"/>
      </w:divBdr>
    </w:div>
    <w:div w:id="2111007411">
      <w:bodyDiv w:val="1"/>
      <w:marLeft w:val="0"/>
      <w:marRight w:val="0"/>
      <w:marTop w:val="0"/>
      <w:marBottom w:val="0"/>
      <w:divBdr>
        <w:top w:val="none" w:sz="0" w:space="0" w:color="auto"/>
        <w:left w:val="none" w:sz="0" w:space="0" w:color="auto"/>
        <w:bottom w:val="none" w:sz="0" w:space="0" w:color="auto"/>
        <w:right w:val="none" w:sz="0" w:space="0" w:color="auto"/>
      </w:divBdr>
      <w:divsChild>
        <w:div w:id="1112166269">
          <w:marLeft w:val="0"/>
          <w:marRight w:val="0"/>
          <w:marTop w:val="0"/>
          <w:marBottom w:val="0"/>
          <w:divBdr>
            <w:top w:val="none" w:sz="0" w:space="0" w:color="auto"/>
            <w:left w:val="none" w:sz="0" w:space="0" w:color="auto"/>
            <w:bottom w:val="none" w:sz="0" w:space="0" w:color="auto"/>
            <w:right w:val="none" w:sz="0" w:space="0" w:color="auto"/>
          </w:divBdr>
          <w:divsChild>
            <w:div w:id="1359545345">
              <w:marLeft w:val="0"/>
              <w:marRight w:val="0"/>
              <w:marTop w:val="0"/>
              <w:marBottom w:val="240"/>
              <w:divBdr>
                <w:top w:val="none" w:sz="0" w:space="0" w:color="auto"/>
                <w:left w:val="none" w:sz="0" w:space="0" w:color="auto"/>
                <w:bottom w:val="none" w:sz="0" w:space="0" w:color="auto"/>
                <w:right w:val="none" w:sz="0" w:space="0" w:color="auto"/>
              </w:divBdr>
              <w:divsChild>
                <w:div w:id="1622566117">
                  <w:marLeft w:val="360"/>
                  <w:marRight w:val="96"/>
                  <w:marTop w:val="0"/>
                  <w:marBottom w:val="0"/>
                  <w:divBdr>
                    <w:top w:val="none" w:sz="0" w:space="0" w:color="auto"/>
                    <w:left w:val="none" w:sz="0" w:space="0" w:color="auto"/>
                    <w:bottom w:val="none" w:sz="0" w:space="0" w:color="auto"/>
                    <w:right w:val="none" w:sz="0" w:space="0" w:color="auto"/>
                  </w:divBdr>
                </w:div>
              </w:divsChild>
            </w:div>
            <w:div w:id="1898544676">
              <w:marLeft w:val="0"/>
              <w:marRight w:val="0"/>
              <w:marTop w:val="0"/>
              <w:marBottom w:val="240"/>
              <w:divBdr>
                <w:top w:val="none" w:sz="0" w:space="0" w:color="auto"/>
                <w:left w:val="none" w:sz="0" w:space="0" w:color="auto"/>
                <w:bottom w:val="none" w:sz="0" w:space="0" w:color="auto"/>
                <w:right w:val="none" w:sz="0" w:space="0" w:color="auto"/>
              </w:divBdr>
              <w:divsChild>
                <w:div w:id="653876233">
                  <w:marLeft w:val="360"/>
                  <w:marRight w:val="96"/>
                  <w:marTop w:val="0"/>
                  <w:marBottom w:val="0"/>
                  <w:divBdr>
                    <w:top w:val="none" w:sz="0" w:space="0" w:color="auto"/>
                    <w:left w:val="none" w:sz="0" w:space="0" w:color="auto"/>
                    <w:bottom w:val="none" w:sz="0" w:space="0" w:color="auto"/>
                    <w:right w:val="none" w:sz="0" w:space="0" w:color="auto"/>
                  </w:divBdr>
                </w:div>
              </w:divsChild>
            </w:div>
            <w:div w:id="524447776">
              <w:marLeft w:val="0"/>
              <w:marRight w:val="0"/>
              <w:marTop w:val="0"/>
              <w:marBottom w:val="240"/>
              <w:divBdr>
                <w:top w:val="none" w:sz="0" w:space="0" w:color="auto"/>
                <w:left w:val="none" w:sz="0" w:space="0" w:color="auto"/>
                <w:bottom w:val="none" w:sz="0" w:space="0" w:color="auto"/>
                <w:right w:val="none" w:sz="0" w:space="0" w:color="auto"/>
              </w:divBdr>
              <w:divsChild>
                <w:div w:id="1664776098">
                  <w:marLeft w:val="360"/>
                  <w:marRight w:val="96"/>
                  <w:marTop w:val="0"/>
                  <w:marBottom w:val="0"/>
                  <w:divBdr>
                    <w:top w:val="none" w:sz="0" w:space="0" w:color="auto"/>
                    <w:left w:val="none" w:sz="0" w:space="0" w:color="auto"/>
                    <w:bottom w:val="none" w:sz="0" w:space="0" w:color="auto"/>
                    <w:right w:val="none" w:sz="0" w:space="0" w:color="auto"/>
                  </w:divBdr>
                </w:div>
              </w:divsChild>
            </w:div>
            <w:div w:id="1409883763">
              <w:marLeft w:val="0"/>
              <w:marRight w:val="0"/>
              <w:marTop w:val="0"/>
              <w:marBottom w:val="0"/>
              <w:divBdr>
                <w:top w:val="none" w:sz="0" w:space="0" w:color="auto"/>
                <w:left w:val="none" w:sz="0" w:space="0" w:color="auto"/>
                <w:bottom w:val="none" w:sz="0" w:space="0" w:color="auto"/>
                <w:right w:val="none" w:sz="0" w:space="0" w:color="auto"/>
              </w:divBdr>
              <w:divsChild>
                <w:div w:id="79144087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111701495">
      <w:bodyDiv w:val="1"/>
      <w:marLeft w:val="0"/>
      <w:marRight w:val="0"/>
      <w:marTop w:val="0"/>
      <w:marBottom w:val="0"/>
      <w:divBdr>
        <w:top w:val="none" w:sz="0" w:space="0" w:color="auto"/>
        <w:left w:val="none" w:sz="0" w:space="0" w:color="auto"/>
        <w:bottom w:val="none" w:sz="0" w:space="0" w:color="auto"/>
        <w:right w:val="none" w:sz="0" w:space="0" w:color="auto"/>
      </w:divBdr>
    </w:div>
    <w:div w:id="2113163555">
      <w:bodyDiv w:val="1"/>
      <w:marLeft w:val="0"/>
      <w:marRight w:val="0"/>
      <w:marTop w:val="0"/>
      <w:marBottom w:val="0"/>
      <w:divBdr>
        <w:top w:val="none" w:sz="0" w:space="0" w:color="auto"/>
        <w:left w:val="none" w:sz="0" w:space="0" w:color="auto"/>
        <w:bottom w:val="none" w:sz="0" w:space="0" w:color="auto"/>
        <w:right w:val="none" w:sz="0" w:space="0" w:color="auto"/>
      </w:divBdr>
      <w:divsChild>
        <w:div w:id="526916229">
          <w:marLeft w:val="0"/>
          <w:marRight w:val="0"/>
          <w:marTop w:val="0"/>
          <w:marBottom w:val="0"/>
          <w:divBdr>
            <w:top w:val="none" w:sz="0" w:space="0" w:color="auto"/>
            <w:left w:val="none" w:sz="0" w:space="0" w:color="auto"/>
            <w:bottom w:val="none" w:sz="0" w:space="0" w:color="auto"/>
            <w:right w:val="none" w:sz="0" w:space="0" w:color="auto"/>
          </w:divBdr>
        </w:div>
        <w:div w:id="862980507">
          <w:marLeft w:val="0"/>
          <w:marRight w:val="0"/>
          <w:marTop w:val="0"/>
          <w:marBottom w:val="0"/>
          <w:divBdr>
            <w:top w:val="none" w:sz="0" w:space="0" w:color="auto"/>
            <w:left w:val="none" w:sz="0" w:space="0" w:color="auto"/>
            <w:bottom w:val="none" w:sz="0" w:space="0" w:color="auto"/>
            <w:right w:val="none" w:sz="0" w:space="0" w:color="auto"/>
          </w:divBdr>
        </w:div>
      </w:divsChild>
    </w:div>
    <w:div w:id="2127577441">
      <w:bodyDiv w:val="1"/>
      <w:marLeft w:val="0"/>
      <w:marRight w:val="0"/>
      <w:marTop w:val="0"/>
      <w:marBottom w:val="0"/>
      <w:divBdr>
        <w:top w:val="none" w:sz="0" w:space="0" w:color="auto"/>
        <w:left w:val="none" w:sz="0" w:space="0" w:color="auto"/>
        <w:bottom w:val="none" w:sz="0" w:space="0" w:color="auto"/>
        <w:right w:val="none" w:sz="0" w:space="0" w:color="auto"/>
      </w:divBdr>
      <w:divsChild>
        <w:div w:id="1842353337">
          <w:marLeft w:val="0"/>
          <w:marRight w:val="0"/>
          <w:marTop w:val="0"/>
          <w:marBottom w:val="0"/>
          <w:divBdr>
            <w:top w:val="none" w:sz="0" w:space="0" w:color="auto"/>
            <w:left w:val="none" w:sz="0" w:space="0" w:color="auto"/>
            <w:bottom w:val="none" w:sz="0" w:space="0" w:color="auto"/>
            <w:right w:val="none" w:sz="0" w:space="0" w:color="auto"/>
          </w:divBdr>
          <w:divsChild>
            <w:div w:id="74976530">
              <w:marLeft w:val="0"/>
              <w:marRight w:val="0"/>
              <w:marTop w:val="0"/>
              <w:marBottom w:val="0"/>
              <w:divBdr>
                <w:top w:val="none" w:sz="0" w:space="0" w:color="auto"/>
                <w:left w:val="none" w:sz="0" w:space="0" w:color="auto"/>
                <w:bottom w:val="none" w:sz="0" w:space="0" w:color="auto"/>
                <w:right w:val="none" w:sz="0" w:space="0" w:color="auto"/>
              </w:divBdr>
              <w:divsChild>
                <w:div w:id="39304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163400">
      <w:bodyDiv w:val="1"/>
      <w:marLeft w:val="0"/>
      <w:marRight w:val="0"/>
      <w:marTop w:val="0"/>
      <w:marBottom w:val="0"/>
      <w:divBdr>
        <w:top w:val="none" w:sz="0" w:space="0" w:color="auto"/>
        <w:left w:val="none" w:sz="0" w:space="0" w:color="auto"/>
        <w:bottom w:val="none" w:sz="0" w:space="0" w:color="auto"/>
        <w:right w:val="none" w:sz="0" w:space="0" w:color="auto"/>
      </w:divBdr>
    </w:div>
    <w:div w:id="213675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stillersr.com/resources/methodological-resources/tool-to-assess-risk-of-bias-in-randomized-controlled-trials-distillersr" TargetMode="External"/><Relationship Id="rId13" Type="http://schemas.openxmlformats.org/officeDocument/2006/relationships/hyperlink" Target="https://doi.org/10.1136/heartjnl-2022-321332" TargetMode="External"/><Relationship Id="rId18" Type="http://schemas.openxmlformats.org/officeDocument/2006/relationships/hyperlink" Target="https://doi.org/10.1186/s12955-020-01398-w" TargetMode="External"/><Relationship Id="rId3" Type="http://schemas.openxmlformats.org/officeDocument/2006/relationships/styles" Target="styles.xml"/><Relationship Id="rId21" Type="http://schemas.openxmlformats.org/officeDocument/2006/relationships/hyperlink" Target="https://doi.org/10.1136/bmj-2022-074495" TargetMode="External"/><Relationship Id="rId7" Type="http://schemas.openxmlformats.org/officeDocument/2006/relationships/endnotes" Target="endnotes.xml"/><Relationship Id="rId12" Type="http://schemas.openxmlformats.org/officeDocument/2006/relationships/hyperlink" Target="https://training.cochrane.org/handbook/current/chapter-14" TargetMode="External"/><Relationship Id="rId17" Type="http://schemas.openxmlformats.org/officeDocument/2006/relationships/hyperlink" Target="https://doi.org/10.7326/M19-1621" TargetMode="External"/><Relationship Id="rId2" Type="http://schemas.openxmlformats.org/officeDocument/2006/relationships/numbering" Target="numbering.xml"/><Relationship Id="rId16" Type="http://schemas.openxmlformats.org/officeDocument/2006/relationships/hyperlink" Target="https://doi.org/10.1136/bmj.m696"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ining.cochrane.org/handbook/current/chapter-0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36/bmj.m315" TargetMode="External"/><Relationship Id="rId23" Type="http://schemas.openxmlformats.org/officeDocument/2006/relationships/fontTable" Target="fontTable.xml"/><Relationship Id="rId10" Type="http://schemas.openxmlformats.org/officeDocument/2006/relationships/hyperlink" Target="https://training.cochrane.org/handbook/current/chapter-05" TargetMode="External"/><Relationship Id="rId19" Type="http://schemas.openxmlformats.org/officeDocument/2006/relationships/hyperlink" Target="https://doi.org/10.1177/0194599819852604" TargetMode="External"/><Relationship Id="rId4" Type="http://schemas.openxmlformats.org/officeDocument/2006/relationships/settings" Target="settings.xml"/><Relationship Id="rId9" Type="http://schemas.openxmlformats.org/officeDocument/2006/relationships/hyperlink" Target="https://training.cochrane.org/handbook/current/chapter-08" TargetMode="External"/><Relationship Id="rId14" Type="http://schemas.openxmlformats.org/officeDocument/2006/relationships/hyperlink" Target="https://doi.org/10.1111/jch.14562" TargetMode="External"/><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5CB2A-C9C5-4827-AFF6-E97A71BF9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84</Pages>
  <Words>14380</Words>
  <Characters>81966</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Honghao Lai</dc:creator>
  <cp:keywords/>
  <dc:description/>
  <cp:lastModifiedBy>Honghao Lai</cp:lastModifiedBy>
  <cp:revision>227</cp:revision>
  <cp:lastPrinted>2024-12-02T15:21:00Z</cp:lastPrinted>
  <dcterms:created xsi:type="dcterms:W3CDTF">2024-12-02T15:21:00Z</dcterms:created>
  <dcterms:modified xsi:type="dcterms:W3CDTF">2025-12-28T09:54:00Z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id="vrtJz685"/&gt;&lt;style id="http://www.zotero.org/styles/american-medical-association" hasBibliography="1" bibliographyStyleHasBeenSet="0"/&gt;&lt;prefs&gt;&lt;pref name="fieldType" value="Field"/&gt;&lt;pref name="auto</vt:lpwstr>
  </property>
  <property fmtid="{D5CDD505-2E9C-101B-9397-08002B2CF9AE}" pid="3" name="ZOTERO_PREF_2">
    <vt:lpwstr>maticJournalAbbreviations" value="true"/&gt;&lt;/prefs&gt;&lt;/data&gt;</vt:lpwstr>
  </property>
</Properties>
</file>