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EB1F98" w:rsidRPr="00EB1F98" w:rsidP="00EB1F98" w14:paraId="54F6BF9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Supplementary material</w:t>
      </w:r>
    </w:p>
    <w:p w:rsidR="00EB1F98" w:rsidRPr="00EB1F98" w:rsidP="00EB1F98" w14:paraId="192054A7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Title: Overdiagnosis of gestational diabetes mellitus during Ramadan: a retrospective population-based study in Catalonia, Spain</w:t>
      </w:r>
    </w:p>
    <w:p w:rsidR="00EB1F98" w:rsidRPr="00EB1F98" w:rsidP="00EB1F98" w14:paraId="085C53E0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Short running title: Overdiagnosis of GDM during Ramadan.</w:t>
      </w:r>
    </w:p>
    <w:p w:rsidR="00EB1F98" w:rsidRPr="00EB1F98" w:rsidP="00EB1F98" w14:paraId="590A7D9C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Authors:</w:t>
      </w:r>
    </w:p>
    <w:p w:rsidR="002451E7" w:rsidRPr="001048E1" w:rsidP="00EB1F98" w14:paraId="02819D39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Marta Carrasco, MD; Bogdan Vlacho, PharmD, MSc, PhD; Josep Franch</w:t>
      </w:r>
      <w:r w:rsidR="00210FF3">
        <w:rPr>
          <w:rFonts w:ascii="Times New Roman" w:hAnsi="Times New Roman" w:cs="Times New Roman"/>
          <w:sz w:val="24"/>
          <w:szCs w:val="24"/>
          <w:lang w:val="en-US"/>
        </w:rPr>
        <w:t>-Nadal</w:t>
      </w:r>
      <w:r w:rsidRPr="00EB1F98">
        <w:rPr>
          <w:rFonts w:ascii="Times New Roman" w:hAnsi="Times New Roman" w:cs="Times New Roman"/>
          <w:sz w:val="24"/>
          <w:szCs w:val="24"/>
          <w:lang w:val="en-US"/>
        </w:rPr>
        <w:t xml:space="preserve">, MD, PhD </w:t>
      </w:r>
      <w:r w:rsidR="001048E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1048E1">
        <w:rPr>
          <w:rFonts w:ascii="Times New Roman" w:hAnsi="Times New Roman" w:cs="Times New Roman"/>
          <w:sz w:val="24"/>
          <w:szCs w:val="24"/>
          <w:lang w:val="en-US"/>
        </w:rPr>
        <w:t>Jordi Real, PhD ; Gabriela Monroy, MD, PhD ; Berta Soldevila, MD, PhD ; Dídac Mauricio, MD, PhD; Marta Hernández, MD, PhD</w:t>
      </w:r>
    </w:p>
    <w:p w:rsidR="00EB1F98" w:rsidRPr="001048E1" w:rsidP="00EB1F98" w14:paraId="41793520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4247"/>
        <w:gridCol w:w="4247"/>
      </w:tblGrid>
      <w:tr w14:paraId="25804EF3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EB1F98" w:rsidRPr="00EB1F98" w:rsidP="00EB1F98" w14:paraId="61F7E6EA" w14:textId="777777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Title </w:t>
            </w:r>
          </w:p>
        </w:tc>
        <w:tc>
          <w:tcPr>
            <w:tcW w:w="4247" w:type="dxa"/>
          </w:tcPr>
          <w:p w:rsidR="00EB1F98" w:rsidRPr="00EB1F98" w:rsidP="00EB1F98" w14:paraId="7E628B20" w14:textId="777777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Page</w:t>
            </w:r>
          </w:p>
        </w:tc>
      </w:tr>
      <w:tr w14:paraId="7AD260AC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EB1F98" w:rsidRPr="00EB1F98" w:rsidP="00EB1F98" w14:paraId="466191B9" w14:textId="3A4F7736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1: Fig. S1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EB1F98" w:rsidR="00D612BF">
              <w:rPr>
                <w:rFonts w:ascii="Times New Roman" w:hAnsi="Times New Roman" w:cs="Times New Roman"/>
                <w:lang w:val="en-US"/>
              </w:rPr>
              <w:t xml:space="preserve">Flow-chart of participant selection and allocation </w:t>
            </w:r>
          </w:p>
        </w:tc>
        <w:tc>
          <w:tcPr>
            <w:tcW w:w="4247" w:type="dxa"/>
          </w:tcPr>
          <w:p w:rsidR="00EB1F98" w:rsidRPr="00EB1F98" w:rsidP="00EB1F98" w14:paraId="2820510E" w14:textId="2AC11DA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14:paraId="648C6554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EB1F98" w:rsidRPr="00EB1F98" w:rsidP="00EB1F98" w14:paraId="73D39779" w14:textId="5E56F351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2: Table 1</w:t>
            </w:r>
            <w:r w:rsidRPr="00EB1F98" w:rsidR="00D612BF">
              <w:rPr>
                <w:rFonts w:ascii="Times New Roman" w:hAnsi="Times New Roman" w:cs="Times New Roman"/>
                <w:lang w:val="en-US"/>
              </w:rPr>
              <w:t>: Number of episodes per year of control and MMC groups post-matching.</w:t>
            </w:r>
          </w:p>
        </w:tc>
        <w:tc>
          <w:tcPr>
            <w:tcW w:w="4247" w:type="dxa"/>
          </w:tcPr>
          <w:p w:rsidR="00EB1F98" w:rsidRPr="00EB1F98" w:rsidP="00EB1F98" w14:paraId="1766F9DE" w14:textId="4D9AB288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14:paraId="453DD284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D612BF" w:rsidRPr="00B0670B" w:rsidP="00EB1F98" w14:paraId="5ED4EDDC" w14:textId="215DA7E1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3: Table 2</w:t>
            </w:r>
            <w:r w:rsidRPr="00D612BF">
              <w:rPr>
                <w:rFonts w:ascii="Times New Roman" w:hAnsi="Times New Roman" w:cs="Times New Roman"/>
                <w:lang w:val="en-US"/>
              </w:rPr>
              <w:t>: Distribution of subjects in Muslim majority countries</w:t>
            </w:r>
          </w:p>
        </w:tc>
        <w:tc>
          <w:tcPr>
            <w:tcW w:w="4247" w:type="dxa"/>
          </w:tcPr>
          <w:p w:rsidR="00D612BF" w:rsidP="00EB1F98" w14:paraId="29B5F9D3" w14:textId="42BFEDB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14:paraId="31867799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B0670B" w:rsidRPr="00EB1F98" w:rsidP="00EB1F98" w14:paraId="11C52886" w14:textId="39481EC0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4: Table 3</w:t>
            </w:r>
            <w:r w:rsidRPr="00B0670B">
              <w:rPr>
                <w:rFonts w:ascii="Times New Roman" w:hAnsi="Times New Roman" w:cs="Times New Roman"/>
                <w:lang w:val="en-US"/>
              </w:rPr>
              <w:t>. Baseline characteristics of the study before matching</w:t>
            </w:r>
          </w:p>
        </w:tc>
        <w:tc>
          <w:tcPr>
            <w:tcW w:w="4247" w:type="dxa"/>
          </w:tcPr>
          <w:p w:rsidR="00B0670B" w:rsidP="00EB1F98" w14:paraId="53B067AF" w14:textId="69DDC3F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14:paraId="15670CA7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B0670B" w:rsidRPr="00EB1F98" w:rsidP="00EB1F98" w14:paraId="5DCE0138" w14:textId="7F28BEE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5: Table 4</w:t>
            </w:r>
            <w:r w:rsidRPr="00690539" w:rsidR="00690539">
              <w:rPr>
                <w:rFonts w:ascii="Times New Roman" w:hAnsi="Times New Roman" w:cs="Times New Roman"/>
                <w:lang w:val="en-US"/>
              </w:rPr>
              <w:t>. Differences in blood glucose values during the 50g glucose loading test and 100g-OGTT (mg/dl) between study groups during and outside the Ramadan period, among women with more than one pregnancy who underwent screening in both periods.</w:t>
            </w:r>
          </w:p>
        </w:tc>
        <w:tc>
          <w:tcPr>
            <w:tcW w:w="4247" w:type="dxa"/>
          </w:tcPr>
          <w:p w:rsidR="00B0670B" w:rsidP="00EB1F98" w14:paraId="43119AA9" w14:textId="4820820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14:paraId="38D1D2AF" w14:textId="77777777" w:rsidTr="00EB1F98">
        <w:tblPrEx>
          <w:tblW w:w="0" w:type="auto"/>
          <w:tblLook w:val="04A0"/>
        </w:tblPrEx>
        <w:tc>
          <w:tcPr>
            <w:tcW w:w="4247" w:type="dxa"/>
          </w:tcPr>
          <w:p w:rsidR="00690539" w:rsidRPr="00690539" w:rsidP="00EB1F98" w14:paraId="4DA47FD2" w14:textId="1E3FE49A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C23844">
              <w:rPr>
                <w:rFonts w:ascii="Times New Roman" w:hAnsi="Times New Roman" w:cs="Times New Roman"/>
                <w:lang w:val="en-US"/>
              </w:rPr>
              <w:t>Additional File 6: Table 5</w:t>
            </w:r>
            <w:r w:rsidRPr="00690539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2E3D27" w:rsidR="002E3D27">
              <w:rPr>
                <w:rFonts w:ascii="Times New Roman" w:hAnsi="Times New Roman" w:cs="Times New Roman"/>
                <w:lang w:val="en-US"/>
              </w:rPr>
              <w:t>Sensitivity analysis: adjusted Odds Ratios for gestational diabetes according to different definitions.</w:t>
            </w:r>
          </w:p>
        </w:tc>
        <w:tc>
          <w:tcPr>
            <w:tcW w:w="4247" w:type="dxa"/>
          </w:tcPr>
          <w:p w:rsidR="00690539" w:rsidP="00EB1F98" w14:paraId="3AC87F8B" w14:textId="648C5F9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EB1F98" w:rsidRPr="00EB1F98" w:rsidP="00EB1F98" w14:paraId="791843BE" w14:textId="7777777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1F98" w:rsidRPr="00EB1F98" w14:paraId="32EBD65F" w14:textId="7777777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612BF" w:rsidRPr="00EB1F98" w:rsidP="00D612BF" w14:paraId="6EF01A6B" w14:textId="4F03CDB0">
      <w:pPr>
        <w:rPr>
          <w:rFonts w:ascii="Times New Roman" w:hAnsi="Times New Roman" w:cs="Times New Roman"/>
          <w:b/>
          <w:bCs/>
          <w:lang w:val="en-US"/>
        </w:rPr>
      </w:pPr>
      <w:r w:rsidRPr="00C23844">
        <w:rPr>
          <w:rFonts w:ascii="Times New Roman" w:hAnsi="Times New Roman" w:cs="Times New Roman"/>
          <w:b/>
          <w:bCs/>
          <w:lang w:val="en-US"/>
        </w:rPr>
        <w:t>Additional File 1: Fig. S1</w:t>
      </w:r>
      <w:r w:rsidRPr="00EB1F98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D612BF">
        <w:rPr>
          <w:rFonts w:ascii="Times New Roman" w:hAnsi="Times New Roman" w:cs="Times New Roman"/>
          <w:bCs/>
          <w:lang w:val="en-US"/>
        </w:rPr>
        <w:t>Study flow-chart</w:t>
      </w:r>
    </w:p>
    <w:p w:rsidR="00D612BF" w:rsidRPr="00EB1F98" w:rsidP="00D612BF" w14:paraId="0C327443" w14:textId="77777777">
      <w:pPr>
        <w:rPr>
          <w:rFonts w:ascii="Times New Roman" w:hAnsi="Times New Roman" w:cs="Times New Roman"/>
          <w:lang w:val="en-US"/>
        </w:rPr>
      </w:pPr>
      <w:r w:rsidRPr="00EB1F98">
        <w:rPr>
          <w:rFonts w:ascii="Times New Roman" w:hAnsi="Times New Roman" w:cs="Times New Roman"/>
          <w:noProof/>
          <w:lang w:val="ca-ES" w:eastAsia="ca-ES"/>
        </w:rPr>
        <w:drawing>
          <wp:inline distT="0" distB="0" distL="0" distR="0">
            <wp:extent cx="5939883" cy="4823012"/>
            <wp:effectExtent l="0" t="0" r="3810" b="3175"/>
            <wp:docPr id="3866827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82765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9544" cy="483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12BF" w:rsidRPr="00EB1F98" w:rsidP="00D612BF" w14:paraId="06A2DC6D" w14:textId="77777777">
      <w:pPr>
        <w:rPr>
          <w:rFonts w:ascii="Times New Roman" w:hAnsi="Times New Roman" w:cs="Times New Roman"/>
          <w:lang w:val="en-US"/>
        </w:rPr>
      </w:pPr>
    </w:p>
    <w:p w:rsidR="00D612BF" w:rsidRPr="00EB1F98" w:rsidP="00D612BF" w14:paraId="30EEE9E9" w14:textId="77777777">
      <w:pPr>
        <w:rPr>
          <w:rFonts w:ascii="Times New Roman" w:hAnsi="Times New Roman" w:cs="Times New Roman"/>
          <w:lang w:val="en-US"/>
        </w:rPr>
      </w:pPr>
    </w:p>
    <w:p w:rsidR="00D612BF" w:rsidP="00D612BF" w14:paraId="58905ED8" w14:textId="77777777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:rsidR="002451E7" w:rsidRPr="00EB1F98" w:rsidP="002451E7" w14:paraId="1C8BC837" w14:textId="69CA1F0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3844">
        <w:rPr>
          <w:rFonts w:ascii="Times New Roman" w:hAnsi="Times New Roman" w:cs="Times New Roman"/>
          <w:b/>
          <w:sz w:val="24"/>
          <w:szCs w:val="24"/>
          <w:lang w:val="en-US"/>
        </w:rPr>
        <w:t>Additional File 2: Table 1</w:t>
      </w:r>
      <w:r w:rsidRPr="00D612B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EB1F98">
        <w:rPr>
          <w:rFonts w:ascii="Times New Roman" w:hAnsi="Times New Roman" w:cs="Times New Roman"/>
          <w:sz w:val="24"/>
          <w:szCs w:val="24"/>
          <w:lang w:val="en-US"/>
        </w:rPr>
        <w:t xml:space="preserve"> Number of episodes per year of control and MMC groups post-matching. </w:t>
      </w: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009"/>
        <w:gridCol w:w="3010"/>
        <w:gridCol w:w="3010"/>
      </w:tblGrid>
      <w:tr w14:paraId="27649866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98CA752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3FBB740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MMC group, n (%)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4AB1F082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Control group, n (%)</w:t>
            </w:r>
          </w:p>
        </w:tc>
      </w:tr>
      <w:tr w14:paraId="2BA7D5C7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59374D7B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9A44C03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n = 35,054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F04F13E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n = 35,054</w:t>
            </w:r>
          </w:p>
        </w:tc>
      </w:tr>
      <w:tr w14:paraId="675DB428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0C10FAE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9835EA0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3,813 (10.9)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FD206D9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3,813 (10.9)</w:t>
            </w:r>
          </w:p>
        </w:tc>
      </w:tr>
      <w:tr w14:paraId="5E8156FC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10D55028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270B80A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3,869 (11.0)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1951499A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3,869 (11.0)</w:t>
            </w:r>
          </w:p>
        </w:tc>
      </w:tr>
      <w:tr w14:paraId="57B9C5E6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22F2EAAC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5C219C41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3,745 (10.7)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1074464E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3,745 (10.7)</w:t>
            </w:r>
          </w:p>
        </w:tc>
      </w:tr>
      <w:tr w14:paraId="068D85D9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0CE9DECD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03151493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3,557 (10.1)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5AC3046C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3,557 (10.1)</w:t>
            </w:r>
          </w:p>
        </w:tc>
      </w:tr>
      <w:tr w14:paraId="57138C80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7E547B71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0A10A54D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3,625 (10.3)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BA22934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3,625 (10.3)</w:t>
            </w:r>
          </w:p>
        </w:tc>
      </w:tr>
      <w:tr w14:paraId="25D11E18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2401F7D3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7A8D0DA6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3,672 (10.5)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10519BC2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3,672 (10.5)</w:t>
            </w:r>
          </w:p>
        </w:tc>
      </w:tr>
      <w:tr w14:paraId="409B38EB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27C5688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57109B1D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3,554 (10.1)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31B7D1B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3,554 (10.1)</w:t>
            </w:r>
          </w:p>
        </w:tc>
      </w:tr>
      <w:tr w14:paraId="11505537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1DE36D7C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8EBE6EB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3,809 (10.9)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4D069A0A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3,809 (10.9)</w:t>
            </w:r>
          </w:p>
        </w:tc>
      </w:tr>
      <w:tr w14:paraId="728CF973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51E1E1D1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61A0E9AA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3,486 (9.94)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7530F752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3,486 (9.94)</w:t>
            </w:r>
          </w:p>
        </w:tc>
      </w:tr>
      <w:tr w14:paraId="4608BF55" w14:textId="77777777" w:rsidTr="005066C5">
        <w:tblPrEx>
          <w:tblW w:w="9029" w:type="dxa"/>
          <w:tblLayout w:type="fixed"/>
          <w:tblLook w:val="0600"/>
        </w:tblPrEx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254AA9F0" w14:textId="77777777">
            <w:pPr>
              <w:widowControl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C662B16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1,924 (5.49)</w:t>
            </w:r>
          </w:p>
        </w:tc>
        <w:tc>
          <w:tcPr>
            <w:tcW w:w="30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51E7" w:rsidRPr="00EB1F98" w:rsidP="001B7E04" w14:paraId="368FCF19" w14:textId="77777777">
            <w:pPr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F98">
              <w:rPr>
                <w:rFonts w:ascii="Times New Roman" w:hAnsi="Times New Roman" w:cs="Times New Roman"/>
                <w:sz w:val="24"/>
                <w:szCs w:val="24"/>
              </w:rPr>
              <w:t>1,924 (5.49)</w:t>
            </w:r>
          </w:p>
        </w:tc>
      </w:tr>
    </w:tbl>
    <w:p w:rsidR="00461FB2" w:rsidRPr="00EB1F98" w:rsidP="002451E7" w14:paraId="0D18F526" w14:textId="68AA90D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lang w:val="en-US"/>
        </w:rPr>
        <w:t>MMC-group, a group of women from Muslim-majority countries.</w:t>
      </w:r>
    </w:p>
    <w:p w:rsidR="00461FB2" w:rsidRPr="00EB1F98" w14:paraId="11816862" w14:textId="77777777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B1F98">
        <w:rPr>
          <w:rFonts w:ascii="Times New Roman" w:hAnsi="Times New Roman" w:cs="Times New Roman"/>
          <w:sz w:val="24"/>
          <w:szCs w:val="24"/>
          <w:u w:val="single"/>
          <w:lang w:val="en-US"/>
        </w:rPr>
        <w:br w:type="page"/>
      </w:r>
    </w:p>
    <w:p w:rsidR="00D612BF" w14:paraId="3AC136FF" w14:textId="78005B54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C23844">
        <w:rPr>
          <w:rFonts w:ascii="Times New Roman" w:hAnsi="Times New Roman" w:cs="Times New Roman"/>
          <w:b/>
          <w:bCs/>
          <w:lang w:val="en-US"/>
        </w:rPr>
        <w:t>Additional File 3: Table 2</w:t>
      </w:r>
      <w:r w:rsidRPr="00D612BF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D612BF">
        <w:rPr>
          <w:rFonts w:ascii="Times New Roman" w:hAnsi="Times New Roman" w:cs="Times New Roman"/>
          <w:bCs/>
          <w:lang w:val="en-US"/>
        </w:rPr>
        <w:t>Distribution of subjects in Muslim majority countries</w:t>
      </w:r>
    </w:p>
    <w:p w:rsidR="00D612BF" w14:paraId="2D374119" w14:textId="4C0CB6AB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ca-ES" w:eastAsia="ca-ES"/>
          <w14:ligatures w14:val="standardContextual"/>
        </w:rPr>
        <w:drawing>
          <wp:inline distT="0" distB="0" distL="0" distR="0">
            <wp:extent cx="5400040" cy="3096895"/>
            <wp:effectExtent l="0" t="0" r="0" b="8255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untry_Distribution_Combined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:rsidR="00512367" w14:paraId="74B73195" w14:textId="77777777">
      <w:pPr>
        <w:rPr>
          <w:rFonts w:ascii="Times New Roman" w:hAnsi="Times New Roman" w:cs="Times New Roman"/>
          <w:b/>
          <w:bCs/>
          <w:lang w:val="en-US"/>
        </w:rPr>
        <w:sectPr w:rsidSect="00EB1F98">
          <w:footerReference w:type="default" r:id="rId6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:rsidR="00EB1F98" w14:paraId="2D6C4559" w14:textId="386A96E4">
      <w:pPr>
        <w:rPr>
          <w:rFonts w:ascii="Times New Roman" w:hAnsi="Times New Roman" w:cs="Times New Roman"/>
          <w:b/>
          <w:bCs/>
          <w:lang w:val="en-US"/>
        </w:rPr>
      </w:pPr>
      <w:bookmarkStart w:id="0" w:name="_Hlk208662543"/>
      <w:bookmarkStart w:id="1" w:name="_Hlk208935916"/>
      <w:r w:rsidRPr="00C23844">
        <w:rPr>
          <w:rFonts w:ascii="Times New Roman" w:hAnsi="Times New Roman" w:cs="Times New Roman"/>
          <w:b/>
          <w:bCs/>
          <w:lang w:val="en-US"/>
        </w:rPr>
        <w:t>Additional File 4: Table 3</w:t>
      </w:r>
      <w:r w:rsidR="002B643A">
        <w:rPr>
          <w:rFonts w:ascii="Times New Roman" w:hAnsi="Times New Roman" w:cs="Times New Roman"/>
          <w:b/>
          <w:bCs/>
          <w:lang w:val="en-US"/>
        </w:rPr>
        <w:t xml:space="preserve">. </w:t>
      </w:r>
      <w:bookmarkStart w:id="2" w:name="_Hlk208935883"/>
      <w:r w:rsidRPr="00B0670B" w:rsidR="00B0670B">
        <w:rPr>
          <w:rFonts w:ascii="Times New Roman" w:hAnsi="Times New Roman" w:cs="Times New Roman"/>
          <w:bCs/>
          <w:lang w:val="en-US"/>
        </w:rPr>
        <w:t xml:space="preserve">Baseline characteristics of the study </w:t>
      </w:r>
      <w:r w:rsidR="00A05B70">
        <w:rPr>
          <w:rFonts w:ascii="Times New Roman" w:hAnsi="Times New Roman" w:cs="Times New Roman"/>
          <w:bCs/>
          <w:lang w:val="en-US"/>
        </w:rPr>
        <w:t xml:space="preserve">subjects </w:t>
      </w:r>
      <w:r w:rsidR="008B0A6F">
        <w:rPr>
          <w:rFonts w:ascii="Times New Roman" w:hAnsi="Times New Roman" w:cs="Times New Roman"/>
          <w:bCs/>
          <w:lang w:val="en-US"/>
        </w:rPr>
        <w:t xml:space="preserve">stratifying during and outside of the Ramadan period </w:t>
      </w:r>
      <w:r w:rsidRPr="00B0670B" w:rsidR="00B0670B">
        <w:rPr>
          <w:rFonts w:ascii="Times New Roman" w:hAnsi="Times New Roman" w:cs="Times New Roman"/>
          <w:b/>
          <w:bCs/>
          <w:lang w:val="en-US"/>
        </w:rPr>
        <w:t xml:space="preserve"> </w:t>
      </w:r>
    </w:p>
    <w:bookmarkEnd w:id="2"/>
    <w:p w:rsidR="00512367" w14:paraId="7AA81D66" w14:textId="77777777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190"/>
        <w:gridCol w:w="2034"/>
        <w:gridCol w:w="1973"/>
        <w:gridCol w:w="800"/>
        <w:gridCol w:w="2034"/>
        <w:gridCol w:w="1973"/>
        <w:gridCol w:w="988"/>
      </w:tblGrid>
      <w:tr w14:paraId="2C488C69" w14:textId="2D915A33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35BE38D6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 </w:t>
            </w:r>
          </w:p>
        </w:tc>
        <w:tc>
          <w:tcPr>
            <w:tcW w:w="17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5D97433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Control group</w:t>
            </w:r>
          </w:p>
        </w:tc>
        <w:tc>
          <w:tcPr>
            <w:tcW w:w="178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0EFA1D73" w14:textId="1AE4B56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MMC group</w:t>
            </w:r>
          </w:p>
        </w:tc>
      </w:tr>
      <w:tr w14:paraId="5DC09713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518B32F7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42F16B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Outside the Ramadan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7D86E395" w14:textId="233C3B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During Ramadan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3AD5D66C" w14:textId="21E9CAA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p-value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7CF20B4C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Outside the Ramadan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CA86428" w14:textId="377728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During Ramadan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131754FC" w14:textId="5D0762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 xml:space="preserve">p-value </w:t>
            </w:r>
          </w:p>
        </w:tc>
      </w:tr>
      <w:tr w14:paraId="54E7C4FE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4070893F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384E16EB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N=30997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26D217D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N=4057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4E8ED6A" w14:textId="5ADA9C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40F3BEF9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N=31353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1F2333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N=3701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23A3C03D" w14:textId="2691F3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7BF17E77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10C68" w:rsidRPr="00512367" w:rsidP="00512367" w14:paraId="5A7D2022" w14:textId="7324D2E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Age, Mean (</w:t>
            </w:r>
            <w:r w:rsidR="00233FB0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±</w:t>
            </w:r>
            <w:bookmarkStart w:id="3" w:name="_GoBack"/>
            <w:bookmarkEnd w:id="3"/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0D46ACB8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30.1 (5.67)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B5CC5B0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30.1 (5.73)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118EFA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0.955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7CD01032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30.1 (5.69)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550A3723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30.1 (5.61)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03F225FD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0.693</w:t>
            </w:r>
          </w:p>
        </w:tc>
      </w:tr>
      <w:tr w14:paraId="3DA43D51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noWrap/>
            <w:hideMark/>
          </w:tcPr>
          <w:p w:rsidR="00C10C68" w:rsidRPr="00512367" w:rsidP="00512367" w14:paraId="7A8D9F53" w14:textId="4B152C66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C40DC">
              <w:rPr>
                <w:rFonts w:ascii="Times New Roman" w:hAnsi="Times New Roman" w:cs="Times New Roman"/>
                <w:lang w:val="en-US"/>
              </w:rPr>
              <w:t>BMI, kg/m², mean (±SD)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26263C59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26.3 (4.79)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23E5EC4A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26.0 (4.82)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46A69113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63BF1D79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27.4 (4.44)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35DA886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27.1 (4.39)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1BAF5193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</w:tr>
      <w:tr w14:paraId="614DDB22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noWrap/>
            <w:hideMark/>
          </w:tcPr>
          <w:p w:rsidR="00C10C68" w:rsidRPr="00512367" w:rsidP="00512367" w14:paraId="3162DD71" w14:textId="49C0CB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C40DC">
              <w:rPr>
                <w:rFonts w:ascii="Times New Roman" w:hAnsi="Times New Roman" w:cs="Times New Roman"/>
                <w:lang w:val="en-US"/>
              </w:rPr>
              <w:t>Systolic blood pressure, mmHg, mean (±SD)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38D5FFFC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114 (11.9)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04CA286A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112 (11.9)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5A7D110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06A294A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114 (12.4)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262D7E72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112 (12.1)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10C68" w:rsidRPr="00512367" w:rsidP="00512367" w14:paraId="3A58A299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</w:tr>
      <w:tr w14:paraId="5ABF3BE3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noWrap/>
          </w:tcPr>
          <w:p w:rsidR="00233FB0" w:rsidRPr="005C40DC" w:rsidP="00233FB0" w14:paraId="5E2C8A46" w14:textId="582B6CF7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C40DC">
              <w:rPr>
                <w:rFonts w:ascii="Times New Roman" w:hAnsi="Times New Roman" w:cs="Times New Roman"/>
                <w:lang w:val="en-US"/>
              </w:rPr>
              <w:t>Diastolic blood pressure, mmHg, mean (±SD)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6DC18BC6" w14:textId="146C04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68.0 (8.46)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351C1DCC" w14:textId="0EEC722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67.4 (8.53)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12AFE01F" w14:textId="1FE5218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&lt;0.001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0035C3E8" w14:textId="344347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67.8 (8.39)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29A94910" w14:textId="14099AD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67.3 (8.44)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33FB0" w:rsidRPr="00512367" w:rsidP="00233FB0" w14:paraId="5E64C3FA" w14:textId="4F86BB4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0.001</w:t>
            </w:r>
          </w:p>
        </w:tc>
      </w:tr>
      <w:tr w14:paraId="020091AE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02DC8B63" w14:textId="6045899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EDEA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, N (%):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1DBF4E2" w14:textId="2AFC9A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E4E6A7A" w14:textId="37C9DF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3157BC23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0.858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7721313" w14:textId="569378E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E52B94A" w14:textId="7291EF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69B093F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0.691</w:t>
            </w:r>
          </w:p>
        </w:tc>
      </w:tr>
      <w:tr w14:paraId="36D6BA29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6AE17329" w14:textId="62B4BF2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 xml:space="preserve">Missing 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60BD984" w14:textId="5AB588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8835 (28.5)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FA483D4" w14:textId="013C2E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1141 (28.1)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56244EB" w14:textId="63A22EA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2C61A8D9" w14:textId="7CBD78E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5724 (18.3)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399759C9" w14:textId="43AE0D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703 (19.0)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7E5C3C66" w14:textId="3D5D934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5A0D7BF7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66B08185" w14:textId="66BB7F5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C65C839" w14:textId="0BD464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2631 (8.49)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07BF04AF" w14:textId="4BDBA3C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345 (8.50)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623561C" w14:textId="59F134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BCCF50B" w14:textId="7E6F708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1630 (5.20)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0E18B41" w14:textId="0759AE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175 (4.73)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37A7F170" w14:textId="44E9D1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6E45BD10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525987B3" w14:textId="42118D5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FB7B71E" w14:textId="6E1AB0A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4016 (13.0)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5F8D29D" w14:textId="4427E0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538 (13.3)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5B4AD46" w14:textId="3D5B3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8C35341" w14:textId="143DCA8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3287 (10.5)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85D9877" w14:textId="1697409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372 (10.1)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9AEDB61" w14:textId="0A39A7C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37342C88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0472EF53" w14:textId="36672C4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853F4D4" w14:textId="10F8D0D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4495 (14.5)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7E45343" w14:textId="48CF8C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600 (14.8)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D5B20E8" w14:textId="61BFDD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2A73E49" w14:textId="218FA03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3723 (11.9)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350D3E4D" w14:textId="4395999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437 (11.8)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81BEA43" w14:textId="45A2E3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7251DF29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679D2DE1" w14:textId="2F1B519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3F5EDBA" w14:textId="347082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5065 (16.3)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CADBC01" w14:textId="5D45D5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681 (16.8)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0125E7D" w14:textId="2D8B58B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705DB305" w14:textId="1E0346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6053 (19.3)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5A9CA17" w14:textId="5D3189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715 (19.3)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DBAB72F" w14:textId="499956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436C796C" w14:textId="77777777" w:rsidTr="00233FB0">
        <w:tblPrEx>
          <w:tblW w:w="5000" w:type="pct"/>
          <w:tblLook w:val="04A0"/>
        </w:tblPrEx>
        <w:trPr>
          <w:trHeight w:val="300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49EB0AA6" w14:textId="461558C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Q</w:t>
            </w: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9046BBA" w14:textId="5B4A48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5955 (19.2)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9A5AE37" w14:textId="5B1638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752 (18.5)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04194030" w14:textId="45013D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7FC568A7" w14:textId="7EB011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10936 (34.9)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534CCBCC" w14:textId="5074B8F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1299 (35.1)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4333823" w14:textId="73BE9C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</w:p>
        </w:tc>
      </w:tr>
      <w:tr w14:paraId="0C767110" w14:textId="77777777" w:rsidTr="00233FB0">
        <w:tblPrEx>
          <w:tblW w:w="5000" w:type="pct"/>
          <w:tblLook w:val="04A0"/>
        </w:tblPrEx>
        <w:trPr>
          <w:trHeight w:val="386"/>
        </w:trPr>
        <w:tc>
          <w:tcPr>
            <w:tcW w:w="14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33FB0" w:rsidRPr="00512367" w:rsidP="00233FB0" w14:paraId="337B0E1C" w14:textId="3FE7812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Number of pregnancies, mean (±SD)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12D914E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1.50 (0.69)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2D03956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1.50 (0.68)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7D87155C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0.860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62350EA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2.19 (0.93)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287FC90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2.19 (0.93)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33FB0" w:rsidRPr="00512367" w:rsidP="00233FB0" w14:paraId="494FD966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</w:pPr>
            <w:r w:rsidRPr="00512367">
              <w:rPr>
                <w:rFonts w:ascii="Times New Roman" w:eastAsia="Times New Roman" w:hAnsi="Times New Roman" w:cs="Times New Roman"/>
                <w:color w:val="000000"/>
                <w:lang w:val="en-GB" w:eastAsia="es-ES"/>
              </w:rPr>
              <w:t>0.910</w:t>
            </w:r>
          </w:p>
        </w:tc>
      </w:tr>
    </w:tbl>
    <w:p w:rsidR="003E09B8" w:rsidP="00F54656" w14:paraId="22901FD0" w14:textId="7E4C9ADA">
      <w:pPr>
        <w:rPr>
          <w:rFonts w:ascii="Times New Roman" w:hAnsi="Times New Roman" w:cs="Times New Roman"/>
          <w:b/>
          <w:bCs/>
          <w:lang w:val="en-US"/>
        </w:rPr>
      </w:pPr>
      <w:r w:rsidRPr="00FC7E71">
        <w:rPr>
          <w:rFonts w:ascii="Times New Roman" w:hAnsi="Times New Roman" w:cs="Times New Roman"/>
          <w:bCs/>
          <w:lang w:val="en-US"/>
        </w:rPr>
        <w:t xml:space="preserve">BMI: body mass index; </w:t>
      </w:r>
      <w:r w:rsidRPr="00FC7E71" w:rsidR="00B0670B">
        <w:rPr>
          <w:rFonts w:ascii="Times New Roman" w:hAnsi="Times New Roman" w:cs="Times New Roman"/>
          <w:bCs/>
          <w:lang w:val="en-US"/>
        </w:rPr>
        <w:t xml:space="preserve">SD: standard </w:t>
      </w:r>
      <w:r w:rsidRPr="00FC7E71">
        <w:rPr>
          <w:rFonts w:ascii="Times New Roman" w:hAnsi="Times New Roman" w:cs="Times New Roman"/>
          <w:bCs/>
          <w:lang w:val="en-US"/>
        </w:rPr>
        <w:t>deviation;</w:t>
      </w:r>
      <w:r>
        <w:rPr>
          <w:rFonts w:ascii="Times New Roman" w:hAnsi="Times New Roman" w:cs="Times New Roman"/>
          <w:bCs/>
          <w:lang w:val="en-US"/>
        </w:rPr>
        <w:t xml:space="preserve"> MMC: Muslim majority country; </w:t>
      </w:r>
      <w:bookmarkEnd w:id="0"/>
      <w:r w:rsidRPr="00647BF0" w:rsidR="00647BF0">
        <w:rPr>
          <w:rFonts w:ascii="Times New Roman" w:hAnsi="Times New Roman" w:cs="Times New Roman"/>
          <w:bCs/>
          <w:lang w:val="en-US"/>
        </w:rPr>
        <w:t>QMEDEA: deprivation index (Q1: least deprived quintile; Q5: most deprived quintile)</w:t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:rsidR="00740748" w:rsidRPr="00740748" w:rsidP="00740748" w14:paraId="3570F3D0" w14:textId="6CB32A00">
      <w:pPr>
        <w:rPr>
          <w:rFonts w:ascii="Times New Roman" w:hAnsi="Times New Roman" w:cs="Times New Roman"/>
          <w:b/>
          <w:bCs/>
          <w:lang w:val="en-US"/>
        </w:rPr>
      </w:pPr>
      <w:bookmarkStart w:id="4" w:name="_Hlk208662733"/>
      <w:bookmarkEnd w:id="1"/>
      <w:r w:rsidRPr="00C23844">
        <w:rPr>
          <w:rFonts w:ascii="Times New Roman" w:hAnsi="Times New Roman" w:cs="Times New Roman"/>
          <w:b/>
          <w:bCs/>
          <w:lang w:val="en-US"/>
        </w:rPr>
        <w:t>Additional File 5: Table 4.</w:t>
      </w:r>
      <w:r w:rsidRPr="0074074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40748">
        <w:rPr>
          <w:rFonts w:ascii="Times New Roman" w:hAnsi="Times New Roman" w:cs="Times New Roman"/>
          <w:lang w:val="en-US"/>
        </w:rPr>
        <w:t>Differences in blood glucose values during the 50g glucose loading test and 100g-OGTT (</w:t>
      </w:r>
      <w:r w:rsidRPr="00233FB0" w:rsidR="00233FB0">
        <w:rPr>
          <w:rFonts w:ascii="Times New Roman" w:hAnsi="Times New Roman" w:cs="Times New Roman"/>
          <w:lang w:val="en-US"/>
        </w:rPr>
        <w:t>mg/dL</w:t>
      </w:r>
      <w:r w:rsidRPr="00740748">
        <w:rPr>
          <w:rFonts w:ascii="Times New Roman" w:hAnsi="Times New Roman" w:cs="Times New Roman"/>
          <w:lang w:val="en-US"/>
        </w:rPr>
        <w:t>) between study groups during and outside the Ramadan period, among women with more than one pregnancy who underwent screening in both periods.</w:t>
      </w:r>
      <w:r w:rsidRPr="0074074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:rsidR="00740748" w:rsidRPr="00740748" w:rsidP="00740748" w14:paraId="49464D73" w14:textId="77777777">
      <w:pPr>
        <w:rPr>
          <w:rFonts w:ascii="Times New Roman" w:hAnsi="Times New Roman" w:cs="Times New Roman"/>
          <w:bCs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292"/>
        <w:gridCol w:w="4052"/>
        <w:gridCol w:w="3022"/>
        <w:gridCol w:w="1626"/>
      </w:tblGrid>
      <w:tr w14:paraId="5E25FD0C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29161B48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 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50215F3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MMC-group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2B4E947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Control group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00A1E6F5" w14:textId="63E7F52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p-</w:t>
            </w: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value overall</w:t>
            </w:r>
          </w:p>
        </w:tc>
      </w:tr>
      <w:tr w14:paraId="2ED79D15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7269B077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 xml:space="preserve">50-g GLT 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5BA3BB3E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15.7 (38.6)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335316A9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3.86 (31.4)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159922C5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&lt;0.001</w:t>
            </w:r>
          </w:p>
        </w:tc>
      </w:tr>
      <w:tr w14:paraId="2CEC2FA7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20B20D57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 xml:space="preserve">Fasting 100-g OGTT 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69B68CDB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2.05 (13.5)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1B46ADFD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-3.13 (10.6)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018D8321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0.034</w:t>
            </w:r>
          </w:p>
        </w:tc>
      </w:tr>
      <w:tr w14:paraId="556FEE3E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7BECE904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 xml:space="preserve">1 hour100-g OGTT 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4AB43181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13.5 (45.0)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7DDC0B6F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0.83 (39.9)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7DAF9EE7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0.058</w:t>
            </w:r>
          </w:p>
        </w:tc>
      </w:tr>
      <w:tr w14:paraId="57251064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421390C6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 xml:space="preserve">2-hour 100-g OGTT 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03A5C40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18.0 (47.6)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095D76E4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16.7 (44.6)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61A6CD76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0.878</w:t>
            </w:r>
          </w:p>
        </w:tc>
      </w:tr>
      <w:tr w14:paraId="4430AF3C" w14:textId="77777777" w:rsidTr="00EC3C90">
        <w:tblPrEx>
          <w:tblW w:w="5000" w:type="pct"/>
          <w:tblLook w:val="04A0"/>
        </w:tblPrEx>
        <w:trPr>
          <w:trHeight w:val="300"/>
        </w:trPr>
        <w:tc>
          <w:tcPr>
            <w:tcW w:w="18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43F2B514" w14:textId="7777777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3-hour 100-g OGTT</w:t>
            </w:r>
          </w:p>
        </w:tc>
        <w:tc>
          <w:tcPr>
            <w:tcW w:w="1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5119978E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11.8 (40.4)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5DD813E0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5.17 (36.7)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0748" w:rsidRPr="00740748" w:rsidP="00740748" w14:paraId="457F6ACA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</w:pPr>
            <w:r w:rsidRPr="00740748">
              <w:rPr>
                <w:rFonts w:ascii="Times New Roman" w:eastAsia="Times New Roman" w:hAnsi="Times New Roman" w:cs="Times New Roman"/>
                <w:color w:val="000000"/>
                <w:lang w:val="en-GB" w:eastAsia="ca-ES"/>
              </w:rPr>
              <w:t>0.352</w:t>
            </w:r>
          </w:p>
        </w:tc>
      </w:tr>
    </w:tbl>
    <w:p w:rsidR="00740748" w:rsidRPr="00740748" w:rsidP="00740748" w14:paraId="1ABF6133" w14:textId="77777777">
      <w:pPr>
        <w:rPr>
          <w:rFonts w:ascii="Times New Roman" w:hAnsi="Times New Roman" w:cs="Times New Roman"/>
          <w:lang w:val="en-US"/>
        </w:rPr>
      </w:pPr>
      <w:r w:rsidRPr="00740748">
        <w:rPr>
          <w:rFonts w:ascii="Times New Roman" w:hAnsi="Times New Roman" w:cs="Times New Roman"/>
          <w:lang w:val="en-US"/>
        </w:rPr>
        <w:t>MMC-group: a group of women from Muslim-majority countries. 50-g GLT: 1-hour 50-g glucose loading test. 100-g OGTT: 3 h our100-g oral glucose tolerance test. The values are means (SD) unless otherwise indicated.</w:t>
      </w:r>
    </w:p>
    <w:p w:rsidR="00F07684" w14:paraId="1F4520EA" w14:textId="7D0EA230">
      <w:pPr>
        <w:spacing w:line="240" w:lineRule="auto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br w:type="page"/>
      </w:r>
    </w:p>
    <w:p w:rsidR="00B65F12" w:rsidP="00B65F12" w14:paraId="6937A8BA" w14:textId="04B9282C">
      <w:pPr>
        <w:rPr>
          <w:rFonts w:ascii="Times New Roman" w:hAnsi="Times New Roman" w:cs="Times New Roman"/>
          <w:bCs/>
          <w:lang w:val="en-US"/>
        </w:rPr>
      </w:pPr>
      <w:bookmarkStart w:id="5" w:name="_Hlk212882874"/>
      <w:bookmarkEnd w:id="4"/>
      <w:r w:rsidRPr="00C23844">
        <w:rPr>
          <w:rFonts w:ascii="Times New Roman" w:hAnsi="Times New Roman" w:cs="Times New Roman"/>
          <w:b/>
          <w:bCs/>
          <w:lang w:val="en-US"/>
        </w:rPr>
        <w:t>Additional File 6: Table 5</w:t>
      </w:r>
      <w:r w:rsidRPr="00740748">
        <w:rPr>
          <w:rFonts w:ascii="Times New Roman" w:hAnsi="Times New Roman" w:cs="Times New Roman"/>
          <w:bCs/>
          <w:lang w:val="en-US"/>
        </w:rPr>
        <w:t xml:space="preserve">. </w:t>
      </w:r>
      <w:r w:rsidRPr="002E3D27" w:rsidR="002E3D27">
        <w:rPr>
          <w:rFonts w:ascii="Times New Roman" w:hAnsi="Times New Roman" w:cs="Times New Roman"/>
          <w:bCs/>
          <w:lang w:val="en-US"/>
        </w:rPr>
        <w:t>Sensitivity analysis: adjusted Odds Ratios for gestational diabetes according to different definitions</w:t>
      </w:r>
    </w:p>
    <w:p w:rsidR="00B65F12" w:rsidRPr="00437D98" w:rsidP="00B65F12" w14:paraId="1750C755" w14:textId="77777777">
      <w:pPr>
        <w:rPr>
          <w:rFonts w:ascii="Times New Roman" w:eastAsia="Times New Roman" w:hAnsi="Times New Roman" w:cs="Times New Roman"/>
          <w:b/>
          <w:color w:val="000000"/>
          <w:kern w:val="2"/>
          <w:lang w:val="en-US" w:eastAsia="ca-ES"/>
          <w14:ligatures w14:val="standardContextual"/>
        </w:rPr>
      </w:pPr>
    </w:p>
    <w:tbl>
      <w:tblPr>
        <w:tblStyle w:val="Tablaconcuadrcula1"/>
        <w:tblW w:w="5000" w:type="pct"/>
        <w:tblLook w:val="04A0"/>
      </w:tblPr>
      <w:tblGrid>
        <w:gridCol w:w="4899"/>
        <w:gridCol w:w="1514"/>
        <w:gridCol w:w="1517"/>
        <w:gridCol w:w="1514"/>
        <w:gridCol w:w="1517"/>
        <w:gridCol w:w="1514"/>
        <w:gridCol w:w="1517"/>
      </w:tblGrid>
      <w:tr w14:paraId="22775361" w14:textId="77777777" w:rsidTr="005E0D95">
        <w:tblPrEx>
          <w:tblW w:w="5000" w:type="pct"/>
          <w:tblLook w:val="04A0"/>
        </w:tblPrEx>
        <w:tc>
          <w:tcPr>
            <w:tcW w:w="1751" w:type="pct"/>
            <w:hideMark/>
          </w:tcPr>
          <w:p w:rsidR="00B65F12" w:rsidRPr="00FE0A8C" w:rsidP="00D5760D" w14:paraId="10FBC09A" w14:textId="7777777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FE0A8C"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Variable</w:t>
            </w:r>
          </w:p>
        </w:tc>
        <w:tc>
          <w:tcPr>
            <w:tcW w:w="541" w:type="pct"/>
            <w:hideMark/>
          </w:tcPr>
          <w:p w:rsidR="00B65F12" w:rsidRPr="00FE0A8C" w:rsidP="00D5760D" w14:paraId="25189AAE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FE0A8C"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OR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1</w:t>
            </w:r>
          </w:p>
        </w:tc>
        <w:tc>
          <w:tcPr>
            <w:tcW w:w="542" w:type="pct"/>
            <w:hideMark/>
          </w:tcPr>
          <w:p w:rsidR="00B65F12" w:rsidRPr="00FE0A8C" w:rsidP="00D5760D" w14:paraId="3BF2CAAC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FE0A8C"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95%CI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1</w:t>
            </w:r>
          </w:p>
        </w:tc>
        <w:tc>
          <w:tcPr>
            <w:tcW w:w="541" w:type="pct"/>
          </w:tcPr>
          <w:p w:rsidR="00B65F12" w:rsidRPr="00FE0A8C" w:rsidP="00D5760D" w14:paraId="6C55EA92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p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2</w:t>
            </w:r>
          </w:p>
        </w:tc>
        <w:tc>
          <w:tcPr>
            <w:tcW w:w="542" w:type="pct"/>
          </w:tcPr>
          <w:p w:rsidR="00B65F12" w:rsidRPr="00FE0A8C" w:rsidP="00D5760D" w14:paraId="3714C4D2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FE0A8C"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OR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2</w:t>
            </w:r>
          </w:p>
        </w:tc>
        <w:tc>
          <w:tcPr>
            <w:tcW w:w="541" w:type="pct"/>
          </w:tcPr>
          <w:p w:rsidR="00B65F12" w:rsidRPr="00FE0A8C" w:rsidP="00D5760D" w14:paraId="32CF87C7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FE0A8C"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95%CI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2</w:t>
            </w:r>
          </w:p>
        </w:tc>
        <w:tc>
          <w:tcPr>
            <w:tcW w:w="542" w:type="pct"/>
          </w:tcPr>
          <w:p w:rsidR="00B65F12" w:rsidRPr="00FE0A8C" w:rsidP="00D5760D" w14:paraId="5E98AED0" w14:textId="777777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ca-ES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p</w:t>
            </w:r>
            <w:r w:rsidRPr="00437D98">
              <w:rPr>
                <w:rFonts w:ascii="Times New Roman" w:eastAsia="Times New Roman" w:hAnsi="Times New Roman" w:cs="Times New Roman"/>
                <w:color w:val="000000"/>
                <w:kern w:val="2"/>
                <w:vertAlign w:val="superscript"/>
                <w:lang w:eastAsia="ca-ES"/>
                <w14:ligatures w14:val="standardContextual"/>
              </w:rPr>
              <w:t>2</w:t>
            </w:r>
          </w:p>
        </w:tc>
      </w:tr>
      <w:tr w14:paraId="198277FE" w14:textId="77777777" w:rsidTr="005E0D95">
        <w:tblPrEx>
          <w:tblW w:w="5000" w:type="pct"/>
          <w:tblLook w:val="04A0"/>
        </w:tblPrEx>
        <w:tc>
          <w:tcPr>
            <w:tcW w:w="1751" w:type="pct"/>
          </w:tcPr>
          <w:p w:rsidR="00B65F12" w:rsidRPr="002E3D27" w:rsidP="00D5760D" w14:paraId="192A98C3" w14:textId="77777777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ca-ES"/>
                <w14:ligatures w14:val="standardContextual"/>
              </w:rPr>
            </w:pPr>
            <w:r w:rsidRPr="002E3D27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ca-ES"/>
                <w14:ligatures w14:val="standardContextual"/>
              </w:rPr>
              <w:t xml:space="preserve">Interaction: </w:t>
            </w:r>
          </w:p>
          <w:p w:rsidR="00B65F12" w:rsidRPr="002E3D27" w:rsidP="00D5760D" w14:paraId="4DFF74DE" w14:textId="510E60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US" w:eastAsia="ca-ES"/>
                <w14:ligatures w14:val="standardContextual"/>
              </w:rPr>
            </w:pPr>
            <w:r w:rsidRPr="002E3D27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ca-ES"/>
                <w14:ligatures w14:val="standardContextual"/>
              </w:rPr>
              <w:t>Ramadan Period × Group MMC</w:t>
            </w:r>
          </w:p>
        </w:tc>
        <w:tc>
          <w:tcPr>
            <w:tcW w:w="541" w:type="pct"/>
          </w:tcPr>
          <w:p w:rsidR="00B65F12" w:rsidRPr="002E3D27" w:rsidP="00D5760D" w14:paraId="5C33396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val="en-US" w:eastAsia="ca-ES"/>
                <w14:ligatures w14:val="standardContextual"/>
              </w:rPr>
            </w:pPr>
          </w:p>
          <w:p w:rsidR="00B65F12" w:rsidRPr="002E3D27" w:rsidP="00D5760D" w14:paraId="342EB6B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val="en-US" w:eastAsia="ca-ES"/>
                <w14:ligatures w14:val="standardContextual"/>
              </w:rPr>
            </w:pPr>
          </w:p>
          <w:p w:rsidR="00B65F12" w:rsidRPr="009E25F9" w:rsidP="00D5760D" w14:paraId="7F24FD3F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760B9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1.71</w:t>
            </w:r>
          </w:p>
        </w:tc>
        <w:tc>
          <w:tcPr>
            <w:tcW w:w="542" w:type="pct"/>
          </w:tcPr>
          <w:p w:rsidR="00B65F12" w:rsidP="00D5760D" w14:paraId="49144782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P="00D5760D" w14:paraId="2A08162D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RPr="009E25F9" w:rsidP="00D5760D" w14:paraId="13478EE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760B9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1.37-2.12</w:t>
            </w:r>
          </w:p>
        </w:tc>
        <w:tc>
          <w:tcPr>
            <w:tcW w:w="541" w:type="pct"/>
          </w:tcPr>
          <w:p w:rsidR="00B65F12" w:rsidP="00D5760D" w14:paraId="3B42ADA8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P="00D5760D" w14:paraId="080CC92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RPr="009E25F9" w:rsidP="00D5760D" w14:paraId="6D8E46DE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9E25F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&lt;0.001</w:t>
            </w:r>
          </w:p>
        </w:tc>
        <w:tc>
          <w:tcPr>
            <w:tcW w:w="542" w:type="pct"/>
          </w:tcPr>
          <w:p w:rsidR="00B65F12" w:rsidP="00D5760D" w14:paraId="0641A119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P="00D5760D" w14:paraId="1ECDE5A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RPr="009E25F9" w:rsidP="00D5760D" w14:paraId="5BF0A3B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760B9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1.2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7</w:t>
            </w:r>
          </w:p>
        </w:tc>
        <w:tc>
          <w:tcPr>
            <w:tcW w:w="541" w:type="pct"/>
          </w:tcPr>
          <w:p w:rsidR="00B65F12" w:rsidP="00D5760D" w14:paraId="39C49D96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P="00D5760D" w14:paraId="46DE46A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RPr="009E25F9" w:rsidP="00D5760D" w14:paraId="58485EB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760B9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1.0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3</w:t>
            </w:r>
            <w:r w:rsidRPr="00760B9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-1.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57</w:t>
            </w:r>
          </w:p>
        </w:tc>
        <w:tc>
          <w:tcPr>
            <w:tcW w:w="542" w:type="pct"/>
          </w:tcPr>
          <w:p w:rsidR="00B65F12" w:rsidP="00D5760D" w14:paraId="6B6740BD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P="00D5760D" w14:paraId="732B88D2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</w:p>
          <w:p w:rsidR="00B65F12" w:rsidRPr="009E25F9" w:rsidP="00D5760D" w14:paraId="682CCB5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9E25F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0.0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24</w:t>
            </w:r>
          </w:p>
        </w:tc>
      </w:tr>
      <w:tr w14:paraId="52062284" w14:textId="77777777" w:rsidTr="005E0D95">
        <w:tblPrEx>
          <w:tblW w:w="5000" w:type="pct"/>
          <w:tblLook w:val="04A0"/>
        </w:tblPrEx>
        <w:tc>
          <w:tcPr>
            <w:tcW w:w="1751" w:type="pct"/>
          </w:tcPr>
          <w:p w:rsidR="00B65F12" w:rsidP="00D5760D" w14:paraId="2A801EC6" w14:textId="77777777">
            <w:pPr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  <w:t>Main effect:</w:t>
            </w:r>
          </w:p>
          <w:p w:rsidR="00B65F12" w:rsidRPr="00562E5D" w:rsidP="00D5760D" w14:paraId="1D637569" w14:textId="2FA55FE9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  <w:t>Ramadan period</w:t>
            </w:r>
          </w:p>
        </w:tc>
        <w:tc>
          <w:tcPr>
            <w:tcW w:w="541" w:type="pct"/>
          </w:tcPr>
          <w:p w:rsidR="00B65F12" w:rsidP="00D5760D" w14:paraId="0B9BEBE7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77B5BD94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1236CD9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1.10</w:t>
            </w:r>
          </w:p>
        </w:tc>
        <w:tc>
          <w:tcPr>
            <w:tcW w:w="542" w:type="pct"/>
          </w:tcPr>
          <w:p w:rsidR="00B65F12" w:rsidP="00D5760D" w14:paraId="5B7A6A14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0244790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17E2D8E2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0.93-1.31</w:t>
            </w:r>
          </w:p>
        </w:tc>
        <w:tc>
          <w:tcPr>
            <w:tcW w:w="541" w:type="pct"/>
          </w:tcPr>
          <w:p w:rsidR="00B65F12" w:rsidP="00D5760D" w14:paraId="74A70E72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47E23309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4BCCB16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0.267</w:t>
            </w:r>
          </w:p>
        </w:tc>
        <w:tc>
          <w:tcPr>
            <w:tcW w:w="542" w:type="pct"/>
          </w:tcPr>
          <w:p w:rsidR="00B65F12" w:rsidP="00D5760D" w14:paraId="06BF24D9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6DF55D8A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7912669F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0.99</w:t>
            </w:r>
          </w:p>
        </w:tc>
        <w:tc>
          <w:tcPr>
            <w:tcW w:w="541" w:type="pct"/>
          </w:tcPr>
          <w:p w:rsidR="00B65F12" w:rsidP="00D5760D" w14:paraId="51F7ECC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2F427FDB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252FC2F0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0.84-1.18</w:t>
            </w:r>
          </w:p>
        </w:tc>
        <w:tc>
          <w:tcPr>
            <w:tcW w:w="542" w:type="pct"/>
          </w:tcPr>
          <w:p w:rsidR="00B65F12" w:rsidP="00D5760D" w14:paraId="34562484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67C39FB0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56D2049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0.</w:t>
            </w:r>
            <w:r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938</w:t>
            </w:r>
          </w:p>
        </w:tc>
      </w:tr>
      <w:tr w14:paraId="048F401A" w14:textId="77777777" w:rsidTr="005E0D95">
        <w:tblPrEx>
          <w:tblW w:w="5000" w:type="pct"/>
          <w:tblLook w:val="04A0"/>
        </w:tblPrEx>
        <w:tc>
          <w:tcPr>
            <w:tcW w:w="1751" w:type="pct"/>
            <w:hideMark/>
          </w:tcPr>
          <w:p w:rsidR="00B65F12" w:rsidP="00D5760D" w14:paraId="18C83894" w14:textId="77777777">
            <w:pPr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  <w:t xml:space="preserve">Main effect: </w:t>
            </w:r>
          </w:p>
          <w:p w:rsidR="00B65F12" w:rsidP="00D5760D" w14:paraId="542F3C8A" w14:textId="77777777">
            <w:pPr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kern w:val="2"/>
                <w:lang w:eastAsia="ca-ES"/>
                <w14:ligatures w14:val="standardContextual"/>
              </w:rPr>
              <w:t>Group MMC</w:t>
            </w:r>
          </w:p>
          <w:p w:rsidR="00B65F12" w:rsidRPr="00562E5D" w:rsidP="00D5760D" w14:paraId="33324B82" w14:textId="77777777">
            <w:pPr>
              <w:rPr>
                <w:rFonts w:ascii="Times New Roman" w:eastAsia="Times New Roman" w:hAnsi="Times New Roman" w:cs="Times New Roman"/>
                <w:b/>
                <w:bCs/>
                <w:kern w:val="2"/>
                <w:lang w:eastAsia="ca-ES"/>
                <w14:ligatures w14:val="standardContextual"/>
              </w:rPr>
            </w:pPr>
          </w:p>
        </w:tc>
        <w:tc>
          <w:tcPr>
            <w:tcW w:w="541" w:type="pct"/>
            <w:hideMark/>
          </w:tcPr>
          <w:p w:rsidR="00B65F12" w:rsidP="00D5760D" w14:paraId="2B8777BF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070992BD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154F008E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1.68</w:t>
            </w:r>
          </w:p>
        </w:tc>
        <w:tc>
          <w:tcPr>
            <w:tcW w:w="542" w:type="pct"/>
            <w:hideMark/>
          </w:tcPr>
          <w:p w:rsidR="00B65F12" w:rsidP="00D5760D" w14:paraId="12D4FB4A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0FB9061A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482BBA1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1.55-1.81</w:t>
            </w:r>
          </w:p>
        </w:tc>
        <w:tc>
          <w:tcPr>
            <w:tcW w:w="541" w:type="pct"/>
          </w:tcPr>
          <w:p w:rsidR="00B65F12" w:rsidP="00D5760D" w14:paraId="508F9385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2F1B3CDE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42FAEB89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&lt;0.001</w:t>
            </w:r>
          </w:p>
        </w:tc>
        <w:tc>
          <w:tcPr>
            <w:tcW w:w="542" w:type="pct"/>
          </w:tcPr>
          <w:p w:rsidR="00B65F12" w:rsidP="00D5760D" w14:paraId="2F2ACD46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1811BC7E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7B78DAE1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1.66</w:t>
            </w:r>
          </w:p>
        </w:tc>
        <w:tc>
          <w:tcPr>
            <w:tcW w:w="541" w:type="pct"/>
          </w:tcPr>
          <w:p w:rsidR="00B65F12" w:rsidP="00D5760D" w14:paraId="6671D0EA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37687F7E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3EEFE07C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1.55-1.79</w:t>
            </w:r>
          </w:p>
        </w:tc>
        <w:tc>
          <w:tcPr>
            <w:tcW w:w="542" w:type="pct"/>
          </w:tcPr>
          <w:p w:rsidR="00B65F12" w:rsidP="00D5760D" w14:paraId="1383DB7A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P="00D5760D" w14:paraId="44879669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</w:p>
          <w:p w:rsidR="00B65F12" w:rsidRPr="00562E5D" w:rsidP="00D5760D" w14:paraId="20A211BD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</w:pPr>
            <w:r w:rsidRPr="00562E5D">
              <w:rPr>
                <w:rFonts w:ascii="Times New Roman" w:eastAsia="Times New Roman" w:hAnsi="Times New Roman" w:cs="Times New Roman"/>
                <w:bCs/>
                <w:kern w:val="2"/>
                <w:lang w:eastAsia="ca-ES"/>
                <w14:ligatures w14:val="standardContextual"/>
              </w:rPr>
              <w:t>&lt;0.001</w:t>
            </w:r>
          </w:p>
        </w:tc>
      </w:tr>
      <w:tr w14:paraId="2F61AE2F" w14:textId="77777777" w:rsidTr="002E3D27">
        <w:tblPrEx>
          <w:tblW w:w="5000" w:type="pct"/>
          <w:tblLook w:val="04A0"/>
        </w:tblPrEx>
        <w:tc>
          <w:tcPr>
            <w:tcW w:w="1751" w:type="pct"/>
          </w:tcPr>
          <w:p w:rsidR="00B65F12" w:rsidRPr="009F38D9" w:rsidP="00D5760D" w14:paraId="069AE104" w14:textId="77777777">
            <w:pP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ca-ES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lang w:eastAsia="ca-ES"/>
                <w14:ligatures w14:val="standardContextual"/>
              </w:rPr>
              <w:t>Observations</w:t>
            </w:r>
          </w:p>
        </w:tc>
        <w:tc>
          <w:tcPr>
            <w:tcW w:w="1624" w:type="pct"/>
            <w:gridSpan w:val="3"/>
          </w:tcPr>
          <w:p w:rsidR="00B65F12" w:rsidRPr="009E25F9" w:rsidP="00D5760D" w14:paraId="7EB7196F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9E25F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70,108</w:t>
            </w:r>
          </w:p>
        </w:tc>
        <w:tc>
          <w:tcPr>
            <w:tcW w:w="1625" w:type="pct"/>
            <w:gridSpan w:val="3"/>
          </w:tcPr>
          <w:p w:rsidR="00B65F12" w:rsidRPr="009E25F9" w:rsidP="00D5760D" w14:paraId="5157C65D" w14:textId="777777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</w:pPr>
            <w:r w:rsidRPr="009E25F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ca-ES"/>
                <w14:ligatures w14:val="standardContextual"/>
              </w:rPr>
              <w:t>70,108</w:t>
            </w:r>
          </w:p>
        </w:tc>
      </w:tr>
    </w:tbl>
    <w:p w:rsidR="00B65F12" w:rsidP="00B65F12" w14:paraId="51641717" w14:textId="765D3EA4">
      <w:pPr>
        <w:rPr>
          <w:rFonts w:ascii="Times New Roman" w:hAnsi="Times New Roman" w:cs="Times New Roman"/>
          <w:bCs/>
          <w:lang w:val="en-GB"/>
        </w:rPr>
      </w:pPr>
      <w:r w:rsidRPr="00437D98">
        <w:rPr>
          <w:rFonts w:ascii="Times New Roman" w:hAnsi="Times New Roman" w:cs="Times New Roman"/>
          <w:bCs/>
          <w:vertAlign w:val="superscript"/>
          <w:lang w:val="en-GB"/>
        </w:rPr>
        <w:t>1</w:t>
      </w:r>
      <w:r>
        <w:rPr>
          <w:rFonts w:ascii="Times New Roman" w:hAnsi="Times New Roman" w:cs="Times New Roman"/>
          <w:bCs/>
          <w:lang w:val="en-GB"/>
        </w:rPr>
        <w:t>Outcome: G</w:t>
      </w:r>
      <w:r w:rsidRPr="00437D98">
        <w:rPr>
          <w:rFonts w:ascii="Times New Roman" w:hAnsi="Times New Roman" w:cs="Times New Roman"/>
          <w:bCs/>
          <w:lang w:val="en-GB"/>
        </w:rPr>
        <w:t>estational diabetes according the diagnostic codes</w:t>
      </w:r>
      <w:r>
        <w:rPr>
          <w:rFonts w:ascii="Times New Roman" w:hAnsi="Times New Roman" w:cs="Times New Roman"/>
          <w:bCs/>
          <w:lang w:val="en-GB"/>
        </w:rPr>
        <w:t xml:space="preserve">; </w:t>
      </w:r>
      <w:r w:rsidRPr="00437D98">
        <w:rPr>
          <w:rFonts w:ascii="Times New Roman" w:hAnsi="Times New Roman" w:cs="Times New Roman"/>
          <w:bCs/>
          <w:vertAlign w:val="superscript"/>
          <w:lang w:val="en-GB"/>
        </w:rPr>
        <w:t>2</w:t>
      </w:r>
      <w:r>
        <w:rPr>
          <w:rFonts w:ascii="Times New Roman" w:hAnsi="Times New Roman" w:cs="Times New Roman"/>
          <w:bCs/>
          <w:vertAlign w:val="superscript"/>
          <w:lang w:val="en-GB"/>
        </w:rPr>
        <w:t>:</w:t>
      </w:r>
      <w:r w:rsidR="005E0D95">
        <w:rPr>
          <w:rFonts w:ascii="Times New Roman" w:hAnsi="Times New Roman" w:cs="Times New Roman"/>
          <w:bCs/>
          <w:vertAlign w:val="superscript"/>
          <w:lang w:val="en-GB"/>
        </w:rPr>
        <w:t xml:space="preserve"> </w:t>
      </w:r>
      <w:r>
        <w:rPr>
          <w:rFonts w:ascii="Times New Roman" w:hAnsi="Times New Roman" w:cs="Times New Roman"/>
          <w:bCs/>
          <w:lang w:val="en-GB"/>
        </w:rPr>
        <w:t>Outcome:</w:t>
      </w:r>
      <w:r w:rsidR="005E0D95">
        <w:rPr>
          <w:rFonts w:ascii="Times New Roman" w:hAnsi="Times New Roman" w:cs="Times New Roman"/>
          <w:bCs/>
          <w:lang w:val="en-GB"/>
        </w:rPr>
        <w:t xml:space="preserve"> G</w:t>
      </w:r>
      <w:r w:rsidRPr="00437D98">
        <w:rPr>
          <w:rFonts w:ascii="Times New Roman" w:hAnsi="Times New Roman" w:cs="Times New Roman"/>
          <w:bCs/>
          <w:lang w:val="en-GB"/>
        </w:rPr>
        <w:t>estational diabetes according the glucose load</w:t>
      </w:r>
      <w:bookmarkEnd w:id="5"/>
      <w:r w:rsidR="005E0D95">
        <w:rPr>
          <w:rFonts w:ascii="Times New Roman" w:hAnsi="Times New Roman" w:cs="Times New Roman"/>
          <w:bCs/>
          <w:lang w:val="en-GB"/>
        </w:rPr>
        <w:t xml:space="preserve">; OR: odds ratios </w:t>
      </w:r>
      <w:r w:rsidRPr="00437D98">
        <w:rPr>
          <w:rFonts w:ascii="Times New Roman" w:hAnsi="Times New Roman" w:cs="Times New Roman"/>
          <w:bCs/>
          <w:lang w:val="en-GB"/>
        </w:rPr>
        <w:tab/>
      </w:r>
    </w:p>
    <w:p w:rsidR="00B65F12" w:rsidRPr="00437D98" w:rsidP="00B65F12" w14:paraId="07D6BB47" w14:textId="77777777">
      <w:pPr>
        <w:rPr>
          <w:rFonts w:ascii="Times New Roman" w:hAnsi="Times New Roman" w:cs="Times New Roman"/>
          <w:bCs/>
          <w:lang w:val="en-GB"/>
        </w:rPr>
      </w:pPr>
    </w:p>
    <w:p w:rsidR="002B643A" w:rsidRPr="00362079" w:rsidP="00740748" w14:paraId="5361BF09" w14:textId="57BE0A7B">
      <w:pPr>
        <w:rPr>
          <w:rFonts w:ascii="Times New Roman" w:hAnsi="Times New Roman" w:cs="Times New Roman"/>
          <w:bCs/>
          <w:lang w:val="en-US"/>
        </w:rPr>
      </w:pPr>
    </w:p>
    <w:sectPr w:rsidSect="00512367">
      <w:pgSz w:w="16838" w:h="11906" w:orient="landscape"/>
      <w:pgMar w:top="1701" w:right="1418" w:bottom="170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19401981"/>
      <w:docPartObj>
        <w:docPartGallery w:val="Page Numbers (Bottom of Page)"/>
        <w:docPartUnique/>
      </w:docPartObj>
    </w:sdtPr>
    <w:sdtContent>
      <w:p w:rsidR="001B7E04" w14:paraId="5B050FA6" w14:textId="1C175CD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3FB0" w:rsidR="00233FB0">
          <w:rPr>
            <w:noProof/>
            <w:lang w:val="ca-ES"/>
          </w:rPr>
          <w:t>2</w:t>
        </w:r>
        <w:r>
          <w:fldChar w:fldCharType="end"/>
        </w:r>
      </w:p>
    </w:sdtContent>
  </w:sdt>
  <w:p w:rsidR="001B7E04" w14:paraId="6C3649EA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1E7"/>
    <w:rsid w:val="00042B60"/>
    <w:rsid w:val="00052459"/>
    <w:rsid w:val="00084557"/>
    <w:rsid w:val="000C2341"/>
    <w:rsid w:val="000F7400"/>
    <w:rsid w:val="001048E1"/>
    <w:rsid w:val="00124374"/>
    <w:rsid w:val="00175C8C"/>
    <w:rsid w:val="001B7E04"/>
    <w:rsid w:val="00210FF3"/>
    <w:rsid w:val="00233FB0"/>
    <w:rsid w:val="00240067"/>
    <w:rsid w:val="002451E7"/>
    <w:rsid w:val="002B643A"/>
    <w:rsid w:val="002E3D27"/>
    <w:rsid w:val="002F0992"/>
    <w:rsid w:val="00343065"/>
    <w:rsid w:val="00357928"/>
    <w:rsid w:val="00362079"/>
    <w:rsid w:val="003663EC"/>
    <w:rsid w:val="00383F0B"/>
    <w:rsid w:val="00396C68"/>
    <w:rsid w:val="003B2C6A"/>
    <w:rsid w:val="003C273E"/>
    <w:rsid w:val="003E09B8"/>
    <w:rsid w:val="003F225B"/>
    <w:rsid w:val="00416324"/>
    <w:rsid w:val="00437D98"/>
    <w:rsid w:val="00461FB2"/>
    <w:rsid w:val="00487A0D"/>
    <w:rsid w:val="004A5CD4"/>
    <w:rsid w:val="004B0AC7"/>
    <w:rsid w:val="004C2478"/>
    <w:rsid w:val="004E1331"/>
    <w:rsid w:val="005066C5"/>
    <w:rsid w:val="00506F6D"/>
    <w:rsid w:val="00512367"/>
    <w:rsid w:val="00537A7B"/>
    <w:rsid w:val="00550E41"/>
    <w:rsid w:val="00562E5D"/>
    <w:rsid w:val="005C40DC"/>
    <w:rsid w:val="005E0D95"/>
    <w:rsid w:val="00647BF0"/>
    <w:rsid w:val="00690539"/>
    <w:rsid w:val="006F7CF3"/>
    <w:rsid w:val="00700D70"/>
    <w:rsid w:val="00740748"/>
    <w:rsid w:val="00760B96"/>
    <w:rsid w:val="007854FF"/>
    <w:rsid w:val="007A38E8"/>
    <w:rsid w:val="007E51C6"/>
    <w:rsid w:val="00852678"/>
    <w:rsid w:val="00861788"/>
    <w:rsid w:val="00866B24"/>
    <w:rsid w:val="008B0A6F"/>
    <w:rsid w:val="00920381"/>
    <w:rsid w:val="00921DCA"/>
    <w:rsid w:val="00930C08"/>
    <w:rsid w:val="009325B1"/>
    <w:rsid w:val="009C0D2A"/>
    <w:rsid w:val="009E25F9"/>
    <w:rsid w:val="009F38D9"/>
    <w:rsid w:val="009F57DF"/>
    <w:rsid w:val="009F71D5"/>
    <w:rsid w:val="00A05B70"/>
    <w:rsid w:val="00A57FF8"/>
    <w:rsid w:val="00A920D6"/>
    <w:rsid w:val="00B0670B"/>
    <w:rsid w:val="00B10DB9"/>
    <w:rsid w:val="00B31133"/>
    <w:rsid w:val="00B61E7F"/>
    <w:rsid w:val="00B65F12"/>
    <w:rsid w:val="00BD5010"/>
    <w:rsid w:val="00BE0B0E"/>
    <w:rsid w:val="00C10C68"/>
    <w:rsid w:val="00C23844"/>
    <w:rsid w:val="00C63A41"/>
    <w:rsid w:val="00C71D29"/>
    <w:rsid w:val="00C94A11"/>
    <w:rsid w:val="00CA6C19"/>
    <w:rsid w:val="00CB3C3C"/>
    <w:rsid w:val="00CD4DF2"/>
    <w:rsid w:val="00CD51BE"/>
    <w:rsid w:val="00CD5E92"/>
    <w:rsid w:val="00CE6472"/>
    <w:rsid w:val="00D1240D"/>
    <w:rsid w:val="00D37A11"/>
    <w:rsid w:val="00D5760D"/>
    <w:rsid w:val="00D6001C"/>
    <w:rsid w:val="00D612BF"/>
    <w:rsid w:val="00DC5CF5"/>
    <w:rsid w:val="00DE2E99"/>
    <w:rsid w:val="00E12A23"/>
    <w:rsid w:val="00EB1F98"/>
    <w:rsid w:val="00ED243C"/>
    <w:rsid w:val="00F07684"/>
    <w:rsid w:val="00F54656"/>
    <w:rsid w:val="00FC7E71"/>
    <w:rsid w:val="00FE0A8C"/>
    <w:rsid w:val="00FE7470"/>
  </w:rsids>
  <m:mathPr>
    <m:mathFont m:val="Cambria Math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ABCE40"/>
  <w15:chartTrackingRefBased/>
  <w15:docId w15:val="{D61F06E1-CD10-134A-AB4C-5AA0E502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1E7"/>
    <w:pPr>
      <w:spacing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B1F98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Header">
    <w:name w:val="header"/>
    <w:basedOn w:val="Normal"/>
    <w:link w:val="CapaleraCar"/>
    <w:uiPriority w:val="99"/>
    <w:unhideWhenUsed/>
    <w:rsid w:val="00EB1F98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DefaultParagraphFont"/>
    <w:link w:val="Header"/>
    <w:uiPriority w:val="99"/>
    <w:rsid w:val="00EB1F98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Footer">
    <w:name w:val="footer"/>
    <w:basedOn w:val="Normal"/>
    <w:link w:val="PeuCar"/>
    <w:uiPriority w:val="99"/>
    <w:unhideWhenUsed/>
    <w:rsid w:val="00EB1F98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DefaultParagraphFont"/>
    <w:link w:val="Footer"/>
    <w:uiPriority w:val="99"/>
    <w:rsid w:val="00EB1F98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12367"/>
    <w:rPr>
      <w:sz w:val="16"/>
      <w:szCs w:val="16"/>
    </w:rPr>
  </w:style>
  <w:style w:type="paragraph" w:styleId="CommentText">
    <w:name w:val="annotation text"/>
    <w:basedOn w:val="Normal"/>
    <w:link w:val="TextdecomentariCar"/>
    <w:uiPriority w:val="99"/>
    <w:semiHidden/>
    <w:unhideWhenUsed/>
    <w:rsid w:val="0051236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DefaultParagraphFont"/>
    <w:link w:val="CommentText"/>
    <w:uiPriority w:val="99"/>
    <w:semiHidden/>
    <w:rsid w:val="00512367"/>
    <w:rPr>
      <w:rFonts w:ascii="Arial" w:eastAsia="Arial" w:hAnsi="Arial" w:cs="Arial"/>
      <w:kern w:val="0"/>
      <w:sz w:val="20"/>
      <w:szCs w:val="20"/>
      <w:lang w:val="es" w:eastAsia="es-ES_tradnl"/>
      <w14:ligatures w14:val="none"/>
    </w:rPr>
  </w:style>
  <w:style w:type="paragraph" w:styleId="CommentSubject">
    <w:name w:val="annotation subject"/>
    <w:basedOn w:val="CommentText"/>
    <w:next w:val="CommentText"/>
    <w:link w:val="TemadelcomentariCar"/>
    <w:uiPriority w:val="99"/>
    <w:semiHidden/>
    <w:unhideWhenUsed/>
    <w:rsid w:val="00512367"/>
    <w:rPr>
      <w:b/>
      <w:bCs/>
    </w:rPr>
  </w:style>
  <w:style w:type="character" w:customStyle="1" w:styleId="TemadelcomentariCar">
    <w:name w:val="Tema del comentari Car"/>
    <w:basedOn w:val="TextdecomentariCar"/>
    <w:link w:val="CommentSubject"/>
    <w:uiPriority w:val="99"/>
    <w:semiHidden/>
    <w:rsid w:val="00512367"/>
    <w:rPr>
      <w:rFonts w:ascii="Arial" w:eastAsia="Arial" w:hAnsi="Arial" w:cs="Arial"/>
      <w:b/>
      <w:bCs/>
      <w:kern w:val="0"/>
      <w:sz w:val="20"/>
      <w:szCs w:val="20"/>
      <w:lang w:val="es" w:eastAsia="es-ES_tradnl"/>
      <w14:ligatures w14:val="none"/>
    </w:rPr>
  </w:style>
  <w:style w:type="paragraph" w:styleId="BalloonText">
    <w:name w:val="Balloon Text"/>
    <w:basedOn w:val="Normal"/>
    <w:link w:val="TextdeglobusCar"/>
    <w:uiPriority w:val="99"/>
    <w:semiHidden/>
    <w:unhideWhenUsed/>
    <w:rsid w:val="001B7E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DefaultParagraphFont"/>
    <w:link w:val="BalloonText"/>
    <w:uiPriority w:val="99"/>
    <w:semiHidden/>
    <w:rsid w:val="001B7E04"/>
    <w:rPr>
      <w:rFonts w:ascii="Segoe UI" w:eastAsia="Arial" w:hAnsi="Segoe UI" w:cs="Segoe UI"/>
      <w:kern w:val="0"/>
      <w:sz w:val="18"/>
      <w:szCs w:val="18"/>
      <w:lang w:val="es" w:eastAsia="es-ES_tradnl"/>
      <w14:ligatures w14:val="none"/>
    </w:rPr>
  </w:style>
  <w:style w:type="table" w:customStyle="1" w:styleId="Tablaconcuadrcula1">
    <w:name w:val="Tabla con cuadrícula1"/>
    <w:basedOn w:val="TableNormal"/>
    <w:next w:val="TableGrid"/>
    <w:uiPriority w:val="39"/>
    <w:rsid w:val="00740748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F7400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table" w:styleId="GridTable1Light">
    <w:name w:val="Grid Table 1 Light"/>
    <w:basedOn w:val="TableNormal"/>
    <w:uiPriority w:val="46"/>
    <w:rsid w:val="00B65F12"/>
    <w:rPr>
      <w:kern w:val="0"/>
      <w:sz w:val="22"/>
      <w:szCs w:val="22"/>
      <w:lang w:val="ca-E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670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Hernández</dc:creator>
  <cp:lastModifiedBy>Bogdan Vlacho</cp:lastModifiedBy>
  <cp:revision>2</cp:revision>
  <cp:lastPrinted>2025-09-16T09:44:00Z</cp:lastPrinted>
  <dcterms:created xsi:type="dcterms:W3CDTF">2026-01-15T07:46:00Z</dcterms:created>
  <dcterms:modified xsi:type="dcterms:W3CDTF">2026-01-15T07:46:00Z</dcterms:modified>
</cp:coreProperties>
</file>