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90EC0" w14:textId="6C0CDF24" w:rsidR="00663C0D" w:rsidRPr="00300A20" w:rsidRDefault="0088390A" w:rsidP="00300A20">
      <w:pPr>
        <w:rPr>
          <w:rFonts w:cstheme="majorHAnsi"/>
          <w:color w:val="4472C4" w:themeColor="accent1"/>
        </w:rPr>
      </w:pPr>
      <w:bookmarkStart w:id="0" w:name="_Toc215143390"/>
      <w:r w:rsidRPr="00300A20">
        <w:rPr>
          <w:rFonts w:asciiTheme="majorHAnsi" w:hAnsiTheme="majorHAnsi" w:cstheme="majorHAnsi"/>
          <w:color w:val="4472C4" w:themeColor="accent1"/>
          <w:sz w:val="32"/>
          <w:szCs w:val="32"/>
        </w:rPr>
        <w:t>Appendix</w:t>
      </w:r>
      <w:r w:rsidR="00521F04" w:rsidRPr="00300A20">
        <w:rPr>
          <w:rFonts w:asciiTheme="majorHAnsi" w:hAnsiTheme="majorHAnsi" w:cstheme="majorHAnsi"/>
          <w:color w:val="4472C4" w:themeColor="accent1"/>
          <w:sz w:val="32"/>
          <w:szCs w:val="32"/>
        </w:rPr>
        <w:t xml:space="preserve"> </w:t>
      </w:r>
      <w:r w:rsidR="00C55FE3" w:rsidRPr="00300A20">
        <w:rPr>
          <w:rFonts w:asciiTheme="majorHAnsi" w:hAnsiTheme="majorHAnsi" w:cstheme="majorHAnsi"/>
          <w:color w:val="4472C4" w:themeColor="accent1"/>
          <w:sz w:val="32"/>
          <w:szCs w:val="32"/>
        </w:rPr>
        <w:t xml:space="preserve">2 </w:t>
      </w:r>
      <w:r w:rsidR="00521F04" w:rsidRPr="00300A20">
        <w:rPr>
          <w:rFonts w:asciiTheme="majorHAnsi" w:hAnsiTheme="majorHAnsi" w:cstheme="majorHAnsi"/>
          <w:color w:val="4472C4" w:themeColor="accent1"/>
          <w:sz w:val="32"/>
          <w:szCs w:val="32"/>
        </w:rPr>
        <w:t>- Analyses</w:t>
      </w:r>
      <w:bookmarkEnd w:id="0"/>
    </w:p>
    <w:sdt>
      <w:sdtPr>
        <w:rPr>
          <w:rFonts w:asciiTheme="minorHAnsi" w:eastAsiaTheme="minorHAnsi" w:hAnsiTheme="minorHAnsi" w:cstheme="minorBidi"/>
          <w:color w:val="auto"/>
          <w:kern w:val="2"/>
          <w:sz w:val="22"/>
          <w:szCs w:val="22"/>
          <w:lang w:val="nl-NL"/>
          <w14:ligatures w14:val="standardContextual"/>
        </w:rPr>
        <w:id w:val="1406885898"/>
        <w:docPartObj>
          <w:docPartGallery w:val="Table of Contents"/>
          <w:docPartUnique/>
        </w:docPartObj>
      </w:sdtPr>
      <w:sdtEndPr>
        <w:rPr>
          <w:b/>
          <w:bCs/>
          <w:noProof/>
        </w:rPr>
      </w:sdtEndPr>
      <w:sdtContent>
        <w:p w14:paraId="4F7B9212" w14:textId="661950FF" w:rsidR="00A93657" w:rsidRDefault="00A93657">
          <w:pPr>
            <w:pStyle w:val="TOCHeading"/>
          </w:pPr>
          <w:r>
            <w:t>Contents</w:t>
          </w:r>
        </w:p>
        <w:p w14:paraId="39A1A70B" w14:textId="4F393B1C" w:rsidR="00A93657" w:rsidRDefault="00A93657">
          <w:pPr>
            <w:pStyle w:val="TOC1"/>
            <w:tabs>
              <w:tab w:val="right" w:leader="dot" w:pos="13948"/>
            </w:tabs>
            <w:rPr>
              <w:noProof/>
            </w:rPr>
          </w:pPr>
          <w:r>
            <w:fldChar w:fldCharType="begin"/>
          </w:r>
          <w:r>
            <w:instrText xml:space="preserve"> TOC \o "1-3" \h \z \u </w:instrText>
          </w:r>
          <w:r>
            <w:fldChar w:fldCharType="separate"/>
          </w:r>
          <w:hyperlink w:anchor="_Toc215143390" w:history="1">
            <w:r w:rsidRPr="009D04AF">
              <w:rPr>
                <w:rStyle w:val="Hyperlink"/>
                <w:noProof/>
              </w:rPr>
              <w:t>Appendix 2 - Analyses</w:t>
            </w:r>
            <w:r>
              <w:rPr>
                <w:noProof/>
                <w:webHidden/>
              </w:rPr>
              <w:tab/>
            </w:r>
            <w:r>
              <w:rPr>
                <w:noProof/>
                <w:webHidden/>
              </w:rPr>
              <w:fldChar w:fldCharType="begin"/>
            </w:r>
            <w:r>
              <w:rPr>
                <w:noProof/>
                <w:webHidden/>
              </w:rPr>
              <w:instrText xml:space="preserve"> PAGEREF _Toc215143390 \h </w:instrText>
            </w:r>
            <w:r>
              <w:rPr>
                <w:noProof/>
                <w:webHidden/>
              </w:rPr>
            </w:r>
            <w:r>
              <w:rPr>
                <w:noProof/>
                <w:webHidden/>
              </w:rPr>
              <w:fldChar w:fldCharType="separate"/>
            </w:r>
            <w:r>
              <w:rPr>
                <w:noProof/>
                <w:webHidden/>
              </w:rPr>
              <w:t>1</w:t>
            </w:r>
            <w:r>
              <w:rPr>
                <w:noProof/>
                <w:webHidden/>
              </w:rPr>
              <w:fldChar w:fldCharType="end"/>
            </w:r>
          </w:hyperlink>
        </w:p>
        <w:p w14:paraId="09922F09" w14:textId="7D393408" w:rsidR="00A93657" w:rsidRDefault="00A93657">
          <w:pPr>
            <w:pStyle w:val="TOC2"/>
            <w:tabs>
              <w:tab w:val="right" w:leader="dot" w:pos="13948"/>
            </w:tabs>
            <w:rPr>
              <w:noProof/>
            </w:rPr>
          </w:pPr>
          <w:hyperlink w:anchor="_Toc215143391" w:history="1">
            <w:r w:rsidRPr="009D04AF">
              <w:rPr>
                <w:rStyle w:val="Hyperlink"/>
                <w:noProof/>
                <w:lang w:val="en-US"/>
              </w:rPr>
              <w:t>TRUST Tool</w:t>
            </w:r>
            <w:r>
              <w:rPr>
                <w:noProof/>
                <w:webHidden/>
              </w:rPr>
              <w:tab/>
            </w:r>
            <w:r>
              <w:rPr>
                <w:noProof/>
                <w:webHidden/>
              </w:rPr>
              <w:fldChar w:fldCharType="begin"/>
            </w:r>
            <w:r>
              <w:rPr>
                <w:noProof/>
                <w:webHidden/>
              </w:rPr>
              <w:instrText xml:space="preserve"> PAGEREF _Toc215143391 \h </w:instrText>
            </w:r>
            <w:r>
              <w:rPr>
                <w:noProof/>
                <w:webHidden/>
              </w:rPr>
            </w:r>
            <w:r>
              <w:rPr>
                <w:noProof/>
                <w:webHidden/>
              </w:rPr>
              <w:fldChar w:fldCharType="separate"/>
            </w:r>
            <w:r>
              <w:rPr>
                <w:noProof/>
                <w:webHidden/>
              </w:rPr>
              <w:t>2</w:t>
            </w:r>
            <w:r>
              <w:rPr>
                <w:noProof/>
                <w:webHidden/>
              </w:rPr>
              <w:fldChar w:fldCharType="end"/>
            </w:r>
          </w:hyperlink>
        </w:p>
        <w:p w14:paraId="48231E2C" w14:textId="0B1B60A4" w:rsidR="00A93657" w:rsidRDefault="00A93657">
          <w:pPr>
            <w:pStyle w:val="TOC2"/>
            <w:tabs>
              <w:tab w:val="right" w:leader="dot" w:pos="13948"/>
            </w:tabs>
            <w:rPr>
              <w:noProof/>
            </w:rPr>
          </w:pPr>
          <w:hyperlink w:anchor="_Toc215143392" w:history="1">
            <w:r w:rsidRPr="009D04AF">
              <w:rPr>
                <w:rStyle w:val="Hyperlink"/>
                <w:noProof/>
              </w:rPr>
              <w:t>Explanation of scenario analyses</w:t>
            </w:r>
            <w:r>
              <w:rPr>
                <w:noProof/>
                <w:webHidden/>
              </w:rPr>
              <w:tab/>
            </w:r>
            <w:r>
              <w:rPr>
                <w:noProof/>
                <w:webHidden/>
              </w:rPr>
              <w:fldChar w:fldCharType="begin"/>
            </w:r>
            <w:r>
              <w:rPr>
                <w:noProof/>
                <w:webHidden/>
              </w:rPr>
              <w:instrText xml:space="preserve"> PAGEREF _Toc215143392 \h </w:instrText>
            </w:r>
            <w:r>
              <w:rPr>
                <w:noProof/>
                <w:webHidden/>
              </w:rPr>
            </w:r>
            <w:r>
              <w:rPr>
                <w:noProof/>
                <w:webHidden/>
              </w:rPr>
              <w:fldChar w:fldCharType="separate"/>
            </w:r>
            <w:r>
              <w:rPr>
                <w:noProof/>
                <w:webHidden/>
              </w:rPr>
              <w:t>4</w:t>
            </w:r>
            <w:r>
              <w:rPr>
                <w:noProof/>
                <w:webHidden/>
              </w:rPr>
              <w:fldChar w:fldCharType="end"/>
            </w:r>
          </w:hyperlink>
        </w:p>
        <w:p w14:paraId="064956C7" w14:textId="43875E5C" w:rsidR="00A93657" w:rsidRDefault="00A93657">
          <w:pPr>
            <w:pStyle w:val="TOC2"/>
            <w:tabs>
              <w:tab w:val="right" w:leader="dot" w:pos="13948"/>
            </w:tabs>
            <w:rPr>
              <w:noProof/>
            </w:rPr>
          </w:pPr>
          <w:hyperlink w:anchor="_Toc215143393" w:history="1">
            <w:r w:rsidRPr="009D04AF">
              <w:rPr>
                <w:rStyle w:val="Hyperlink"/>
                <w:noProof/>
                <w:lang w:val="en-US"/>
              </w:rPr>
              <w:t>Scenario analyses</w:t>
            </w:r>
            <w:r>
              <w:rPr>
                <w:noProof/>
                <w:webHidden/>
              </w:rPr>
              <w:tab/>
            </w:r>
            <w:r>
              <w:rPr>
                <w:noProof/>
                <w:webHidden/>
              </w:rPr>
              <w:fldChar w:fldCharType="begin"/>
            </w:r>
            <w:r>
              <w:rPr>
                <w:noProof/>
                <w:webHidden/>
              </w:rPr>
              <w:instrText xml:space="preserve"> PAGEREF _Toc215143393 \h </w:instrText>
            </w:r>
            <w:r>
              <w:rPr>
                <w:noProof/>
                <w:webHidden/>
              </w:rPr>
            </w:r>
            <w:r>
              <w:rPr>
                <w:noProof/>
                <w:webHidden/>
              </w:rPr>
              <w:fldChar w:fldCharType="separate"/>
            </w:r>
            <w:r>
              <w:rPr>
                <w:noProof/>
                <w:webHidden/>
              </w:rPr>
              <w:t>6</w:t>
            </w:r>
            <w:r>
              <w:rPr>
                <w:noProof/>
                <w:webHidden/>
              </w:rPr>
              <w:fldChar w:fldCharType="end"/>
            </w:r>
          </w:hyperlink>
        </w:p>
        <w:p w14:paraId="4692CD22" w14:textId="2C5393F0" w:rsidR="00A93657" w:rsidRDefault="00A93657">
          <w:pPr>
            <w:pStyle w:val="TOC2"/>
            <w:tabs>
              <w:tab w:val="right" w:leader="dot" w:pos="13948"/>
            </w:tabs>
            <w:rPr>
              <w:noProof/>
            </w:rPr>
          </w:pPr>
          <w:hyperlink w:anchor="_Toc215143394" w:history="1">
            <w:r w:rsidRPr="009D04AF">
              <w:rPr>
                <w:rStyle w:val="Hyperlink"/>
                <w:noProof/>
                <w:lang w:val="en-US"/>
              </w:rPr>
              <w:t>Deterministic sensitivity analyses</w:t>
            </w:r>
            <w:r>
              <w:rPr>
                <w:noProof/>
                <w:webHidden/>
              </w:rPr>
              <w:tab/>
            </w:r>
            <w:r>
              <w:rPr>
                <w:noProof/>
                <w:webHidden/>
              </w:rPr>
              <w:fldChar w:fldCharType="begin"/>
            </w:r>
            <w:r>
              <w:rPr>
                <w:noProof/>
                <w:webHidden/>
              </w:rPr>
              <w:instrText xml:space="preserve"> PAGEREF _Toc215143394 \h </w:instrText>
            </w:r>
            <w:r>
              <w:rPr>
                <w:noProof/>
                <w:webHidden/>
              </w:rPr>
            </w:r>
            <w:r>
              <w:rPr>
                <w:noProof/>
                <w:webHidden/>
              </w:rPr>
              <w:fldChar w:fldCharType="separate"/>
            </w:r>
            <w:r>
              <w:rPr>
                <w:noProof/>
                <w:webHidden/>
              </w:rPr>
              <w:t>10</w:t>
            </w:r>
            <w:r>
              <w:rPr>
                <w:noProof/>
                <w:webHidden/>
              </w:rPr>
              <w:fldChar w:fldCharType="end"/>
            </w:r>
          </w:hyperlink>
        </w:p>
        <w:p w14:paraId="08D47E14" w14:textId="6F55C0B9" w:rsidR="00A93657" w:rsidRDefault="00A93657">
          <w:pPr>
            <w:pStyle w:val="TOC2"/>
            <w:tabs>
              <w:tab w:val="right" w:leader="dot" w:pos="13948"/>
            </w:tabs>
            <w:rPr>
              <w:noProof/>
            </w:rPr>
          </w:pPr>
          <w:hyperlink w:anchor="_Toc215143395" w:history="1">
            <w:r w:rsidRPr="009D04AF">
              <w:rPr>
                <w:rStyle w:val="Hyperlink"/>
                <w:noProof/>
                <w:lang w:val="en-US"/>
              </w:rPr>
              <w:t>Sensitivity analyses</w:t>
            </w:r>
            <w:r>
              <w:rPr>
                <w:noProof/>
                <w:webHidden/>
              </w:rPr>
              <w:tab/>
            </w:r>
            <w:r>
              <w:rPr>
                <w:noProof/>
                <w:webHidden/>
              </w:rPr>
              <w:fldChar w:fldCharType="begin"/>
            </w:r>
            <w:r>
              <w:rPr>
                <w:noProof/>
                <w:webHidden/>
              </w:rPr>
              <w:instrText xml:space="preserve"> PAGEREF _Toc215143395 \h </w:instrText>
            </w:r>
            <w:r>
              <w:rPr>
                <w:noProof/>
                <w:webHidden/>
              </w:rPr>
            </w:r>
            <w:r>
              <w:rPr>
                <w:noProof/>
                <w:webHidden/>
              </w:rPr>
              <w:fldChar w:fldCharType="separate"/>
            </w:r>
            <w:r>
              <w:rPr>
                <w:noProof/>
                <w:webHidden/>
              </w:rPr>
              <w:t>14</w:t>
            </w:r>
            <w:r>
              <w:rPr>
                <w:noProof/>
                <w:webHidden/>
              </w:rPr>
              <w:fldChar w:fldCharType="end"/>
            </w:r>
          </w:hyperlink>
        </w:p>
        <w:p w14:paraId="5AF567E2" w14:textId="775E27B2" w:rsidR="00A93657" w:rsidRDefault="00A93657">
          <w:pPr>
            <w:pStyle w:val="TOC3"/>
            <w:tabs>
              <w:tab w:val="right" w:leader="dot" w:pos="13948"/>
            </w:tabs>
            <w:rPr>
              <w:noProof/>
            </w:rPr>
          </w:pPr>
          <w:hyperlink w:anchor="_Toc215143396" w:history="1">
            <w:r w:rsidRPr="009D04AF">
              <w:rPr>
                <w:rStyle w:val="Hyperlink"/>
                <w:noProof/>
              </w:rPr>
              <w:t>Sensitivity analyses – Overall VE</w:t>
            </w:r>
            <w:r>
              <w:rPr>
                <w:noProof/>
                <w:webHidden/>
              </w:rPr>
              <w:tab/>
            </w:r>
            <w:r>
              <w:rPr>
                <w:noProof/>
                <w:webHidden/>
              </w:rPr>
              <w:fldChar w:fldCharType="begin"/>
            </w:r>
            <w:r>
              <w:rPr>
                <w:noProof/>
                <w:webHidden/>
              </w:rPr>
              <w:instrText xml:space="preserve"> PAGEREF _Toc215143396 \h </w:instrText>
            </w:r>
            <w:r>
              <w:rPr>
                <w:noProof/>
                <w:webHidden/>
              </w:rPr>
            </w:r>
            <w:r>
              <w:rPr>
                <w:noProof/>
                <w:webHidden/>
              </w:rPr>
              <w:fldChar w:fldCharType="separate"/>
            </w:r>
            <w:r>
              <w:rPr>
                <w:noProof/>
                <w:webHidden/>
              </w:rPr>
              <w:t>14</w:t>
            </w:r>
            <w:r>
              <w:rPr>
                <w:noProof/>
                <w:webHidden/>
              </w:rPr>
              <w:fldChar w:fldCharType="end"/>
            </w:r>
          </w:hyperlink>
        </w:p>
        <w:p w14:paraId="139F1FCC" w14:textId="2F71E2CE" w:rsidR="00A93657" w:rsidRDefault="00A93657">
          <w:pPr>
            <w:pStyle w:val="TOC3"/>
            <w:tabs>
              <w:tab w:val="right" w:leader="dot" w:pos="13948"/>
            </w:tabs>
            <w:rPr>
              <w:noProof/>
            </w:rPr>
          </w:pPr>
          <w:hyperlink w:anchor="_Toc215143397" w:history="1">
            <w:r w:rsidRPr="009D04AF">
              <w:rPr>
                <w:rStyle w:val="Hyperlink"/>
                <w:noProof/>
              </w:rPr>
              <w:t>Sensitivity analysis – Duration of protection</w:t>
            </w:r>
            <w:r>
              <w:rPr>
                <w:noProof/>
                <w:webHidden/>
              </w:rPr>
              <w:tab/>
            </w:r>
            <w:r>
              <w:rPr>
                <w:noProof/>
                <w:webHidden/>
              </w:rPr>
              <w:fldChar w:fldCharType="begin"/>
            </w:r>
            <w:r>
              <w:rPr>
                <w:noProof/>
                <w:webHidden/>
              </w:rPr>
              <w:instrText xml:space="preserve"> PAGEREF _Toc215143397 \h </w:instrText>
            </w:r>
            <w:r>
              <w:rPr>
                <w:noProof/>
                <w:webHidden/>
              </w:rPr>
            </w:r>
            <w:r>
              <w:rPr>
                <w:noProof/>
                <w:webHidden/>
              </w:rPr>
              <w:fldChar w:fldCharType="separate"/>
            </w:r>
            <w:r>
              <w:rPr>
                <w:noProof/>
                <w:webHidden/>
              </w:rPr>
              <w:t>17</w:t>
            </w:r>
            <w:r>
              <w:rPr>
                <w:noProof/>
                <w:webHidden/>
              </w:rPr>
              <w:fldChar w:fldCharType="end"/>
            </w:r>
          </w:hyperlink>
        </w:p>
        <w:p w14:paraId="529F922E" w14:textId="3F16BB39" w:rsidR="00A93657" w:rsidRDefault="00A93657">
          <w:r>
            <w:rPr>
              <w:b/>
              <w:bCs/>
              <w:noProof/>
            </w:rPr>
            <w:fldChar w:fldCharType="end"/>
          </w:r>
        </w:p>
      </w:sdtContent>
    </w:sdt>
    <w:p w14:paraId="1A46AA47" w14:textId="77777777" w:rsidR="00A93657" w:rsidRDefault="00A93657">
      <w:pPr>
        <w:rPr>
          <w:rFonts w:asciiTheme="majorHAnsi" w:eastAsiaTheme="majorEastAsia" w:hAnsiTheme="majorHAnsi" w:cstheme="majorBidi"/>
          <w:color w:val="2F5496" w:themeColor="accent1" w:themeShade="BF"/>
          <w:sz w:val="26"/>
          <w:szCs w:val="26"/>
          <w:lang w:val="en-US"/>
        </w:rPr>
      </w:pPr>
      <w:r>
        <w:rPr>
          <w:lang w:val="en-US"/>
        </w:rPr>
        <w:br w:type="page"/>
      </w:r>
    </w:p>
    <w:p w14:paraId="0AE6B4F5" w14:textId="11F29BC5" w:rsidR="00663C0D" w:rsidRDefault="00663C0D" w:rsidP="00663C0D">
      <w:pPr>
        <w:pStyle w:val="Heading2"/>
        <w:rPr>
          <w:lang w:val="en-US"/>
        </w:rPr>
      </w:pPr>
      <w:bookmarkStart w:id="1" w:name="_Toc215143391"/>
      <w:r>
        <w:rPr>
          <w:lang w:val="en-US"/>
        </w:rPr>
        <w:lastRenderedPageBreak/>
        <w:t>TRUST Tool</w:t>
      </w:r>
      <w:bookmarkEnd w:id="1"/>
    </w:p>
    <w:tbl>
      <w:tblPr>
        <w:tblStyle w:val="TableGrid"/>
        <w:tblW w:w="0" w:type="auto"/>
        <w:tblInd w:w="-998" w:type="dxa"/>
        <w:tblLook w:val="04A0" w:firstRow="1" w:lastRow="0" w:firstColumn="1" w:lastColumn="0" w:noHBand="0" w:noVBand="1"/>
      </w:tblPr>
      <w:tblGrid>
        <w:gridCol w:w="1543"/>
        <w:gridCol w:w="1770"/>
        <w:gridCol w:w="1983"/>
        <w:gridCol w:w="3011"/>
        <w:gridCol w:w="2355"/>
        <w:gridCol w:w="2320"/>
        <w:gridCol w:w="2190"/>
      </w:tblGrid>
      <w:tr w:rsidR="00F07CC7" w14:paraId="21E5E6A1" w14:textId="77777777" w:rsidTr="00663C0D">
        <w:trPr>
          <w:trHeight w:val="408"/>
        </w:trPr>
        <w:tc>
          <w:tcPr>
            <w:tcW w:w="0" w:type="auto"/>
            <w:gridSpan w:val="2"/>
            <w:vMerge w:val="restart"/>
          </w:tcPr>
          <w:p w14:paraId="3CFB7B64" w14:textId="77777777" w:rsidR="00F07CC7" w:rsidRDefault="00F07CC7" w:rsidP="00855634">
            <w:pPr>
              <w:jc w:val="both"/>
              <w:rPr>
                <w:lang w:val="en-US"/>
              </w:rPr>
            </w:pPr>
          </w:p>
        </w:tc>
        <w:tc>
          <w:tcPr>
            <w:tcW w:w="0" w:type="auto"/>
            <w:gridSpan w:val="5"/>
          </w:tcPr>
          <w:p w14:paraId="4E2FFC11" w14:textId="7C597EB9" w:rsidR="00F07CC7" w:rsidRPr="007066EF" w:rsidRDefault="00F07CC7" w:rsidP="00855634">
            <w:pPr>
              <w:jc w:val="both"/>
              <w:rPr>
                <w:b/>
                <w:bCs/>
                <w:u w:val="single"/>
                <w:lang w:val="en-US"/>
              </w:rPr>
            </w:pPr>
            <w:r w:rsidRPr="007066EF">
              <w:rPr>
                <w:b/>
                <w:bCs/>
                <w:sz w:val="32"/>
                <w:szCs w:val="32"/>
                <w:u w:val="single"/>
                <w:lang w:val="en-US"/>
              </w:rPr>
              <w:t>Sources of uncertainty</w:t>
            </w:r>
          </w:p>
        </w:tc>
      </w:tr>
      <w:tr w:rsidR="00663C0D" w14:paraId="7651100F" w14:textId="77777777" w:rsidTr="00663C0D">
        <w:trPr>
          <w:trHeight w:val="144"/>
        </w:trPr>
        <w:tc>
          <w:tcPr>
            <w:tcW w:w="0" w:type="auto"/>
            <w:gridSpan w:val="2"/>
            <w:vMerge/>
          </w:tcPr>
          <w:p w14:paraId="636514C0" w14:textId="77777777" w:rsidR="00F07CC7" w:rsidRDefault="00F07CC7" w:rsidP="00855634">
            <w:pPr>
              <w:jc w:val="both"/>
              <w:rPr>
                <w:lang w:val="en-US"/>
              </w:rPr>
            </w:pPr>
          </w:p>
        </w:tc>
        <w:tc>
          <w:tcPr>
            <w:tcW w:w="0" w:type="auto"/>
          </w:tcPr>
          <w:p w14:paraId="6D340BB7" w14:textId="16B9725D" w:rsidR="00F07CC7" w:rsidRPr="00DA71CA" w:rsidRDefault="00F07CC7" w:rsidP="00855634">
            <w:pPr>
              <w:jc w:val="both"/>
              <w:rPr>
                <w:b/>
                <w:bCs/>
                <w:lang w:val="en-US"/>
              </w:rPr>
            </w:pPr>
            <w:r w:rsidRPr="00DA71CA">
              <w:rPr>
                <w:b/>
                <w:bCs/>
                <w:lang w:val="en-US"/>
              </w:rPr>
              <w:t>Transparency</w:t>
            </w:r>
          </w:p>
        </w:tc>
        <w:tc>
          <w:tcPr>
            <w:tcW w:w="0" w:type="auto"/>
          </w:tcPr>
          <w:p w14:paraId="00B266AB" w14:textId="1F806278" w:rsidR="00F07CC7" w:rsidRPr="00DA71CA" w:rsidRDefault="00F07CC7" w:rsidP="00855634">
            <w:pPr>
              <w:jc w:val="both"/>
              <w:rPr>
                <w:b/>
                <w:bCs/>
                <w:lang w:val="en-US"/>
              </w:rPr>
            </w:pPr>
            <w:r w:rsidRPr="00DA71CA">
              <w:rPr>
                <w:b/>
                <w:bCs/>
                <w:lang w:val="en-US"/>
              </w:rPr>
              <w:t>Methods</w:t>
            </w:r>
          </w:p>
        </w:tc>
        <w:tc>
          <w:tcPr>
            <w:tcW w:w="0" w:type="auto"/>
          </w:tcPr>
          <w:p w14:paraId="571952E9" w14:textId="4CDEBF50" w:rsidR="00F07CC7" w:rsidRPr="00DA71CA" w:rsidRDefault="00F07CC7" w:rsidP="00855634">
            <w:pPr>
              <w:jc w:val="both"/>
              <w:rPr>
                <w:b/>
                <w:bCs/>
                <w:lang w:val="en-US"/>
              </w:rPr>
            </w:pPr>
            <w:r w:rsidRPr="00DA71CA">
              <w:rPr>
                <w:b/>
                <w:bCs/>
                <w:lang w:val="en-US"/>
              </w:rPr>
              <w:t>Imprecision</w:t>
            </w:r>
          </w:p>
        </w:tc>
        <w:tc>
          <w:tcPr>
            <w:tcW w:w="0" w:type="auto"/>
          </w:tcPr>
          <w:p w14:paraId="018E959B" w14:textId="77E8FA92" w:rsidR="00F07CC7" w:rsidRPr="00DA71CA" w:rsidRDefault="00F07CC7" w:rsidP="00855634">
            <w:pPr>
              <w:jc w:val="both"/>
              <w:rPr>
                <w:b/>
                <w:bCs/>
                <w:lang w:val="en-US"/>
              </w:rPr>
            </w:pPr>
            <w:r w:rsidRPr="00DA71CA">
              <w:rPr>
                <w:b/>
                <w:bCs/>
                <w:lang w:val="en-US"/>
              </w:rPr>
              <w:t>Bias &amp; Indirectness</w:t>
            </w:r>
          </w:p>
        </w:tc>
        <w:tc>
          <w:tcPr>
            <w:tcW w:w="0" w:type="auto"/>
          </w:tcPr>
          <w:p w14:paraId="560E1BE5" w14:textId="79D5836B" w:rsidR="00F07CC7" w:rsidRPr="00DA71CA" w:rsidRDefault="00F07CC7" w:rsidP="00855634">
            <w:pPr>
              <w:jc w:val="both"/>
              <w:rPr>
                <w:b/>
                <w:bCs/>
                <w:lang w:val="en-US"/>
              </w:rPr>
            </w:pPr>
            <w:r w:rsidRPr="00DA71CA">
              <w:rPr>
                <w:b/>
                <w:bCs/>
                <w:lang w:val="en-US"/>
              </w:rPr>
              <w:t>Unavailability</w:t>
            </w:r>
          </w:p>
        </w:tc>
      </w:tr>
      <w:tr w:rsidR="00663C0D" w14:paraId="2C2D976C" w14:textId="77777777" w:rsidTr="00663C0D">
        <w:trPr>
          <w:trHeight w:val="559"/>
        </w:trPr>
        <w:tc>
          <w:tcPr>
            <w:tcW w:w="0" w:type="auto"/>
            <w:vMerge w:val="restart"/>
          </w:tcPr>
          <w:p w14:paraId="0BCD68C9" w14:textId="7EA32D3A" w:rsidR="007066EF" w:rsidRPr="007066EF" w:rsidRDefault="007066EF" w:rsidP="00855634">
            <w:pPr>
              <w:jc w:val="both"/>
              <w:rPr>
                <w:b/>
                <w:bCs/>
                <w:u w:val="single"/>
                <w:lang w:val="en-US"/>
              </w:rPr>
            </w:pPr>
            <w:r w:rsidRPr="007066EF">
              <w:rPr>
                <w:b/>
                <w:bCs/>
                <w:sz w:val="32"/>
                <w:szCs w:val="32"/>
                <w:u w:val="single"/>
                <w:lang w:val="en-US"/>
              </w:rPr>
              <w:t xml:space="preserve">Aspects of the model </w:t>
            </w:r>
          </w:p>
        </w:tc>
        <w:tc>
          <w:tcPr>
            <w:tcW w:w="0" w:type="auto"/>
          </w:tcPr>
          <w:p w14:paraId="4274CA8C" w14:textId="211B3EC4" w:rsidR="007066EF" w:rsidRPr="00DA71CA" w:rsidRDefault="007066EF" w:rsidP="00855634">
            <w:pPr>
              <w:jc w:val="both"/>
              <w:rPr>
                <w:b/>
                <w:bCs/>
                <w:lang w:val="en-US"/>
              </w:rPr>
            </w:pPr>
            <w:r w:rsidRPr="00DA71CA">
              <w:rPr>
                <w:b/>
                <w:bCs/>
                <w:lang w:val="en-US"/>
              </w:rPr>
              <w:t>Context/Scope</w:t>
            </w:r>
          </w:p>
        </w:tc>
        <w:tc>
          <w:tcPr>
            <w:tcW w:w="0" w:type="auto"/>
            <w:vAlign w:val="center"/>
          </w:tcPr>
          <w:p w14:paraId="6239A6A2" w14:textId="2DFD3CA0" w:rsidR="007066EF" w:rsidRDefault="00980CB2" w:rsidP="00855634">
            <w:pPr>
              <w:jc w:val="both"/>
              <w:rPr>
                <w:lang w:val="en-US"/>
              </w:rPr>
            </w:pPr>
            <w:r>
              <w:rPr>
                <w:lang w:val="en-US"/>
              </w:rPr>
              <w:t>//</w:t>
            </w:r>
          </w:p>
        </w:tc>
        <w:tc>
          <w:tcPr>
            <w:tcW w:w="0" w:type="auto"/>
            <w:vAlign w:val="center"/>
          </w:tcPr>
          <w:p w14:paraId="58BA76DB" w14:textId="05AC1678" w:rsidR="007066EF" w:rsidRDefault="00100BE9" w:rsidP="00855634">
            <w:pPr>
              <w:jc w:val="both"/>
              <w:rPr>
                <w:lang w:val="en-US"/>
              </w:rPr>
            </w:pPr>
            <w:r>
              <w:rPr>
                <w:lang w:val="en-US"/>
              </w:rPr>
              <w:t>//</w:t>
            </w:r>
          </w:p>
        </w:tc>
        <w:tc>
          <w:tcPr>
            <w:tcW w:w="0" w:type="auto"/>
            <w:shd w:val="clear" w:color="auto" w:fill="D9D9D9" w:themeFill="background1" w:themeFillShade="D9"/>
            <w:vAlign w:val="center"/>
          </w:tcPr>
          <w:p w14:paraId="046E9FE1" w14:textId="77777777" w:rsidR="007066EF" w:rsidRDefault="007066EF" w:rsidP="00855634">
            <w:pPr>
              <w:jc w:val="both"/>
              <w:rPr>
                <w:lang w:val="en-US"/>
              </w:rPr>
            </w:pPr>
          </w:p>
        </w:tc>
        <w:tc>
          <w:tcPr>
            <w:tcW w:w="0" w:type="auto"/>
            <w:vAlign w:val="center"/>
          </w:tcPr>
          <w:p w14:paraId="22F838EE" w14:textId="5A73CB68" w:rsidR="007066EF" w:rsidRDefault="007066EF" w:rsidP="00855634">
            <w:pPr>
              <w:jc w:val="both"/>
              <w:rPr>
                <w:lang w:val="en-US"/>
              </w:rPr>
            </w:pPr>
            <w:r>
              <w:rPr>
                <w:lang w:val="en-US"/>
              </w:rPr>
              <w:t>//</w:t>
            </w:r>
          </w:p>
        </w:tc>
        <w:tc>
          <w:tcPr>
            <w:tcW w:w="0" w:type="auto"/>
            <w:vAlign w:val="center"/>
          </w:tcPr>
          <w:p w14:paraId="27ACD329" w14:textId="276E10E3" w:rsidR="007066EF" w:rsidRDefault="007066EF" w:rsidP="00855634">
            <w:pPr>
              <w:jc w:val="both"/>
              <w:rPr>
                <w:lang w:val="en-US"/>
              </w:rPr>
            </w:pPr>
            <w:r>
              <w:rPr>
                <w:lang w:val="en-US"/>
              </w:rPr>
              <w:t>//</w:t>
            </w:r>
          </w:p>
        </w:tc>
      </w:tr>
      <w:tr w:rsidR="00663C0D" w14:paraId="16637441" w14:textId="77777777" w:rsidTr="00663C0D">
        <w:trPr>
          <w:trHeight w:val="144"/>
        </w:trPr>
        <w:tc>
          <w:tcPr>
            <w:tcW w:w="0" w:type="auto"/>
            <w:vMerge/>
          </w:tcPr>
          <w:p w14:paraId="6C16E7AB" w14:textId="676FBA85" w:rsidR="007066EF" w:rsidRDefault="007066EF" w:rsidP="00855634">
            <w:pPr>
              <w:jc w:val="both"/>
              <w:rPr>
                <w:lang w:val="en-US"/>
              </w:rPr>
            </w:pPr>
          </w:p>
        </w:tc>
        <w:tc>
          <w:tcPr>
            <w:tcW w:w="0" w:type="auto"/>
          </w:tcPr>
          <w:p w14:paraId="16DE384D" w14:textId="2D43B00F" w:rsidR="007066EF" w:rsidRPr="00DA71CA" w:rsidRDefault="007066EF" w:rsidP="00855634">
            <w:pPr>
              <w:jc w:val="both"/>
              <w:rPr>
                <w:b/>
                <w:bCs/>
                <w:lang w:val="en-US"/>
              </w:rPr>
            </w:pPr>
            <w:r w:rsidRPr="00DA71CA">
              <w:rPr>
                <w:b/>
                <w:bCs/>
                <w:lang w:val="en-US"/>
              </w:rPr>
              <w:t>Model structure</w:t>
            </w:r>
          </w:p>
        </w:tc>
        <w:tc>
          <w:tcPr>
            <w:tcW w:w="0" w:type="auto"/>
            <w:vAlign w:val="center"/>
          </w:tcPr>
          <w:p w14:paraId="45C2785E" w14:textId="3F69607C" w:rsidR="007066EF" w:rsidRDefault="007066EF" w:rsidP="00855634">
            <w:pPr>
              <w:jc w:val="both"/>
              <w:rPr>
                <w:lang w:val="en-US"/>
              </w:rPr>
            </w:pPr>
            <w:r>
              <w:rPr>
                <w:lang w:val="en-US"/>
              </w:rPr>
              <w:t>//</w:t>
            </w:r>
          </w:p>
        </w:tc>
        <w:tc>
          <w:tcPr>
            <w:tcW w:w="0" w:type="auto"/>
            <w:vAlign w:val="center"/>
          </w:tcPr>
          <w:p w14:paraId="509081B1" w14:textId="1FF8CC49" w:rsidR="007066EF" w:rsidRDefault="00E92133" w:rsidP="00855634">
            <w:pPr>
              <w:jc w:val="both"/>
              <w:rPr>
                <w:lang w:val="en-US"/>
              </w:rPr>
            </w:pPr>
            <w:r>
              <w:rPr>
                <w:lang w:val="en-US"/>
              </w:rPr>
              <w:t>a)</w:t>
            </w:r>
            <w:r w:rsidR="009A48BF">
              <w:rPr>
                <w:lang w:val="en-US"/>
              </w:rPr>
              <w:t>Assumption: Vaccination has no effect on transmission</w:t>
            </w:r>
          </w:p>
        </w:tc>
        <w:tc>
          <w:tcPr>
            <w:tcW w:w="0" w:type="auto"/>
            <w:shd w:val="clear" w:color="auto" w:fill="D9D9D9" w:themeFill="background1" w:themeFillShade="D9"/>
            <w:vAlign w:val="center"/>
          </w:tcPr>
          <w:p w14:paraId="52CC5172" w14:textId="77777777" w:rsidR="007066EF" w:rsidRDefault="007066EF" w:rsidP="00855634">
            <w:pPr>
              <w:jc w:val="both"/>
              <w:rPr>
                <w:lang w:val="en-US"/>
              </w:rPr>
            </w:pPr>
          </w:p>
        </w:tc>
        <w:tc>
          <w:tcPr>
            <w:tcW w:w="0" w:type="auto"/>
            <w:vAlign w:val="center"/>
          </w:tcPr>
          <w:p w14:paraId="035D5CB5" w14:textId="46448135" w:rsidR="007066EF" w:rsidRDefault="00DC4403" w:rsidP="00855634">
            <w:pPr>
              <w:jc w:val="both"/>
              <w:rPr>
                <w:lang w:val="en-US"/>
              </w:rPr>
            </w:pPr>
            <w:r>
              <w:rPr>
                <w:lang w:val="en-US"/>
              </w:rPr>
              <w:t>//</w:t>
            </w:r>
          </w:p>
        </w:tc>
        <w:tc>
          <w:tcPr>
            <w:tcW w:w="0" w:type="auto"/>
            <w:shd w:val="clear" w:color="auto" w:fill="D9D9D9" w:themeFill="background1" w:themeFillShade="D9"/>
            <w:vAlign w:val="center"/>
          </w:tcPr>
          <w:p w14:paraId="2FBA3A83" w14:textId="77777777" w:rsidR="007066EF" w:rsidRDefault="007066EF" w:rsidP="00855634">
            <w:pPr>
              <w:jc w:val="both"/>
              <w:rPr>
                <w:lang w:val="en-US"/>
              </w:rPr>
            </w:pPr>
          </w:p>
        </w:tc>
      </w:tr>
      <w:tr w:rsidR="00663C0D" w14:paraId="31CB9229" w14:textId="77777777" w:rsidTr="00663C0D">
        <w:trPr>
          <w:trHeight w:val="144"/>
        </w:trPr>
        <w:tc>
          <w:tcPr>
            <w:tcW w:w="0" w:type="auto"/>
            <w:vMerge/>
          </w:tcPr>
          <w:p w14:paraId="006FB217" w14:textId="4453744E" w:rsidR="007066EF" w:rsidRDefault="007066EF" w:rsidP="00855634">
            <w:pPr>
              <w:jc w:val="both"/>
              <w:rPr>
                <w:lang w:val="en-US"/>
              </w:rPr>
            </w:pPr>
          </w:p>
        </w:tc>
        <w:tc>
          <w:tcPr>
            <w:tcW w:w="0" w:type="auto"/>
          </w:tcPr>
          <w:p w14:paraId="5761D33C" w14:textId="18C5F489" w:rsidR="007066EF" w:rsidRPr="00DA71CA" w:rsidRDefault="007066EF" w:rsidP="00855634">
            <w:pPr>
              <w:jc w:val="both"/>
              <w:rPr>
                <w:b/>
                <w:bCs/>
                <w:lang w:val="en-US"/>
              </w:rPr>
            </w:pPr>
            <w:r w:rsidRPr="00DA71CA">
              <w:rPr>
                <w:b/>
                <w:bCs/>
                <w:lang w:val="en-US"/>
              </w:rPr>
              <w:t>Selection of evidence</w:t>
            </w:r>
          </w:p>
        </w:tc>
        <w:tc>
          <w:tcPr>
            <w:tcW w:w="0" w:type="auto"/>
            <w:vAlign w:val="center"/>
          </w:tcPr>
          <w:p w14:paraId="580FD2FA" w14:textId="4AA4C40D" w:rsidR="007066EF" w:rsidRDefault="007066EF" w:rsidP="00855634">
            <w:pPr>
              <w:jc w:val="both"/>
              <w:rPr>
                <w:lang w:val="en-US"/>
              </w:rPr>
            </w:pPr>
            <w:r>
              <w:rPr>
                <w:lang w:val="en-US"/>
              </w:rPr>
              <w:t>//</w:t>
            </w:r>
          </w:p>
        </w:tc>
        <w:tc>
          <w:tcPr>
            <w:tcW w:w="0" w:type="auto"/>
            <w:vAlign w:val="center"/>
          </w:tcPr>
          <w:p w14:paraId="3A28148A" w14:textId="77777777" w:rsidR="007066EF" w:rsidRDefault="00E92133" w:rsidP="00855634">
            <w:pPr>
              <w:jc w:val="both"/>
              <w:rPr>
                <w:lang w:val="en-US"/>
              </w:rPr>
            </w:pPr>
            <w:r>
              <w:rPr>
                <w:lang w:val="en-US"/>
              </w:rPr>
              <w:t>b)</w:t>
            </w:r>
            <w:r w:rsidR="00F0282B">
              <w:rPr>
                <w:lang w:val="en-US"/>
              </w:rPr>
              <w:t xml:space="preserve">Using maximum strain coverage inputs </w:t>
            </w:r>
            <w:r w:rsidR="009A48BF">
              <w:rPr>
                <w:lang w:val="en-US"/>
              </w:rPr>
              <w:t xml:space="preserve">to calculate </w:t>
            </w:r>
            <w:r w:rsidR="00F0282B">
              <w:rPr>
                <w:lang w:val="en-US"/>
              </w:rPr>
              <w:t>adolescent VE</w:t>
            </w:r>
          </w:p>
          <w:p w14:paraId="6AE81296" w14:textId="77777777" w:rsidR="00E92133" w:rsidRDefault="00E92133" w:rsidP="00855634">
            <w:pPr>
              <w:jc w:val="both"/>
              <w:rPr>
                <w:lang w:val="en-US"/>
              </w:rPr>
            </w:pPr>
          </w:p>
          <w:p w14:paraId="62DE6BF9" w14:textId="77777777" w:rsidR="004C5A00" w:rsidRDefault="00E92133" w:rsidP="00855634">
            <w:pPr>
              <w:jc w:val="both"/>
              <w:rPr>
                <w:lang w:val="en-US"/>
              </w:rPr>
            </w:pPr>
            <w:r>
              <w:rPr>
                <w:lang w:val="en-US"/>
              </w:rPr>
              <w:t xml:space="preserve">c) </w:t>
            </w:r>
            <w:r w:rsidR="004C5A00">
              <w:rPr>
                <w:lang w:val="en-US"/>
              </w:rPr>
              <w:t>Different sources of evidence for sequelae (UK evidence compared to NL evidence)</w:t>
            </w:r>
          </w:p>
          <w:p w14:paraId="1E05628B" w14:textId="77777777" w:rsidR="001C73DF" w:rsidRDefault="001C73DF" w:rsidP="00855634">
            <w:pPr>
              <w:jc w:val="both"/>
              <w:rPr>
                <w:lang w:val="en-US"/>
              </w:rPr>
            </w:pPr>
          </w:p>
          <w:p w14:paraId="721DAA9E" w14:textId="731C0E9A" w:rsidR="001C73DF" w:rsidRDefault="00E92133" w:rsidP="00855634">
            <w:pPr>
              <w:jc w:val="both"/>
              <w:rPr>
                <w:lang w:val="en-US"/>
              </w:rPr>
            </w:pPr>
            <w:r>
              <w:rPr>
                <w:lang w:val="en-US"/>
              </w:rPr>
              <w:t xml:space="preserve">d) </w:t>
            </w:r>
            <w:r w:rsidR="001C73DF">
              <w:rPr>
                <w:lang w:val="en-US"/>
              </w:rPr>
              <w:t>Evidence was not identified systematically</w:t>
            </w:r>
          </w:p>
        </w:tc>
        <w:tc>
          <w:tcPr>
            <w:tcW w:w="0" w:type="auto"/>
            <w:shd w:val="clear" w:color="auto" w:fill="D9D9D9" w:themeFill="background1" w:themeFillShade="D9"/>
            <w:vAlign w:val="center"/>
          </w:tcPr>
          <w:p w14:paraId="772766FB" w14:textId="77777777" w:rsidR="007066EF" w:rsidRDefault="007066EF" w:rsidP="00855634">
            <w:pPr>
              <w:jc w:val="both"/>
              <w:rPr>
                <w:lang w:val="en-US"/>
              </w:rPr>
            </w:pPr>
          </w:p>
        </w:tc>
        <w:tc>
          <w:tcPr>
            <w:tcW w:w="0" w:type="auto"/>
            <w:vAlign w:val="center"/>
          </w:tcPr>
          <w:p w14:paraId="3DA6A77D" w14:textId="132F4665" w:rsidR="007066EF" w:rsidRDefault="00E92133" w:rsidP="00855634">
            <w:pPr>
              <w:jc w:val="both"/>
              <w:rPr>
                <w:lang w:val="en-US"/>
              </w:rPr>
            </w:pPr>
            <w:r>
              <w:rPr>
                <w:lang w:val="en-US"/>
              </w:rPr>
              <w:t xml:space="preserve">l) </w:t>
            </w:r>
            <w:r w:rsidR="00A1231D">
              <w:rPr>
                <w:lang w:val="en-US"/>
              </w:rPr>
              <w:t xml:space="preserve">Use of UK data as a source of evidence for the prevalence of sequelae </w:t>
            </w:r>
          </w:p>
        </w:tc>
        <w:tc>
          <w:tcPr>
            <w:tcW w:w="0" w:type="auto"/>
            <w:vAlign w:val="center"/>
          </w:tcPr>
          <w:p w14:paraId="3D744D70" w14:textId="39710487" w:rsidR="007066EF" w:rsidRDefault="00100BE9" w:rsidP="00855634">
            <w:pPr>
              <w:jc w:val="both"/>
              <w:rPr>
                <w:lang w:val="en-US"/>
              </w:rPr>
            </w:pPr>
            <w:r>
              <w:rPr>
                <w:lang w:val="en-US"/>
              </w:rPr>
              <w:t>//</w:t>
            </w:r>
          </w:p>
        </w:tc>
      </w:tr>
      <w:tr w:rsidR="00663C0D" w:rsidRPr="00300A20" w14:paraId="007B2919" w14:textId="77777777" w:rsidTr="00663C0D">
        <w:trPr>
          <w:trHeight w:val="144"/>
        </w:trPr>
        <w:tc>
          <w:tcPr>
            <w:tcW w:w="0" w:type="auto"/>
            <w:vMerge/>
          </w:tcPr>
          <w:p w14:paraId="69B30BE1" w14:textId="50A1B511" w:rsidR="007066EF" w:rsidRDefault="007066EF" w:rsidP="00855634">
            <w:pPr>
              <w:jc w:val="both"/>
              <w:rPr>
                <w:lang w:val="en-US"/>
              </w:rPr>
            </w:pPr>
          </w:p>
        </w:tc>
        <w:tc>
          <w:tcPr>
            <w:tcW w:w="0" w:type="auto"/>
          </w:tcPr>
          <w:p w14:paraId="715D6757" w14:textId="149D6D96" w:rsidR="007066EF" w:rsidRPr="00DA71CA" w:rsidRDefault="007066EF" w:rsidP="00855634">
            <w:pPr>
              <w:jc w:val="both"/>
              <w:rPr>
                <w:b/>
                <w:bCs/>
                <w:lang w:val="en-US"/>
              </w:rPr>
            </w:pPr>
            <w:r w:rsidRPr="00DA71CA">
              <w:rPr>
                <w:b/>
                <w:bCs/>
                <w:lang w:val="en-US"/>
              </w:rPr>
              <w:t>Inputs</w:t>
            </w:r>
          </w:p>
        </w:tc>
        <w:tc>
          <w:tcPr>
            <w:tcW w:w="0" w:type="auto"/>
            <w:vAlign w:val="center"/>
          </w:tcPr>
          <w:p w14:paraId="12ED9435" w14:textId="3AA2992A" w:rsidR="007066EF" w:rsidRDefault="007066EF" w:rsidP="00855634">
            <w:pPr>
              <w:jc w:val="both"/>
              <w:rPr>
                <w:lang w:val="en-US"/>
              </w:rPr>
            </w:pPr>
            <w:r>
              <w:rPr>
                <w:lang w:val="en-US"/>
              </w:rPr>
              <w:t>Not all inputs are currently shown in the Appendix</w:t>
            </w:r>
          </w:p>
          <w:p w14:paraId="32B9297E" w14:textId="77777777" w:rsidR="007066EF" w:rsidRDefault="007066EF" w:rsidP="00855634">
            <w:pPr>
              <w:jc w:val="both"/>
              <w:rPr>
                <w:lang w:val="en-US"/>
              </w:rPr>
            </w:pPr>
          </w:p>
          <w:p w14:paraId="14DBA08A" w14:textId="0CE40B46" w:rsidR="007066EF" w:rsidRDefault="007066EF" w:rsidP="00855634">
            <w:pPr>
              <w:jc w:val="both"/>
              <w:rPr>
                <w:lang w:val="en-US"/>
              </w:rPr>
            </w:pPr>
          </w:p>
        </w:tc>
        <w:tc>
          <w:tcPr>
            <w:tcW w:w="0" w:type="auto"/>
            <w:vAlign w:val="center"/>
          </w:tcPr>
          <w:p w14:paraId="76C2F334" w14:textId="77C3C861" w:rsidR="007066EF" w:rsidRDefault="00E92133" w:rsidP="00855634">
            <w:pPr>
              <w:jc w:val="both"/>
              <w:rPr>
                <w:lang w:val="en-US"/>
              </w:rPr>
            </w:pPr>
            <w:r>
              <w:rPr>
                <w:lang w:val="en-US"/>
              </w:rPr>
              <w:t xml:space="preserve">e) </w:t>
            </w:r>
            <w:r w:rsidR="009A48BF">
              <w:rPr>
                <w:lang w:val="en-US"/>
              </w:rPr>
              <w:t>Different sources offer different manners to calculate productivity loss</w:t>
            </w:r>
            <w:r w:rsidR="003D5403">
              <w:rPr>
                <w:lang w:val="en-US"/>
              </w:rPr>
              <w:t xml:space="preserve"> and</w:t>
            </w:r>
            <w:r w:rsidR="009A48BF">
              <w:rPr>
                <w:lang w:val="en-US"/>
              </w:rPr>
              <w:t xml:space="preserve"> </w:t>
            </w:r>
            <w:r w:rsidR="003D5403">
              <w:rPr>
                <w:lang w:val="en-US"/>
              </w:rPr>
              <w:t xml:space="preserve">special </w:t>
            </w:r>
            <w:r w:rsidR="009A48BF">
              <w:rPr>
                <w:lang w:val="en-US"/>
              </w:rPr>
              <w:t>education</w:t>
            </w:r>
          </w:p>
          <w:p w14:paraId="7FA58691" w14:textId="77777777" w:rsidR="00F0282B" w:rsidRDefault="00F0282B" w:rsidP="00855634">
            <w:pPr>
              <w:jc w:val="both"/>
              <w:rPr>
                <w:lang w:val="en-US"/>
              </w:rPr>
            </w:pPr>
          </w:p>
          <w:p w14:paraId="372864C8" w14:textId="17CF0974" w:rsidR="00F0282B" w:rsidRDefault="00E92133" w:rsidP="00855634">
            <w:pPr>
              <w:jc w:val="both"/>
              <w:rPr>
                <w:lang w:val="en-US"/>
              </w:rPr>
            </w:pPr>
            <w:r>
              <w:rPr>
                <w:lang w:val="en-US"/>
              </w:rPr>
              <w:t>f)</w:t>
            </w:r>
            <w:r w:rsidR="004C5A00">
              <w:rPr>
                <w:lang w:val="en-US"/>
              </w:rPr>
              <w:t xml:space="preserve">Differences </w:t>
            </w:r>
            <w:r w:rsidR="001C73DF">
              <w:rPr>
                <w:lang w:val="en-US"/>
              </w:rPr>
              <w:t xml:space="preserve">in </w:t>
            </w:r>
            <w:r w:rsidR="004C5A00">
              <w:rPr>
                <w:lang w:val="en-US"/>
              </w:rPr>
              <w:t>the inclusion of sequelae</w:t>
            </w:r>
            <w:r w:rsidR="001C73DF">
              <w:rPr>
                <w:lang w:val="en-US"/>
              </w:rPr>
              <w:t xml:space="preserve"> between sources</w:t>
            </w:r>
          </w:p>
          <w:p w14:paraId="305FFA2E" w14:textId="77777777" w:rsidR="001C73DF" w:rsidRDefault="001C73DF" w:rsidP="00855634">
            <w:pPr>
              <w:jc w:val="both"/>
              <w:rPr>
                <w:lang w:val="en-US"/>
              </w:rPr>
            </w:pPr>
          </w:p>
          <w:p w14:paraId="3C4CC472" w14:textId="6093FCB4" w:rsidR="001C73DF" w:rsidRDefault="00E92133" w:rsidP="00855634">
            <w:pPr>
              <w:jc w:val="both"/>
              <w:rPr>
                <w:lang w:val="en-US"/>
              </w:rPr>
            </w:pPr>
            <w:r>
              <w:rPr>
                <w:lang w:val="en-US"/>
              </w:rPr>
              <w:t xml:space="preserve">g) </w:t>
            </w:r>
            <w:r w:rsidR="001C73DF">
              <w:rPr>
                <w:lang w:val="en-US"/>
              </w:rPr>
              <w:t>Differences in the way sequelae are counted between sources (per sequelae vs per severity)</w:t>
            </w:r>
          </w:p>
          <w:p w14:paraId="5B702F98" w14:textId="77777777" w:rsidR="001C73DF" w:rsidRDefault="001C73DF" w:rsidP="00855634">
            <w:pPr>
              <w:jc w:val="both"/>
              <w:rPr>
                <w:lang w:val="en-US"/>
              </w:rPr>
            </w:pPr>
          </w:p>
          <w:p w14:paraId="48AA93E4" w14:textId="628F4089" w:rsidR="001C73DF" w:rsidRDefault="00E92133" w:rsidP="00855634">
            <w:pPr>
              <w:jc w:val="both"/>
              <w:rPr>
                <w:lang w:val="en-US"/>
              </w:rPr>
            </w:pPr>
            <w:r>
              <w:rPr>
                <w:lang w:val="en-US"/>
              </w:rPr>
              <w:t xml:space="preserve">h) </w:t>
            </w:r>
            <w:r w:rsidR="001C73DF">
              <w:rPr>
                <w:lang w:val="en-US"/>
              </w:rPr>
              <w:t>Under-reporting of IMD-B</w:t>
            </w:r>
          </w:p>
        </w:tc>
        <w:tc>
          <w:tcPr>
            <w:tcW w:w="0" w:type="auto"/>
            <w:vAlign w:val="center"/>
          </w:tcPr>
          <w:p w14:paraId="3B7AC75C" w14:textId="77777777" w:rsidR="007066EF" w:rsidRDefault="00E92133" w:rsidP="00855634">
            <w:pPr>
              <w:jc w:val="both"/>
              <w:rPr>
                <w:lang w:val="en-US"/>
              </w:rPr>
            </w:pPr>
            <w:r>
              <w:rPr>
                <w:lang w:val="en-US"/>
              </w:rPr>
              <w:t>j)</w:t>
            </w:r>
            <w:r w:rsidR="007066EF">
              <w:rPr>
                <w:lang w:val="en-US"/>
              </w:rPr>
              <w:t>Standard imprecision around inputs</w:t>
            </w:r>
          </w:p>
          <w:p w14:paraId="36B95F66" w14:textId="77777777" w:rsidR="00F0282B" w:rsidRDefault="00F0282B" w:rsidP="00855634">
            <w:pPr>
              <w:jc w:val="both"/>
              <w:rPr>
                <w:lang w:val="en-US"/>
              </w:rPr>
            </w:pPr>
          </w:p>
          <w:p w14:paraId="2AE882C0" w14:textId="77777777" w:rsidR="00F0282B" w:rsidRDefault="00F0282B" w:rsidP="00855634">
            <w:pPr>
              <w:jc w:val="both"/>
              <w:rPr>
                <w:lang w:val="en-US"/>
              </w:rPr>
            </w:pPr>
          </w:p>
          <w:p w14:paraId="52F86FCA" w14:textId="52BC552F" w:rsidR="00F0282B" w:rsidRDefault="00E92133" w:rsidP="00855634">
            <w:pPr>
              <w:jc w:val="both"/>
              <w:rPr>
                <w:lang w:val="en-US"/>
              </w:rPr>
            </w:pPr>
            <w:r>
              <w:rPr>
                <w:lang w:val="en-US"/>
              </w:rPr>
              <w:t>k)</w:t>
            </w:r>
            <w:r w:rsidR="00F0282B">
              <w:rPr>
                <w:lang w:val="en-US"/>
              </w:rPr>
              <w:t>The evidence used for adolescents was classified as highly uncertain by the STIKO</w:t>
            </w:r>
          </w:p>
        </w:tc>
        <w:tc>
          <w:tcPr>
            <w:tcW w:w="0" w:type="auto"/>
            <w:vAlign w:val="center"/>
          </w:tcPr>
          <w:p w14:paraId="6D824EB4" w14:textId="77777777" w:rsidR="007066EF" w:rsidRDefault="00E92133" w:rsidP="00855634">
            <w:pPr>
              <w:jc w:val="both"/>
              <w:rPr>
                <w:lang w:val="en-US"/>
              </w:rPr>
            </w:pPr>
            <w:r>
              <w:rPr>
                <w:lang w:val="en-US"/>
              </w:rPr>
              <w:t>m)</w:t>
            </w:r>
            <w:r w:rsidR="007066EF">
              <w:rPr>
                <w:lang w:val="en-US"/>
              </w:rPr>
              <w:t>Calculation of vaccine effectiveness for  adolescents is very indirect</w:t>
            </w:r>
          </w:p>
          <w:p w14:paraId="453A11EF" w14:textId="77777777" w:rsidR="00F07CC7" w:rsidRDefault="00F07CC7" w:rsidP="00855634">
            <w:pPr>
              <w:jc w:val="both"/>
              <w:rPr>
                <w:lang w:val="en-US"/>
              </w:rPr>
            </w:pPr>
          </w:p>
          <w:p w14:paraId="1FE569AF" w14:textId="0ACECF58" w:rsidR="007E5771" w:rsidRDefault="00E92133" w:rsidP="00855634">
            <w:pPr>
              <w:jc w:val="both"/>
              <w:rPr>
                <w:lang w:val="en-US"/>
              </w:rPr>
            </w:pPr>
            <w:r>
              <w:rPr>
                <w:lang w:val="en-US"/>
              </w:rPr>
              <w:t>n)</w:t>
            </w:r>
            <w:r w:rsidR="00F07CC7">
              <w:rPr>
                <w:lang w:val="en-US"/>
              </w:rPr>
              <w:t xml:space="preserve">Calculation of utility during </w:t>
            </w:r>
            <w:r w:rsidR="00F903D3">
              <w:rPr>
                <w:lang w:val="en-US"/>
              </w:rPr>
              <w:t>severe disease</w:t>
            </w:r>
          </w:p>
        </w:tc>
        <w:tc>
          <w:tcPr>
            <w:tcW w:w="0" w:type="auto"/>
            <w:vAlign w:val="center"/>
          </w:tcPr>
          <w:p w14:paraId="4B68DD99" w14:textId="77777777" w:rsidR="007066EF" w:rsidRDefault="00E92133" w:rsidP="00855634">
            <w:pPr>
              <w:jc w:val="both"/>
              <w:rPr>
                <w:lang w:val="en-US"/>
              </w:rPr>
            </w:pPr>
            <w:r>
              <w:rPr>
                <w:lang w:val="en-US"/>
              </w:rPr>
              <w:t xml:space="preserve">o) </w:t>
            </w:r>
            <w:r w:rsidR="007066EF">
              <w:rPr>
                <w:lang w:val="en-US"/>
              </w:rPr>
              <w:t>VE evidence for the Netherlands</w:t>
            </w:r>
            <w:r w:rsidR="00F903D3">
              <w:rPr>
                <w:lang w:val="en-US"/>
              </w:rPr>
              <w:t xml:space="preserve"> missing</w:t>
            </w:r>
          </w:p>
          <w:p w14:paraId="48618536" w14:textId="77777777" w:rsidR="007066EF" w:rsidRDefault="007066EF" w:rsidP="00855634">
            <w:pPr>
              <w:jc w:val="both"/>
              <w:rPr>
                <w:lang w:val="en-US"/>
              </w:rPr>
            </w:pPr>
          </w:p>
          <w:p w14:paraId="05F6857C" w14:textId="77777777" w:rsidR="007066EF" w:rsidRDefault="00E92133" w:rsidP="00855634">
            <w:pPr>
              <w:jc w:val="both"/>
              <w:rPr>
                <w:lang w:val="en-US"/>
              </w:rPr>
            </w:pPr>
            <w:r>
              <w:rPr>
                <w:lang w:val="en-US"/>
              </w:rPr>
              <w:t>p)</w:t>
            </w:r>
            <w:r w:rsidR="007066EF">
              <w:rPr>
                <w:lang w:val="en-US"/>
              </w:rPr>
              <w:t>Duration of protection of vaccines</w:t>
            </w:r>
          </w:p>
          <w:p w14:paraId="05380C7C" w14:textId="77777777" w:rsidR="00F07CC7" w:rsidRDefault="00F07CC7" w:rsidP="00855634">
            <w:pPr>
              <w:jc w:val="both"/>
              <w:rPr>
                <w:lang w:val="en-US"/>
              </w:rPr>
            </w:pPr>
          </w:p>
          <w:p w14:paraId="7ABBF0FF" w14:textId="77777777" w:rsidR="00F07CC7" w:rsidRDefault="00E92133" w:rsidP="00855634">
            <w:pPr>
              <w:jc w:val="both"/>
              <w:rPr>
                <w:lang w:val="en-US"/>
              </w:rPr>
            </w:pPr>
            <w:r>
              <w:rPr>
                <w:lang w:val="en-US"/>
              </w:rPr>
              <w:t>q)</w:t>
            </w:r>
            <w:r w:rsidR="00F0282B">
              <w:rPr>
                <w:lang w:val="en-US"/>
              </w:rPr>
              <w:t>Uncertainty</w:t>
            </w:r>
            <w:r w:rsidR="004C5A00">
              <w:rPr>
                <w:lang w:val="en-US"/>
              </w:rPr>
              <w:t xml:space="preserve"> information was missing for a number of inputs</w:t>
            </w:r>
            <w:r w:rsidR="00F0282B">
              <w:rPr>
                <w:lang w:val="en-US"/>
              </w:rPr>
              <w:t xml:space="preserve"> </w:t>
            </w:r>
          </w:p>
          <w:p w14:paraId="42746FE8" w14:textId="77777777" w:rsidR="007E5771" w:rsidRDefault="007E5771" w:rsidP="00855634">
            <w:pPr>
              <w:jc w:val="both"/>
              <w:rPr>
                <w:lang w:val="en-US"/>
              </w:rPr>
            </w:pPr>
          </w:p>
          <w:p w14:paraId="3F14151F" w14:textId="53A99C53" w:rsidR="007E5771" w:rsidRDefault="00E92133" w:rsidP="00855634">
            <w:pPr>
              <w:jc w:val="both"/>
              <w:rPr>
                <w:lang w:val="en-US"/>
              </w:rPr>
            </w:pPr>
            <w:r>
              <w:rPr>
                <w:lang w:val="en-US"/>
              </w:rPr>
              <w:t>r)</w:t>
            </w:r>
            <w:r w:rsidR="00663C0D">
              <w:rPr>
                <w:lang w:val="en-US"/>
              </w:rPr>
              <w:t>Sequelae prevalence may be age-dependent</w:t>
            </w:r>
          </w:p>
        </w:tc>
      </w:tr>
      <w:tr w:rsidR="00663C0D" w:rsidRPr="00300A20" w14:paraId="0115DF5B" w14:textId="77777777" w:rsidTr="00663C0D">
        <w:trPr>
          <w:trHeight w:val="144"/>
        </w:trPr>
        <w:tc>
          <w:tcPr>
            <w:tcW w:w="0" w:type="auto"/>
            <w:vMerge/>
          </w:tcPr>
          <w:p w14:paraId="0FE4479A" w14:textId="66AC3A1F" w:rsidR="007066EF" w:rsidRDefault="007066EF" w:rsidP="00855634">
            <w:pPr>
              <w:jc w:val="both"/>
              <w:rPr>
                <w:lang w:val="en-US"/>
              </w:rPr>
            </w:pPr>
          </w:p>
        </w:tc>
        <w:tc>
          <w:tcPr>
            <w:tcW w:w="0" w:type="auto"/>
          </w:tcPr>
          <w:p w14:paraId="21831915" w14:textId="0C32E644" w:rsidR="007066EF" w:rsidRPr="00DA71CA" w:rsidRDefault="007066EF" w:rsidP="00855634">
            <w:pPr>
              <w:jc w:val="both"/>
              <w:rPr>
                <w:b/>
                <w:bCs/>
                <w:lang w:val="en-US"/>
              </w:rPr>
            </w:pPr>
            <w:r w:rsidRPr="00DA71CA">
              <w:rPr>
                <w:b/>
                <w:bCs/>
                <w:lang w:val="en-US"/>
              </w:rPr>
              <w:t>Implementation</w:t>
            </w:r>
          </w:p>
        </w:tc>
        <w:tc>
          <w:tcPr>
            <w:tcW w:w="0" w:type="auto"/>
            <w:vAlign w:val="center"/>
          </w:tcPr>
          <w:p w14:paraId="439B962B" w14:textId="4759E2DB" w:rsidR="007066EF" w:rsidRDefault="007066EF" w:rsidP="00855634">
            <w:pPr>
              <w:jc w:val="both"/>
              <w:rPr>
                <w:lang w:val="en-US"/>
              </w:rPr>
            </w:pPr>
            <w:r>
              <w:rPr>
                <w:lang w:val="en-US"/>
              </w:rPr>
              <w:t>//</w:t>
            </w:r>
          </w:p>
        </w:tc>
        <w:tc>
          <w:tcPr>
            <w:tcW w:w="0" w:type="auto"/>
            <w:vAlign w:val="center"/>
          </w:tcPr>
          <w:p w14:paraId="42DCCFF1" w14:textId="6D602957" w:rsidR="007066EF" w:rsidRDefault="00E92133" w:rsidP="00855634">
            <w:pPr>
              <w:jc w:val="both"/>
              <w:rPr>
                <w:lang w:val="en-US"/>
              </w:rPr>
            </w:pPr>
            <w:proofErr w:type="spellStart"/>
            <w:r>
              <w:rPr>
                <w:lang w:val="en-US"/>
              </w:rPr>
              <w:t>i</w:t>
            </w:r>
            <w:proofErr w:type="spellEnd"/>
            <w:r>
              <w:rPr>
                <w:lang w:val="en-US"/>
              </w:rPr>
              <w:t xml:space="preserve">) </w:t>
            </w:r>
            <w:r w:rsidR="00F07CC7">
              <w:rPr>
                <w:lang w:val="en-US"/>
              </w:rPr>
              <w:t>Implementation of utilities connected to sequelae (</w:t>
            </w:r>
            <w:r w:rsidR="001C73DF">
              <w:rPr>
                <w:lang w:val="en-US"/>
              </w:rPr>
              <w:t>The model assumes that that disutilities are additive)</w:t>
            </w:r>
          </w:p>
        </w:tc>
        <w:tc>
          <w:tcPr>
            <w:tcW w:w="0" w:type="auto"/>
            <w:shd w:val="clear" w:color="auto" w:fill="D9D9D9" w:themeFill="background1" w:themeFillShade="D9"/>
            <w:vAlign w:val="center"/>
          </w:tcPr>
          <w:p w14:paraId="2C222A51" w14:textId="77777777" w:rsidR="007066EF" w:rsidRDefault="007066EF" w:rsidP="00855634">
            <w:pPr>
              <w:jc w:val="both"/>
              <w:rPr>
                <w:lang w:val="en-US"/>
              </w:rPr>
            </w:pPr>
          </w:p>
        </w:tc>
        <w:tc>
          <w:tcPr>
            <w:tcW w:w="0" w:type="auto"/>
            <w:shd w:val="clear" w:color="auto" w:fill="D9D9D9" w:themeFill="background1" w:themeFillShade="D9"/>
            <w:vAlign w:val="center"/>
          </w:tcPr>
          <w:p w14:paraId="35BE3021" w14:textId="77777777" w:rsidR="007066EF" w:rsidRDefault="007066EF" w:rsidP="00855634">
            <w:pPr>
              <w:jc w:val="both"/>
              <w:rPr>
                <w:lang w:val="en-US"/>
              </w:rPr>
            </w:pPr>
          </w:p>
        </w:tc>
        <w:tc>
          <w:tcPr>
            <w:tcW w:w="0" w:type="auto"/>
            <w:shd w:val="clear" w:color="auto" w:fill="D9D9D9" w:themeFill="background1" w:themeFillShade="D9"/>
            <w:vAlign w:val="center"/>
          </w:tcPr>
          <w:p w14:paraId="5C493F7F" w14:textId="77777777" w:rsidR="007066EF" w:rsidRDefault="007066EF" w:rsidP="00855634">
            <w:pPr>
              <w:jc w:val="both"/>
              <w:rPr>
                <w:lang w:val="en-US"/>
              </w:rPr>
            </w:pPr>
          </w:p>
        </w:tc>
      </w:tr>
      <w:tr w:rsidR="00663C0D" w14:paraId="5B33D82C" w14:textId="77777777" w:rsidTr="00663C0D">
        <w:trPr>
          <w:trHeight w:val="144"/>
        </w:trPr>
        <w:tc>
          <w:tcPr>
            <w:tcW w:w="0" w:type="auto"/>
            <w:vMerge/>
          </w:tcPr>
          <w:p w14:paraId="3F264EF8" w14:textId="783E9525" w:rsidR="007066EF" w:rsidRDefault="007066EF" w:rsidP="00855634">
            <w:pPr>
              <w:jc w:val="both"/>
              <w:rPr>
                <w:lang w:val="en-US"/>
              </w:rPr>
            </w:pPr>
          </w:p>
        </w:tc>
        <w:tc>
          <w:tcPr>
            <w:tcW w:w="0" w:type="auto"/>
          </w:tcPr>
          <w:p w14:paraId="0EADC278" w14:textId="17B871E2" w:rsidR="007066EF" w:rsidRPr="00DA71CA" w:rsidRDefault="007066EF" w:rsidP="00855634">
            <w:pPr>
              <w:jc w:val="both"/>
              <w:rPr>
                <w:b/>
                <w:bCs/>
                <w:lang w:val="en-US"/>
              </w:rPr>
            </w:pPr>
            <w:r w:rsidRPr="00DA71CA">
              <w:rPr>
                <w:b/>
                <w:bCs/>
                <w:lang w:val="en-US"/>
              </w:rPr>
              <w:t>Outcomes</w:t>
            </w:r>
          </w:p>
        </w:tc>
        <w:tc>
          <w:tcPr>
            <w:tcW w:w="0" w:type="auto"/>
            <w:vAlign w:val="center"/>
          </w:tcPr>
          <w:p w14:paraId="3BB060AE" w14:textId="40BB54A6" w:rsidR="007066EF" w:rsidRDefault="007066EF" w:rsidP="00855634">
            <w:pPr>
              <w:jc w:val="both"/>
              <w:rPr>
                <w:lang w:val="en-US"/>
              </w:rPr>
            </w:pPr>
            <w:r>
              <w:rPr>
                <w:lang w:val="en-US"/>
              </w:rPr>
              <w:t>//</w:t>
            </w:r>
          </w:p>
        </w:tc>
        <w:tc>
          <w:tcPr>
            <w:tcW w:w="0" w:type="auto"/>
            <w:shd w:val="clear" w:color="auto" w:fill="D9D9D9" w:themeFill="background1" w:themeFillShade="D9"/>
            <w:vAlign w:val="center"/>
          </w:tcPr>
          <w:p w14:paraId="7879B751" w14:textId="77777777" w:rsidR="007066EF" w:rsidRDefault="007066EF" w:rsidP="00855634">
            <w:pPr>
              <w:jc w:val="both"/>
              <w:rPr>
                <w:lang w:val="en-US"/>
              </w:rPr>
            </w:pPr>
          </w:p>
        </w:tc>
        <w:tc>
          <w:tcPr>
            <w:tcW w:w="0" w:type="auto"/>
            <w:shd w:val="clear" w:color="auto" w:fill="D9D9D9" w:themeFill="background1" w:themeFillShade="D9"/>
            <w:vAlign w:val="center"/>
          </w:tcPr>
          <w:p w14:paraId="707AA2E5" w14:textId="77777777" w:rsidR="007066EF" w:rsidRDefault="007066EF" w:rsidP="00855634">
            <w:pPr>
              <w:jc w:val="both"/>
              <w:rPr>
                <w:lang w:val="en-US"/>
              </w:rPr>
            </w:pPr>
          </w:p>
        </w:tc>
        <w:tc>
          <w:tcPr>
            <w:tcW w:w="0" w:type="auto"/>
            <w:shd w:val="clear" w:color="auto" w:fill="D9D9D9" w:themeFill="background1" w:themeFillShade="D9"/>
            <w:vAlign w:val="center"/>
          </w:tcPr>
          <w:p w14:paraId="2BC830CA" w14:textId="77777777" w:rsidR="007066EF" w:rsidRDefault="007066EF" w:rsidP="00855634">
            <w:pPr>
              <w:jc w:val="both"/>
              <w:rPr>
                <w:lang w:val="en-US"/>
              </w:rPr>
            </w:pPr>
          </w:p>
        </w:tc>
        <w:tc>
          <w:tcPr>
            <w:tcW w:w="0" w:type="auto"/>
            <w:shd w:val="clear" w:color="auto" w:fill="D9D9D9" w:themeFill="background1" w:themeFillShade="D9"/>
            <w:vAlign w:val="center"/>
          </w:tcPr>
          <w:p w14:paraId="3A048A21" w14:textId="77777777" w:rsidR="007066EF" w:rsidRDefault="007066EF" w:rsidP="00663C0D">
            <w:pPr>
              <w:keepNext/>
              <w:jc w:val="both"/>
              <w:rPr>
                <w:lang w:val="en-US"/>
              </w:rPr>
            </w:pPr>
          </w:p>
        </w:tc>
      </w:tr>
    </w:tbl>
    <w:p w14:paraId="0243D4B5" w14:textId="08ACFD01" w:rsidR="00FC57E5" w:rsidRDefault="00663C0D" w:rsidP="00663C0D">
      <w:pPr>
        <w:pStyle w:val="Caption"/>
      </w:pPr>
      <w:r>
        <w:t xml:space="preserve">Table </w:t>
      </w:r>
      <w:r>
        <w:fldChar w:fldCharType="begin"/>
      </w:r>
      <w:r>
        <w:instrText xml:space="preserve"> SEQ Table \* ARABIC </w:instrText>
      </w:r>
      <w:r>
        <w:fldChar w:fldCharType="separate"/>
      </w:r>
      <w:r>
        <w:rPr>
          <w:noProof/>
        </w:rPr>
        <w:t>1</w:t>
      </w:r>
      <w:r>
        <w:fldChar w:fldCharType="end"/>
      </w:r>
      <w:r>
        <w:t xml:space="preserve"> Identified uncertainties</w:t>
      </w:r>
    </w:p>
    <w:tbl>
      <w:tblPr>
        <w:tblStyle w:val="TableGrid"/>
        <w:tblW w:w="0" w:type="auto"/>
        <w:tblInd w:w="-998" w:type="dxa"/>
        <w:tblLook w:val="04A0" w:firstRow="1" w:lastRow="0" w:firstColumn="1" w:lastColumn="0" w:noHBand="0" w:noVBand="1"/>
      </w:tblPr>
      <w:tblGrid>
        <w:gridCol w:w="2096"/>
        <w:gridCol w:w="1915"/>
        <w:gridCol w:w="2224"/>
        <w:gridCol w:w="2793"/>
        <w:gridCol w:w="6144"/>
      </w:tblGrid>
      <w:tr w:rsidR="00100BE9" w14:paraId="229B19A7" w14:textId="77777777" w:rsidTr="00663C0D">
        <w:tc>
          <w:tcPr>
            <w:tcW w:w="0" w:type="auto"/>
            <w:gridSpan w:val="2"/>
            <w:vMerge w:val="restart"/>
          </w:tcPr>
          <w:p w14:paraId="2FBA88B9" w14:textId="77777777" w:rsidR="00100BE9" w:rsidRDefault="00100BE9" w:rsidP="00855634">
            <w:pPr>
              <w:jc w:val="both"/>
              <w:rPr>
                <w:lang w:val="en-US"/>
              </w:rPr>
            </w:pPr>
          </w:p>
        </w:tc>
        <w:tc>
          <w:tcPr>
            <w:tcW w:w="0" w:type="auto"/>
            <w:gridSpan w:val="3"/>
          </w:tcPr>
          <w:p w14:paraId="221BE133" w14:textId="17B54B43" w:rsidR="00100BE9" w:rsidRPr="007066EF" w:rsidRDefault="00C9092A" w:rsidP="00855634">
            <w:pPr>
              <w:jc w:val="both"/>
              <w:rPr>
                <w:b/>
                <w:bCs/>
                <w:u w:val="single"/>
                <w:lang w:val="en-US"/>
              </w:rPr>
            </w:pPr>
            <w:r>
              <w:rPr>
                <w:b/>
                <w:bCs/>
                <w:sz w:val="32"/>
                <w:szCs w:val="32"/>
                <w:u w:val="single"/>
                <w:lang w:val="en-US"/>
              </w:rPr>
              <w:t>Impact on cost-effectiveness</w:t>
            </w:r>
          </w:p>
        </w:tc>
      </w:tr>
      <w:tr w:rsidR="00100BE9" w:rsidRPr="00300A20" w14:paraId="637016B8" w14:textId="77777777" w:rsidTr="00663C0D">
        <w:tc>
          <w:tcPr>
            <w:tcW w:w="0" w:type="auto"/>
            <w:gridSpan w:val="2"/>
            <w:vMerge/>
          </w:tcPr>
          <w:p w14:paraId="3333D105" w14:textId="77777777" w:rsidR="00100BE9" w:rsidRDefault="00100BE9" w:rsidP="00855634">
            <w:pPr>
              <w:jc w:val="both"/>
              <w:rPr>
                <w:lang w:val="en-US"/>
              </w:rPr>
            </w:pPr>
          </w:p>
        </w:tc>
        <w:tc>
          <w:tcPr>
            <w:tcW w:w="0" w:type="auto"/>
          </w:tcPr>
          <w:p w14:paraId="65E66CE1" w14:textId="23ACAC46" w:rsidR="00100BE9" w:rsidRPr="00DA71CA" w:rsidRDefault="00100BE9" w:rsidP="00855634">
            <w:pPr>
              <w:jc w:val="both"/>
              <w:rPr>
                <w:b/>
                <w:bCs/>
                <w:lang w:val="en-US"/>
              </w:rPr>
            </w:pPr>
            <w:r>
              <w:rPr>
                <w:b/>
                <w:bCs/>
                <w:lang w:val="en-US"/>
              </w:rPr>
              <w:t>Uncertainty not reflected in PSA</w:t>
            </w:r>
            <w:r w:rsidR="00C9092A">
              <w:rPr>
                <w:b/>
                <w:bCs/>
                <w:lang w:val="en-US"/>
              </w:rPr>
              <w:t>?</w:t>
            </w:r>
          </w:p>
        </w:tc>
        <w:tc>
          <w:tcPr>
            <w:tcW w:w="0" w:type="auto"/>
          </w:tcPr>
          <w:p w14:paraId="53EBD931" w14:textId="3794A7DF" w:rsidR="00100BE9" w:rsidRPr="00DA71CA" w:rsidRDefault="00C9092A" w:rsidP="00855634">
            <w:pPr>
              <w:jc w:val="both"/>
              <w:rPr>
                <w:b/>
                <w:bCs/>
                <w:lang w:val="en-US"/>
              </w:rPr>
            </w:pPr>
            <w:r>
              <w:rPr>
                <w:b/>
                <w:bCs/>
                <w:lang w:val="en-US"/>
              </w:rPr>
              <w:t>Uncertainty</w:t>
            </w:r>
            <w:r w:rsidR="00100BE9">
              <w:rPr>
                <w:b/>
                <w:bCs/>
                <w:lang w:val="en-US"/>
              </w:rPr>
              <w:t xml:space="preserve"> not explored in sc</w:t>
            </w:r>
            <w:r>
              <w:rPr>
                <w:b/>
                <w:bCs/>
                <w:lang w:val="en-US"/>
              </w:rPr>
              <w:t>enario analysis?</w:t>
            </w:r>
          </w:p>
        </w:tc>
        <w:tc>
          <w:tcPr>
            <w:tcW w:w="0" w:type="auto"/>
          </w:tcPr>
          <w:p w14:paraId="19F80465" w14:textId="7946941A" w:rsidR="00100BE9" w:rsidRPr="00DA71CA" w:rsidRDefault="00C9092A" w:rsidP="00855634">
            <w:pPr>
              <w:jc w:val="both"/>
              <w:rPr>
                <w:b/>
                <w:bCs/>
                <w:lang w:val="en-US"/>
              </w:rPr>
            </w:pPr>
            <w:r>
              <w:rPr>
                <w:b/>
                <w:bCs/>
                <w:lang w:val="en-US"/>
              </w:rPr>
              <w:t>High impact on cost-effectiveness?</w:t>
            </w:r>
          </w:p>
        </w:tc>
      </w:tr>
      <w:tr w:rsidR="00100BE9" w14:paraId="43114DF1" w14:textId="77777777" w:rsidTr="00663C0D">
        <w:tc>
          <w:tcPr>
            <w:tcW w:w="0" w:type="auto"/>
            <w:vMerge w:val="restart"/>
          </w:tcPr>
          <w:p w14:paraId="5E247984" w14:textId="77777777" w:rsidR="00100BE9" w:rsidRPr="007066EF" w:rsidRDefault="00100BE9" w:rsidP="00855634">
            <w:pPr>
              <w:jc w:val="both"/>
              <w:rPr>
                <w:b/>
                <w:bCs/>
                <w:u w:val="single"/>
                <w:lang w:val="en-US"/>
              </w:rPr>
            </w:pPr>
            <w:r w:rsidRPr="007066EF">
              <w:rPr>
                <w:b/>
                <w:bCs/>
                <w:sz w:val="32"/>
                <w:szCs w:val="32"/>
                <w:u w:val="single"/>
                <w:lang w:val="en-US"/>
              </w:rPr>
              <w:t xml:space="preserve">Aspects of the model </w:t>
            </w:r>
          </w:p>
        </w:tc>
        <w:tc>
          <w:tcPr>
            <w:tcW w:w="0" w:type="auto"/>
          </w:tcPr>
          <w:p w14:paraId="3856B3A4" w14:textId="77777777" w:rsidR="00100BE9" w:rsidRPr="00DA71CA" w:rsidRDefault="00100BE9" w:rsidP="00855634">
            <w:pPr>
              <w:jc w:val="both"/>
              <w:rPr>
                <w:b/>
                <w:bCs/>
                <w:lang w:val="en-US"/>
              </w:rPr>
            </w:pPr>
            <w:r w:rsidRPr="00DA71CA">
              <w:rPr>
                <w:b/>
                <w:bCs/>
                <w:lang w:val="en-US"/>
              </w:rPr>
              <w:t>Context/Scope</w:t>
            </w:r>
          </w:p>
        </w:tc>
        <w:tc>
          <w:tcPr>
            <w:tcW w:w="0" w:type="auto"/>
            <w:shd w:val="clear" w:color="auto" w:fill="FFFFFF" w:themeFill="background1"/>
            <w:vAlign w:val="center"/>
          </w:tcPr>
          <w:p w14:paraId="713669A0" w14:textId="2BE216A8" w:rsidR="00100BE9" w:rsidRDefault="00BB3F87" w:rsidP="00855634">
            <w:pPr>
              <w:jc w:val="both"/>
              <w:rPr>
                <w:lang w:val="en-US"/>
              </w:rPr>
            </w:pPr>
            <w:r>
              <w:rPr>
                <w:lang w:val="en-US"/>
              </w:rPr>
              <w:t>//</w:t>
            </w:r>
          </w:p>
        </w:tc>
        <w:tc>
          <w:tcPr>
            <w:tcW w:w="0" w:type="auto"/>
            <w:shd w:val="clear" w:color="auto" w:fill="FFFFFF" w:themeFill="background1"/>
            <w:vAlign w:val="center"/>
          </w:tcPr>
          <w:p w14:paraId="4F7F112A" w14:textId="16A3FB08" w:rsidR="00100BE9" w:rsidRPr="00BB6EBF" w:rsidRDefault="00BB3F87" w:rsidP="00855634">
            <w:pPr>
              <w:jc w:val="both"/>
            </w:pPr>
            <w:r>
              <w:t>//</w:t>
            </w:r>
          </w:p>
        </w:tc>
        <w:tc>
          <w:tcPr>
            <w:tcW w:w="0" w:type="auto"/>
            <w:shd w:val="clear" w:color="auto" w:fill="FFFFFF" w:themeFill="background1"/>
            <w:vAlign w:val="center"/>
          </w:tcPr>
          <w:p w14:paraId="58C263C7" w14:textId="77777777" w:rsidR="00100BE9" w:rsidRDefault="00BB3F87" w:rsidP="00855634">
            <w:pPr>
              <w:jc w:val="both"/>
              <w:rPr>
                <w:lang w:val="en-US"/>
              </w:rPr>
            </w:pPr>
            <w:r>
              <w:rPr>
                <w:lang w:val="en-US"/>
              </w:rPr>
              <w:t>//</w:t>
            </w:r>
          </w:p>
        </w:tc>
      </w:tr>
      <w:tr w:rsidR="00100BE9" w:rsidRPr="00300A20" w14:paraId="60A94DE5" w14:textId="77777777" w:rsidTr="00663C0D">
        <w:tc>
          <w:tcPr>
            <w:tcW w:w="0" w:type="auto"/>
            <w:vMerge/>
          </w:tcPr>
          <w:p w14:paraId="09E7EF32" w14:textId="77777777" w:rsidR="00100BE9" w:rsidRDefault="00100BE9" w:rsidP="00855634">
            <w:pPr>
              <w:jc w:val="both"/>
              <w:rPr>
                <w:lang w:val="en-US"/>
              </w:rPr>
            </w:pPr>
          </w:p>
        </w:tc>
        <w:tc>
          <w:tcPr>
            <w:tcW w:w="0" w:type="auto"/>
          </w:tcPr>
          <w:p w14:paraId="21D00012" w14:textId="77777777" w:rsidR="00100BE9" w:rsidRPr="00DA71CA" w:rsidRDefault="00100BE9" w:rsidP="00855634">
            <w:pPr>
              <w:jc w:val="both"/>
              <w:rPr>
                <w:b/>
                <w:bCs/>
                <w:lang w:val="en-US"/>
              </w:rPr>
            </w:pPr>
            <w:r w:rsidRPr="00DA71CA">
              <w:rPr>
                <w:b/>
                <w:bCs/>
                <w:lang w:val="en-US"/>
              </w:rPr>
              <w:t>Model structure</w:t>
            </w:r>
          </w:p>
        </w:tc>
        <w:tc>
          <w:tcPr>
            <w:tcW w:w="0" w:type="auto"/>
            <w:shd w:val="clear" w:color="auto" w:fill="FFFFFF" w:themeFill="background1"/>
            <w:vAlign w:val="center"/>
          </w:tcPr>
          <w:p w14:paraId="439F8124" w14:textId="64EBB8F5" w:rsidR="00100BE9" w:rsidRDefault="00BB3F87" w:rsidP="00855634">
            <w:pPr>
              <w:jc w:val="both"/>
              <w:rPr>
                <w:lang w:val="en-US"/>
              </w:rPr>
            </w:pPr>
            <w:r>
              <w:t>a)</w:t>
            </w:r>
          </w:p>
        </w:tc>
        <w:tc>
          <w:tcPr>
            <w:tcW w:w="0" w:type="auto"/>
            <w:shd w:val="clear" w:color="auto" w:fill="FFFFFF" w:themeFill="background1"/>
            <w:vAlign w:val="center"/>
          </w:tcPr>
          <w:p w14:paraId="1F32C315" w14:textId="1B8C0014" w:rsidR="00100BE9" w:rsidRDefault="00BB3F87" w:rsidP="00855634">
            <w:pPr>
              <w:jc w:val="both"/>
              <w:rPr>
                <w:lang w:val="en-US"/>
              </w:rPr>
            </w:pPr>
            <w:r>
              <w:rPr>
                <w:lang w:val="en-US"/>
              </w:rPr>
              <w:t xml:space="preserve">a) </w:t>
            </w:r>
          </w:p>
        </w:tc>
        <w:tc>
          <w:tcPr>
            <w:tcW w:w="0" w:type="auto"/>
            <w:shd w:val="clear" w:color="auto" w:fill="FFFFFF" w:themeFill="background1"/>
            <w:vAlign w:val="center"/>
          </w:tcPr>
          <w:p w14:paraId="7972BF89" w14:textId="77777777" w:rsidR="00100BE9" w:rsidRDefault="00F709EF" w:rsidP="00855634">
            <w:pPr>
              <w:jc w:val="both"/>
              <w:rPr>
                <w:lang w:val="en-US"/>
              </w:rPr>
            </w:pPr>
            <w:r>
              <w:rPr>
                <w:lang w:val="en-US"/>
              </w:rPr>
              <w:t xml:space="preserve">a) </w:t>
            </w:r>
            <w:r w:rsidR="00BB3F87">
              <w:rPr>
                <w:lang w:val="en-US"/>
              </w:rPr>
              <w:t>Yes</w:t>
            </w:r>
            <w:r>
              <w:rPr>
                <w:lang w:val="en-US"/>
              </w:rPr>
              <w:t>, an effect on transmission could have an effect on the broader population and make the vaccines more cost-effective</w:t>
            </w:r>
          </w:p>
        </w:tc>
      </w:tr>
      <w:tr w:rsidR="00100BE9" w:rsidRPr="00300A20" w14:paraId="4275F180" w14:textId="77777777" w:rsidTr="00663C0D">
        <w:tc>
          <w:tcPr>
            <w:tcW w:w="0" w:type="auto"/>
            <w:vMerge/>
          </w:tcPr>
          <w:p w14:paraId="5A1E3FC1" w14:textId="77777777" w:rsidR="00100BE9" w:rsidRDefault="00100BE9" w:rsidP="00855634">
            <w:pPr>
              <w:jc w:val="both"/>
              <w:rPr>
                <w:lang w:val="en-US"/>
              </w:rPr>
            </w:pPr>
          </w:p>
        </w:tc>
        <w:tc>
          <w:tcPr>
            <w:tcW w:w="0" w:type="auto"/>
          </w:tcPr>
          <w:p w14:paraId="5580A8BA" w14:textId="77777777" w:rsidR="00100BE9" w:rsidRPr="00DA71CA" w:rsidRDefault="00100BE9" w:rsidP="00855634">
            <w:pPr>
              <w:jc w:val="both"/>
              <w:rPr>
                <w:b/>
                <w:bCs/>
                <w:lang w:val="en-US"/>
              </w:rPr>
            </w:pPr>
            <w:r w:rsidRPr="00DA71CA">
              <w:rPr>
                <w:b/>
                <w:bCs/>
                <w:lang w:val="en-US"/>
              </w:rPr>
              <w:t>Selection of evidence</w:t>
            </w:r>
          </w:p>
        </w:tc>
        <w:tc>
          <w:tcPr>
            <w:tcW w:w="0" w:type="auto"/>
            <w:shd w:val="clear" w:color="auto" w:fill="FFFFFF" w:themeFill="background1"/>
            <w:vAlign w:val="center"/>
          </w:tcPr>
          <w:p w14:paraId="43D5CAB3" w14:textId="68707EFA" w:rsidR="00100BE9" w:rsidRDefault="00BB3F87" w:rsidP="00855634">
            <w:pPr>
              <w:jc w:val="both"/>
              <w:rPr>
                <w:lang w:val="en-US"/>
              </w:rPr>
            </w:pPr>
            <w:r>
              <w:t>b) c) d)</w:t>
            </w:r>
          </w:p>
        </w:tc>
        <w:tc>
          <w:tcPr>
            <w:tcW w:w="0" w:type="auto"/>
            <w:shd w:val="clear" w:color="auto" w:fill="FFFFFF" w:themeFill="background1"/>
            <w:vAlign w:val="center"/>
          </w:tcPr>
          <w:p w14:paraId="7BCE1AC7" w14:textId="422389F6" w:rsidR="00100BE9" w:rsidRDefault="00BB3F87" w:rsidP="00855634">
            <w:pPr>
              <w:jc w:val="both"/>
              <w:rPr>
                <w:lang w:val="en-US"/>
              </w:rPr>
            </w:pPr>
            <w:r>
              <w:rPr>
                <w:lang w:val="en-US"/>
              </w:rPr>
              <w:t xml:space="preserve">d) </w:t>
            </w:r>
          </w:p>
        </w:tc>
        <w:tc>
          <w:tcPr>
            <w:tcW w:w="0" w:type="auto"/>
            <w:shd w:val="clear" w:color="auto" w:fill="FFFFFF" w:themeFill="background1"/>
            <w:vAlign w:val="center"/>
          </w:tcPr>
          <w:p w14:paraId="2CE637C2" w14:textId="77777777" w:rsidR="00100BE9" w:rsidRDefault="00F709EF" w:rsidP="00855634">
            <w:pPr>
              <w:jc w:val="both"/>
              <w:rPr>
                <w:lang w:val="en-US"/>
              </w:rPr>
            </w:pPr>
            <w:r>
              <w:rPr>
                <w:lang w:val="en-US"/>
              </w:rPr>
              <w:t>d) No, as inputs were recently identified in other articles</w:t>
            </w:r>
          </w:p>
        </w:tc>
      </w:tr>
      <w:tr w:rsidR="00100BE9" w:rsidRPr="00300A20" w14:paraId="2863C2B4" w14:textId="77777777" w:rsidTr="00663C0D">
        <w:tc>
          <w:tcPr>
            <w:tcW w:w="0" w:type="auto"/>
            <w:vMerge/>
          </w:tcPr>
          <w:p w14:paraId="41BE9EEE" w14:textId="77777777" w:rsidR="00100BE9" w:rsidRDefault="00100BE9" w:rsidP="00855634">
            <w:pPr>
              <w:jc w:val="both"/>
              <w:rPr>
                <w:lang w:val="en-US"/>
              </w:rPr>
            </w:pPr>
          </w:p>
        </w:tc>
        <w:tc>
          <w:tcPr>
            <w:tcW w:w="0" w:type="auto"/>
          </w:tcPr>
          <w:p w14:paraId="48E3EBB9" w14:textId="77777777" w:rsidR="00100BE9" w:rsidRPr="00DA71CA" w:rsidRDefault="00100BE9" w:rsidP="00855634">
            <w:pPr>
              <w:jc w:val="both"/>
              <w:rPr>
                <w:b/>
                <w:bCs/>
                <w:lang w:val="en-US"/>
              </w:rPr>
            </w:pPr>
            <w:r w:rsidRPr="00DA71CA">
              <w:rPr>
                <w:b/>
                <w:bCs/>
                <w:lang w:val="en-US"/>
              </w:rPr>
              <w:t>Inputs</w:t>
            </w:r>
          </w:p>
        </w:tc>
        <w:tc>
          <w:tcPr>
            <w:tcW w:w="0" w:type="auto"/>
            <w:shd w:val="clear" w:color="auto" w:fill="FFFFFF" w:themeFill="background1"/>
            <w:vAlign w:val="center"/>
          </w:tcPr>
          <w:p w14:paraId="49CDEAF5" w14:textId="77777777" w:rsidR="00100BE9" w:rsidRDefault="00BB3F87" w:rsidP="00855634">
            <w:pPr>
              <w:jc w:val="both"/>
              <w:rPr>
                <w:lang w:val="en-US"/>
              </w:rPr>
            </w:pPr>
            <w:r>
              <w:rPr>
                <w:lang w:val="en-US"/>
              </w:rPr>
              <w:t>e) f) g) h) l) m) n) o) p) r)</w:t>
            </w:r>
          </w:p>
        </w:tc>
        <w:tc>
          <w:tcPr>
            <w:tcW w:w="0" w:type="auto"/>
            <w:shd w:val="clear" w:color="auto" w:fill="FFFFFF" w:themeFill="background1"/>
            <w:vAlign w:val="center"/>
          </w:tcPr>
          <w:p w14:paraId="30FEBCC7" w14:textId="06918172" w:rsidR="00100BE9" w:rsidRDefault="00BB3F87" w:rsidP="00855634">
            <w:pPr>
              <w:jc w:val="both"/>
              <w:rPr>
                <w:lang w:val="en-US"/>
              </w:rPr>
            </w:pPr>
            <w:r>
              <w:rPr>
                <w:lang w:val="en-US"/>
              </w:rPr>
              <w:t>e) h)</w:t>
            </w:r>
            <w:r w:rsidR="00F709EF">
              <w:rPr>
                <w:lang w:val="en-US"/>
              </w:rPr>
              <w:t xml:space="preserve"> n) r)</w:t>
            </w:r>
          </w:p>
        </w:tc>
        <w:tc>
          <w:tcPr>
            <w:tcW w:w="0" w:type="auto"/>
            <w:shd w:val="clear" w:color="auto" w:fill="FFFFFF" w:themeFill="background1"/>
            <w:vAlign w:val="center"/>
          </w:tcPr>
          <w:p w14:paraId="7950C334" w14:textId="47B2E655" w:rsidR="00BB3F87" w:rsidRDefault="00F709EF" w:rsidP="00BB3F87">
            <w:pPr>
              <w:jc w:val="both"/>
              <w:rPr>
                <w:lang w:val="en-US"/>
              </w:rPr>
            </w:pPr>
            <w:r>
              <w:rPr>
                <w:lang w:val="en-US"/>
              </w:rPr>
              <w:t>e) No, productivity loss and special education were not very influential</w:t>
            </w:r>
          </w:p>
          <w:p w14:paraId="498C0427" w14:textId="65BC1C95" w:rsidR="00F709EF" w:rsidRDefault="00F709EF" w:rsidP="00BB3F87">
            <w:pPr>
              <w:jc w:val="both"/>
              <w:rPr>
                <w:lang w:val="en-US"/>
              </w:rPr>
            </w:pPr>
            <w:r>
              <w:rPr>
                <w:lang w:val="en-US"/>
              </w:rPr>
              <w:t>h) No, severe cases were likely reported</w:t>
            </w:r>
          </w:p>
          <w:p w14:paraId="5A85D165" w14:textId="18A54DAE" w:rsidR="00F709EF" w:rsidRDefault="00F903D3" w:rsidP="00BB3F87">
            <w:pPr>
              <w:jc w:val="both"/>
              <w:rPr>
                <w:lang w:val="en-US"/>
              </w:rPr>
            </w:pPr>
            <w:r>
              <w:rPr>
                <w:lang w:val="en-US"/>
              </w:rPr>
              <w:t>n) No, utility during severe disease is only very short term</w:t>
            </w:r>
          </w:p>
          <w:p w14:paraId="788CA369" w14:textId="7C526CF8" w:rsidR="00100BE9" w:rsidRDefault="00F903D3" w:rsidP="00855634">
            <w:pPr>
              <w:jc w:val="both"/>
              <w:rPr>
                <w:lang w:val="en-US"/>
              </w:rPr>
            </w:pPr>
            <w:r>
              <w:rPr>
                <w:lang w:val="en-US"/>
              </w:rPr>
              <w:t>r) Yes, as sequelae were impactful</w:t>
            </w:r>
            <w:r w:rsidR="008013AE">
              <w:rPr>
                <w:lang w:val="en-US"/>
              </w:rPr>
              <w:t xml:space="preserve">, if sequelae are much more likely in infants this may influence cost-effectiveness </w:t>
            </w:r>
          </w:p>
        </w:tc>
      </w:tr>
      <w:tr w:rsidR="00100BE9" w14:paraId="6245083A" w14:textId="77777777" w:rsidTr="00663C0D">
        <w:tc>
          <w:tcPr>
            <w:tcW w:w="0" w:type="auto"/>
            <w:vMerge/>
          </w:tcPr>
          <w:p w14:paraId="163148BD" w14:textId="77777777" w:rsidR="00100BE9" w:rsidRDefault="00100BE9" w:rsidP="00855634">
            <w:pPr>
              <w:jc w:val="both"/>
              <w:rPr>
                <w:lang w:val="en-US"/>
              </w:rPr>
            </w:pPr>
          </w:p>
        </w:tc>
        <w:tc>
          <w:tcPr>
            <w:tcW w:w="0" w:type="auto"/>
          </w:tcPr>
          <w:p w14:paraId="7BC029DD" w14:textId="77777777" w:rsidR="00100BE9" w:rsidRPr="00DA71CA" w:rsidRDefault="00100BE9" w:rsidP="00855634">
            <w:pPr>
              <w:jc w:val="both"/>
              <w:rPr>
                <w:b/>
                <w:bCs/>
                <w:lang w:val="en-US"/>
              </w:rPr>
            </w:pPr>
            <w:r w:rsidRPr="00DA71CA">
              <w:rPr>
                <w:b/>
                <w:bCs/>
                <w:lang w:val="en-US"/>
              </w:rPr>
              <w:t>Implementation</w:t>
            </w:r>
          </w:p>
        </w:tc>
        <w:tc>
          <w:tcPr>
            <w:tcW w:w="0" w:type="auto"/>
            <w:shd w:val="clear" w:color="auto" w:fill="FFFFFF" w:themeFill="background1"/>
            <w:vAlign w:val="center"/>
          </w:tcPr>
          <w:p w14:paraId="1612EDC3" w14:textId="3482299F" w:rsidR="00100BE9" w:rsidRDefault="00BB3F87" w:rsidP="00855634">
            <w:pPr>
              <w:jc w:val="both"/>
              <w:rPr>
                <w:lang w:val="en-US"/>
              </w:rPr>
            </w:pPr>
            <w:proofErr w:type="spellStart"/>
            <w:r>
              <w:rPr>
                <w:lang w:val="en-US"/>
              </w:rPr>
              <w:t>i</w:t>
            </w:r>
            <w:proofErr w:type="spellEnd"/>
            <w:r>
              <w:rPr>
                <w:lang w:val="en-US"/>
              </w:rPr>
              <w:t>)</w:t>
            </w:r>
          </w:p>
        </w:tc>
        <w:tc>
          <w:tcPr>
            <w:tcW w:w="0" w:type="auto"/>
            <w:shd w:val="clear" w:color="auto" w:fill="FFFFFF" w:themeFill="background1"/>
            <w:vAlign w:val="center"/>
          </w:tcPr>
          <w:p w14:paraId="6F3809A9" w14:textId="171FA824" w:rsidR="00100BE9" w:rsidRDefault="00100BE9" w:rsidP="00855634">
            <w:pPr>
              <w:jc w:val="both"/>
              <w:rPr>
                <w:lang w:val="en-US"/>
              </w:rPr>
            </w:pPr>
          </w:p>
        </w:tc>
        <w:tc>
          <w:tcPr>
            <w:tcW w:w="0" w:type="auto"/>
            <w:shd w:val="clear" w:color="auto" w:fill="FFFFFF" w:themeFill="background1"/>
            <w:vAlign w:val="center"/>
          </w:tcPr>
          <w:p w14:paraId="53D77E99" w14:textId="77777777" w:rsidR="00100BE9" w:rsidRDefault="00100BE9" w:rsidP="00855634">
            <w:pPr>
              <w:jc w:val="both"/>
              <w:rPr>
                <w:lang w:val="en-US"/>
              </w:rPr>
            </w:pPr>
          </w:p>
        </w:tc>
      </w:tr>
      <w:tr w:rsidR="00100BE9" w14:paraId="547BB35F" w14:textId="77777777" w:rsidTr="00663C0D">
        <w:tc>
          <w:tcPr>
            <w:tcW w:w="0" w:type="auto"/>
            <w:vMerge/>
          </w:tcPr>
          <w:p w14:paraId="0D598592" w14:textId="77777777" w:rsidR="00100BE9" w:rsidRDefault="00100BE9" w:rsidP="00855634">
            <w:pPr>
              <w:jc w:val="both"/>
              <w:rPr>
                <w:lang w:val="en-US"/>
              </w:rPr>
            </w:pPr>
          </w:p>
        </w:tc>
        <w:tc>
          <w:tcPr>
            <w:tcW w:w="0" w:type="auto"/>
          </w:tcPr>
          <w:p w14:paraId="3E65E61D" w14:textId="77777777" w:rsidR="00100BE9" w:rsidRPr="00DA71CA" w:rsidRDefault="00100BE9" w:rsidP="00855634">
            <w:pPr>
              <w:jc w:val="both"/>
              <w:rPr>
                <w:b/>
                <w:bCs/>
                <w:lang w:val="en-US"/>
              </w:rPr>
            </w:pPr>
            <w:r w:rsidRPr="00DA71CA">
              <w:rPr>
                <w:b/>
                <w:bCs/>
                <w:lang w:val="en-US"/>
              </w:rPr>
              <w:t>Outcomes</w:t>
            </w:r>
          </w:p>
        </w:tc>
        <w:tc>
          <w:tcPr>
            <w:tcW w:w="0" w:type="auto"/>
            <w:shd w:val="clear" w:color="auto" w:fill="FFFFFF" w:themeFill="background1"/>
            <w:vAlign w:val="center"/>
          </w:tcPr>
          <w:p w14:paraId="6639C997" w14:textId="0083899D" w:rsidR="00100BE9" w:rsidRDefault="00F709EF" w:rsidP="00855634">
            <w:pPr>
              <w:jc w:val="both"/>
              <w:rPr>
                <w:lang w:val="en-US"/>
              </w:rPr>
            </w:pPr>
            <w:r>
              <w:rPr>
                <w:lang w:val="en-US"/>
              </w:rPr>
              <w:t>//</w:t>
            </w:r>
          </w:p>
        </w:tc>
        <w:tc>
          <w:tcPr>
            <w:tcW w:w="0" w:type="auto"/>
            <w:shd w:val="clear" w:color="auto" w:fill="FFFFFF" w:themeFill="background1"/>
            <w:vAlign w:val="center"/>
          </w:tcPr>
          <w:p w14:paraId="51F784A4" w14:textId="77777777" w:rsidR="00100BE9" w:rsidRDefault="00F709EF" w:rsidP="00855634">
            <w:pPr>
              <w:jc w:val="both"/>
              <w:rPr>
                <w:lang w:val="en-US"/>
              </w:rPr>
            </w:pPr>
            <w:r>
              <w:rPr>
                <w:lang w:val="en-US"/>
              </w:rPr>
              <w:t>//</w:t>
            </w:r>
          </w:p>
        </w:tc>
        <w:tc>
          <w:tcPr>
            <w:tcW w:w="0" w:type="auto"/>
            <w:shd w:val="clear" w:color="auto" w:fill="FFFFFF" w:themeFill="background1"/>
            <w:vAlign w:val="center"/>
          </w:tcPr>
          <w:p w14:paraId="1FA858CD" w14:textId="77777777" w:rsidR="00100BE9" w:rsidRDefault="00F903D3" w:rsidP="00663C0D">
            <w:pPr>
              <w:keepNext/>
              <w:jc w:val="both"/>
              <w:rPr>
                <w:lang w:val="en-US"/>
              </w:rPr>
            </w:pPr>
            <w:r>
              <w:rPr>
                <w:lang w:val="en-US"/>
              </w:rPr>
              <w:t>//</w:t>
            </w:r>
          </w:p>
        </w:tc>
      </w:tr>
    </w:tbl>
    <w:p w14:paraId="03DFDCCC" w14:textId="2A53E6A1" w:rsidR="00663C0D" w:rsidRDefault="00663C0D" w:rsidP="00663C0D">
      <w:pPr>
        <w:pStyle w:val="Caption"/>
      </w:pPr>
      <w:r>
        <w:t xml:space="preserve">Table </w:t>
      </w:r>
      <w:r w:rsidR="00E4130C">
        <w:t xml:space="preserve">2 </w:t>
      </w:r>
      <w:r>
        <w:t xml:space="preserve"> Uncertainties not included in current analyses</w:t>
      </w:r>
    </w:p>
    <w:p w14:paraId="3F56DB9E" w14:textId="77777777" w:rsidR="00663C0D" w:rsidRDefault="00663C0D">
      <w:pPr>
        <w:rPr>
          <w:i/>
          <w:iCs/>
          <w:color w:val="44546A" w:themeColor="text2"/>
          <w:sz w:val="18"/>
          <w:szCs w:val="18"/>
          <w:lang w:val="en-US"/>
        </w:rPr>
      </w:pPr>
      <w:r w:rsidRPr="00663C0D">
        <w:rPr>
          <w:lang w:val="en-US"/>
        </w:rPr>
        <w:br w:type="page"/>
      </w:r>
    </w:p>
    <w:p w14:paraId="296C82EC" w14:textId="2AF195AB" w:rsidR="00663C0D" w:rsidRDefault="00663C0D" w:rsidP="00663C0D">
      <w:pPr>
        <w:pStyle w:val="Heading2"/>
      </w:pPr>
      <w:bookmarkStart w:id="2" w:name="_Toc215143392"/>
      <w:proofErr w:type="spellStart"/>
      <w:r>
        <w:t>Explanation</w:t>
      </w:r>
      <w:proofErr w:type="spellEnd"/>
      <w:r>
        <w:t xml:space="preserve"> of scenario analyses</w:t>
      </w:r>
      <w:bookmarkEnd w:id="2"/>
    </w:p>
    <w:tbl>
      <w:tblPr>
        <w:tblW w:w="139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7"/>
        <w:gridCol w:w="872"/>
        <w:gridCol w:w="1984"/>
        <w:gridCol w:w="2694"/>
        <w:gridCol w:w="6705"/>
      </w:tblGrid>
      <w:tr w:rsidR="001C1933" w:rsidRPr="001C1933" w14:paraId="4A299F2C" w14:textId="77777777" w:rsidTr="001C1933">
        <w:trPr>
          <w:trHeight w:val="300"/>
        </w:trPr>
        <w:tc>
          <w:tcPr>
            <w:tcW w:w="1657" w:type="dxa"/>
            <w:tcBorders>
              <w:top w:val="single" w:sz="18" w:space="0" w:color="auto"/>
              <w:left w:val="single" w:sz="18" w:space="0" w:color="auto"/>
              <w:bottom w:val="single" w:sz="6" w:space="0" w:color="auto"/>
              <w:right w:val="single" w:sz="18" w:space="0" w:color="auto"/>
            </w:tcBorders>
            <w:hideMark/>
          </w:tcPr>
          <w:p w14:paraId="0FD75226"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b/>
                <w:bCs/>
                <w:kern w:val="0"/>
                <w:lang w:val="en-US" w:eastAsia="nl-NL"/>
                <w14:ligatures w14:val="none"/>
              </w:rPr>
              <w:t>Type</w:t>
            </w:r>
            <w:r w:rsidRPr="001C1933">
              <w:rPr>
                <w:rFonts w:ascii="Calibri" w:eastAsia="Times New Roman" w:hAnsi="Calibri" w:cs="Calibri"/>
                <w:kern w:val="0"/>
                <w:lang w:eastAsia="nl-NL"/>
                <w14:ligatures w14:val="none"/>
              </w:rPr>
              <w:t> </w:t>
            </w:r>
          </w:p>
        </w:tc>
        <w:tc>
          <w:tcPr>
            <w:tcW w:w="872" w:type="dxa"/>
            <w:tcBorders>
              <w:top w:val="single" w:sz="18" w:space="0" w:color="auto"/>
              <w:left w:val="single" w:sz="18" w:space="0" w:color="auto"/>
              <w:bottom w:val="single" w:sz="6" w:space="0" w:color="auto"/>
              <w:right w:val="single" w:sz="6" w:space="0" w:color="auto"/>
            </w:tcBorders>
            <w:hideMark/>
          </w:tcPr>
          <w:p w14:paraId="527729BC"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b/>
                <w:bCs/>
                <w:kern w:val="0"/>
                <w:lang w:val="en-US" w:eastAsia="nl-NL"/>
                <w14:ligatures w14:val="none"/>
              </w:rPr>
              <w:t>Number</w:t>
            </w:r>
            <w:r w:rsidRPr="001C1933">
              <w:rPr>
                <w:rFonts w:ascii="Calibri" w:eastAsia="Times New Roman" w:hAnsi="Calibri" w:cs="Calibri"/>
                <w:kern w:val="0"/>
                <w:lang w:eastAsia="nl-NL"/>
                <w14:ligatures w14:val="none"/>
              </w:rPr>
              <w:t> </w:t>
            </w:r>
          </w:p>
        </w:tc>
        <w:tc>
          <w:tcPr>
            <w:tcW w:w="1984" w:type="dxa"/>
            <w:tcBorders>
              <w:top w:val="single" w:sz="18" w:space="0" w:color="auto"/>
              <w:left w:val="single" w:sz="6" w:space="0" w:color="auto"/>
              <w:bottom w:val="single" w:sz="6" w:space="0" w:color="auto"/>
              <w:right w:val="single" w:sz="6" w:space="0" w:color="auto"/>
            </w:tcBorders>
            <w:hideMark/>
          </w:tcPr>
          <w:p w14:paraId="4088F866"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b/>
                <w:bCs/>
                <w:kern w:val="0"/>
                <w:lang w:val="en-US" w:eastAsia="nl-NL"/>
                <w14:ligatures w14:val="none"/>
              </w:rPr>
              <w:t>Name</w:t>
            </w:r>
            <w:r w:rsidRPr="001C1933">
              <w:rPr>
                <w:rFonts w:ascii="Calibri" w:eastAsia="Times New Roman" w:hAnsi="Calibri" w:cs="Calibri"/>
                <w:kern w:val="0"/>
                <w:lang w:eastAsia="nl-NL"/>
                <w14:ligatures w14:val="none"/>
              </w:rPr>
              <w:t> </w:t>
            </w:r>
          </w:p>
        </w:tc>
        <w:tc>
          <w:tcPr>
            <w:tcW w:w="2694" w:type="dxa"/>
            <w:tcBorders>
              <w:top w:val="single" w:sz="18" w:space="0" w:color="auto"/>
              <w:left w:val="single" w:sz="6" w:space="0" w:color="auto"/>
              <w:bottom w:val="single" w:sz="6" w:space="0" w:color="auto"/>
              <w:right w:val="single" w:sz="6" w:space="0" w:color="auto"/>
            </w:tcBorders>
            <w:hideMark/>
          </w:tcPr>
          <w:p w14:paraId="61AE387F"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b/>
                <w:bCs/>
                <w:kern w:val="0"/>
                <w:lang w:val="en-US" w:eastAsia="nl-NL"/>
                <w14:ligatures w14:val="none"/>
              </w:rPr>
              <w:t>Implementation </w:t>
            </w:r>
            <w:r w:rsidRPr="001C1933">
              <w:rPr>
                <w:rFonts w:ascii="Calibri" w:eastAsia="Times New Roman" w:hAnsi="Calibri" w:cs="Calibri"/>
                <w:kern w:val="0"/>
                <w:lang w:eastAsia="nl-NL"/>
                <w14:ligatures w14:val="none"/>
              </w:rPr>
              <w:t> </w:t>
            </w:r>
          </w:p>
        </w:tc>
        <w:tc>
          <w:tcPr>
            <w:tcW w:w="6705" w:type="dxa"/>
            <w:tcBorders>
              <w:top w:val="single" w:sz="18" w:space="0" w:color="auto"/>
              <w:left w:val="single" w:sz="6" w:space="0" w:color="auto"/>
              <w:bottom w:val="single" w:sz="6" w:space="0" w:color="auto"/>
              <w:right w:val="single" w:sz="18" w:space="0" w:color="auto"/>
            </w:tcBorders>
            <w:hideMark/>
          </w:tcPr>
          <w:p w14:paraId="73BA3900"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b/>
                <w:bCs/>
                <w:kern w:val="0"/>
                <w:lang w:val="en-US" w:eastAsia="nl-NL"/>
                <w14:ligatures w14:val="none"/>
              </w:rPr>
              <w:t>Rationale</w:t>
            </w:r>
            <w:r w:rsidRPr="001C1933">
              <w:rPr>
                <w:rFonts w:ascii="Calibri" w:eastAsia="Times New Roman" w:hAnsi="Calibri" w:cs="Calibri"/>
                <w:kern w:val="0"/>
                <w:lang w:eastAsia="nl-NL"/>
                <w14:ligatures w14:val="none"/>
              </w:rPr>
              <w:t> </w:t>
            </w:r>
          </w:p>
        </w:tc>
      </w:tr>
      <w:tr w:rsidR="001C1933" w:rsidRPr="00300A20" w14:paraId="3DFBF9DC" w14:textId="77777777" w:rsidTr="001C1933">
        <w:trPr>
          <w:trHeight w:val="300"/>
        </w:trPr>
        <w:tc>
          <w:tcPr>
            <w:tcW w:w="1657" w:type="dxa"/>
            <w:vMerge w:val="restart"/>
            <w:tcBorders>
              <w:top w:val="single" w:sz="6" w:space="0" w:color="auto"/>
              <w:left w:val="single" w:sz="18" w:space="0" w:color="auto"/>
              <w:bottom w:val="single" w:sz="6" w:space="0" w:color="auto"/>
              <w:right w:val="single" w:sz="18" w:space="0" w:color="auto"/>
            </w:tcBorders>
            <w:hideMark/>
          </w:tcPr>
          <w:p w14:paraId="39CC43A9"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b/>
                <w:bCs/>
                <w:kern w:val="0"/>
                <w:lang w:val="en-US" w:eastAsia="nl-NL"/>
                <w14:ligatures w14:val="none"/>
              </w:rPr>
              <w:t>Uncertainty in the evidence</w:t>
            </w:r>
            <w:r w:rsidRPr="001C1933">
              <w:rPr>
                <w:rFonts w:ascii="Calibri" w:eastAsia="Times New Roman" w:hAnsi="Calibri" w:cs="Calibri"/>
                <w:kern w:val="0"/>
                <w:lang w:eastAsia="nl-NL"/>
                <w14:ligatures w14:val="none"/>
              </w:rPr>
              <w:t> </w:t>
            </w:r>
          </w:p>
        </w:tc>
        <w:tc>
          <w:tcPr>
            <w:tcW w:w="872" w:type="dxa"/>
            <w:tcBorders>
              <w:top w:val="single" w:sz="6" w:space="0" w:color="auto"/>
              <w:left w:val="single" w:sz="18" w:space="0" w:color="auto"/>
              <w:bottom w:val="single" w:sz="6" w:space="0" w:color="auto"/>
              <w:right w:val="single" w:sz="6" w:space="0" w:color="auto"/>
            </w:tcBorders>
            <w:hideMark/>
          </w:tcPr>
          <w:p w14:paraId="6C4C7AB7"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kern w:val="0"/>
                <w:lang w:val="en-US" w:eastAsia="nl-NL"/>
                <w14:ligatures w14:val="none"/>
              </w:rPr>
              <w:t>a.</w:t>
            </w:r>
            <w:r w:rsidRPr="001C1933">
              <w:rPr>
                <w:rFonts w:ascii="Calibri" w:eastAsia="Times New Roman" w:hAnsi="Calibri" w:cs="Calibri"/>
                <w:kern w:val="0"/>
                <w:lang w:eastAsia="nl-NL"/>
                <w14:ligatures w14:val="none"/>
              </w:rPr>
              <w:t> </w:t>
            </w:r>
          </w:p>
        </w:tc>
        <w:tc>
          <w:tcPr>
            <w:tcW w:w="1984" w:type="dxa"/>
            <w:tcBorders>
              <w:top w:val="single" w:sz="6" w:space="0" w:color="auto"/>
              <w:left w:val="single" w:sz="6" w:space="0" w:color="auto"/>
              <w:bottom w:val="single" w:sz="6" w:space="0" w:color="auto"/>
              <w:right w:val="single" w:sz="6" w:space="0" w:color="auto"/>
            </w:tcBorders>
            <w:hideMark/>
          </w:tcPr>
          <w:p w14:paraId="4D0CB3E5" w14:textId="6DA78FEB" w:rsidR="001C1933" w:rsidRPr="001C1933" w:rsidRDefault="005A3E0A" w:rsidP="001C1933">
            <w:pPr>
              <w:spacing w:after="0" w:line="240" w:lineRule="auto"/>
              <w:textAlignment w:val="baseline"/>
              <w:rPr>
                <w:rFonts w:ascii="Segoe UI" w:eastAsia="Times New Roman" w:hAnsi="Segoe UI" w:cs="Segoe UI"/>
                <w:kern w:val="0"/>
                <w:sz w:val="18"/>
                <w:szCs w:val="18"/>
                <w:lang w:eastAsia="nl-NL"/>
                <w14:ligatures w14:val="none"/>
              </w:rPr>
            </w:pPr>
            <w:r>
              <w:rPr>
                <w:rFonts w:ascii="Calibri" w:eastAsia="Times New Roman" w:hAnsi="Calibri" w:cs="Calibri"/>
                <w:kern w:val="0"/>
                <w:lang w:val="en-US" w:eastAsia="nl-NL"/>
                <w14:ligatures w14:val="none"/>
              </w:rPr>
              <w:t xml:space="preserve">Sequelae prevalence - </w:t>
            </w:r>
            <w:proofErr w:type="spellStart"/>
            <w:r>
              <w:rPr>
                <w:rFonts w:ascii="Calibri" w:eastAsia="Times New Roman" w:hAnsi="Calibri" w:cs="Calibri"/>
                <w:kern w:val="0"/>
                <w:lang w:val="en-US" w:eastAsia="nl-NL"/>
                <w14:ligatures w14:val="none"/>
              </w:rPr>
              <w:t>Middeldorp</w:t>
            </w:r>
            <w:proofErr w:type="spellEnd"/>
          </w:p>
        </w:tc>
        <w:tc>
          <w:tcPr>
            <w:tcW w:w="2694" w:type="dxa"/>
            <w:tcBorders>
              <w:top w:val="single" w:sz="6" w:space="0" w:color="auto"/>
              <w:left w:val="single" w:sz="6" w:space="0" w:color="auto"/>
              <w:bottom w:val="single" w:sz="6" w:space="0" w:color="auto"/>
              <w:right w:val="single" w:sz="6" w:space="0" w:color="auto"/>
            </w:tcBorders>
            <w:hideMark/>
          </w:tcPr>
          <w:p w14:paraId="7B5E23F1"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val="en-US" w:eastAsia="nl-NL"/>
                <w14:ligatures w14:val="none"/>
              </w:rPr>
            </w:pPr>
            <w:r w:rsidRPr="001C1933">
              <w:rPr>
                <w:rFonts w:ascii="Calibri" w:eastAsia="Times New Roman" w:hAnsi="Calibri" w:cs="Calibri"/>
                <w:kern w:val="0"/>
                <w:lang w:val="en-US" w:eastAsia="nl-NL"/>
                <w14:ligatures w14:val="none"/>
              </w:rPr>
              <w:t xml:space="preserve">Adapting the overall sequelae prevalence to that reported for the Netherlands by </w:t>
            </w:r>
            <w:proofErr w:type="spellStart"/>
            <w:r w:rsidRPr="001C1933">
              <w:rPr>
                <w:rFonts w:ascii="Calibri" w:eastAsia="Times New Roman" w:hAnsi="Calibri" w:cs="Calibri"/>
                <w:kern w:val="0"/>
                <w:lang w:val="en-US" w:eastAsia="nl-NL"/>
                <w14:ligatures w14:val="none"/>
              </w:rPr>
              <w:t>Middeldorp</w:t>
            </w:r>
            <w:proofErr w:type="spellEnd"/>
            <w:r w:rsidRPr="001C1933">
              <w:rPr>
                <w:rFonts w:ascii="Calibri" w:eastAsia="Times New Roman" w:hAnsi="Calibri" w:cs="Calibri"/>
                <w:kern w:val="0"/>
                <w:lang w:val="en-US" w:eastAsia="nl-NL"/>
                <w14:ligatures w14:val="none"/>
              </w:rPr>
              <w:t xml:space="preserve"> </w:t>
            </w:r>
            <w:r w:rsidRPr="001C1933">
              <w:rPr>
                <w:rFonts w:ascii="Calibri" w:eastAsia="Times New Roman" w:hAnsi="Calibri" w:cs="Calibri"/>
                <w:color w:val="000000"/>
                <w:kern w:val="0"/>
                <w:shd w:val="clear" w:color="auto" w:fill="E1E3E6"/>
                <w:lang w:val="en-US" w:eastAsia="nl-NL"/>
                <w14:ligatures w14:val="none"/>
              </w:rPr>
              <w:t>[33]</w:t>
            </w:r>
            <w:r w:rsidRPr="001C1933">
              <w:rPr>
                <w:rFonts w:ascii="Calibri" w:eastAsia="Times New Roman" w:hAnsi="Calibri" w:cs="Calibri"/>
                <w:kern w:val="0"/>
                <w:lang w:val="en-US" w:eastAsia="nl-NL"/>
                <w14:ligatures w14:val="none"/>
              </w:rPr>
              <w:t> </w:t>
            </w:r>
          </w:p>
        </w:tc>
        <w:tc>
          <w:tcPr>
            <w:tcW w:w="6705" w:type="dxa"/>
            <w:tcBorders>
              <w:top w:val="single" w:sz="6" w:space="0" w:color="auto"/>
              <w:left w:val="single" w:sz="6" w:space="0" w:color="auto"/>
              <w:bottom w:val="single" w:sz="6" w:space="0" w:color="auto"/>
              <w:right w:val="single" w:sz="18" w:space="0" w:color="auto"/>
            </w:tcBorders>
            <w:hideMark/>
          </w:tcPr>
          <w:p w14:paraId="6595C6E4"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val="en-US" w:eastAsia="nl-NL"/>
                <w14:ligatures w14:val="none"/>
              </w:rPr>
            </w:pPr>
            <w:r w:rsidRPr="001C1933">
              <w:rPr>
                <w:rFonts w:ascii="Calibri" w:eastAsia="Times New Roman" w:hAnsi="Calibri" w:cs="Calibri"/>
                <w:kern w:val="0"/>
                <w:lang w:val="en-US" w:eastAsia="nl-NL"/>
                <w14:ligatures w14:val="none"/>
              </w:rPr>
              <w:t>In the base-case analyses sequelae probability following IMD-B is informed through data from data from the UK</w:t>
            </w:r>
            <w:r w:rsidRPr="001C1933">
              <w:rPr>
                <w:rFonts w:ascii="Calibri" w:eastAsia="Times New Roman" w:hAnsi="Calibri" w:cs="Calibri"/>
                <w:color w:val="000000"/>
                <w:kern w:val="0"/>
                <w:shd w:val="clear" w:color="auto" w:fill="E1E3E6"/>
                <w:lang w:val="en-US" w:eastAsia="nl-NL"/>
                <w14:ligatures w14:val="none"/>
              </w:rPr>
              <w:t>[24]</w:t>
            </w:r>
            <w:r w:rsidRPr="001C1933">
              <w:rPr>
                <w:rFonts w:ascii="Calibri" w:eastAsia="Times New Roman" w:hAnsi="Calibri" w:cs="Calibri"/>
                <w:kern w:val="0"/>
                <w:lang w:val="en-US" w:eastAsia="nl-NL"/>
                <w14:ligatures w14:val="none"/>
              </w:rPr>
              <w:t xml:space="preserve">. </w:t>
            </w:r>
            <w:proofErr w:type="spellStart"/>
            <w:r w:rsidRPr="001C1933">
              <w:rPr>
                <w:rFonts w:ascii="Calibri" w:eastAsia="Times New Roman" w:hAnsi="Calibri" w:cs="Calibri"/>
                <w:kern w:val="0"/>
                <w:lang w:val="en-US" w:eastAsia="nl-NL"/>
                <w14:ligatures w14:val="none"/>
              </w:rPr>
              <w:t>Middeldorp</w:t>
            </w:r>
            <w:proofErr w:type="spellEnd"/>
            <w:r w:rsidRPr="001C1933">
              <w:rPr>
                <w:rFonts w:ascii="Calibri" w:eastAsia="Times New Roman" w:hAnsi="Calibri" w:cs="Calibri"/>
                <w:kern w:val="0"/>
                <w:lang w:val="en-US" w:eastAsia="nl-NL"/>
                <w14:ligatures w14:val="none"/>
              </w:rPr>
              <w:t xml:space="preserve"> </w:t>
            </w:r>
            <w:r w:rsidRPr="001C1933">
              <w:rPr>
                <w:rFonts w:ascii="Calibri" w:eastAsia="Times New Roman" w:hAnsi="Calibri" w:cs="Calibri"/>
                <w:color w:val="000000"/>
                <w:kern w:val="0"/>
                <w:shd w:val="clear" w:color="auto" w:fill="E1E3E6"/>
                <w:lang w:val="en-US" w:eastAsia="nl-NL"/>
                <w14:ligatures w14:val="none"/>
              </w:rPr>
              <w:t>[33]</w:t>
            </w:r>
            <w:r w:rsidRPr="001C1933">
              <w:rPr>
                <w:rFonts w:ascii="Calibri" w:eastAsia="Times New Roman" w:hAnsi="Calibri" w:cs="Calibri"/>
                <w:kern w:val="0"/>
                <w:lang w:val="en-US" w:eastAsia="nl-NL"/>
                <w14:ligatures w14:val="none"/>
              </w:rPr>
              <w:t xml:space="preserve">reports on Dutch data according to which sequelae prevalence decreases within one year. </w:t>
            </w:r>
            <w:proofErr w:type="spellStart"/>
            <w:r w:rsidRPr="001C1933">
              <w:rPr>
                <w:rFonts w:ascii="Calibri" w:eastAsia="Times New Roman" w:hAnsi="Calibri" w:cs="Calibri"/>
                <w:kern w:val="0"/>
                <w:lang w:val="en-US" w:eastAsia="nl-NL"/>
                <w14:ligatures w14:val="none"/>
              </w:rPr>
              <w:t>Middeldorp</w:t>
            </w:r>
            <w:proofErr w:type="spellEnd"/>
            <w:r w:rsidRPr="001C1933">
              <w:rPr>
                <w:rFonts w:ascii="Calibri" w:eastAsia="Times New Roman" w:hAnsi="Calibri" w:cs="Calibri"/>
                <w:kern w:val="0"/>
                <w:lang w:val="en-US" w:eastAsia="nl-NL"/>
                <w14:ligatures w14:val="none"/>
              </w:rPr>
              <w:t xml:space="preserve"> classifies sequelae into severe and mild . We classified the sequelae from the UK study similarly and weighted those according to the probability of severe and mild sequelae. This analysis adapts the share of patients with sequelae to the data reported by </w:t>
            </w:r>
            <w:proofErr w:type="spellStart"/>
            <w:r w:rsidRPr="001C1933">
              <w:rPr>
                <w:rFonts w:ascii="Calibri" w:eastAsia="Times New Roman" w:hAnsi="Calibri" w:cs="Calibri"/>
                <w:kern w:val="0"/>
                <w:lang w:val="en-US" w:eastAsia="nl-NL"/>
                <w14:ligatures w14:val="none"/>
              </w:rPr>
              <w:t>Middeldorp</w:t>
            </w:r>
            <w:proofErr w:type="spellEnd"/>
            <w:r w:rsidRPr="001C1933">
              <w:rPr>
                <w:rFonts w:ascii="Calibri" w:eastAsia="Times New Roman" w:hAnsi="Calibri" w:cs="Calibri"/>
                <w:kern w:val="0"/>
                <w:lang w:val="en-US" w:eastAsia="nl-NL"/>
                <w14:ligatures w14:val="none"/>
              </w:rPr>
              <w:t>. </w:t>
            </w:r>
          </w:p>
        </w:tc>
      </w:tr>
      <w:tr w:rsidR="001C1933" w:rsidRPr="00300A20" w14:paraId="6D37B9C5" w14:textId="77777777" w:rsidTr="001C1933">
        <w:trPr>
          <w:trHeight w:val="300"/>
        </w:trPr>
        <w:tc>
          <w:tcPr>
            <w:tcW w:w="0" w:type="auto"/>
            <w:vMerge/>
            <w:tcBorders>
              <w:top w:val="single" w:sz="6" w:space="0" w:color="auto"/>
              <w:left w:val="single" w:sz="18" w:space="0" w:color="auto"/>
              <w:bottom w:val="single" w:sz="6" w:space="0" w:color="auto"/>
              <w:right w:val="single" w:sz="18" w:space="0" w:color="auto"/>
            </w:tcBorders>
            <w:vAlign w:val="center"/>
            <w:hideMark/>
          </w:tcPr>
          <w:p w14:paraId="06AD4F62" w14:textId="77777777" w:rsidR="001C1933" w:rsidRPr="001C1933" w:rsidRDefault="001C1933" w:rsidP="001C1933">
            <w:pPr>
              <w:spacing w:after="0" w:line="240" w:lineRule="auto"/>
              <w:rPr>
                <w:rFonts w:ascii="Segoe UI" w:eastAsia="Times New Roman" w:hAnsi="Segoe UI" w:cs="Segoe UI"/>
                <w:kern w:val="0"/>
                <w:sz w:val="18"/>
                <w:szCs w:val="18"/>
                <w:lang w:val="en-US" w:eastAsia="nl-NL"/>
                <w14:ligatures w14:val="none"/>
              </w:rPr>
            </w:pPr>
          </w:p>
        </w:tc>
        <w:tc>
          <w:tcPr>
            <w:tcW w:w="872" w:type="dxa"/>
            <w:tcBorders>
              <w:top w:val="single" w:sz="6" w:space="0" w:color="auto"/>
              <w:left w:val="single" w:sz="18" w:space="0" w:color="auto"/>
              <w:bottom w:val="single" w:sz="6" w:space="0" w:color="auto"/>
              <w:right w:val="single" w:sz="6" w:space="0" w:color="auto"/>
            </w:tcBorders>
            <w:hideMark/>
          </w:tcPr>
          <w:p w14:paraId="41CB09A4"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kern w:val="0"/>
                <w:lang w:val="en-US" w:eastAsia="nl-NL"/>
                <w14:ligatures w14:val="none"/>
              </w:rPr>
              <w:t>b.</w:t>
            </w:r>
            <w:r w:rsidRPr="001C1933">
              <w:rPr>
                <w:rFonts w:ascii="Calibri" w:eastAsia="Times New Roman" w:hAnsi="Calibri" w:cs="Calibri"/>
                <w:kern w:val="0"/>
                <w:lang w:eastAsia="nl-NL"/>
                <w14:ligatures w14:val="none"/>
              </w:rPr>
              <w:t> </w:t>
            </w:r>
          </w:p>
        </w:tc>
        <w:tc>
          <w:tcPr>
            <w:tcW w:w="1984" w:type="dxa"/>
            <w:tcBorders>
              <w:top w:val="single" w:sz="6" w:space="0" w:color="auto"/>
              <w:left w:val="single" w:sz="6" w:space="0" w:color="auto"/>
              <w:bottom w:val="single" w:sz="6" w:space="0" w:color="auto"/>
              <w:right w:val="single" w:sz="6" w:space="0" w:color="auto"/>
            </w:tcBorders>
            <w:hideMark/>
          </w:tcPr>
          <w:p w14:paraId="253DA468"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val="en-US" w:eastAsia="nl-NL"/>
                <w14:ligatures w14:val="none"/>
              </w:rPr>
            </w:pPr>
            <w:r w:rsidRPr="001C1933">
              <w:rPr>
                <w:rFonts w:ascii="Calibri" w:eastAsia="Times New Roman" w:hAnsi="Calibri" w:cs="Calibri"/>
                <w:kern w:val="0"/>
                <w:lang w:val="en-US" w:eastAsia="nl-NL"/>
                <w14:ligatures w14:val="none"/>
              </w:rPr>
              <w:t>VE stable for half of the duration of protection </w:t>
            </w:r>
          </w:p>
        </w:tc>
        <w:tc>
          <w:tcPr>
            <w:tcW w:w="2694" w:type="dxa"/>
            <w:tcBorders>
              <w:top w:val="single" w:sz="6" w:space="0" w:color="auto"/>
              <w:left w:val="single" w:sz="6" w:space="0" w:color="auto"/>
              <w:bottom w:val="single" w:sz="6" w:space="0" w:color="auto"/>
              <w:right w:val="single" w:sz="6" w:space="0" w:color="auto"/>
            </w:tcBorders>
            <w:hideMark/>
          </w:tcPr>
          <w:p w14:paraId="48D8FCBA"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val="en-US" w:eastAsia="nl-NL"/>
                <w14:ligatures w14:val="none"/>
              </w:rPr>
            </w:pPr>
            <w:r w:rsidRPr="001C1933">
              <w:rPr>
                <w:rFonts w:ascii="Calibri" w:eastAsia="Times New Roman" w:hAnsi="Calibri" w:cs="Calibri"/>
                <w:kern w:val="0"/>
                <w:lang w:val="en-US" w:eastAsia="nl-NL"/>
                <w14:ligatures w14:val="none"/>
              </w:rPr>
              <w:t>Keeping the VE at the full VE for half of the duration of protection </w:t>
            </w:r>
          </w:p>
        </w:tc>
        <w:tc>
          <w:tcPr>
            <w:tcW w:w="6705" w:type="dxa"/>
            <w:tcBorders>
              <w:top w:val="single" w:sz="6" w:space="0" w:color="auto"/>
              <w:left w:val="single" w:sz="6" w:space="0" w:color="auto"/>
              <w:bottom w:val="single" w:sz="6" w:space="0" w:color="auto"/>
              <w:right w:val="single" w:sz="18" w:space="0" w:color="auto"/>
            </w:tcBorders>
            <w:hideMark/>
          </w:tcPr>
          <w:p w14:paraId="47644855" w14:textId="66A1AE23" w:rsidR="001C1933" w:rsidRPr="001C1933" w:rsidRDefault="001C1933" w:rsidP="001C1933">
            <w:pPr>
              <w:spacing w:after="0" w:line="240" w:lineRule="auto"/>
              <w:textAlignment w:val="baseline"/>
              <w:rPr>
                <w:rFonts w:ascii="Segoe UI" w:eastAsia="Times New Roman" w:hAnsi="Segoe UI" w:cs="Segoe UI"/>
                <w:kern w:val="0"/>
                <w:sz w:val="18"/>
                <w:szCs w:val="18"/>
                <w:lang w:val="en-US" w:eastAsia="nl-NL"/>
                <w14:ligatures w14:val="none"/>
              </w:rPr>
            </w:pPr>
            <w:r w:rsidRPr="001C1933">
              <w:rPr>
                <w:rFonts w:ascii="Calibri" w:eastAsia="Times New Roman" w:hAnsi="Calibri" w:cs="Calibri"/>
                <w:kern w:val="0"/>
                <w:lang w:val="en-US" w:eastAsia="nl-NL"/>
                <w14:ligatures w14:val="none"/>
              </w:rPr>
              <w:t xml:space="preserve">Little information is available on </w:t>
            </w:r>
            <w:r w:rsidR="00490065">
              <w:rPr>
                <w:rFonts w:ascii="Calibri" w:eastAsia="Times New Roman" w:hAnsi="Calibri" w:cs="Calibri"/>
                <w:kern w:val="0"/>
                <w:lang w:val="en-US" w:eastAsia="nl-NL"/>
                <w14:ligatures w14:val="none"/>
              </w:rPr>
              <w:t>the decrease of VE over time</w:t>
            </w:r>
            <w:r w:rsidRPr="001C1933">
              <w:rPr>
                <w:rFonts w:ascii="Calibri" w:eastAsia="Times New Roman" w:hAnsi="Calibri" w:cs="Calibri"/>
                <w:kern w:val="0"/>
                <w:lang w:val="en-US" w:eastAsia="nl-NL"/>
                <w14:ligatures w14:val="none"/>
              </w:rPr>
              <w:t xml:space="preserve"> in IMD-B vaccines. In our base-case analysis we assume that VE starts </w:t>
            </w:r>
            <w:r w:rsidR="00490065">
              <w:rPr>
                <w:rFonts w:ascii="Calibri" w:eastAsia="Times New Roman" w:hAnsi="Calibri" w:cs="Calibri"/>
                <w:kern w:val="0"/>
                <w:lang w:val="en-US" w:eastAsia="nl-NL"/>
                <w14:ligatures w14:val="none"/>
              </w:rPr>
              <w:t xml:space="preserve">decreasing </w:t>
            </w:r>
            <w:r w:rsidRPr="001C1933">
              <w:rPr>
                <w:rFonts w:ascii="Calibri" w:eastAsia="Times New Roman" w:hAnsi="Calibri" w:cs="Calibri"/>
                <w:kern w:val="0"/>
                <w:lang w:val="en-US" w:eastAsia="nl-NL"/>
                <w14:ligatures w14:val="none"/>
              </w:rPr>
              <w:t>immediately. This analysis investigates the impact of a longer duration with full VE. </w:t>
            </w:r>
          </w:p>
        </w:tc>
      </w:tr>
      <w:tr w:rsidR="001C1933" w:rsidRPr="00300A20" w14:paraId="1B7B7DF8" w14:textId="77777777" w:rsidTr="001C1933">
        <w:trPr>
          <w:trHeight w:val="300"/>
        </w:trPr>
        <w:tc>
          <w:tcPr>
            <w:tcW w:w="0" w:type="auto"/>
            <w:vMerge/>
            <w:tcBorders>
              <w:top w:val="single" w:sz="6" w:space="0" w:color="auto"/>
              <w:left w:val="single" w:sz="18" w:space="0" w:color="auto"/>
              <w:bottom w:val="single" w:sz="6" w:space="0" w:color="auto"/>
              <w:right w:val="single" w:sz="18" w:space="0" w:color="auto"/>
            </w:tcBorders>
            <w:vAlign w:val="center"/>
            <w:hideMark/>
          </w:tcPr>
          <w:p w14:paraId="0DDEB30E" w14:textId="77777777" w:rsidR="001C1933" w:rsidRPr="001C1933" w:rsidRDefault="001C1933" w:rsidP="001C1933">
            <w:pPr>
              <w:spacing w:after="0" w:line="240" w:lineRule="auto"/>
              <w:rPr>
                <w:rFonts w:ascii="Segoe UI" w:eastAsia="Times New Roman" w:hAnsi="Segoe UI" w:cs="Segoe UI"/>
                <w:kern w:val="0"/>
                <w:sz w:val="18"/>
                <w:szCs w:val="18"/>
                <w:lang w:val="en-US" w:eastAsia="nl-NL"/>
                <w14:ligatures w14:val="none"/>
              </w:rPr>
            </w:pPr>
          </w:p>
        </w:tc>
        <w:tc>
          <w:tcPr>
            <w:tcW w:w="872" w:type="dxa"/>
            <w:tcBorders>
              <w:top w:val="single" w:sz="6" w:space="0" w:color="auto"/>
              <w:left w:val="single" w:sz="18" w:space="0" w:color="auto"/>
              <w:bottom w:val="single" w:sz="6" w:space="0" w:color="auto"/>
              <w:right w:val="single" w:sz="6" w:space="0" w:color="auto"/>
            </w:tcBorders>
            <w:hideMark/>
          </w:tcPr>
          <w:p w14:paraId="3387D68F"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kern w:val="0"/>
                <w:lang w:val="en-US" w:eastAsia="nl-NL"/>
                <w14:ligatures w14:val="none"/>
              </w:rPr>
              <w:t>c.</w:t>
            </w:r>
            <w:r w:rsidRPr="001C1933">
              <w:rPr>
                <w:rFonts w:ascii="Calibri" w:eastAsia="Times New Roman" w:hAnsi="Calibri" w:cs="Calibri"/>
                <w:kern w:val="0"/>
                <w:lang w:eastAsia="nl-NL"/>
                <w14:ligatures w14:val="none"/>
              </w:rPr>
              <w:t> </w:t>
            </w:r>
          </w:p>
        </w:tc>
        <w:tc>
          <w:tcPr>
            <w:tcW w:w="1984" w:type="dxa"/>
            <w:tcBorders>
              <w:top w:val="single" w:sz="6" w:space="0" w:color="auto"/>
              <w:left w:val="single" w:sz="6" w:space="0" w:color="auto"/>
              <w:bottom w:val="single" w:sz="6" w:space="0" w:color="auto"/>
              <w:right w:val="single" w:sz="6" w:space="0" w:color="auto"/>
            </w:tcBorders>
            <w:hideMark/>
          </w:tcPr>
          <w:p w14:paraId="7D3F07CF" w14:textId="41AB56B5" w:rsidR="001C1933" w:rsidRPr="001C1933" w:rsidRDefault="005A3E0A" w:rsidP="001C1933">
            <w:pPr>
              <w:spacing w:after="0" w:line="240" w:lineRule="auto"/>
              <w:textAlignment w:val="baseline"/>
              <w:rPr>
                <w:rFonts w:ascii="Segoe UI" w:eastAsia="Times New Roman" w:hAnsi="Segoe UI" w:cs="Segoe UI"/>
                <w:kern w:val="0"/>
                <w:sz w:val="18"/>
                <w:szCs w:val="18"/>
                <w:lang w:eastAsia="nl-NL"/>
                <w14:ligatures w14:val="none"/>
              </w:rPr>
            </w:pPr>
            <w:r>
              <w:rPr>
                <w:rFonts w:ascii="Calibri" w:eastAsia="Times New Roman" w:hAnsi="Calibri" w:cs="Calibri"/>
                <w:kern w:val="0"/>
                <w:lang w:val="en-US" w:eastAsia="nl-NL"/>
                <w14:ligatures w14:val="none"/>
              </w:rPr>
              <w:t>Cost of Illness –   Zeevat</w:t>
            </w:r>
            <w:r w:rsidR="001C1933" w:rsidRPr="001C1933">
              <w:rPr>
                <w:rFonts w:ascii="Calibri" w:eastAsia="Times New Roman" w:hAnsi="Calibri" w:cs="Calibri"/>
                <w:kern w:val="0"/>
                <w:lang w:eastAsia="nl-NL"/>
                <w14:ligatures w14:val="none"/>
              </w:rPr>
              <w:t> </w:t>
            </w:r>
          </w:p>
        </w:tc>
        <w:tc>
          <w:tcPr>
            <w:tcW w:w="2694" w:type="dxa"/>
            <w:tcBorders>
              <w:top w:val="single" w:sz="6" w:space="0" w:color="auto"/>
              <w:left w:val="single" w:sz="6" w:space="0" w:color="auto"/>
              <w:bottom w:val="single" w:sz="6" w:space="0" w:color="auto"/>
              <w:right w:val="single" w:sz="6" w:space="0" w:color="auto"/>
            </w:tcBorders>
            <w:hideMark/>
          </w:tcPr>
          <w:p w14:paraId="761B848F"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val="en-US" w:eastAsia="nl-NL"/>
                <w14:ligatures w14:val="none"/>
              </w:rPr>
            </w:pPr>
            <w:r w:rsidRPr="001C1933">
              <w:rPr>
                <w:rFonts w:ascii="Calibri" w:eastAsia="Times New Roman" w:hAnsi="Calibri" w:cs="Calibri"/>
                <w:kern w:val="0"/>
                <w:lang w:val="en-US" w:eastAsia="nl-NL"/>
                <w14:ligatures w14:val="none"/>
              </w:rPr>
              <w:t xml:space="preserve">Implementing cost per case from Zeevat </w:t>
            </w:r>
            <w:r w:rsidRPr="001C1933">
              <w:rPr>
                <w:rFonts w:ascii="Calibri" w:eastAsia="Times New Roman" w:hAnsi="Calibri" w:cs="Calibri"/>
                <w:color w:val="000000"/>
                <w:kern w:val="0"/>
                <w:shd w:val="clear" w:color="auto" w:fill="E1E3E6"/>
                <w:lang w:val="en-US" w:eastAsia="nl-NL"/>
                <w14:ligatures w14:val="none"/>
              </w:rPr>
              <w:t>[23]</w:t>
            </w:r>
            <w:r w:rsidRPr="001C1933">
              <w:rPr>
                <w:rFonts w:ascii="Calibri" w:eastAsia="Times New Roman" w:hAnsi="Calibri" w:cs="Calibri"/>
                <w:kern w:val="0"/>
                <w:lang w:val="en-US" w:eastAsia="nl-NL"/>
                <w14:ligatures w14:val="none"/>
              </w:rPr>
              <w:t xml:space="preserve"> instead of our own cost analysis </w:t>
            </w:r>
          </w:p>
        </w:tc>
        <w:tc>
          <w:tcPr>
            <w:tcW w:w="6705" w:type="dxa"/>
            <w:tcBorders>
              <w:top w:val="single" w:sz="6" w:space="0" w:color="auto"/>
              <w:left w:val="single" w:sz="6" w:space="0" w:color="auto"/>
              <w:bottom w:val="single" w:sz="6" w:space="0" w:color="auto"/>
              <w:right w:val="single" w:sz="18" w:space="0" w:color="auto"/>
            </w:tcBorders>
            <w:hideMark/>
          </w:tcPr>
          <w:p w14:paraId="18B9659A"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val="en-US" w:eastAsia="nl-NL"/>
                <w14:ligatures w14:val="none"/>
              </w:rPr>
            </w:pPr>
            <w:r w:rsidRPr="001C1933">
              <w:rPr>
                <w:rFonts w:ascii="Calibri" w:eastAsia="Times New Roman" w:hAnsi="Calibri" w:cs="Calibri"/>
                <w:kern w:val="0"/>
                <w:lang w:val="en-US" w:eastAsia="nl-NL"/>
                <w14:ligatures w14:val="none"/>
              </w:rPr>
              <w:t xml:space="preserve">Zeevat </w:t>
            </w:r>
            <w:r w:rsidRPr="001C1933">
              <w:rPr>
                <w:rFonts w:ascii="Calibri" w:eastAsia="Times New Roman" w:hAnsi="Calibri" w:cs="Calibri"/>
                <w:color w:val="000000"/>
                <w:kern w:val="0"/>
                <w:shd w:val="clear" w:color="auto" w:fill="E1E3E6"/>
                <w:lang w:val="en-US" w:eastAsia="nl-NL"/>
                <w14:ligatures w14:val="none"/>
              </w:rPr>
              <w:t>[23]</w:t>
            </w:r>
            <w:r w:rsidRPr="001C1933">
              <w:rPr>
                <w:rFonts w:ascii="Calibri" w:eastAsia="Times New Roman" w:hAnsi="Calibri" w:cs="Calibri"/>
                <w:kern w:val="0"/>
                <w:lang w:val="en-US" w:eastAsia="nl-NL"/>
                <w14:ligatures w14:val="none"/>
              </w:rPr>
              <w:t xml:space="preserve"> conducted a cost-of-illness study. This analysis investigates the impact of using the cost per case calculated by Zeevat. This scenario analysis serves to validate our own cost analysis and investigate whether using different methods drastically changes the results. </w:t>
            </w:r>
          </w:p>
        </w:tc>
      </w:tr>
      <w:tr w:rsidR="001C1933" w:rsidRPr="00300A20" w14:paraId="6421666C" w14:textId="77777777" w:rsidTr="001C1933">
        <w:trPr>
          <w:trHeight w:val="300"/>
        </w:trPr>
        <w:tc>
          <w:tcPr>
            <w:tcW w:w="0" w:type="auto"/>
            <w:vMerge/>
            <w:tcBorders>
              <w:top w:val="single" w:sz="6" w:space="0" w:color="auto"/>
              <w:left w:val="single" w:sz="18" w:space="0" w:color="auto"/>
              <w:bottom w:val="single" w:sz="6" w:space="0" w:color="auto"/>
              <w:right w:val="single" w:sz="18" w:space="0" w:color="auto"/>
            </w:tcBorders>
            <w:vAlign w:val="center"/>
            <w:hideMark/>
          </w:tcPr>
          <w:p w14:paraId="6B9C4F55" w14:textId="77777777" w:rsidR="001C1933" w:rsidRPr="001C1933" w:rsidRDefault="001C1933" w:rsidP="001C1933">
            <w:pPr>
              <w:spacing w:after="0" w:line="240" w:lineRule="auto"/>
              <w:rPr>
                <w:rFonts w:ascii="Segoe UI" w:eastAsia="Times New Roman" w:hAnsi="Segoe UI" w:cs="Segoe UI"/>
                <w:kern w:val="0"/>
                <w:sz w:val="18"/>
                <w:szCs w:val="18"/>
                <w:lang w:val="en-US" w:eastAsia="nl-NL"/>
                <w14:ligatures w14:val="none"/>
              </w:rPr>
            </w:pPr>
          </w:p>
        </w:tc>
        <w:tc>
          <w:tcPr>
            <w:tcW w:w="872" w:type="dxa"/>
            <w:tcBorders>
              <w:top w:val="single" w:sz="6" w:space="0" w:color="auto"/>
              <w:left w:val="single" w:sz="18" w:space="0" w:color="auto"/>
              <w:bottom w:val="single" w:sz="18" w:space="0" w:color="auto"/>
              <w:right w:val="single" w:sz="6" w:space="0" w:color="auto"/>
            </w:tcBorders>
            <w:hideMark/>
          </w:tcPr>
          <w:p w14:paraId="669C7194"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kern w:val="0"/>
                <w:lang w:val="en-US" w:eastAsia="nl-NL"/>
                <w14:ligatures w14:val="none"/>
              </w:rPr>
              <w:t>d.</w:t>
            </w:r>
            <w:r w:rsidRPr="001C1933">
              <w:rPr>
                <w:rFonts w:ascii="Calibri" w:eastAsia="Times New Roman" w:hAnsi="Calibri" w:cs="Calibri"/>
                <w:kern w:val="0"/>
                <w:lang w:eastAsia="nl-NL"/>
                <w14:ligatures w14:val="none"/>
              </w:rPr>
              <w:t> </w:t>
            </w:r>
          </w:p>
        </w:tc>
        <w:tc>
          <w:tcPr>
            <w:tcW w:w="1984" w:type="dxa"/>
            <w:tcBorders>
              <w:top w:val="single" w:sz="6" w:space="0" w:color="auto"/>
              <w:left w:val="single" w:sz="6" w:space="0" w:color="auto"/>
              <w:bottom w:val="single" w:sz="18" w:space="0" w:color="auto"/>
              <w:right w:val="single" w:sz="6" w:space="0" w:color="auto"/>
            </w:tcBorders>
            <w:hideMark/>
          </w:tcPr>
          <w:p w14:paraId="1ABE24CB"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kern w:val="0"/>
                <w:lang w:val="en-US" w:eastAsia="nl-NL"/>
                <w14:ligatures w14:val="none"/>
              </w:rPr>
              <w:t>Human Capital Method</w:t>
            </w:r>
            <w:r w:rsidRPr="001C1933">
              <w:rPr>
                <w:rFonts w:ascii="Calibri" w:eastAsia="Times New Roman" w:hAnsi="Calibri" w:cs="Calibri"/>
                <w:kern w:val="0"/>
                <w:lang w:eastAsia="nl-NL"/>
                <w14:ligatures w14:val="none"/>
              </w:rPr>
              <w:t> </w:t>
            </w:r>
          </w:p>
        </w:tc>
        <w:tc>
          <w:tcPr>
            <w:tcW w:w="2694" w:type="dxa"/>
            <w:tcBorders>
              <w:top w:val="single" w:sz="6" w:space="0" w:color="auto"/>
              <w:left w:val="single" w:sz="6" w:space="0" w:color="auto"/>
              <w:bottom w:val="single" w:sz="18" w:space="0" w:color="auto"/>
              <w:right w:val="single" w:sz="6" w:space="0" w:color="auto"/>
            </w:tcBorders>
            <w:hideMark/>
          </w:tcPr>
          <w:p w14:paraId="0B96340D"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val="en-US" w:eastAsia="nl-NL"/>
                <w14:ligatures w14:val="none"/>
              </w:rPr>
            </w:pPr>
            <w:r w:rsidRPr="001C1933">
              <w:rPr>
                <w:rFonts w:ascii="Calibri" w:eastAsia="Times New Roman" w:hAnsi="Calibri" w:cs="Calibri"/>
                <w:kern w:val="0"/>
                <w:lang w:val="en-US" w:eastAsia="nl-NL"/>
                <w14:ligatures w14:val="none"/>
              </w:rPr>
              <w:t>Valuing productivity costs with the Human Capital Method instead of the Friction cost method </w:t>
            </w:r>
          </w:p>
        </w:tc>
        <w:tc>
          <w:tcPr>
            <w:tcW w:w="6705" w:type="dxa"/>
            <w:tcBorders>
              <w:top w:val="single" w:sz="6" w:space="0" w:color="auto"/>
              <w:left w:val="single" w:sz="6" w:space="0" w:color="auto"/>
              <w:bottom w:val="single" w:sz="18" w:space="0" w:color="auto"/>
              <w:right w:val="single" w:sz="18" w:space="0" w:color="auto"/>
            </w:tcBorders>
            <w:hideMark/>
          </w:tcPr>
          <w:p w14:paraId="1C5781F5"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val="en-US" w:eastAsia="nl-NL"/>
                <w14:ligatures w14:val="none"/>
              </w:rPr>
            </w:pPr>
            <w:r w:rsidRPr="001C1933">
              <w:rPr>
                <w:rFonts w:ascii="Calibri" w:eastAsia="Times New Roman" w:hAnsi="Calibri" w:cs="Calibri"/>
                <w:kern w:val="0"/>
                <w:lang w:val="en-US" w:eastAsia="nl-NL"/>
                <w14:ligatures w14:val="none"/>
              </w:rPr>
              <w:t xml:space="preserve">In line with the Dutch Health Economic guidelines </w:t>
            </w:r>
            <w:r w:rsidRPr="001C1933">
              <w:rPr>
                <w:rFonts w:ascii="Calibri" w:eastAsia="Times New Roman" w:hAnsi="Calibri" w:cs="Calibri"/>
                <w:color w:val="000000"/>
                <w:kern w:val="0"/>
                <w:shd w:val="clear" w:color="auto" w:fill="E1E3E6"/>
                <w:lang w:val="en-US" w:eastAsia="nl-NL"/>
                <w14:ligatures w14:val="none"/>
              </w:rPr>
              <w:t>[29]</w:t>
            </w:r>
            <w:r w:rsidRPr="001C1933">
              <w:rPr>
                <w:rFonts w:ascii="Calibri" w:eastAsia="Times New Roman" w:hAnsi="Calibri" w:cs="Calibri"/>
                <w:b/>
                <w:bCs/>
                <w:kern w:val="0"/>
                <w:lang w:val="en-US" w:eastAsia="nl-NL"/>
                <w14:ligatures w14:val="none"/>
              </w:rPr>
              <w:t xml:space="preserve">  </w:t>
            </w:r>
            <w:r w:rsidRPr="001C1933">
              <w:rPr>
                <w:rFonts w:ascii="Calibri" w:eastAsia="Times New Roman" w:hAnsi="Calibri" w:cs="Calibri"/>
                <w:kern w:val="0"/>
                <w:lang w:val="en-US" w:eastAsia="nl-NL"/>
                <w14:ligatures w14:val="none"/>
              </w:rPr>
              <w:t>our analyses use the Friction Cost Method to calculate productivity loss. This analysis investigates the impact of valuing productivity with the Human Capital Method. The Human Capital Method values productivity losses by assuming that productivity losses by assuming that workers do not get replaced (i.e., productivity losses are permanent). </w:t>
            </w:r>
          </w:p>
        </w:tc>
      </w:tr>
      <w:tr w:rsidR="001C1933" w:rsidRPr="00300A20" w14:paraId="6BC5A779" w14:textId="77777777" w:rsidTr="001C1933">
        <w:trPr>
          <w:trHeight w:val="300"/>
        </w:trPr>
        <w:tc>
          <w:tcPr>
            <w:tcW w:w="1657" w:type="dxa"/>
            <w:vMerge w:val="restart"/>
            <w:tcBorders>
              <w:top w:val="single" w:sz="18" w:space="0" w:color="auto"/>
              <w:left w:val="single" w:sz="18" w:space="0" w:color="auto"/>
              <w:bottom w:val="single" w:sz="6" w:space="0" w:color="auto"/>
              <w:right w:val="single" w:sz="18" w:space="0" w:color="auto"/>
            </w:tcBorders>
            <w:hideMark/>
          </w:tcPr>
          <w:p w14:paraId="706335F1"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b/>
                <w:bCs/>
                <w:kern w:val="0"/>
                <w:lang w:val="en-US" w:eastAsia="nl-NL"/>
                <w14:ligatures w14:val="none"/>
              </w:rPr>
              <w:t>Methodological choice</w:t>
            </w:r>
            <w:r w:rsidRPr="001C1933">
              <w:rPr>
                <w:rFonts w:ascii="Calibri" w:eastAsia="Times New Roman" w:hAnsi="Calibri" w:cs="Calibri"/>
                <w:kern w:val="0"/>
                <w:lang w:eastAsia="nl-NL"/>
                <w14:ligatures w14:val="none"/>
              </w:rPr>
              <w:t> </w:t>
            </w:r>
          </w:p>
        </w:tc>
        <w:tc>
          <w:tcPr>
            <w:tcW w:w="872" w:type="dxa"/>
            <w:tcBorders>
              <w:top w:val="single" w:sz="18" w:space="0" w:color="auto"/>
              <w:left w:val="single" w:sz="18" w:space="0" w:color="auto"/>
              <w:bottom w:val="single" w:sz="6" w:space="0" w:color="auto"/>
              <w:right w:val="single" w:sz="6" w:space="0" w:color="auto"/>
            </w:tcBorders>
            <w:hideMark/>
          </w:tcPr>
          <w:p w14:paraId="2919504B"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kern w:val="0"/>
                <w:lang w:val="en-US" w:eastAsia="nl-NL"/>
                <w14:ligatures w14:val="none"/>
              </w:rPr>
              <w:t>e.</w:t>
            </w:r>
            <w:r w:rsidRPr="001C1933">
              <w:rPr>
                <w:rFonts w:ascii="Calibri" w:eastAsia="Times New Roman" w:hAnsi="Calibri" w:cs="Calibri"/>
                <w:kern w:val="0"/>
                <w:lang w:eastAsia="nl-NL"/>
                <w14:ligatures w14:val="none"/>
              </w:rPr>
              <w:t> </w:t>
            </w:r>
          </w:p>
        </w:tc>
        <w:tc>
          <w:tcPr>
            <w:tcW w:w="1984" w:type="dxa"/>
            <w:tcBorders>
              <w:top w:val="single" w:sz="18" w:space="0" w:color="auto"/>
              <w:left w:val="single" w:sz="6" w:space="0" w:color="auto"/>
              <w:bottom w:val="single" w:sz="6" w:space="0" w:color="auto"/>
              <w:right w:val="single" w:sz="6" w:space="0" w:color="auto"/>
            </w:tcBorders>
            <w:hideMark/>
          </w:tcPr>
          <w:p w14:paraId="4B2A1CE5"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kern w:val="0"/>
                <w:lang w:val="en-US" w:eastAsia="nl-NL"/>
                <w14:ligatures w14:val="none"/>
              </w:rPr>
              <w:t>Caregiver Utility</w:t>
            </w:r>
            <w:r w:rsidRPr="001C1933">
              <w:rPr>
                <w:rFonts w:ascii="Calibri" w:eastAsia="Times New Roman" w:hAnsi="Calibri" w:cs="Calibri"/>
                <w:kern w:val="0"/>
                <w:lang w:eastAsia="nl-NL"/>
                <w14:ligatures w14:val="none"/>
              </w:rPr>
              <w:t> </w:t>
            </w:r>
          </w:p>
        </w:tc>
        <w:tc>
          <w:tcPr>
            <w:tcW w:w="2694" w:type="dxa"/>
            <w:tcBorders>
              <w:top w:val="single" w:sz="18" w:space="0" w:color="auto"/>
              <w:left w:val="single" w:sz="6" w:space="0" w:color="auto"/>
              <w:bottom w:val="single" w:sz="6" w:space="0" w:color="auto"/>
              <w:right w:val="single" w:sz="6" w:space="0" w:color="auto"/>
            </w:tcBorders>
            <w:hideMark/>
          </w:tcPr>
          <w:p w14:paraId="29A35A41"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kern w:val="0"/>
                <w:lang w:val="en-US" w:eastAsia="nl-NL"/>
                <w14:ligatures w14:val="none"/>
              </w:rPr>
              <w:t>Implementing caregiver utility</w:t>
            </w:r>
            <w:r w:rsidRPr="001C1933">
              <w:rPr>
                <w:rFonts w:ascii="Calibri" w:eastAsia="Times New Roman" w:hAnsi="Calibri" w:cs="Calibri"/>
                <w:kern w:val="0"/>
                <w:lang w:eastAsia="nl-NL"/>
                <w14:ligatures w14:val="none"/>
              </w:rPr>
              <w:t> </w:t>
            </w:r>
          </w:p>
        </w:tc>
        <w:tc>
          <w:tcPr>
            <w:tcW w:w="6705" w:type="dxa"/>
            <w:tcBorders>
              <w:top w:val="single" w:sz="18" w:space="0" w:color="auto"/>
              <w:left w:val="single" w:sz="6" w:space="0" w:color="auto"/>
              <w:bottom w:val="single" w:sz="6" w:space="0" w:color="auto"/>
              <w:right w:val="single" w:sz="18" w:space="0" w:color="auto"/>
            </w:tcBorders>
            <w:hideMark/>
          </w:tcPr>
          <w:p w14:paraId="7ACA3A04"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val="en-US" w:eastAsia="nl-NL"/>
                <w14:ligatures w14:val="none"/>
              </w:rPr>
            </w:pPr>
            <w:r w:rsidRPr="001C1933">
              <w:rPr>
                <w:rFonts w:ascii="Calibri" w:eastAsia="Times New Roman" w:hAnsi="Calibri" w:cs="Calibri"/>
                <w:kern w:val="0"/>
                <w:lang w:val="en-US" w:eastAsia="nl-NL"/>
                <w14:ligatures w14:val="none"/>
              </w:rPr>
              <w:t xml:space="preserve">The Dutch Health Economic guidelines </w:t>
            </w:r>
            <w:r w:rsidRPr="001C1933">
              <w:rPr>
                <w:rFonts w:ascii="Calibri" w:eastAsia="Times New Roman" w:hAnsi="Calibri" w:cs="Calibri"/>
                <w:color w:val="000000"/>
                <w:kern w:val="0"/>
                <w:shd w:val="clear" w:color="auto" w:fill="E1E3E6"/>
                <w:lang w:val="en-US" w:eastAsia="nl-NL"/>
                <w14:ligatures w14:val="none"/>
              </w:rPr>
              <w:t>[29]</w:t>
            </w:r>
            <w:r w:rsidRPr="001C1933">
              <w:rPr>
                <w:rFonts w:ascii="Calibri" w:eastAsia="Times New Roman" w:hAnsi="Calibri" w:cs="Calibri"/>
                <w:kern w:val="0"/>
                <w:lang w:val="en-US" w:eastAsia="nl-NL"/>
                <w14:ligatures w14:val="none"/>
              </w:rPr>
              <w:t xml:space="preserve"> recommend to explore the impact of caregiver utility in scenario analyses. These analyses implement caregiver utility by using inputs and methods from  Beck[10] and Scholz. </w:t>
            </w:r>
          </w:p>
          <w:p w14:paraId="3B209374"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val="en-US" w:eastAsia="nl-NL"/>
                <w14:ligatures w14:val="none"/>
              </w:rPr>
            </w:pPr>
            <w:r w:rsidRPr="001C1933">
              <w:rPr>
                <w:rFonts w:ascii="Calibri" w:eastAsia="Times New Roman" w:hAnsi="Calibri" w:cs="Calibri"/>
                <w:kern w:val="0"/>
                <w:lang w:val="en-US" w:eastAsia="nl-NL"/>
                <w14:ligatures w14:val="none"/>
              </w:rPr>
              <w:t>Caregivers received a 0.48 family and network factor where the family and network received a penalty which was proportionally to the Quality of Life penalty of patients. For every IMD-related patient death, we counted a permanent 0.09 utility decrement after patient death. Lastly, for every informal caregiver (see productivity costs), we calculated a 0.11 utility penalty. All caregiver QoL was influenced by age and mortality. We assumed an average caregiver age of 29.9 at the birth of the child. </w:t>
            </w:r>
          </w:p>
        </w:tc>
      </w:tr>
      <w:tr w:rsidR="001C1933" w:rsidRPr="00300A20" w14:paraId="5D119AC3" w14:textId="77777777" w:rsidTr="001C1933">
        <w:trPr>
          <w:trHeight w:val="300"/>
        </w:trPr>
        <w:tc>
          <w:tcPr>
            <w:tcW w:w="0" w:type="auto"/>
            <w:vMerge/>
            <w:tcBorders>
              <w:top w:val="single" w:sz="18" w:space="0" w:color="auto"/>
              <w:left w:val="single" w:sz="18" w:space="0" w:color="auto"/>
              <w:bottom w:val="single" w:sz="6" w:space="0" w:color="auto"/>
              <w:right w:val="single" w:sz="18" w:space="0" w:color="auto"/>
            </w:tcBorders>
            <w:vAlign w:val="center"/>
            <w:hideMark/>
          </w:tcPr>
          <w:p w14:paraId="18B6C119" w14:textId="77777777" w:rsidR="001C1933" w:rsidRPr="001C1933" w:rsidRDefault="001C1933" w:rsidP="001C1933">
            <w:pPr>
              <w:spacing w:after="0" w:line="240" w:lineRule="auto"/>
              <w:rPr>
                <w:rFonts w:ascii="Segoe UI" w:eastAsia="Times New Roman" w:hAnsi="Segoe UI" w:cs="Segoe UI"/>
                <w:kern w:val="0"/>
                <w:sz w:val="18"/>
                <w:szCs w:val="18"/>
                <w:lang w:val="en-US" w:eastAsia="nl-NL"/>
                <w14:ligatures w14:val="none"/>
              </w:rPr>
            </w:pPr>
          </w:p>
        </w:tc>
        <w:tc>
          <w:tcPr>
            <w:tcW w:w="872" w:type="dxa"/>
            <w:tcBorders>
              <w:top w:val="single" w:sz="6" w:space="0" w:color="auto"/>
              <w:left w:val="single" w:sz="18" w:space="0" w:color="auto"/>
              <w:bottom w:val="single" w:sz="6" w:space="0" w:color="auto"/>
              <w:right w:val="single" w:sz="6" w:space="0" w:color="auto"/>
            </w:tcBorders>
            <w:hideMark/>
          </w:tcPr>
          <w:p w14:paraId="361AA48A"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kern w:val="0"/>
                <w:lang w:val="en-US" w:eastAsia="nl-NL"/>
                <w14:ligatures w14:val="none"/>
              </w:rPr>
              <w:t>f.</w:t>
            </w:r>
            <w:r w:rsidRPr="001C1933">
              <w:rPr>
                <w:rFonts w:ascii="Calibri" w:eastAsia="Times New Roman" w:hAnsi="Calibri" w:cs="Calibri"/>
                <w:kern w:val="0"/>
                <w:lang w:eastAsia="nl-NL"/>
                <w14:ligatures w14:val="none"/>
              </w:rPr>
              <w:t> </w:t>
            </w:r>
          </w:p>
        </w:tc>
        <w:tc>
          <w:tcPr>
            <w:tcW w:w="1984" w:type="dxa"/>
            <w:tcBorders>
              <w:top w:val="single" w:sz="6" w:space="0" w:color="auto"/>
              <w:left w:val="single" w:sz="6" w:space="0" w:color="auto"/>
              <w:bottom w:val="single" w:sz="6" w:space="0" w:color="auto"/>
              <w:right w:val="single" w:sz="6" w:space="0" w:color="auto"/>
            </w:tcBorders>
            <w:hideMark/>
          </w:tcPr>
          <w:p w14:paraId="37270E69"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kern w:val="0"/>
                <w:lang w:val="en-US" w:eastAsia="nl-NL"/>
                <w14:ligatures w14:val="none"/>
              </w:rPr>
              <w:t>0% Discounting</w:t>
            </w:r>
            <w:r w:rsidRPr="001C1933">
              <w:rPr>
                <w:rFonts w:ascii="Calibri" w:eastAsia="Times New Roman" w:hAnsi="Calibri" w:cs="Calibri"/>
                <w:kern w:val="0"/>
                <w:lang w:eastAsia="nl-NL"/>
                <w14:ligatures w14:val="none"/>
              </w:rPr>
              <w:t> </w:t>
            </w:r>
          </w:p>
        </w:tc>
        <w:tc>
          <w:tcPr>
            <w:tcW w:w="2694" w:type="dxa"/>
            <w:tcBorders>
              <w:top w:val="single" w:sz="6" w:space="0" w:color="auto"/>
              <w:left w:val="single" w:sz="6" w:space="0" w:color="auto"/>
              <w:bottom w:val="single" w:sz="6" w:space="0" w:color="auto"/>
              <w:right w:val="single" w:sz="6" w:space="0" w:color="auto"/>
            </w:tcBorders>
            <w:hideMark/>
          </w:tcPr>
          <w:p w14:paraId="7060A889"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kern w:val="0"/>
                <w:lang w:val="en-US" w:eastAsia="nl-NL"/>
                <w14:ligatures w14:val="none"/>
              </w:rPr>
              <w:t>Removing discount factors</w:t>
            </w:r>
            <w:r w:rsidRPr="001C1933">
              <w:rPr>
                <w:rFonts w:ascii="Calibri" w:eastAsia="Times New Roman" w:hAnsi="Calibri" w:cs="Calibri"/>
                <w:kern w:val="0"/>
                <w:lang w:eastAsia="nl-NL"/>
                <w14:ligatures w14:val="none"/>
              </w:rPr>
              <w:t> </w:t>
            </w:r>
          </w:p>
        </w:tc>
        <w:tc>
          <w:tcPr>
            <w:tcW w:w="6705" w:type="dxa"/>
            <w:tcBorders>
              <w:top w:val="single" w:sz="6" w:space="0" w:color="auto"/>
              <w:left w:val="single" w:sz="6" w:space="0" w:color="auto"/>
              <w:bottom w:val="single" w:sz="6" w:space="0" w:color="auto"/>
              <w:right w:val="single" w:sz="18" w:space="0" w:color="auto"/>
            </w:tcBorders>
            <w:hideMark/>
          </w:tcPr>
          <w:p w14:paraId="472E7A2B" w14:textId="77777777" w:rsidR="001C1933" w:rsidRPr="001C1933" w:rsidRDefault="001C1933" w:rsidP="001C1933">
            <w:pPr>
              <w:spacing w:after="0" w:line="240" w:lineRule="auto"/>
              <w:jc w:val="both"/>
              <w:textAlignment w:val="baseline"/>
              <w:rPr>
                <w:rFonts w:ascii="Segoe UI" w:eastAsia="Times New Roman" w:hAnsi="Segoe UI" w:cs="Segoe UI"/>
                <w:kern w:val="0"/>
                <w:sz w:val="18"/>
                <w:szCs w:val="18"/>
                <w:lang w:val="en-US" w:eastAsia="nl-NL"/>
                <w14:ligatures w14:val="none"/>
              </w:rPr>
            </w:pPr>
            <w:r w:rsidRPr="001C1933">
              <w:rPr>
                <w:rFonts w:ascii="Calibri" w:eastAsia="Times New Roman" w:hAnsi="Calibri" w:cs="Calibri"/>
                <w:kern w:val="0"/>
                <w:lang w:val="en-US" w:eastAsia="nl-NL"/>
                <w14:ligatures w14:val="none"/>
              </w:rPr>
              <w:t>Because these are preventive vaccines, their benefits often appear much later in the model. This is true for IMD-B as well, as some sequelae may be life-long. We therefore explore the impact of removing the discount rates for costs and effects.  </w:t>
            </w:r>
          </w:p>
        </w:tc>
      </w:tr>
      <w:tr w:rsidR="001C1933" w:rsidRPr="00300A20" w14:paraId="19DE4336" w14:textId="77777777" w:rsidTr="000408B0">
        <w:trPr>
          <w:trHeight w:val="300"/>
        </w:trPr>
        <w:tc>
          <w:tcPr>
            <w:tcW w:w="0" w:type="auto"/>
            <w:vMerge/>
            <w:tcBorders>
              <w:top w:val="single" w:sz="18" w:space="0" w:color="auto"/>
              <w:left w:val="single" w:sz="18" w:space="0" w:color="auto"/>
              <w:bottom w:val="single" w:sz="6" w:space="0" w:color="auto"/>
              <w:right w:val="single" w:sz="18" w:space="0" w:color="auto"/>
            </w:tcBorders>
            <w:vAlign w:val="center"/>
            <w:hideMark/>
          </w:tcPr>
          <w:p w14:paraId="076B0E33" w14:textId="77777777" w:rsidR="001C1933" w:rsidRPr="001C1933" w:rsidRDefault="001C1933" w:rsidP="001C1933">
            <w:pPr>
              <w:spacing w:after="0" w:line="240" w:lineRule="auto"/>
              <w:rPr>
                <w:rFonts w:ascii="Segoe UI" w:eastAsia="Times New Roman" w:hAnsi="Segoe UI" w:cs="Segoe UI"/>
                <w:kern w:val="0"/>
                <w:sz w:val="18"/>
                <w:szCs w:val="18"/>
                <w:lang w:val="en-US" w:eastAsia="nl-NL"/>
                <w14:ligatures w14:val="none"/>
              </w:rPr>
            </w:pPr>
          </w:p>
        </w:tc>
        <w:tc>
          <w:tcPr>
            <w:tcW w:w="872" w:type="dxa"/>
            <w:tcBorders>
              <w:top w:val="single" w:sz="6" w:space="0" w:color="auto"/>
              <w:left w:val="single" w:sz="18" w:space="0" w:color="auto"/>
              <w:bottom w:val="single" w:sz="18" w:space="0" w:color="auto"/>
              <w:right w:val="single" w:sz="6" w:space="0" w:color="auto"/>
            </w:tcBorders>
            <w:hideMark/>
          </w:tcPr>
          <w:p w14:paraId="310C6876"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kern w:val="0"/>
                <w:lang w:val="en-US" w:eastAsia="nl-NL"/>
                <w14:ligatures w14:val="none"/>
              </w:rPr>
              <w:t>g.</w:t>
            </w:r>
            <w:r w:rsidRPr="001C1933">
              <w:rPr>
                <w:rFonts w:ascii="Calibri" w:eastAsia="Times New Roman" w:hAnsi="Calibri" w:cs="Calibri"/>
                <w:kern w:val="0"/>
                <w:lang w:eastAsia="nl-NL"/>
                <w14:ligatures w14:val="none"/>
              </w:rPr>
              <w:t> </w:t>
            </w:r>
          </w:p>
        </w:tc>
        <w:tc>
          <w:tcPr>
            <w:tcW w:w="1984" w:type="dxa"/>
            <w:tcBorders>
              <w:top w:val="single" w:sz="6" w:space="0" w:color="auto"/>
              <w:left w:val="single" w:sz="6" w:space="0" w:color="auto"/>
              <w:bottom w:val="single" w:sz="18" w:space="0" w:color="auto"/>
              <w:right w:val="single" w:sz="6" w:space="0" w:color="auto"/>
            </w:tcBorders>
            <w:hideMark/>
          </w:tcPr>
          <w:p w14:paraId="4410379B"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kern w:val="0"/>
                <w:lang w:val="en-US" w:eastAsia="nl-NL"/>
                <w14:ligatures w14:val="none"/>
              </w:rPr>
              <w:t>5% Discounting</w:t>
            </w:r>
            <w:r w:rsidRPr="001C1933">
              <w:rPr>
                <w:rFonts w:ascii="Calibri" w:eastAsia="Times New Roman" w:hAnsi="Calibri" w:cs="Calibri"/>
                <w:kern w:val="0"/>
                <w:lang w:eastAsia="nl-NL"/>
                <w14:ligatures w14:val="none"/>
              </w:rPr>
              <w:t> </w:t>
            </w:r>
          </w:p>
        </w:tc>
        <w:tc>
          <w:tcPr>
            <w:tcW w:w="2694" w:type="dxa"/>
            <w:tcBorders>
              <w:top w:val="single" w:sz="6" w:space="0" w:color="auto"/>
              <w:left w:val="single" w:sz="6" w:space="0" w:color="auto"/>
              <w:bottom w:val="single" w:sz="18" w:space="0" w:color="auto"/>
              <w:right w:val="single" w:sz="6" w:space="0" w:color="auto"/>
            </w:tcBorders>
            <w:hideMark/>
          </w:tcPr>
          <w:p w14:paraId="3D320CC0" w14:textId="77777777" w:rsidR="001C1933" w:rsidRPr="001C1933" w:rsidRDefault="001C1933" w:rsidP="001C1933">
            <w:pPr>
              <w:spacing w:after="0" w:line="240" w:lineRule="auto"/>
              <w:textAlignment w:val="baseline"/>
              <w:rPr>
                <w:rFonts w:ascii="Segoe UI" w:eastAsia="Times New Roman" w:hAnsi="Segoe UI" w:cs="Segoe UI"/>
                <w:kern w:val="0"/>
                <w:sz w:val="18"/>
                <w:szCs w:val="18"/>
                <w:lang w:val="en-US" w:eastAsia="nl-NL"/>
                <w14:ligatures w14:val="none"/>
              </w:rPr>
            </w:pPr>
            <w:r w:rsidRPr="001C1933">
              <w:rPr>
                <w:rFonts w:ascii="Calibri" w:eastAsia="Times New Roman" w:hAnsi="Calibri" w:cs="Calibri"/>
                <w:kern w:val="0"/>
                <w:lang w:val="en-US" w:eastAsia="nl-NL"/>
                <w14:ligatures w14:val="none"/>
              </w:rPr>
              <w:t>Increasing discounting for costs and effects to 5% </w:t>
            </w:r>
          </w:p>
        </w:tc>
        <w:tc>
          <w:tcPr>
            <w:tcW w:w="6705" w:type="dxa"/>
            <w:tcBorders>
              <w:top w:val="single" w:sz="6" w:space="0" w:color="auto"/>
              <w:left w:val="single" w:sz="6" w:space="0" w:color="auto"/>
              <w:bottom w:val="single" w:sz="18" w:space="0" w:color="auto"/>
              <w:right w:val="single" w:sz="18" w:space="0" w:color="auto"/>
            </w:tcBorders>
            <w:hideMark/>
          </w:tcPr>
          <w:p w14:paraId="441FFA9D" w14:textId="77777777" w:rsidR="001C1933" w:rsidRPr="001C1933" w:rsidRDefault="001C1933" w:rsidP="001C1933">
            <w:pPr>
              <w:spacing w:after="0" w:line="240" w:lineRule="auto"/>
              <w:jc w:val="both"/>
              <w:textAlignment w:val="baseline"/>
              <w:rPr>
                <w:rFonts w:ascii="Segoe UI" w:eastAsia="Times New Roman" w:hAnsi="Segoe UI" w:cs="Segoe UI"/>
                <w:kern w:val="0"/>
                <w:sz w:val="18"/>
                <w:szCs w:val="18"/>
                <w:lang w:val="en-US" w:eastAsia="nl-NL"/>
                <w14:ligatures w14:val="none"/>
              </w:rPr>
            </w:pPr>
            <w:r w:rsidRPr="001C1933">
              <w:rPr>
                <w:rFonts w:ascii="Calibri" w:eastAsia="Times New Roman" w:hAnsi="Calibri" w:cs="Calibri"/>
                <w:kern w:val="0"/>
                <w:lang w:val="en-US" w:eastAsia="nl-NL"/>
                <w14:ligatures w14:val="none"/>
              </w:rPr>
              <w:t>In this scenario analysis we explore the impact of increasing the discounting rates for costs and effects to a higher level. </w:t>
            </w:r>
          </w:p>
        </w:tc>
      </w:tr>
      <w:tr w:rsidR="000408B0" w:rsidRPr="00300A20" w14:paraId="6B7A5BE2" w14:textId="77777777">
        <w:trPr>
          <w:trHeight w:val="300"/>
        </w:trPr>
        <w:tc>
          <w:tcPr>
            <w:tcW w:w="1657" w:type="dxa"/>
            <w:vMerge w:val="restart"/>
            <w:tcBorders>
              <w:top w:val="single" w:sz="18" w:space="0" w:color="auto"/>
              <w:left w:val="single" w:sz="18" w:space="0" w:color="auto"/>
              <w:right w:val="single" w:sz="18" w:space="0" w:color="auto"/>
            </w:tcBorders>
            <w:hideMark/>
          </w:tcPr>
          <w:p w14:paraId="7EC530DA" w14:textId="77777777" w:rsidR="000408B0" w:rsidRPr="001C1933" w:rsidRDefault="000408B0"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b/>
                <w:bCs/>
                <w:kern w:val="0"/>
                <w:lang w:val="en-US" w:eastAsia="nl-NL"/>
                <w14:ligatures w14:val="none"/>
              </w:rPr>
              <w:t>Exploratory scenario</w:t>
            </w:r>
            <w:r w:rsidRPr="001C1933">
              <w:rPr>
                <w:rFonts w:ascii="Calibri" w:eastAsia="Times New Roman" w:hAnsi="Calibri" w:cs="Calibri"/>
                <w:kern w:val="0"/>
                <w:lang w:eastAsia="nl-NL"/>
                <w14:ligatures w14:val="none"/>
              </w:rPr>
              <w:t> </w:t>
            </w:r>
          </w:p>
        </w:tc>
        <w:tc>
          <w:tcPr>
            <w:tcW w:w="872" w:type="dxa"/>
            <w:tcBorders>
              <w:top w:val="single" w:sz="18" w:space="0" w:color="auto"/>
              <w:left w:val="single" w:sz="18" w:space="0" w:color="auto"/>
              <w:bottom w:val="single" w:sz="4" w:space="0" w:color="auto"/>
              <w:right w:val="single" w:sz="6" w:space="0" w:color="auto"/>
            </w:tcBorders>
            <w:hideMark/>
          </w:tcPr>
          <w:p w14:paraId="6DF00AE9" w14:textId="77777777" w:rsidR="000408B0" w:rsidRPr="001C1933" w:rsidRDefault="000408B0" w:rsidP="001C1933">
            <w:pPr>
              <w:spacing w:after="0" w:line="240" w:lineRule="auto"/>
              <w:textAlignment w:val="baseline"/>
              <w:rPr>
                <w:rFonts w:ascii="Segoe UI" w:eastAsia="Times New Roman" w:hAnsi="Segoe UI" w:cs="Segoe UI"/>
                <w:kern w:val="0"/>
                <w:sz w:val="18"/>
                <w:szCs w:val="18"/>
                <w:lang w:eastAsia="nl-NL"/>
                <w14:ligatures w14:val="none"/>
              </w:rPr>
            </w:pPr>
            <w:r w:rsidRPr="001C1933">
              <w:rPr>
                <w:rFonts w:ascii="Calibri" w:eastAsia="Times New Roman" w:hAnsi="Calibri" w:cs="Calibri"/>
                <w:kern w:val="0"/>
                <w:lang w:val="en-US" w:eastAsia="nl-NL"/>
                <w14:ligatures w14:val="none"/>
              </w:rPr>
              <w:t>h.</w:t>
            </w:r>
            <w:r w:rsidRPr="001C1933">
              <w:rPr>
                <w:rFonts w:ascii="Calibri" w:eastAsia="Times New Roman" w:hAnsi="Calibri" w:cs="Calibri"/>
                <w:kern w:val="0"/>
                <w:lang w:eastAsia="nl-NL"/>
                <w14:ligatures w14:val="none"/>
              </w:rPr>
              <w:t> </w:t>
            </w:r>
          </w:p>
        </w:tc>
        <w:tc>
          <w:tcPr>
            <w:tcW w:w="1984" w:type="dxa"/>
            <w:tcBorders>
              <w:top w:val="single" w:sz="18" w:space="0" w:color="auto"/>
              <w:left w:val="single" w:sz="6" w:space="0" w:color="auto"/>
              <w:bottom w:val="single" w:sz="4" w:space="0" w:color="auto"/>
              <w:right w:val="single" w:sz="6" w:space="0" w:color="auto"/>
            </w:tcBorders>
            <w:hideMark/>
          </w:tcPr>
          <w:p w14:paraId="2CDF8641" w14:textId="6FE8FA86" w:rsidR="000408B0" w:rsidRPr="001C1933" w:rsidRDefault="000408B0" w:rsidP="001C1933">
            <w:pPr>
              <w:spacing w:after="0" w:line="240" w:lineRule="auto"/>
              <w:textAlignment w:val="baseline"/>
              <w:rPr>
                <w:rFonts w:ascii="Segoe UI" w:eastAsia="Times New Roman" w:hAnsi="Segoe UI" w:cs="Segoe UI"/>
                <w:kern w:val="0"/>
                <w:sz w:val="18"/>
                <w:szCs w:val="18"/>
                <w:lang w:eastAsia="nl-NL"/>
                <w14:ligatures w14:val="none"/>
              </w:rPr>
            </w:pPr>
            <w:r>
              <w:rPr>
                <w:rFonts w:ascii="Calibri" w:eastAsia="Times New Roman" w:hAnsi="Calibri" w:cs="Calibri"/>
                <w:kern w:val="0"/>
                <w:lang w:val="en-US" w:eastAsia="nl-NL"/>
                <w14:ligatures w14:val="none"/>
              </w:rPr>
              <w:t>Double incidence</w:t>
            </w:r>
            <w:r w:rsidRPr="001C1933">
              <w:rPr>
                <w:rFonts w:ascii="Calibri" w:eastAsia="Times New Roman" w:hAnsi="Calibri" w:cs="Calibri"/>
                <w:kern w:val="0"/>
                <w:lang w:eastAsia="nl-NL"/>
                <w14:ligatures w14:val="none"/>
              </w:rPr>
              <w:t> </w:t>
            </w:r>
          </w:p>
        </w:tc>
        <w:tc>
          <w:tcPr>
            <w:tcW w:w="2694" w:type="dxa"/>
            <w:tcBorders>
              <w:top w:val="single" w:sz="18" w:space="0" w:color="auto"/>
              <w:left w:val="single" w:sz="6" w:space="0" w:color="auto"/>
              <w:bottom w:val="single" w:sz="4" w:space="0" w:color="auto"/>
              <w:right w:val="single" w:sz="6" w:space="0" w:color="auto"/>
            </w:tcBorders>
            <w:hideMark/>
          </w:tcPr>
          <w:p w14:paraId="162E3DF6" w14:textId="400E9006" w:rsidR="000408B0" w:rsidRPr="001C1933" w:rsidRDefault="000408B0" w:rsidP="001C1933">
            <w:pPr>
              <w:spacing w:after="0" w:line="240" w:lineRule="auto"/>
              <w:textAlignment w:val="baseline"/>
              <w:rPr>
                <w:rFonts w:ascii="Segoe UI" w:eastAsia="Times New Roman" w:hAnsi="Segoe UI" w:cs="Segoe UI"/>
                <w:kern w:val="0"/>
                <w:sz w:val="18"/>
                <w:szCs w:val="18"/>
                <w:lang w:val="en-US" w:eastAsia="nl-NL"/>
                <w14:ligatures w14:val="none"/>
              </w:rPr>
            </w:pPr>
            <w:r>
              <w:rPr>
                <w:rFonts w:ascii="Calibri" w:eastAsia="Times New Roman" w:hAnsi="Calibri" w:cs="Calibri"/>
                <w:kern w:val="0"/>
                <w:lang w:val="en-US" w:eastAsia="nl-NL"/>
                <w14:ligatures w14:val="none"/>
              </w:rPr>
              <w:t>The incidence is doubled</w:t>
            </w:r>
          </w:p>
        </w:tc>
        <w:tc>
          <w:tcPr>
            <w:tcW w:w="6705" w:type="dxa"/>
            <w:tcBorders>
              <w:top w:val="single" w:sz="18" w:space="0" w:color="auto"/>
              <w:left w:val="single" w:sz="6" w:space="0" w:color="auto"/>
              <w:bottom w:val="single" w:sz="4" w:space="0" w:color="auto"/>
              <w:right w:val="single" w:sz="18" w:space="0" w:color="auto"/>
            </w:tcBorders>
            <w:hideMark/>
          </w:tcPr>
          <w:p w14:paraId="070BD1C0" w14:textId="1FF93FE7" w:rsidR="000408B0" w:rsidRPr="001C1933" w:rsidRDefault="000408B0" w:rsidP="001C1933">
            <w:pPr>
              <w:spacing w:after="0" w:line="240" w:lineRule="auto"/>
              <w:textAlignment w:val="baseline"/>
              <w:rPr>
                <w:rFonts w:ascii="Segoe UI" w:eastAsia="Times New Roman" w:hAnsi="Segoe UI" w:cs="Segoe UI"/>
                <w:kern w:val="0"/>
                <w:sz w:val="18"/>
                <w:szCs w:val="18"/>
                <w:lang w:val="en-US" w:eastAsia="nl-NL"/>
                <w14:ligatures w14:val="none"/>
              </w:rPr>
            </w:pPr>
            <w:r w:rsidRPr="001C1933">
              <w:rPr>
                <w:rFonts w:ascii="Calibri" w:eastAsia="Times New Roman" w:hAnsi="Calibri" w:cs="Calibri"/>
                <w:kern w:val="0"/>
                <w:lang w:val="en-US" w:eastAsia="nl-NL"/>
                <w14:ligatures w14:val="none"/>
              </w:rPr>
              <w:t xml:space="preserve">The base-case results indicate that IMD-B vaccines are currently very expensive for the effect that it delivers. This scenario analysis investigates the impact of a substantial </w:t>
            </w:r>
            <w:r>
              <w:rPr>
                <w:rFonts w:ascii="Calibri" w:eastAsia="Times New Roman" w:hAnsi="Calibri" w:cs="Calibri"/>
                <w:kern w:val="0"/>
                <w:lang w:val="en-US" w:eastAsia="nl-NL"/>
                <w14:ligatures w14:val="none"/>
              </w:rPr>
              <w:t>increase in the incidence. The analysis is interesting because in the past, the incidence has been higher</w:t>
            </w:r>
            <w:r w:rsidR="001D6679">
              <w:rPr>
                <w:rFonts w:ascii="Calibri" w:eastAsia="Times New Roman" w:hAnsi="Calibri" w:cs="Calibri"/>
                <w:kern w:val="0"/>
                <w:lang w:val="en-US" w:eastAsia="nl-NL"/>
                <w14:ligatures w14:val="none"/>
              </w:rPr>
              <w:fldChar w:fldCharType="begin">
                <w:fldData xml:space="preserve">PEVuZE5vdGU+PENpdGU+PEF1dGhvcj5Qb3V3ZWxzPC9BdXRob3I+PFllYXI+MjAxMzwvWWVhcj48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</w:fldData>
              </w:fldChar>
            </w:r>
            <w:r w:rsidR="008C2627">
              <w:rPr>
                <w:rFonts w:ascii="Calibri" w:eastAsia="Times New Roman" w:hAnsi="Calibri" w:cs="Calibri"/>
                <w:kern w:val="0"/>
                <w:lang w:val="en-US" w:eastAsia="nl-NL"/>
                <w14:ligatures w14:val="none"/>
              </w:rPr>
              <w:instrText xml:space="preserve"> ADDIN EN.CITE </w:instrText>
            </w:r>
            <w:r w:rsidR="008C2627">
              <w:rPr>
                <w:rFonts w:ascii="Calibri" w:eastAsia="Times New Roman" w:hAnsi="Calibri" w:cs="Calibri"/>
                <w:kern w:val="0"/>
                <w:lang w:val="en-US" w:eastAsia="nl-NL"/>
                <w14:ligatures w14:val="none"/>
              </w:rPr>
              <w:fldChar w:fldCharType="begin">
                <w:fldData xml:space="preserve">PEVuZE5vdGU+PENpdGU+PEF1dGhvcj5Qb3V3ZWxzPC9BdXRob3I+PFllYXI+MjAxMzwvWWVhcj48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</w:fldData>
              </w:fldChar>
            </w:r>
            <w:r w:rsidR="008C2627">
              <w:rPr>
                <w:rFonts w:ascii="Calibri" w:eastAsia="Times New Roman" w:hAnsi="Calibri" w:cs="Calibri"/>
                <w:kern w:val="0"/>
                <w:lang w:val="en-US" w:eastAsia="nl-NL"/>
                <w14:ligatures w14:val="none"/>
              </w:rPr>
              <w:instrText xml:space="preserve"> ADDIN EN.CITE.DATA </w:instrText>
            </w:r>
            <w:r w:rsidR="008C2627">
              <w:rPr>
                <w:rFonts w:ascii="Calibri" w:eastAsia="Times New Roman" w:hAnsi="Calibri" w:cs="Calibri"/>
                <w:kern w:val="0"/>
                <w:lang w:val="en-US" w:eastAsia="nl-NL"/>
                <w14:ligatures w14:val="none"/>
              </w:rPr>
            </w:r>
            <w:r w:rsidR="008C2627">
              <w:rPr>
                <w:rFonts w:ascii="Calibri" w:eastAsia="Times New Roman" w:hAnsi="Calibri" w:cs="Calibri"/>
                <w:kern w:val="0"/>
                <w:lang w:val="en-US" w:eastAsia="nl-NL"/>
                <w14:ligatures w14:val="none"/>
              </w:rPr>
              <w:fldChar w:fldCharType="end"/>
            </w:r>
            <w:r w:rsidR="001D6679">
              <w:rPr>
                <w:rFonts w:ascii="Calibri" w:eastAsia="Times New Roman" w:hAnsi="Calibri" w:cs="Calibri"/>
                <w:kern w:val="0"/>
                <w:lang w:val="en-US" w:eastAsia="nl-NL"/>
                <w14:ligatures w14:val="none"/>
              </w:rPr>
            </w:r>
            <w:r w:rsidR="001D6679">
              <w:rPr>
                <w:rFonts w:ascii="Calibri" w:eastAsia="Times New Roman" w:hAnsi="Calibri" w:cs="Calibri"/>
                <w:kern w:val="0"/>
                <w:lang w:val="en-US" w:eastAsia="nl-NL"/>
                <w14:ligatures w14:val="none"/>
              </w:rPr>
              <w:fldChar w:fldCharType="separate"/>
            </w:r>
            <w:r w:rsidR="008C2627">
              <w:rPr>
                <w:rFonts w:ascii="Calibri" w:eastAsia="Times New Roman" w:hAnsi="Calibri" w:cs="Calibri"/>
                <w:noProof/>
                <w:kern w:val="0"/>
                <w:lang w:val="en-US" w:eastAsia="nl-NL"/>
                <w14:ligatures w14:val="none"/>
              </w:rPr>
              <w:t>[2]</w:t>
            </w:r>
            <w:r w:rsidR="001D6679">
              <w:rPr>
                <w:rFonts w:ascii="Calibri" w:eastAsia="Times New Roman" w:hAnsi="Calibri" w:cs="Calibri"/>
                <w:kern w:val="0"/>
                <w:lang w:val="en-US" w:eastAsia="nl-NL"/>
                <w14:ligatures w14:val="none"/>
              </w:rPr>
              <w:fldChar w:fldCharType="end"/>
            </w:r>
            <w:r>
              <w:rPr>
                <w:rFonts w:ascii="Calibri" w:eastAsia="Times New Roman" w:hAnsi="Calibri" w:cs="Calibri"/>
                <w:kern w:val="0"/>
                <w:lang w:val="en-US" w:eastAsia="nl-NL"/>
                <w14:ligatures w14:val="none"/>
              </w:rPr>
              <w:t xml:space="preserve">. </w:t>
            </w:r>
          </w:p>
        </w:tc>
      </w:tr>
      <w:tr w:rsidR="000408B0" w:rsidRPr="00300A20" w14:paraId="0F568451" w14:textId="77777777">
        <w:trPr>
          <w:trHeight w:val="300"/>
        </w:trPr>
        <w:tc>
          <w:tcPr>
            <w:tcW w:w="1657" w:type="dxa"/>
            <w:vMerge/>
            <w:tcBorders>
              <w:left w:val="single" w:sz="18" w:space="0" w:color="auto"/>
              <w:bottom w:val="single" w:sz="18" w:space="0" w:color="auto"/>
              <w:right w:val="single" w:sz="18" w:space="0" w:color="auto"/>
            </w:tcBorders>
          </w:tcPr>
          <w:p w14:paraId="7436086C" w14:textId="77777777" w:rsidR="000408B0" w:rsidRPr="001C1933" w:rsidRDefault="000408B0" w:rsidP="000408B0">
            <w:pPr>
              <w:spacing w:after="0" w:line="240" w:lineRule="auto"/>
              <w:textAlignment w:val="baseline"/>
              <w:rPr>
                <w:rFonts w:ascii="Calibri" w:eastAsia="Times New Roman" w:hAnsi="Calibri" w:cs="Calibri"/>
                <w:b/>
                <w:bCs/>
                <w:kern w:val="0"/>
                <w:lang w:val="en-US" w:eastAsia="nl-NL"/>
                <w14:ligatures w14:val="none"/>
              </w:rPr>
            </w:pPr>
          </w:p>
        </w:tc>
        <w:tc>
          <w:tcPr>
            <w:tcW w:w="872" w:type="dxa"/>
            <w:tcBorders>
              <w:top w:val="single" w:sz="4" w:space="0" w:color="auto"/>
              <w:left w:val="single" w:sz="18" w:space="0" w:color="auto"/>
              <w:bottom w:val="single" w:sz="18" w:space="0" w:color="auto"/>
              <w:right w:val="single" w:sz="6" w:space="0" w:color="auto"/>
            </w:tcBorders>
          </w:tcPr>
          <w:p w14:paraId="57EE1AE2" w14:textId="086F1C33" w:rsidR="000408B0" w:rsidRPr="001C1933" w:rsidRDefault="000408B0" w:rsidP="000408B0">
            <w:pPr>
              <w:spacing w:after="0" w:line="240" w:lineRule="auto"/>
              <w:textAlignment w:val="baseline"/>
              <w:rPr>
                <w:rFonts w:ascii="Calibri" w:eastAsia="Times New Roman" w:hAnsi="Calibri" w:cs="Calibri"/>
                <w:kern w:val="0"/>
                <w:lang w:val="en-US" w:eastAsia="nl-NL"/>
                <w14:ligatures w14:val="none"/>
              </w:rPr>
            </w:pPr>
            <w:proofErr w:type="spellStart"/>
            <w:r>
              <w:rPr>
                <w:rFonts w:ascii="Calibri" w:eastAsia="Times New Roman" w:hAnsi="Calibri" w:cs="Calibri"/>
                <w:kern w:val="0"/>
                <w:lang w:val="en-US" w:eastAsia="nl-NL"/>
                <w14:ligatures w14:val="none"/>
              </w:rPr>
              <w:t>i</w:t>
            </w:r>
            <w:proofErr w:type="spellEnd"/>
            <w:r>
              <w:rPr>
                <w:rFonts w:ascii="Calibri" w:eastAsia="Times New Roman" w:hAnsi="Calibri" w:cs="Calibri"/>
                <w:kern w:val="0"/>
                <w:lang w:val="en-US" w:eastAsia="nl-NL"/>
                <w14:ligatures w14:val="none"/>
              </w:rPr>
              <w:t>.</w:t>
            </w:r>
          </w:p>
        </w:tc>
        <w:tc>
          <w:tcPr>
            <w:tcW w:w="1984" w:type="dxa"/>
            <w:tcBorders>
              <w:top w:val="single" w:sz="4" w:space="0" w:color="auto"/>
              <w:left w:val="single" w:sz="6" w:space="0" w:color="auto"/>
              <w:bottom w:val="single" w:sz="18" w:space="0" w:color="auto"/>
              <w:right w:val="single" w:sz="6" w:space="0" w:color="auto"/>
            </w:tcBorders>
          </w:tcPr>
          <w:p w14:paraId="648A2F7C" w14:textId="63E417A2" w:rsidR="000408B0" w:rsidRPr="001C1933" w:rsidRDefault="000408B0" w:rsidP="000408B0">
            <w:pPr>
              <w:spacing w:after="0" w:line="240" w:lineRule="auto"/>
              <w:textAlignment w:val="baseline"/>
              <w:rPr>
                <w:rFonts w:ascii="Calibri" w:eastAsia="Times New Roman" w:hAnsi="Calibri" w:cs="Calibri"/>
                <w:kern w:val="0"/>
                <w:lang w:val="en-US" w:eastAsia="nl-NL"/>
                <w14:ligatures w14:val="none"/>
              </w:rPr>
            </w:pPr>
            <w:r>
              <w:rPr>
                <w:rFonts w:ascii="Calibri" w:eastAsia="Times New Roman" w:hAnsi="Calibri" w:cs="Calibri"/>
                <w:kern w:val="0"/>
                <w:lang w:val="en-US" w:eastAsia="nl-NL"/>
                <w14:ligatures w14:val="none"/>
              </w:rPr>
              <w:t>Halve the price</w:t>
            </w:r>
          </w:p>
        </w:tc>
        <w:tc>
          <w:tcPr>
            <w:tcW w:w="2694" w:type="dxa"/>
            <w:tcBorders>
              <w:top w:val="single" w:sz="4" w:space="0" w:color="auto"/>
              <w:left w:val="single" w:sz="6" w:space="0" w:color="auto"/>
              <w:bottom w:val="single" w:sz="18" w:space="0" w:color="auto"/>
              <w:right w:val="single" w:sz="6" w:space="0" w:color="auto"/>
            </w:tcBorders>
          </w:tcPr>
          <w:p w14:paraId="244C8AA8" w14:textId="07229D5B" w:rsidR="000408B0" w:rsidRPr="001C1933" w:rsidRDefault="000408B0" w:rsidP="000408B0">
            <w:pPr>
              <w:spacing w:after="0" w:line="240" w:lineRule="auto"/>
              <w:textAlignment w:val="baseline"/>
              <w:rPr>
                <w:rFonts w:ascii="Calibri" w:eastAsia="Times New Roman" w:hAnsi="Calibri" w:cs="Calibri"/>
                <w:kern w:val="0"/>
                <w:lang w:val="en-US" w:eastAsia="nl-NL"/>
                <w14:ligatures w14:val="none"/>
              </w:rPr>
            </w:pPr>
            <w:r>
              <w:rPr>
                <w:rFonts w:ascii="Calibri" w:eastAsia="Times New Roman" w:hAnsi="Calibri" w:cs="Calibri"/>
                <w:kern w:val="0"/>
                <w:lang w:val="en-US" w:eastAsia="nl-NL"/>
                <w14:ligatures w14:val="none"/>
              </w:rPr>
              <w:t>The price of the vaccine is halved.</w:t>
            </w:r>
          </w:p>
        </w:tc>
        <w:tc>
          <w:tcPr>
            <w:tcW w:w="6705" w:type="dxa"/>
            <w:tcBorders>
              <w:top w:val="single" w:sz="4" w:space="0" w:color="auto"/>
              <w:left w:val="single" w:sz="6" w:space="0" w:color="auto"/>
              <w:bottom w:val="single" w:sz="18" w:space="0" w:color="auto"/>
              <w:right w:val="single" w:sz="18" w:space="0" w:color="auto"/>
            </w:tcBorders>
          </w:tcPr>
          <w:p w14:paraId="27700402" w14:textId="1B833377" w:rsidR="000408B0" w:rsidRPr="001C1933" w:rsidRDefault="000408B0" w:rsidP="00663C0D">
            <w:pPr>
              <w:keepNext/>
              <w:spacing w:after="0" w:line="240" w:lineRule="auto"/>
              <w:textAlignment w:val="baseline"/>
              <w:rPr>
                <w:rFonts w:ascii="Calibri" w:eastAsia="Times New Roman" w:hAnsi="Calibri" w:cs="Calibri"/>
                <w:kern w:val="0"/>
                <w:lang w:val="en-US" w:eastAsia="nl-NL"/>
                <w14:ligatures w14:val="none"/>
              </w:rPr>
            </w:pPr>
            <w:r w:rsidRPr="001C1933">
              <w:rPr>
                <w:rFonts w:ascii="Calibri" w:eastAsia="Times New Roman" w:hAnsi="Calibri" w:cs="Calibri"/>
                <w:kern w:val="0"/>
                <w:lang w:val="en-US" w:eastAsia="nl-NL"/>
                <w14:ligatures w14:val="none"/>
              </w:rPr>
              <w:t xml:space="preserve">The base-case results indicate that IMD-B vaccines are currently very expensive. This scenario analysis investigates the impact of a substantial </w:t>
            </w:r>
            <w:r>
              <w:rPr>
                <w:rFonts w:ascii="Calibri" w:eastAsia="Times New Roman" w:hAnsi="Calibri" w:cs="Calibri"/>
                <w:kern w:val="0"/>
                <w:lang w:val="en-US" w:eastAsia="nl-NL"/>
                <w14:ligatures w14:val="none"/>
              </w:rPr>
              <w:t>reduction in the price.</w:t>
            </w:r>
          </w:p>
        </w:tc>
      </w:tr>
    </w:tbl>
    <w:p w14:paraId="74F7C9B9" w14:textId="378293E9" w:rsidR="00E4130C" w:rsidRDefault="00663C0D" w:rsidP="00663C0D">
      <w:pPr>
        <w:pStyle w:val="Caption"/>
      </w:pPr>
      <w:r>
        <w:t xml:space="preserve">Table </w:t>
      </w:r>
      <w:r>
        <w:fldChar w:fldCharType="begin"/>
      </w:r>
      <w:r>
        <w:instrText xml:space="preserve"> SEQ Table \* ARABIC </w:instrText>
      </w:r>
      <w:r>
        <w:fldChar w:fldCharType="separate"/>
      </w:r>
      <w:r>
        <w:rPr>
          <w:noProof/>
        </w:rPr>
        <w:t>3</w:t>
      </w:r>
      <w:r>
        <w:fldChar w:fldCharType="end"/>
      </w:r>
      <w:r>
        <w:t xml:space="preserve"> Explanation of scenario analyses</w:t>
      </w:r>
    </w:p>
    <w:p w14:paraId="27712F4F" w14:textId="77777777" w:rsidR="00E4130C" w:rsidRDefault="00E4130C">
      <w:pPr>
        <w:rPr>
          <w:i/>
          <w:iCs/>
          <w:color w:val="44546A" w:themeColor="text2"/>
          <w:sz w:val="18"/>
          <w:szCs w:val="18"/>
          <w:lang w:val="en-US"/>
        </w:rPr>
      </w:pPr>
      <w:r w:rsidRPr="008013AE">
        <w:rPr>
          <w:lang w:val="en-US"/>
        </w:rPr>
        <w:br w:type="page"/>
      </w:r>
    </w:p>
    <w:p w14:paraId="1BE52067" w14:textId="2F417C77" w:rsidR="00E4130C" w:rsidRDefault="00E4130C" w:rsidP="005A3E0A">
      <w:pPr>
        <w:pStyle w:val="Heading2"/>
        <w:rPr>
          <w:lang w:val="en-US"/>
        </w:rPr>
      </w:pPr>
      <w:bookmarkStart w:id="3" w:name="_Toc215143393"/>
      <w:r w:rsidRPr="00E4130C">
        <w:rPr>
          <w:lang w:val="en-US"/>
        </w:rPr>
        <w:t>Sc</w:t>
      </w:r>
      <w:r>
        <w:rPr>
          <w:lang w:val="en-US"/>
        </w:rPr>
        <w:t>enario analyses</w:t>
      </w:r>
      <w:bookmarkEnd w:id="3"/>
    </w:p>
    <w:p w14:paraId="0C23F031" w14:textId="53236CB4" w:rsidR="005A3E0A" w:rsidRPr="007C7D26" w:rsidRDefault="005A3E0A" w:rsidP="005A3E0A">
      <w:pPr>
        <w:keepNext/>
        <w:rPr>
          <w:lang w:val="en-US"/>
        </w:rPr>
      </w:pPr>
    </w:p>
    <w:p w14:paraId="078B0C10" w14:textId="1F4EB55D" w:rsidR="00ED6CC8" w:rsidRDefault="00ED6CC8" w:rsidP="005A3E0A">
      <w:pPr>
        <w:pStyle w:val="Caption"/>
      </w:pPr>
      <w:r>
        <w:rPr>
          <w:noProof/>
        </w:rPr>
        <w:drawing>
          <wp:inline distT="0" distB="0" distL="0" distR="0" wp14:anchorId="01275E55" wp14:editId="4CD956EF">
            <wp:extent cx="9029026" cy="3696627"/>
            <wp:effectExtent l="0" t="0" r="1270" b="0"/>
            <wp:docPr id="14928050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5666" cy="3703440"/>
                    </a:xfrm>
                    <a:prstGeom prst="rect">
                      <a:avLst/>
                    </a:prstGeom>
                    <a:noFill/>
                  </pic:spPr>
                </pic:pic>
              </a:graphicData>
            </a:graphic>
          </wp:inline>
        </w:drawing>
      </w:r>
    </w:p>
    <w:p w14:paraId="59C234FB" w14:textId="332758EB" w:rsidR="005A3E0A" w:rsidRDefault="005A3E0A" w:rsidP="005A3E0A">
      <w:pPr>
        <w:pStyle w:val="Caption"/>
      </w:pPr>
      <w:r>
        <w:t xml:space="preserve">Figure </w:t>
      </w:r>
      <w:r>
        <w:fldChar w:fldCharType="begin"/>
      </w:r>
      <w:r>
        <w:instrText xml:space="preserve"> SEQ Figure \* ARABIC </w:instrText>
      </w:r>
      <w:r>
        <w:fldChar w:fldCharType="separate"/>
      </w:r>
      <w:r>
        <w:rPr>
          <w:noProof/>
        </w:rPr>
        <w:t>1</w:t>
      </w:r>
      <w:r>
        <w:fldChar w:fldCharType="end"/>
      </w:r>
      <w:r>
        <w:t xml:space="preserve"> Results of the Scenario analyses for the 4CmenB Infant schedule</w:t>
      </w:r>
    </w:p>
    <w:p w14:paraId="166D7DA1" w14:textId="748ACE94" w:rsidR="00E4130C" w:rsidRDefault="00E4130C" w:rsidP="00E4130C">
      <w:pPr>
        <w:rPr>
          <w:lang w:val="en-US"/>
        </w:rPr>
      </w:pPr>
      <w:r>
        <w:rPr>
          <w:lang w:val="en-US"/>
        </w:rPr>
        <w:br w:type="page"/>
      </w:r>
    </w:p>
    <w:p w14:paraId="448ABD38" w14:textId="3AEC95A3" w:rsidR="00E4130C" w:rsidRDefault="00EA07AE" w:rsidP="00E4130C">
      <w:pPr>
        <w:rPr>
          <w:lang w:val="en-US"/>
        </w:rPr>
      </w:pPr>
      <w:r>
        <w:rPr>
          <w:noProof/>
          <w:lang w:val="en-US"/>
        </w:rPr>
        <w:drawing>
          <wp:inline distT="0" distB="0" distL="0" distR="0" wp14:anchorId="5A4C863F" wp14:editId="004622F7">
            <wp:extent cx="9248775" cy="3580528"/>
            <wp:effectExtent l="0" t="0" r="0" b="0"/>
            <wp:docPr id="6344371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64939" cy="3586786"/>
                    </a:xfrm>
                    <a:prstGeom prst="rect">
                      <a:avLst/>
                    </a:prstGeom>
                    <a:noFill/>
                  </pic:spPr>
                </pic:pic>
              </a:graphicData>
            </a:graphic>
          </wp:inline>
        </w:drawing>
      </w:r>
    </w:p>
    <w:p w14:paraId="61E5D2FF" w14:textId="3CF29584" w:rsidR="005A3E0A" w:rsidRDefault="005A3E0A" w:rsidP="005A3E0A">
      <w:pPr>
        <w:pStyle w:val="Caption"/>
      </w:pPr>
      <w:r>
        <w:t xml:space="preserve">Figure 2 Results of the Scenario analyses for the 4CmenB </w:t>
      </w:r>
      <w:r w:rsidR="001A77B9">
        <w:t>A</w:t>
      </w:r>
      <w:r>
        <w:t>dolescent schedule</w:t>
      </w:r>
    </w:p>
    <w:p w14:paraId="36A3227C" w14:textId="77777777" w:rsidR="005A3E0A" w:rsidRDefault="005A3E0A" w:rsidP="00E4130C">
      <w:pPr>
        <w:rPr>
          <w:lang w:val="en-US"/>
        </w:rPr>
      </w:pPr>
    </w:p>
    <w:p w14:paraId="5B0F20E4" w14:textId="3EF4B1BF" w:rsidR="00E4130C" w:rsidRDefault="00E4130C" w:rsidP="00E4130C">
      <w:pPr>
        <w:rPr>
          <w:lang w:val="en-US"/>
        </w:rPr>
      </w:pPr>
    </w:p>
    <w:p w14:paraId="72823B84" w14:textId="22AC31D9" w:rsidR="00ED6CC8" w:rsidRDefault="00ED6CC8" w:rsidP="005A3E0A">
      <w:pPr>
        <w:pStyle w:val="Caption"/>
      </w:pPr>
      <w:bookmarkStart w:id="4" w:name="_Hlk197079574"/>
      <w:r>
        <w:rPr>
          <w:noProof/>
        </w:rPr>
        <w:drawing>
          <wp:inline distT="0" distB="0" distL="0" distR="0" wp14:anchorId="2F273E20" wp14:editId="2529EFA8">
            <wp:extent cx="9305939" cy="3810000"/>
            <wp:effectExtent l="0" t="0" r="9525" b="0"/>
            <wp:docPr id="8674507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12581" cy="3812719"/>
                    </a:xfrm>
                    <a:prstGeom prst="rect">
                      <a:avLst/>
                    </a:prstGeom>
                    <a:noFill/>
                  </pic:spPr>
                </pic:pic>
              </a:graphicData>
            </a:graphic>
          </wp:inline>
        </w:drawing>
      </w:r>
    </w:p>
    <w:p w14:paraId="782B4E3D" w14:textId="6B53376D" w:rsidR="005A3E0A" w:rsidRPr="005A3E0A" w:rsidRDefault="005A3E0A" w:rsidP="005A3E0A">
      <w:pPr>
        <w:pStyle w:val="Caption"/>
      </w:pPr>
      <w:r w:rsidRPr="005A3E0A">
        <w:t xml:space="preserve">Figure </w:t>
      </w:r>
      <w:r>
        <w:t>3</w:t>
      </w:r>
      <w:r w:rsidRPr="005A3E0A">
        <w:t xml:space="preserve"> Results of the Scenario analyses for the </w:t>
      </w:r>
      <w:r>
        <w:t>MenB-fHBp</w:t>
      </w:r>
      <w:r w:rsidRPr="005A3E0A">
        <w:t xml:space="preserve"> adolescent schedule</w:t>
      </w:r>
    </w:p>
    <w:bookmarkEnd w:id="4"/>
    <w:p w14:paraId="2FB4A0C5" w14:textId="106FEF7F" w:rsidR="00EA07AE" w:rsidRDefault="00EA07AE">
      <w:pPr>
        <w:rPr>
          <w:lang w:val="en-US"/>
        </w:rPr>
      </w:pPr>
      <w:r>
        <w:rPr>
          <w:lang w:val="en-US"/>
        </w:rPr>
        <w:br w:type="page"/>
      </w:r>
    </w:p>
    <w:p w14:paraId="3143A28B" w14:textId="5A7819DE" w:rsidR="005A3E0A" w:rsidRDefault="00EA07AE">
      <w:pPr>
        <w:rPr>
          <w:lang w:val="en-US"/>
        </w:rPr>
      </w:pPr>
      <w:r>
        <w:rPr>
          <w:noProof/>
          <w:lang w:val="en-US"/>
        </w:rPr>
        <w:drawing>
          <wp:inline distT="0" distB="0" distL="0" distR="0" wp14:anchorId="35CC2F43" wp14:editId="0905FB91">
            <wp:extent cx="9655029" cy="3495675"/>
            <wp:effectExtent l="0" t="0" r="0" b="0"/>
            <wp:docPr id="10103415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70141" cy="3501146"/>
                    </a:xfrm>
                    <a:prstGeom prst="rect">
                      <a:avLst/>
                    </a:prstGeom>
                    <a:noFill/>
                  </pic:spPr>
                </pic:pic>
              </a:graphicData>
            </a:graphic>
          </wp:inline>
        </w:drawing>
      </w:r>
    </w:p>
    <w:p w14:paraId="70DAD628" w14:textId="22057BDC" w:rsidR="005A3E0A" w:rsidRPr="005A3E0A" w:rsidRDefault="005A3E0A" w:rsidP="005A3E0A">
      <w:pPr>
        <w:pStyle w:val="Caption"/>
      </w:pPr>
      <w:r w:rsidRPr="005A3E0A">
        <w:t xml:space="preserve">Figure </w:t>
      </w:r>
      <w:r>
        <w:t xml:space="preserve">4 </w:t>
      </w:r>
      <w:r w:rsidRPr="005A3E0A">
        <w:t xml:space="preserve"> Results of the Scenario analyses for the </w:t>
      </w:r>
      <w:r>
        <w:t>MenABCWY</w:t>
      </w:r>
      <w:r w:rsidRPr="005A3E0A">
        <w:t xml:space="preserve"> adolescent schedule</w:t>
      </w:r>
    </w:p>
    <w:p w14:paraId="01051245" w14:textId="54FAAC66" w:rsidR="00E4130C" w:rsidRDefault="00E4130C">
      <w:pPr>
        <w:rPr>
          <w:lang w:val="en-US"/>
        </w:rPr>
      </w:pPr>
      <w:r>
        <w:rPr>
          <w:lang w:val="en-US"/>
        </w:rPr>
        <w:br w:type="page"/>
      </w:r>
    </w:p>
    <w:p w14:paraId="55EE396E" w14:textId="77777777" w:rsidR="00E4130C" w:rsidRPr="00E4130C" w:rsidRDefault="00E4130C" w:rsidP="00E4130C">
      <w:pPr>
        <w:rPr>
          <w:rFonts w:asciiTheme="majorHAnsi" w:eastAsiaTheme="majorEastAsia" w:hAnsiTheme="majorHAnsi" w:cstheme="majorBidi"/>
          <w:color w:val="2F5496" w:themeColor="accent1" w:themeShade="BF"/>
          <w:sz w:val="26"/>
          <w:szCs w:val="26"/>
          <w:lang w:val="en-US"/>
        </w:rPr>
      </w:pPr>
    </w:p>
    <w:p w14:paraId="433134BA" w14:textId="7992F928" w:rsidR="00BD625A" w:rsidRPr="009C36EA" w:rsidRDefault="00BD625A" w:rsidP="00663C0D">
      <w:pPr>
        <w:pStyle w:val="Heading2"/>
        <w:rPr>
          <w:lang w:val="en-US"/>
        </w:rPr>
      </w:pPr>
      <w:bookmarkStart w:id="5" w:name="_Toc215143394"/>
      <w:r w:rsidRPr="009C36EA">
        <w:rPr>
          <w:lang w:val="en-US"/>
        </w:rPr>
        <w:t>Deterministic sensitivity analyses</w:t>
      </w:r>
      <w:bookmarkEnd w:id="5"/>
    </w:p>
    <w:p w14:paraId="54DAE03F" w14:textId="4D3C4D10" w:rsidR="009C36EA" w:rsidRPr="00837AA7" w:rsidRDefault="00837AA7" w:rsidP="00837AA7">
      <w:pPr>
        <w:keepNext/>
        <w:rPr>
          <w:lang w:val="en-US"/>
        </w:rPr>
      </w:pPr>
      <w:r>
        <w:rPr>
          <w:noProof/>
        </w:rPr>
        <w:drawing>
          <wp:inline distT="0" distB="0" distL="0" distR="0" wp14:anchorId="212CF42F" wp14:editId="0B4626FF">
            <wp:extent cx="8863330" cy="3491230"/>
            <wp:effectExtent l="0" t="0" r="13970" b="13970"/>
            <wp:docPr id="563855105" name="Chart 1">
              <a:extLst xmlns:a="http://schemas.openxmlformats.org/drawingml/2006/main">
                <a:ext uri="{FF2B5EF4-FFF2-40B4-BE49-F238E27FC236}">
                  <a16:creationId xmlns:a16="http://schemas.microsoft.com/office/drawing/2014/main" id="{00000000-0008-0000-0B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1C0A6ED" w14:textId="18189D24" w:rsidR="00BD625A" w:rsidRDefault="00E60036" w:rsidP="00E60036">
      <w:pPr>
        <w:pStyle w:val="Caption"/>
      </w:pPr>
      <w:r>
        <w:t xml:space="preserve">Figure </w:t>
      </w:r>
      <w:r w:rsidR="00837AA7">
        <w:t>5</w:t>
      </w:r>
      <w:r>
        <w:t xml:space="preserve"> Tornado Diagrams</w:t>
      </w:r>
      <w:r w:rsidR="00837AA7">
        <w:t xml:space="preserve"> 4CMenB infant schedule</w:t>
      </w:r>
    </w:p>
    <w:p w14:paraId="1ADBCC2C" w14:textId="1B387A53" w:rsidR="004C359B" w:rsidRPr="004C359B" w:rsidRDefault="004C359B" w:rsidP="004C359B">
      <w:pPr>
        <w:rPr>
          <w:lang w:val="en-US"/>
        </w:rPr>
      </w:pPr>
      <w:r>
        <w:rPr>
          <w:noProof/>
        </w:rPr>
        <w:drawing>
          <wp:inline distT="0" distB="0" distL="0" distR="0" wp14:anchorId="60B9806B" wp14:editId="629452A7">
            <wp:extent cx="8863330" cy="3491230"/>
            <wp:effectExtent l="0" t="0" r="13970" b="13970"/>
            <wp:docPr id="1247411294" name="Chart 1">
              <a:extLst xmlns:a="http://schemas.openxmlformats.org/drawingml/2006/main">
                <a:ext uri="{FF2B5EF4-FFF2-40B4-BE49-F238E27FC236}">
                  <a16:creationId xmlns:a16="http://schemas.microsoft.com/office/drawing/2014/main" id="{00000000-0008-0000-0B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398A15D" w14:textId="467B1102" w:rsidR="004C359B" w:rsidRDefault="004C359B" w:rsidP="004C359B">
      <w:pPr>
        <w:pStyle w:val="Caption"/>
      </w:pPr>
      <w:r>
        <w:t>Figure 6 Tornado Diagrams 4CMenB adolescent schedule</w:t>
      </w:r>
    </w:p>
    <w:p w14:paraId="04E8F616" w14:textId="5D8D2ED1" w:rsidR="001C1933" w:rsidRPr="009C36EA" w:rsidRDefault="004F3532" w:rsidP="00855634">
      <w:pPr>
        <w:jc w:val="both"/>
        <w:rPr>
          <w:u w:val="single"/>
          <w:lang w:val="en-US"/>
        </w:rPr>
      </w:pPr>
      <w:r>
        <w:rPr>
          <w:noProof/>
        </w:rPr>
        <w:drawing>
          <wp:inline distT="0" distB="0" distL="0" distR="0" wp14:anchorId="0C49FB18" wp14:editId="20230D23">
            <wp:extent cx="8863330" cy="3491230"/>
            <wp:effectExtent l="0" t="0" r="13970" b="13970"/>
            <wp:docPr id="1458126162" name="Chart 1">
              <a:extLst xmlns:a="http://schemas.openxmlformats.org/drawingml/2006/main">
                <a:ext uri="{FF2B5EF4-FFF2-40B4-BE49-F238E27FC236}">
                  <a16:creationId xmlns:a16="http://schemas.microsoft.com/office/drawing/2014/main" id="{00000000-0008-0000-0B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02668A6" w14:textId="21A86703" w:rsidR="004F3532" w:rsidRDefault="004F3532" w:rsidP="004F3532">
      <w:pPr>
        <w:pStyle w:val="Caption"/>
      </w:pPr>
      <w:r>
        <w:t>Figure 7 Tornado Diagrams MenB-fHBp  adolescent schedule</w:t>
      </w:r>
    </w:p>
    <w:p w14:paraId="7178E7FB" w14:textId="77777777" w:rsidR="002A546A" w:rsidRDefault="002A546A" w:rsidP="00855634">
      <w:pPr>
        <w:jc w:val="both"/>
        <w:rPr>
          <w:u w:val="single"/>
          <w:lang w:val="en-US"/>
        </w:rPr>
      </w:pPr>
      <w:r>
        <w:rPr>
          <w:noProof/>
        </w:rPr>
        <w:drawing>
          <wp:inline distT="0" distB="0" distL="0" distR="0" wp14:anchorId="3AD4C55E" wp14:editId="50E8BA76">
            <wp:extent cx="8863330" cy="3491230"/>
            <wp:effectExtent l="0" t="0" r="13970" b="13970"/>
            <wp:docPr id="227054928" name="Chart 1">
              <a:extLst xmlns:a="http://schemas.openxmlformats.org/drawingml/2006/main">
                <a:ext uri="{FF2B5EF4-FFF2-40B4-BE49-F238E27FC236}">
                  <a16:creationId xmlns:a16="http://schemas.microsoft.com/office/drawing/2014/main" id="{00000000-0008-0000-0B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668774D" w14:textId="04C80DB5" w:rsidR="002A546A" w:rsidRDefault="002A546A" w:rsidP="002A546A">
      <w:pPr>
        <w:pStyle w:val="Caption"/>
      </w:pPr>
      <w:r>
        <w:t>Figure 8 Tornado Diagrams MenABCWY + MenB-fHBp  adolescent schedule</w:t>
      </w:r>
    </w:p>
    <w:p w14:paraId="3FC1F580" w14:textId="6F7B8A63" w:rsidR="00F37B77" w:rsidRPr="001C1933" w:rsidRDefault="00F37B77" w:rsidP="00855634">
      <w:pPr>
        <w:jc w:val="both"/>
        <w:rPr>
          <w:u w:val="single"/>
          <w:lang w:val="en-US"/>
        </w:rPr>
      </w:pPr>
      <w:r w:rsidRPr="001C1933">
        <w:rPr>
          <w:u w:val="single"/>
          <w:lang w:val="en-US"/>
        </w:rPr>
        <w:br w:type="page"/>
      </w:r>
    </w:p>
    <w:p w14:paraId="73357E1F" w14:textId="30B7A0FA" w:rsidR="00663C0D" w:rsidRPr="00663C0D" w:rsidRDefault="00663C0D" w:rsidP="00663C0D">
      <w:pPr>
        <w:pStyle w:val="Heading2"/>
        <w:rPr>
          <w:lang w:val="en-US"/>
        </w:rPr>
      </w:pPr>
      <w:bookmarkStart w:id="6" w:name="_Toc215143395"/>
      <w:r w:rsidRPr="00663C0D">
        <w:rPr>
          <w:lang w:val="en-US"/>
        </w:rPr>
        <w:t>Se</w:t>
      </w:r>
      <w:r>
        <w:rPr>
          <w:lang w:val="en-US"/>
        </w:rPr>
        <w:t>nsitivity analyses</w:t>
      </w:r>
      <w:bookmarkEnd w:id="6"/>
    </w:p>
    <w:p w14:paraId="453387F7" w14:textId="13F8C6F5" w:rsidR="00F37B77" w:rsidRDefault="00F37B77" w:rsidP="002A546A">
      <w:pPr>
        <w:pStyle w:val="Heading3"/>
        <w:rPr>
          <w:noProof/>
        </w:rPr>
      </w:pPr>
      <w:bookmarkStart w:id="7" w:name="_Toc215143396"/>
      <w:r w:rsidRPr="00663C0D">
        <w:t>Sensitivity analyses – Overall V</w:t>
      </w:r>
      <w:r w:rsidR="002A546A">
        <w:t>E</w:t>
      </w:r>
      <w:bookmarkEnd w:id="7"/>
    </w:p>
    <w:p w14:paraId="4F220796" w14:textId="3192B8CD" w:rsidR="00F4677F" w:rsidRPr="00F4677F" w:rsidRDefault="00F4677F" w:rsidP="00F4677F">
      <w:pPr>
        <w:rPr>
          <w:lang w:val="en-US"/>
        </w:rPr>
      </w:pPr>
      <w:r>
        <w:rPr>
          <w:noProof/>
          <w:lang w:val="en-US"/>
        </w:rPr>
        <w:drawing>
          <wp:inline distT="0" distB="0" distL="0" distR="0" wp14:anchorId="12FBFDCB" wp14:editId="5641545C">
            <wp:extent cx="7793317" cy="4981575"/>
            <wp:effectExtent l="0" t="0" r="0" b="0"/>
            <wp:docPr id="815609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95710" cy="4983105"/>
                    </a:xfrm>
                    <a:prstGeom prst="rect">
                      <a:avLst/>
                    </a:prstGeom>
                    <a:noFill/>
                  </pic:spPr>
                </pic:pic>
              </a:graphicData>
            </a:graphic>
          </wp:inline>
        </w:drawing>
      </w:r>
    </w:p>
    <w:p w14:paraId="64F3E0A0" w14:textId="66751BB4" w:rsidR="00F37B77" w:rsidRDefault="00F37B77" w:rsidP="00855634">
      <w:pPr>
        <w:pStyle w:val="Caption"/>
        <w:jc w:val="both"/>
      </w:pPr>
      <w:r>
        <w:t xml:space="preserve">Figure </w:t>
      </w:r>
      <w:r w:rsidR="00431771">
        <w:t>9</w:t>
      </w:r>
      <w:r>
        <w:t xml:space="preserve">  </w:t>
      </w:r>
      <w:r w:rsidR="00431771">
        <w:t xml:space="preserve">Sensitivity analysis </w:t>
      </w:r>
      <w:r>
        <w:t>ICER by Vaccine Effectiveness - 4CMenB Infants</w:t>
      </w:r>
      <w:r w:rsidR="00431771">
        <w:t xml:space="preserve"> </w:t>
      </w:r>
      <w:r w:rsidR="00121DDF">
        <w:t>s</w:t>
      </w:r>
      <w:r w:rsidR="00431771">
        <w:t>chedule</w:t>
      </w:r>
    </w:p>
    <w:p w14:paraId="30253D22" w14:textId="2BC33503" w:rsidR="00431771" w:rsidRDefault="00F4677F" w:rsidP="00431771">
      <w:pPr>
        <w:rPr>
          <w:lang w:val="en-US"/>
        </w:rPr>
      </w:pPr>
      <w:r>
        <w:rPr>
          <w:noProof/>
          <w:lang w:val="en-US"/>
        </w:rPr>
        <w:drawing>
          <wp:inline distT="0" distB="0" distL="0" distR="0" wp14:anchorId="05FB59BE" wp14:editId="145569A9">
            <wp:extent cx="8210550" cy="5248275"/>
            <wp:effectExtent l="0" t="0" r="0" b="9525"/>
            <wp:docPr id="2997926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10550" cy="5248275"/>
                    </a:xfrm>
                    <a:prstGeom prst="rect">
                      <a:avLst/>
                    </a:prstGeom>
                    <a:noFill/>
                  </pic:spPr>
                </pic:pic>
              </a:graphicData>
            </a:graphic>
          </wp:inline>
        </w:drawing>
      </w:r>
    </w:p>
    <w:p w14:paraId="4D051A54" w14:textId="5396396F" w:rsidR="00431771" w:rsidRDefault="00431771" w:rsidP="00431771">
      <w:pPr>
        <w:pStyle w:val="Caption"/>
        <w:jc w:val="both"/>
      </w:pPr>
      <w:r>
        <w:t xml:space="preserve">Figure 10  Sensitivity analysis ICER by Vaccine Effectiveness - 4CMenB </w:t>
      </w:r>
      <w:r w:rsidR="00121DDF">
        <w:t>adolescent</w:t>
      </w:r>
      <w:r>
        <w:t xml:space="preserve"> </w:t>
      </w:r>
      <w:r w:rsidR="00121DDF">
        <w:t>s</w:t>
      </w:r>
      <w:r>
        <w:t>chedule</w:t>
      </w:r>
    </w:p>
    <w:p w14:paraId="4BBA8174" w14:textId="77777777" w:rsidR="00431771" w:rsidRPr="00431771" w:rsidRDefault="00431771" w:rsidP="00431771">
      <w:pPr>
        <w:rPr>
          <w:lang w:val="en-US"/>
        </w:rPr>
      </w:pPr>
    </w:p>
    <w:p w14:paraId="075FA10A" w14:textId="1196F442" w:rsidR="00F37B77" w:rsidRPr="00D92EEE" w:rsidRDefault="00F4677F" w:rsidP="00855634">
      <w:pPr>
        <w:jc w:val="both"/>
      </w:pPr>
      <w:r>
        <w:rPr>
          <w:noProof/>
        </w:rPr>
        <w:drawing>
          <wp:inline distT="0" distB="0" distL="0" distR="0" wp14:anchorId="5A6E87C4" wp14:editId="5279C66B">
            <wp:extent cx="7515225" cy="4803816"/>
            <wp:effectExtent l="0" t="0" r="0" b="0"/>
            <wp:docPr id="1077233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18718" cy="4806049"/>
                    </a:xfrm>
                    <a:prstGeom prst="rect">
                      <a:avLst/>
                    </a:prstGeom>
                    <a:noFill/>
                  </pic:spPr>
                </pic:pic>
              </a:graphicData>
            </a:graphic>
          </wp:inline>
        </w:drawing>
      </w:r>
    </w:p>
    <w:p w14:paraId="7AB19EA6" w14:textId="2EC78F09" w:rsidR="00F37B77" w:rsidRDefault="00F37B77" w:rsidP="00855634">
      <w:pPr>
        <w:pStyle w:val="Caption"/>
        <w:jc w:val="both"/>
        <w:rPr>
          <w:b/>
          <w:bCs/>
        </w:rPr>
      </w:pPr>
      <w:r>
        <w:t xml:space="preserve">Figure </w:t>
      </w:r>
      <w:r w:rsidR="00121DDF">
        <w:t>11</w:t>
      </w:r>
      <w:r>
        <w:t xml:space="preserve">  ICER by Vaccine Effectiveness – MenABCWY / MenB-fHBp – Adolescents – </w:t>
      </w:r>
      <w:r w:rsidR="00FF5DDF" w:rsidRPr="00D92EEE">
        <w:rPr>
          <w:b/>
          <w:bCs/>
        </w:rPr>
        <w:t xml:space="preserve">note that </w:t>
      </w:r>
      <w:r w:rsidR="00FF5DDF">
        <w:rPr>
          <w:b/>
          <w:bCs/>
        </w:rPr>
        <w:t xml:space="preserve">“MenB-fHBp” and “MenABCWY + MenB-fHBp” </w:t>
      </w:r>
      <w:r w:rsidR="00FF5DDF" w:rsidRPr="00D92EEE">
        <w:rPr>
          <w:b/>
          <w:bCs/>
        </w:rPr>
        <w:t xml:space="preserve">results </w:t>
      </w:r>
      <w:r w:rsidR="00FF5DDF">
        <w:rPr>
          <w:b/>
          <w:bCs/>
        </w:rPr>
        <w:t xml:space="preserve">are so </w:t>
      </w:r>
      <w:r w:rsidRPr="00D92EEE">
        <w:rPr>
          <w:b/>
          <w:bCs/>
        </w:rPr>
        <w:t>close that the lines overlap</w:t>
      </w:r>
      <w:r>
        <w:rPr>
          <w:b/>
          <w:bCs/>
        </w:rPr>
        <w:t xml:space="preserve"> completely</w:t>
      </w:r>
    </w:p>
    <w:p w14:paraId="1245B507" w14:textId="7D80ABFD" w:rsidR="00E60036" w:rsidRPr="00E60036" w:rsidRDefault="00E60036">
      <w:pPr>
        <w:rPr>
          <w:b/>
          <w:bCs/>
          <w:noProof/>
          <w:lang w:val="en-US"/>
        </w:rPr>
      </w:pPr>
    </w:p>
    <w:p w14:paraId="5557AB1D" w14:textId="6D36BBDD" w:rsidR="00E60036" w:rsidRDefault="0007764A" w:rsidP="00E60036">
      <w:pPr>
        <w:pStyle w:val="Heading3"/>
        <w:rPr>
          <w:noProof/>
        </w:rPr>
      </w:pPr>
      <w:bookmarkStart w:id="8" w:name="_Toc215143397"/>
      <w:r>
        <w:rPr>
          <w:noProof/>
        </w:rPr>
        <w:t xml:space="preserve">Sensitivity analysis – </w:t>
      </w:r>
      <w:r w:rsidR="00E60036">
        <w:rPr>
          <w:noProof/>
        </w:rPr>
        <w:t>Duration of protection</w:t>
      </w:r>
      <w:bookmarkEnd w:id="8"/>
    </w:p>
    <w:p w14:paraId="0B2031FB" w14:textId="015A900A" w:rsidR="00F37B77" w:rsidRDefault="00E4130C" w:rsidP="00855634">
      <w:pPr>
        <w:jc w:val="both"/>
        <w:rPr>
          <w:b/>
          <w:bCs/>
        </w:rPr>
      </w:pPr>
      <w:r>
        <w:rPr>
          <w:b/>
          <w:bCs/>
          <w:noProof/>
        </w:rPr>
        <w:drawing>
          <wp:inline distT="0" distB="0" distL="0" distR="0" wp14:anchorId="5F36351D" wp14:editId="50D11D36">
            <wp:extent cx="8982075" cy="4743450"/>
            <wp:effectExtent l="0" t="0" r="9525" b="0"/>
            <wp:docPr id="1346558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82075" cy="4743450"/>
                    </a:xfrm>
                    <a:prstGeom prst="rect">
                      <a:avLst/>
                    </a:prstGeom>
                    <a:noFill/>
                  </pic:spPr>
                </pic:pic>
              </a:graphicData>
            </a:graphic>
          </wp:inline>
        </w:drawing>
      </w:r>
    </w:p>
    <w:p w14:paraId="3DA820E4" w14:textId="38C71D91" w:rsidR="00F37B77" w:rsidRPr="00BB6EBF" w:rsidRDefault="00F37B77" w:rsidP="00E60036">
      <w:pPr>
        <w:pStyle w:val="Caption"/>
        <w:jc w:val="both"/>
      </w:pPr>
      <w:r>
        <w:t xml:space="preserve">Figure </w:t>
      </w:r>
      <w:r w:rsidR="00FF5DDF">
        <w:t>12</w:t>
      </w:r>
      <w:r>
        <w:t xml:space="preserve">  ICER by duration of protection – all vaccines –  </w:t>
      </w:r>
      <w:r w:rsidRPr="00D92EEE">
        <w:rPr>
          <w:b/>
          <w:bCs/>
        </w:rPr>
        <w:t xml:space="preserve">note that </w:t>
      </w:r>
      <w:r>
        <w:rPr>
          <w:b/>
          <w:bCs/>
        </w:rPr>
        <w:t xml:space="preserve">“MenB-fHBp” and “MenABCWY + MenB-fHBp” </w:t>
      </w:r>
      <w:r w:rsidRPr="00D92EEE">
        <w:rPr>
          <w:b/>
          <w:bCs/>
        </w:rPr>
        <w:t>results are so close that the lines overlap</w:t>
      </w:r>
      <w:r>
        <w:rPr>
          <w:b/>
          <w:bCs/>
        </w:rPr>
        <w:t xml:space="preserve"> completely</w:t>
      </w:r>
    </w:p>
    <w:sectPr w:rsidR="00F37B77" w:rsidRPr="00BB6EBF" w:rsidSect="00663C0D">
      <w:footerReference w:type="defaul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E2630" w14:textId="77777777" w:rsidR="00EA07AE" w:rsidRDefault="00EA07AE" w:rsidP="00EA07AE">
      <w:pPr>
        <w:spacing w:after="0" w:line="240" w:lineRule="auto"/>
      </w:pPr>
      <w:r>
        <w:separator/>
      </w:r>
    </w:p>
  </w:endnote>
  <w:endnote w:type="continuationSeparator" w:id="0">
    <w:p w14:paraId="484ED8BC" w14:textId="77777777" w:rsidR="00EA07AE" w:rsidRDefault="00EA07AE" w:rsidP="00EA0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452686"/>
      <w:docPartObj>
        <w:docPartGallery w:val="Page Numbers (Bottom of Page)"/>
        <w:docPartUnique/>
      </w:docPartObj>
    </w:sdtPr>
    <w:sdtEndPr/>
    <w:sdtContent>
      <w:p w14:paraId="4579C4B0" w14:textId="64B1D2E8" w:rsidR="00EA07AE" w:rsidRDefault="00EA07AE">
        <w:pPr>
          <w:pStyle w:val="Footer"/>
          <w:jc w:val="right"/>
        </w:pPr>
        <w:r>
          <w:fldChar w:fldCharType="begin"/>
        </w:r>
        <w:r>
          <w:instrText>PAGE   \* MERGEFORMAT</w:instrText>
        </w:r>
        <w:r>
          <w:fldChar w:fldCharType="separate"/>
        </w:r>
        <w:r>
          <w:t>2</w:t>
        </w:r>
        <w:r>
          <w:fldChar w:fldCharType="end"/>
        </w:r>
      </w:p>
    </w:sdtContent>
  </w:sdt>
  <w:p w14:paraId="31BC8B47" w14:textId="77777777" w:rsidR="00EA07AE" w:rsidRDefault="00EA0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13388" w14:textId="77777777" w:rsidR="00EA07AE" w:rsidRDefault="00EA07AE" w:rsidP="00EA07AE">
      <w:pPr>
        <w:spacing w:after="0" w:line="240" w:lineRule="auto"/>
      </w:pPr>
      <w:r>
        <w:separator/>
      </w:r>
    </w:p>
  </w:footnote>
  <w:footnote w:type="continuationSeparator" w:id="0">
    <w:p w14:paraId="26C6BD36" w14:textId="77777777" w:rsidR="00EA07AE" w:rsidRDefault="00EA07AE" w:rsidP="00EA0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C411E"/>
    <w:multiLevelType w:val="hybridMultilevel"/>
    <w:tmpl w:val="F77E47B0"/>
    <w:lvl w:ilvl="0" w:tplc="AAAC005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2B17D8"/>
    <w:multiLevelType w:val="hybridMultilevel"/>
    <w:tmpl w:val="03E8254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A966FA"/>
    <w:multiLevelType w:val="hybridMultilevel"/>
    <w:tmpl w:val="EE108646"/>
    <w:lvl w:ilvl="0" w:tplc="DA0E08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3341AB"/>
    <w:multiLevelType w:val="hybridMultilevel"/>
    <w:tmpl w:val="28440658"/>
    <w:lvl w:ilvl="0" w:tplc="77D6DB9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3A7C2A"/>
    <w:multiLevelType w:val="hybridMultilevel"/>
    <w:tmpl w:val="659CB0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FE38D4"/>
    <w:multiLevelType w:val="hybridMultilevel"/>
    <w:tmpl w:val="DEC01A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101ED7"/>
    <w:multiLevelType w:val="hybridMultilevel"/>
    <w:tmpl w:val="ED4889C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264164B"/>
    <w:multiLevelType w:val="hybridMultilevel"/>
    <w:tmpl w:val="3668AC9A"/>
    <w:lvl w:ilvl="0" w:tplc="596021B2">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C8E7055"/>
    <w:multiLevelType w:val="hybridMultilevel"/>
    <w:tmpl w:val="53766A94"/>
    <w:lvl w:ilvl="0" w:tplc="6E228D7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F034573"/>
    <w:multiLevelType w:val="hybridMultilevel"/>
    <w:tmpl w:val="376C80BC"/>
    <w:lvl w:ilvl="0" w:tplc="B94E628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4491F17"/>
    <w:multiLevelType w:val="hybridMultilevel"/>
    <w:tmpl w:val="3768EE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6C97B49"/>
    <w:multiLevelType w:val="hybridMultilevel"/>
    <w:tmpl w:val="D3AE7B40"/>
    <w:lvl w:ilvl="0" w:tplc="106083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132AD8"/>
    <w:multiLevelType w:val="hybridMultilevel"/>
    <w:tmpl w:val="D05CDC70"/>
    <w:lvl w:ilvl="0" w:tplc="2C00471E">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D5F7164"/>
    <w:multiLevelType w:val="hybridMultilevel"/>
    <w:tmpl w:val="221E28E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2714796">
    <w:abstractNumId w:val="5"/>
  </w:num>
  <w:num w:numId="2" w16cid:durableId="1094008391">
    <w:abstractNumId w:val="4"/>
  </w:num>
  <w:num w:numId="3" w16cid:durableId="408503601">
    <w:abstractNumId w:val="10"/>
  </w:num>
  <w:num w:numId="4" w16cid:durableId="1412659745">
    <w:abstractNumId w:val="13"/>
  </w:num>
  <w:num w:numId="5" w16cid:durableId="210657020">
    <w:abstractNumId w:val="3"/>
  </w:num>
  <w:num w:numId="6" w16cid:durableId="1711877969">
    <w:abstractNumId w:val="2"/>
  </w:num>
  <w:num w:numId="7" w16cid:durableId="913050438">
    <w:abstractNumId w:val="8"/>
  </w:num>
  <w:num w:numId="8" w16cid:durableId="1307737548">
    <w:abstractNumId w:val="9"/>
  </w:num>
  <w:num w:numId="9" w16cid:durableId="919798030">
    <w:abstractNumId w:val="7"/>
  </w:num>
  <w:num w:numId="10" w16cid:durableId="1958943692">
    <w:abstractNumId w:val="11"/>
  </w:num>
  <w:num w:numId="11" w16cid:durableId="719717432">
    <w:abstractNumId w:val="12"/>
  </w:num>
  <w:num w:numId="12" w16cid:durableId="326396421">
    <w:abstractNumId w:val="1"/>
  </w:num>
  <w:num w:numId="13" w16cid:durableId="745879818">
    <w:abstractNumId w:val="6"/>
  </w:num>
  <w:num w:numId="14" w16cid:durableId="1819691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f2ra5wvft5spyefwdqpfzvlt0tvwprx00v9&quot;&gt;MenB Library&lt;record-ids&gt;&lt;item&gt;2&lt;/item&gt;&lt;item&gt;5&lt;/item&gt;&lt;item&gt;6&lt;/item&gt;&lt;item&gt;8&lt;/item&gt;&lt;item&gt;10&lt;/item&gt;&lt;item&gt;12&lt;/item&gt;&lt;item&gt;13&lt;/item&gt;&lt;item&gt;14&lt;/item&gt;&lt;item&gt;16&lt;/item&gt;&lt;item&gt;17&lt;/item&gt;&lt;item&gt;18&lt;/item&gt;&lt;item&gt;20&lt;/item&gt;&lt;item&gt;22&lt;/item&gt;&lt;item&gt;23&lt;/item&gt;&lt;item&gt;24&lt;/item&gt;&lt;item&gt;27&lt;/item&gt;&lt;item&gt;35&lt;/item&gt;&lt;item&gt;39&lt;/item&gt;&lt;item&gt;41&lt;/item&gt;&lt;item&gt;42&lt;/item&gt;&lt;item&gt;44&lt;/item&gt;&lt;item&gt;46&lt;/item&gt;&lt;item&gt;47&lt;/item&gt;&lt;item&gt;48&lt;/item&gt;&lt;item&gt;49&lt;/item&gt;&lt;item&gt;50&lt;/item&gt;&lt;item&gt;51&lt;/item&gt;&lt;item&gt;52&lt;/item&gt;&lt;item&gt;53&lt;/item&gt;&lt;item&gt;54&lt;/item&gt;&lt;item&gt;55&lt;/item&gt;&lt;item&gt;56&lt;/item&gt;&lt;item&gt;57&lt;/item&gt;&lt;item&gt;58&lt;/item&gt;&lt;item&gt;59&lt;/item&gt;&lt;item&gt;61&lt;/item&gt;&lt;item&gt;63&lt;/item&gt;&lt;item&gt;64&lt;/item&gt;&lt;item&gt;65&lt;/item&gt;&lt;item&gt;66&lt;/item&gt;&lt;item&gt;67&lt;/item&gt;&lt;/record-ids&gt;&lt;/item&gt;&lt;/Libraries&gt;"/>
  </w:docVars>
  <w:rsids>
    <w:rsidRoot w:val="005A4BC7"/>
    <w:rsid w:val="0001049D"/>
    <w:rsid w:val="00012A21"/>
    <w:rsid w:val="00016578"/>
    <w:rsid w:val="000408B0"/>
    <w:rsid w:val="00042798"/>
    <w:rsid w:val="000442C2"/>
    <w:rsid w:val="00052FAA"/>
    <w:rsid w:val="000537A1"/>
    <w:rsid w:val="0007764A"/>
    <w:rsid w:val="000A52A1"/>
    <w:rsid w:val="000E4121"/>
    <w:rsid w:val="000F291C"/>
    <w:rsid w:val="001005E4"/>
    <w:rsid w:val="00100BE9"/>
    <w:rsid w:val="001016DF"/>
    <w:rsid w:val="00121DDF"/>
    <w:rsid w:val="00145B1B"/>
    <w:rsid w:val="00146DA1"/>
    <w:rsid w:val="00155B10"/>
    <w:rsid w:val="001602F3"/>
    <w:rsid w:val="00162224"/>
    <w:rsid w:val="001653AD"/>
    <w:rsid w:val="0019132F"/>
    <w:rsid w:val="001976ED"/>
    <w:rsid w:val="001A64C4"/>
    <w:rsid w:val="001A77B9"/>
    <w:rsid w:val="001C1933"/>
    <w:rsid w:val="001C4E2C"/>
    <w:rsid w:val="001C73DF"/>
    <w:rsid w:val="001D6679"/>
    <w:rsid w:val="001E19A7"/>
    <w:rsid w:val="001E66A2"/>
    <w:rsid w:val="001F1DF8"/>
    <w:rsid w:val="001F3402"/>
    <w:rsid w:val="00203DFA"/>
    <w:rsid w:val="00205AA6"/>
    <w:rsid w:val="00206971"/>
    <w:rsid w:val="0022246F"/>
    <w:rsid w:val="002323BC"/>
    <w:rsid w:val="00235C5F"/>
    <w:rsid w:val="00244021"/>
    <w:rsid w:val="002443F2"/>
    <w:rsid w:val="00257AE3"/>
    <w:rsid w:val="00266503"/>
    <w:rsid w:val="00267D6D"/>
    <w:rsid w:val="0028666A"/>
    <w:rsid w:val="00290105"/>
    <w:rsid w:val="0029343A"/>
    <w:rsid w:val="0029347C"/>
    <w:rsid w:val="0029746B"/>
    <w:rsid w:val="00297D76"/>
    <w:rsid w:val="002A0648"/>
    <w:rsid w:val="002A2AD4"/>
    <w:rsid w:val="002A2B1F"/>
    <w:rsid w:val="002A546A"/>
    <w:rsid w:val="002A5972"/>
    <w:rsid w:val="002C30DB"/>
    <w:rsid w:val="002C7B46"/>
    <w:rsid w:val="002D068A"/>
    <w:rsid w:val="002D4F11"/>
    <w:rsid w:val="002F3FA1"/>
    <w:rsid w:val="002F5B4D"/>
    <w:rsid w:val="00300A20"/>
    <w:rsid w:val="00302239"/>
    <w:rsid w:val="00302300"/>
    <w:rsid w:val="003039D0"/>
    <w:rsid w:val="003614CA"/>
    <w:rsid w:val="00382D77"/>
    <w:rsid w:val="003A3F77"/>
    <w:rsid w:val="003B1B45"/>
    <w:rsid w:val="003B2CF2"/>
    <w:rsid w:val="003B7625"/>
    <w:rsid w:val="003D5403"/>
    <w:rsid w:val="003E14F3"/>
    <w:rsid w:val="003F1254"/>
    <w:rsid w:val="003F185A"/>
    <w:rsid w:val="003F2DCF"/>
    <w:rsid w:val="00400CA7"/>
    <w:rsid w:val="00401781"/>
    <w:rsid w:val="00402383"/>
    <w:rsid w:val="00405B9C"/>
    <w:rsid w:val="00431771"/>
    <w:rsid w:val="004450A8"/>
    <w:rsid w:val="00457D57"/>
    <w:rsid w:val="00457FD8"/>
    <w:rsid w:val="00463DD0"/>
    <w:rsid w:val="004652BB"/>
    <w:rsid w:val="00466049"/>
    <w:rsid w:val="00466B08"/>
    <w:rsid w:val="004754DF"/>
    <w:rsid w:val="00481111"/>
    <w:rsid w:val="00481DA1"/>
    <w:rsid w:val="0048483E"/>
    <w:rsid w:val="00486D74"/>
    <w:rsid w:val="00490065"/>
    <w:rsid w:val="00496AC7"/>
    <w:rsid w:val="004A7399"/>
    <w:rsid w:val="004C359B"/>
    <w:rsid w:val="004C5A00"/>
    <w:rsid w:val="004D0FEA"/>
    <w:rsid w:val="004D7C9C"/>
    <w:rsid w:val="004E2361"/>
    <w:rsid w:val="004E2E5E"/>
    <w:rsid w:val="004F3532"/>
    <w:rsid w:val="00505FA3"/>
    <w:rsid w:val="00521F04"/>
    <w:rsid w:val="00530DBE"/>
    <w:rsid w:val="00531485"/>
    <w:rsid w:val="00534DBB"/>
    <w:rsid w:val="00536EE0"/>
    <w:rsid w:val="005413A6"/>
    <w:rsid w:val="00554CF2"/>
    <w:rsid w:val="00581DD2"/>
    <w:rsid w:val="00581FE1"/>
    <w:rsid w:val="00583CAD"/>
    <w:rsid w:val="00595309"/>
    <w:rsid w:val="005A3E0A"/>
    <w:rsid w:val="005A4BC7"/>
    <w:rsid w:val="005F5AFA"/>
    <w:rsid w:val="00607B05"/>
    <w:rsid w:val="00621463"/>
    <w:rsid w:val="006429C7"/>
    <w:rsid w:val="00646D8B"/>
    <w:rsid w:val="00654EA0"/>
    <w:rsid w:val="00655611"/>
    <w:rsid w:val="00663C0D"/>
    <w:rsid w:val="00670D60"/>
    <w:rsid w:val="00675B4A"/>
    <w:rsid w:val="00676603"/>
    <w:rsid w:val="006A11FF"/>
    <w:rsid w:val="006A269A"/>
    <w:rsid w:val="006A7DB1"/>
    <w:rsid w:val="006E34E5"/>
    <w:rsid w:val="006E6D15"/>
    <w:rsid w:val="006F5D05"/>
    <w:rsid w:val="00700E36"/>
    <w:rsid w:val="00701094"/>
    <w:rsid w:val="00702893"/>
    <w:rsid w:val="00703C4B"/>
    <w:rsid w:val="007066EF"/>
    <w:rsid w:val="00706BCC"/>
    <w:rsid w:val="007123FB"/>
    <w:rsid w:val="00717228"/>
    <w:rsid w:val="007226B6"/>
    <w:rsid w:val="00726891"/>
    <w:rsid w:val="00730E7D"/>
    <w:rsid w:val="00736261"/>
    <w:rsid w:val="00736751"/>
    <w:rsid w:val="00747F13"/>
    <w:rsid w:val="007538A8"/>
    <w:rsid w:val="00773D25"/>
    <w:rsid w:val="00777122"/>
    <w:rsid w:val="00777ACE"/>
    <w:rsid w:val="00786D49"/>
    <w:rsid w:val="0079231A"/>
    <w:rsid w:val="007B23E3"/>
    <w:rsid w:val="007B36B8"/>
    <w:rsid w:val="007B6BDD"/>
    <w:rsid w:val="007C08BA"/>
    <w:rsid w:val="007C7D26"/>
    <w:rsid w:val="007D427B"/>
    <w:rsid w:val="007D5ABE"/>
    <w:rsid w:val="007D69C5"/>
    <w:rsid w:val="007E0AAE"/>
    <w:rsid w:val="007E5771"/>
    <w:rsid w:val="008013AE"/>
    <w:rsid w:val="00817FB8"/>
    <w:rsid w:val="00826D0C"/>
    <w:rsid w:val="00832DB5"/>
    <w:rsid w:val="00837AA7"/>
    <w:rsid w:val="00840266"/>
    <w:rsid w:val="0084258D"/>
    <w:rsid w:val="00851FBE"/>
    <w:rsid w:val="00853263"/>
    <w:rsid w:val="00855634"/>
    <w:rsid w:val="00864C5A"/>
    <w:rsid w:val="00874C0B"/>
    <w:rsid w:val="0088390A"/>
    <w:rsid w:val="008A5519"/>
    <w:rsid w:val="008B0E4E"/>
    <w:rsid w:val="008C2627"/>
    <w:rsid w:val="008C3460"/>
    <w:rsid w:val="008D02A8"/>
    <w:rsid w:val="008E4AF4"/>
    <w:rsid w:val="008E5DDC"/>
    <w:rsid w:val="008F1F2E"/>
    <w:rsid w:val="00937512"/>
    <w:rsid w:val="0093780D"/>
    <w:rsid w:val="00937EAB"/>
    <w:rsid w:val="00941C8A"/>
    <w:rsid w:val="00961CBC"/>
    <w:rsid w:val="00964972"/>
    <w:rsid w:val="00980CB2"/>
    <w:rsid w:val="0098392E"/>
    <w:rsid w:val="009A48BF"/>
    <w:rsid w:val="009A4DF2"/>
    <w:rsid w:val="009B585D"/>
    <w:rsid w:val="009C104D"/>
    <w:rsid w:val="009C36EA"/>
    <w:rsid w:val="009D51B8"/>
    <w:rsid w:val="009D5A7E"/>
    <w:rsid w:val="009E11F3"/>
    <w:rsid w:val="009E20B6"/>
    <w:rsid w:val="009F44A6"/>
    <w:rsid w:val="009F6099"/>
    <w:rsid w:val="00A1231D"/>
    <w:rsid w:val="00A14364"/>
    <w:rsid w:val="00A15F73"/>
    <w:rsid w:val="00A33DC5"/>
    <w:rsid w:val="00A36659"/>
    <w:rsid w:val="00A40D91"/>
    <w:rsid w:val="00A44BCF"/>
    <w:rsid w:val="00A468B5"/>
    <w:rsid w:val="00A53333"/>
    <w:rsid w:val="00A80CB1"/>
    <w:rsid w:val="00A82E20"/>
    <w:rsid w:val="00A876B5"/>
    <w:rsid w:val="00A93657"/>
    <w:rsid w:val="00A94776"/>
    <w:rsid w:val="00A95182"/>
    <w:rsid w:val="00AB050D"/>
    <w:rsid w:val="00AD1302"/>
    <w:rsid w:val="00AD71A3"/>
    <w:rsid w:val="00B028D3"/>
    <w:rsid w:val="00B2682D"/>
    <w:rsid w:val="00B31A8C"/>
    <w:rsid w:val="00B335E3"/>
    <w:rsid w:val="00B35D68"/>
    <w:rsid w:val="00B41F1D"/>
    <w:rsid w:val="00B43059"/>
    <w:rsid w:val="00B745EE"/>
    <w:rsid w:val="00B854AD"/>
    <w:rsid w:val="00B9451A"/>
    <w:rsid w:val="00BA3873"/>
    <w:rsid w:val="00BB2DC3"/>
    <w:rsid w:val="00BB3F87"/>
    <w:rsid w:val="00BB51A0"/>
    <w:rsid w:val="00BB6633"/>
    <w:rsid w:val="00BB6EBF"/>
    <w:rsid w:val="00BB6FD7"/>
    <w:rsid w:val="00BD56C1"/>
    <w:rsid w:val="00BD625A"/>
    <w:rsid w:val="00BD704A"/>
    <w:rsid w:val="00BE28C6"/>
    <w:rsid w:val="00BE7417"/>
    <w:rsid w:val="00BF2395"/>
    <w:rsid w:val="00BF371A"/>
    <w:rsid w:val="00BF4626"/>
    <w:rsid w:val="00C05D40"/>
    <w:rsid w:val="00C07CF7"/>
    <w:rsid w:val="00C106E7"/>
    <w:rsid w:val="00C21287"/>
    <w:rsid w:val="00C21470"/>
    <w:rsid w:val="00C24330"/>
    <w:rsid w:val="00C3358D"/>
    <w:rsid w:val="00C5364B"/>
    <w:rsid w:val="00C55FE3"/>
    <w:rsid w:val="00C712FC"/>
    <w:rsid w:val="00C77198"/>
    <w:rsid w:val="00C81CBC"/>
    <w:rsid w:val="00C9092A"/>
    <w:rsid w:val="00CC6ADF"/>
    <w:rsid w:val="00CC6E80"/>
    <w:rsid w:val="00CE1513"/>
    <w:rsid w:val="00CE6D01"/>
    <w:rsid w:val="00CF313D"/>
    <w:rsid w:val="00D002D6"/>
    <w:rsid w:val="00D01912"/>
    <w:rsid w:val="00D01FFA"/>
    <w:rsid w:val="00D56544"/>
    <w:rsid w:val="00D60F6D"/>
    <w:rsid w:val="00DA71CA"/>
    <w:rsid w:val="00DC4403"/>
    <w:rsid w:val="00DD45B4"/>
    <w:rsid w:val="00DE7D69"/>
    <w:rsid w:val="00DF14AB"/>
    <w:rsid w:val="00E0515A"/>
    <w:rsid w:val="00E07E88"/>
    <w:rsid w:val="00E07F6F"/>
    <w:rsid w:val="00E143B0"/>
    <w:rsid w:val="00E22E3E"/>
    <w:rsid w:val="00E33BD8"/>
    <w:rsid w:val="00E4130C"/>
    <w:rsid w:val="00E5591E"/>
    <w:rsid w:val="00E56115"/>
    <w:rsid w:val="00E60036"/>
    <w:rsid w:val="00E632EB"/>
    <w:rsid w:val="00E91144"/>
    <w:rsid w:val="00E92133"/>
    <w:rsid w:val="00E92420"/>
    <w:rsid w:val="00E94386"/>
    <w:rsid w:val="00EA07AE"/>
    <w:rsid w:val="00EC7992"/>
    <w:rsid w:val="00ED4405"/>
    <w:rsid w:val="00ED5412"/>
    <w:rsid w:val="00ED6CC8"/>
    <w:rsid w:val="00EE4AFB"/>
    <w:rsid w:val="00EF114D"/>
    <w:rsid w:val="00EF2A85"/>
    <w:rsid w:val="00EF5DF3"/>
    <w:rsid w:val="00EF7C49"/>
    <w:rsid w:val="00F0282B"/>
    <w:rsid w:val="00F02E85"/>
    <w:rsid w:val="00F07CC7"/>
    <w:rsid w:val="00F26A1B"/>
    <w:rsid w:val="00F37B77"/>
    <w:rsid w:val="00F4474A"/>
    <w:rsid w:val="00F4677F"/>
    <w:rsid w:val="00F62C35"/>
    <w:rsid w:val="00F709EF"/>
    <w:rsid w:val="00F71BC5"/>
    <w:rsid w:val="00F72D90"/>
    <w:rsid w:val="00F87199"/>
    <w:rsid w:val="00F903D3"/>
    <w:rsid w:val="00F9687E"/>
    <w:rsid w:val="00FA01D1"/>
    <w:rsid w:val="00FB2CDB"/>
    <w:rsid w:val="00FC57E5"/>
    <w:rsid w:val="00FD1C21"/>
    <w:rsid w:val="00FD4A9F"/>
    <w:rsid w:val="00FF07CA"/>
    <w:rsid w:val="00FF26D0"/>
    <w:rsid w:val="00FF5C62"/>
    <w:rsid w:val="00FF5D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19A98"/>
  <w15:docId w15:val="{E3012444-54DA-41AB-84DE-4465C2CF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132F"/>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8839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9132F"/>
    <w:pPr>
      <w:keepNext/>
      <w:keepLines/>
      <w:spacing w:before="40" w:after="0"/>
      <w:outlineLvl w:val="2"/>
    </w:pPr>
    <w:rPr>
      <w:rFonts w:asciiTheme="majorHAnsi" w:eastAsiaTheme="majorEastAsia" w:hAnsiTheme="majorHAnsi" w:cstheme="majorBidi"/>
      <w:color w:val="1F3763" w:themeColor="accent1" w:themeShade="7F"/>
      <w:sz w:val="24"/>
      <w:szCs w:val="24"/>
      <w:lang w:val="en-US"/>
    </w:rPr>
  </w:style>
  <w:style w:type="paragraph" w:styleId="Heading4">
    <w:name w:val="heading 4"/>
    <w:basedOn w:val="Normal"/>
    <w:next w:val="Normal"/>
    <w:link w:val="Heading4Char"/>
    <w:uiPriority w:val="9"/>
    <w:unhideWhenUsed/>
    <w:qFormat/>
    <w:rsid w:val="0019132F"/>
    <w:pPr>
      <w:keepNext/>
      <w:keepLines/>
      <w:spacing w:before="40" w:after="0"/>
      <w:outlineLvl w:val="3"/>
    </w:pPr>
    <w:rPr>
      <w:rFonts w:asciiTheme="majorHAnsi" w:eastAsiaTheme="majorEastAsia" w:hAnsiTheme="majorHAnsi" w:cstheme="majorBidi"/>
      <w:i/>
      <w:iCs/>
      <w:color w:val="2F5496" w:themeColor="accent1" w:themeShade="BF"/>
      <w:lang w:val="en-US"/>
    </w:rPr>
  </w:style>
  <w:style w:type="paragraph" w:styleId="Heading5">
    <w:name w:val="heading 5"/>
    <w:basedOn w:val="Normal"/>
    <w:next w:val="Normal"/>
    <w:link w:val="Heading5Char"/>
    <w:uiPriority w:val="9"/>
    <w:unhideWhenUsed/>
    <w:qFormat/>
    <w:rsid w:val="0019132F"/>
    <w:pPr>
      <w:keepNext/>
      <w:keepLines/>
      <w:spacing w:before="40" w:after="0"/>
      <w:outlineLvl w:val="4"/>
    </w:pPr>
    <w:rPr>
      <w:rFonts w:asciiTheme="majorHAnsi" w:eastAsiaTheme="majorEastAsia" w:hAnsiTheme="majorHAnsi" w:cstheme="majorBidi"/>
      <w:color w:val="2F5496"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390A"/>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191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9132F"/>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rsid w:val="0019132F"/>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19132F"/>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rsid w:val="0019132F"/>
    <w:rPr>
      <w:rFonts w:asciiTheme="majorHAnsi" w:eastAsiaTheme="majorEastAsia" w:hAnsiTheme="majorHAnsi" w:cstheme="majorBidi"/>
      <w:color w:val="2F5496" w:themeColor="accent1" w:themeShade="BF"/>
      <w:lang w:val="en-US"/>
    </w:rPr>
  </w:style>
  <w:style w:type="character" w:styleId="CommentReference">
    <w:name w:val="annotation reference"/>
    <w:basedOn w:val="DefaultParagraphFont"/>
    <w:uiPriority w:val="99"/>
    <w:semiHidden/>
    <w:unhideWhenUsed/>
    <w:rsid w:val="0019132F"/>
    <w:rPr>
      <w:sz w:val="16"/>
      <w:szCs w:val="16"/>
    </w:rPr>
  </w:style>
  <w:style w:type="paragraph" w:styleId="CommentText">
    <w:name w:val="annotation text"/>
    <w:basedOn w:val="Normal"/>
    <w:link w:val="CommentTextChar"/>
    <w:uiPriority w:val="99"/>
    <w:unhideWhenUsed/>
    <w:rsid w:val="0019132F"/>
    <w:pPr>
      <w:spacing w:line="240" w:lineRule="auto"/>
    </w:pPr>
    <w:rPr>
      <w:sz w:val="20"/>
      <w:szCs w:val="20"/>
      <w:lang w:val="en-US"/>
    </w:rPr>
  </w:style>
  <w:style w:type="character" w:customStyle="1" w:styleId="CommentTextChar">
    <w:name w:val="Comment Text Char"/>
    <w:basedOn w:val="DefaultParagraphFont"/>
    <w:link w:val="CommentText"/>
    <w:uiPriority w:val="99"/>
    <w:rsid w:val="0019132F"/>
    <w:rPr>
      <w:sz w:val="20"/>
      <w:szCs w:val="20"/>
      <w:lang w:val="en-US"/>
    </w:rPr>
  </w:style>
  <w:style w:type="paragraph" w:styleId="Caption">
    <w:name w:val="caption"/>
    <w:basedOn w:val="Normal"/>
    <w:next w:val="Normal"/>
    <w:uiPriority w:val="35"/>
    <w:unhideWhenUsed/>
    <w:qFormat/>
    <w:rsid w:val="0019132F"/>
    <w:pPr>
      <w:spacing w:after="200" w:line="240" w:lineRule="auto"/>
    </w:pPr>
    <w:rPr>
      <w:i/>
      <w:iCs/>
      <w:color w:val="44546A" w:themeColor="text2"/>
      <w:sz w:val="18"/>
      <w:szCs w:val="18"/>
      <w:lang w:val="en-US"/>
    </w:rPr>
  </w:style>
  <w:style w:type="character" w:styleId="Hyperlink">
    <w:name w:val="Hyperlink"/>
    <w:basedOn w:val="DefaultParagraphFont"/>
    <w:uiPriority w:val="99"/>
    <w:unhideWhenUsed/>
    <w:rsid w:val="0019132F"/>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9132F"/>
    <w:rPr>
      <w:b/>
      <w:bCs/>
    </w:rPr>
  </w:style>
  <w:style w:type="character" w:customStyle="1" w:styleId="CommentSubjectChar">
    <w:name w:val="Comment Subject Char"/>
    <w:basedOn w:val="CommentTextChar"/>
    <w:link w:val="CommentSubject"/>
    <w:uiPriority w:val="99"/>
    <w:semiHidden/>
    <w:rsid w:val="0019132F"/>
    <w:rPr>
      <w:b/>
      <w:bCs/>
      <w:sz w:val="20"/>
      <w:szCs w:val="20"/>
      <w:lang w:val="en-US"/>
    </w:rPr>
  </w:style>
  <w:style w:type="character" w:styleId="UnresolvedMention">
    <w:name w:val="Unresolved Mention"/>
    <w:basedOn w:val="DefaultParagraphFont"/>
    <w:uiPriority w:val="99"/>
    <w:semiHidden/>
    <w:unhideWhenUsed/>
    <w:rsid w:val="0019132F"/>
    <w:rPr>
      <w:color w:val="605E5C"/>
      <w:shd w:val="clear" w:color="auto" w:fill="E1DFDD"/>
    </w:rPr>
  </w:style>
  <w:style w:type="paragraph" w:customStyle="1" w:styleId="EndNoteBibliographyTitle">
    <w:name w:val="EndNote Bibliography Title"/>
    <w:basedOn w:val="Normal"/>
    <w:link w:val="EndNoteBibliographyTitleChar"/>
    <w:rsid w:val="0019132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9132F"/>
    <w:rPr>
      <w:rFonts w:ascii="Calibri" w:hAnsi="Calibri" w:cs="Calibri"/>
      <w:noProof/>
      <w:lang w:val="en-US"/>
    </w:rPr>
  </w:style>
  <w:style w:type="paragraph" w:customStyle="1" w:styleId="EndNoteBibliography">
    <w:name w:val="EndNote Bibliography"/>
    <w:basedOn w:val="Normal"/>
    <w:link w:val="EndNoteBibliographyChar"/>
    <w:rsid w:val="0019132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9132F"/>
    <w:rPr>
      <w:rFonts w:ascii="Calibri" w:hAnsi="Calibri" w:cs="Calibri"/>
      <w:noProof/>
      <w:lang w:val="en-US"/>
    </w:rPr>
  </w:style>
  <w:style w:type="paragraph" w:styleId="ListParagraph">
    <w:name w:val="List Paragraph"/>
    <w:basedOn w:val="Normal"/>
    <w:uiPriority w:val="34"/>
    <w:qFormat/>
    <w:rsid w:val="0019132F"/>
    <w:pPr>
      <w:ind w:left="720"/>
      <w:contextualSpacing/>
    </w:pPr>
    <w:rPr>
      <w:lang w:val="en-US"/>
    </w:rPr>
  </w:style>
  <w:style w:type="paragraph" w:styleId="Revision">
    <w:name w:val="Revision"/>
    <w:hidden/>
    <w:uiPriority w:val="99"/>
    <w:semiHidden/>
    <w:rsid w:val="0019132F"/>
    <w:pPr>
      <w:spacing w:after="0" w:line="240" w:lineRule="auto"/>
    </w:pPr>
    <w:rPr>
      <w:lang w:val="en-US"/>
    </w:rPr>
  </w:style>
  <w:style w:type="paragraph" w:customStyle="1" w:styleId="pf1">
    <w:name w:val="pf1"/>
    <w:basedOn w:val="Normal"/>
    <w:rsid w:val="0019132F"/>
    <w:pPr>
      <w:spacing w:before="100" w:beforeAutospacing="1" w:after="100" w:afterAutospacing="1" w:line="240" w:lineRule="auto"/>
      <w:ind w:left="300"/>
    </w:pPr>
    <w:rPr>
      <w:rFonts w:ascii="Times New Roman" w:eastAsia="Times New Roman" w:hAnsi="Times New Roman" w:cs="Times New Roman"/>
      <w:kern w:val="0"/>
      <w:sz w:val="24"/>
      <w:szCs w:val="24"/>
      <w:lang w:eastAsia="nl-NL"/>
      <w14:ligatures w14:val="none"/>
    </w:rPr>
  </w:style>
  <w:style w:type="paragraph" w:customStyle="1" w:styleId="pf0">
    <w:name w:val="pf0"/>
    <w:basedOn w:val="Normal"/>
    <w:rsid w:val="0019132F"/>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DefaultParagraphFont"/>
    <w:rsid w:val="0019132F"/>
    <w:rPr>
      <w:rFonts w:ascii="Segoe UI" w:hAnsi="Segoe UI" w:cs="Segoe UI" w:hint="default"/>
      <w:sz w:val="18"/>
      <w:szCs w:val="18"/>
    </w:rPr>
  </w:style>
  <w:style w:type="character" w:customStyle="1" w:styleId="normaltextrun">
    <w:name w:val="normaltextrun"/>
    <w:basedOn w:val="DefaultParagraphFont"/>
    <w:rsid w:val="00BE28C6"/>
  </w:style>
  <w:style w:type="character" w:customStyle="1" w:styleId="eop">
    <w:name w:val="eop"/>
    <w:basedOn w:val="DefaultParagraphFont"/>
    <w:rsid w:val="00BE28C6"/>
  </w:style>
  <w:style w:type="paragraph" w:customStyle="1" w:styleId="paragraph">
    <w:name w:val="paragraph"/>
    <w:basedOn w:val="Normal"/>
    <w:rsid w:val="001C193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FollowedHyperlink">
    <w:name w:val="FollowedHyperlink"/>
    <w:basedOn w:val="DefaultParagraphFont"/>
    <w:uiPriority w:val="99"/>
    <w:semiHidden/>
    <w:unhideWhenUsed/>
    <w:rsid w:val="00B41F1D"/>
    <w:rPr>
      <w:color w:val="954F72" w:themeColor="followedHyperlink"/>
      <w:u w:val="single"/>
    </w:rPr>
  </w:style>
  <w:style w:type="character" w:styleId="Emphasis">
    <w:name w:val="Emphasis"/>
    <w:basedOn w:val="DefaultParagraphFont"/>
    <w:uiPriority w:val="20"/>
    <w:qFormat/>
    <w:rsid w:val="002443F2"/>
    <w:rPr>
      <w:i/>
      <w:iCs/>
    </w:rPr>
  </w:style>
  <w:style w:type="paragraph" w:styleId="TOCHeading">
    <w:name w:val="TOC Heading"/>
    <w:basedOn w:val="Heading1"/>
    <w:next w:val="Normal"/>
    <w:uiPriority w:val="39"/>
    <w:unhideWhenUsed/>
    <w:qFormat/>
    <w:rsid w:val="00A93657"/>
    <w:pPr>
      <w:outlineLvl w:val="9"/>
    </w:pPr>
    <w:rPr>
      <w:kern w:val="0"/>
      <w14:ligatures w14:val="none"/>
    </w:rPr>
  </w:style>
  <w:style w:type="paragraph" w:styleId="TOC1">
    <w:name w:val="toc 1"/>
    <w:basedOn w:val="Normal"/>
    <w:next w:val="Normal"/>
    <w:autoRedefine/>
    <w:uiPriority w:val="39"/>
    <w:unhideWhenUsed/>
    <w:rsid w:val="00A93657"/>
    <w:pPr>
      <w:spacing w:after="100"/>
    </w:pPr>
  </w:style>
  <w:style w:type="paragraph" w:styleId="TOC2">
    <w:name w:val="toc 2"/>
    <w:basedOn w:val="Normal"/>
    <w:next w:val="Normal"/>
    <w:autoRedefine/>
    <w:uiPriority w:val="39"/>
    <w:unhideWhenUsed/>
    <w:rsid w:val="00A93657"/>
    <w:pPr>
      <w:spacing w:after="100"/>
      <w:ind w:left="220"/>
    </w:pPr>
  </w:style>
  <w:style w:type="paragraph" w:styleId="TOC3">
    <w:name w:val="toc 3"/>
    <w:basedOn w:val="Normal"/>
    <w:next w:val="Normal"/>
    <w:autoRedefine/>
    <w:uiPriority w:val="39"/>
    <w:unhideWhenUsed/>
    <w:rsid w:val="00A93657"/>
    <w:pPr>
      <w:spacing w:after="100"/>
      <w:ind w:left="440"/>
    </w:pPr>
  </w:style>
  <w:style w:type="paragraph" w:styleId="Header">
    <w:name w:val="header"/>
    <w:basedOn w:val="Normal"/>
    <w:link w:val="HeaderChar"/>
    <w:uiPriority w:val="99"/>
    <w:unhideWhenUsed/>
    <w:rsid w:val="00EA0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7AE"/>
  </w:style>
  <w:style w:type="paragraph" w:styleId="Footer">
    <w:name w:val="footer"/>
    <w:basedOn w:val="Normal"/>
    <w:link w:val="FooterChar"/>
    <w:uiPriority w:val="99"/>
    <w:unhideWhenUsed/>
    <w:rsid w:val="00EA0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58494">
      <w:bodyDiv w:val="1"/>
      <w:marLeft w:val="0"/>
      <w:marRight w:val="0"/>
      <w:marTop w:val="0"/>
      <w:marBottom w:val="0"/>
      <w:divBdr>
        <w:top w:val="none" w:sz="0" w:space="0" w:color="auto"/>
        <w:left w:val="none" w:sz="0" w:space="0" w:color="auto"/>
        <w:bottom w:val="none" w:sz="0" w:space="0" w:color="auto"/>
        <w:right w:val="none" w:sz="0" w:space="0" w:color="auto"/>
      </w:divBdr>
      <w:divsChild>
        <w:div w:id="3867503">
          <w:marLeft w:val="0"/>
          <w:marRight w:val="0"/>
          <w:marTop w:val="0"/>
          <w:marBottom w:val="0"/>
          <w:divBdr>
            <w:top w:val="none" w:sz="0" w:space="0" w:color="auto"/>
            <w:left w:val="none" w:sz="0" w:space="0" w:color="auto"/>
            <w:bottom w:val="none" w:sz="0" w:space="0" w:color="auto"/>
            <w:right w:val="none" w:sz="0" w:space="0" w:color="auto"/>
          </w:divBdr>
          <w:divsChild>
            <w:div w:id="1311710957">
              <w:marLeft w:val="0"/>
              <w:marRight w:val="0"/>
              <w:marTop w:val="0"/>
              <w:marBottom w:val="0"/>
              <w:divBdr>
                <w:top w:val="none" w:sz="0" w:space="0" w:color="auto"/>
                <w:left w:val="none" w:sz="0" w:space="0" w:color="auto"/>
                <w:bottom w:val="none" w:sz="0" w:space="0" w:color="auto"/>
                <w:right w:val="none" w:sz="0" w:space="0" w:color="auto"/>
              </w:divBdr>
            </w:div>
          </w:divsChild>
        </w:div>
        <w:div w:id="38208264">
          <w:marLeft w:val="0"/>
          <w:marRight w:val="0"/>
          <w:marTop w:val="0"/>
          <w:marBottom w:val="0"/>
          <w:divBdr>
            <w:top w:val="none" w:sz="0" w:space="0" w:color="auto"/>
            <w:left w:val="none" w:sz="0" w:space="0" w:color="auto"/>
            <w:bottom w:val="none" w:sz="0" w:space="0" w:color="auto"/>
            <w:right w:val="none" w:sz="0" w:space="0" w:color="auto"/>
          </w:divBdr>
          <w:divsChild>
            <w:div w:id="1327825123">
              <w:marLeft w:val="0"/>
              <w:marRight w:val="0"/>
              <w:marTop w:val="0"/>
              <w:marBottom w:val="0"/>
              <w:divBdr>
                <w:top w:val="none" w:sz="0" w:space="0" w:color="auto"/>
                <w:left w:val="none" w:sz="0" w:space="0" w:color="auto"/>
                <w:bottom w:val="none" w:sz="0" w:space="0" w:color="auto"/>
                <w:right w:val="none" w:sz="0" w:space="0" w:color="auto"/>
              </w:divBdr>
            </w:div>
          </w:divsChild>
        </w:div>
        <w:div w:id="370689371">
          <w:marLeft w:val="0"/>
          <w:marRight w:val="0"/>
          <w:marTop w:val="0"/>
          <w:marBottom w:val="0"/>
          <w:divBdr>
            <w:top w:val="none" w:sz="0" w:space="0" w:color="auto"/>
            <w:left w:val="none" w:sz="0" w:space="0" w:color="auto"/>
            <w:bottom w:val="none" w:sz="0" w:space="0" w:color="auto"/>
            <w:right w:val="none" w:sz="0" w:space="0" w:color="auto"/>
          </w:divBdr>
          <w:divsChild>
            <w:div w:id="1349214906">
              <w:marLeft w:val="0"/>
              <w:marRight w:val="0"/>
              <w:marTop w:val="0"/>
              <w:marBottom w:val="0"/>
              <w:divBdr>
                <w:top w:val="none" w:sz="0" w:space="0" w:color="auto"/>
                <w:left w:val="none" w:sz="0" w:space="0" w:color="auto"/>
                <w:bottom w:val="none" w:sz="0" w:space="0" w:color="auto"/>
                <w:right w:val="none" w:sz="0" w:space="0" w:color="auto"/>
              </w:divBdr>
            </w:div>
          </w:divsChild>
        </w:div>
        <w:div w:id="458843523">
          <w:marLeft w:val="0"/>
          <w:marRight w:val="0"/>
          <w:marTop w:val="0"/>
          <w:marBottom w:val="0"/>
          <w:divBdr>
            <w:top w:val="none" w:sz="0" w:space="0" w:color="auto"/>
            <w:left w:val="none" w:sz="0" w:space="0" w:color="auto"/>
            <w:bottom w:val="none" w:sz="0" w:space="0" w:color="auto"/>
            <w:right w:val="none" w:sz="0" w:space="0" w:color="auto"/>
          </w:divBdr>
          <w:divsChild>
            <w:div w:id="1347440673">
              <w:marLeft w:val="0"/>
              <w:marRight w:val="0"/>
              <w:marTop w:val="0"/>
              <w:marBottom w:val="0"/>
              <w:divBdr>
                <w:top w:val="none" w:sz="0" w:space="0" w:color="auto"/>
                <w:left w:val="none" w:sz="0" w:space="0" w:color="auto"/>
                <w:bottom w:val="none" w:sz="0" w:space="0" w:color="auto"/>
                <w:right w:val="none" w:sz="0" w:space="0" w:color="auto"/>
              </w:divBdr>
            </w:div>
          </w:divsChild>
        </w:div>
        <w:div w:id="528416866">
          <w:marLeft w:val="0"/>
          <w:marRight w:val="0"/>
          <w:marTop w:val="0"/>
          <w:marBottom w:val="0"/>
          <w:divBdr>
            <w:top w:val="none" w:sz="0" w:space="0" w:color="auto"/>
            <w:left w:val="none" w:sz="0" w:space="0" w:color="auto"/>
            <w:bottom w:val="none" w:sz="0" w:space="0" w:color="auto"/>
            <w:right w:val="none" w:sz="0" w:space="0" w:color="auto"/>
          </w:divBdr>
          <w:divsChild>
            <w:div w:id="1233353217">
              <w:marLeft w:val="0"/>
              <w:marRight w:val="0"/>
              <w:marTop w:val="0"/>
              <w:marBottom w:val="0"/>
              <w:divBdr>
                <w:top w:val="none" w:sz="0" w:space="0" w:color="auto"/>
                <w:left w:val="none" w:sz="0" w:space="0" w:color="auto"/>
                <w:bottom w:val="none" w:sz="0" w:space="0" w:color="auto"/>
                <w:right w:val="none" w:sz="0" w:space="0" w:color="auto"/>
              </w:divBdr>
            </w:div>
          </w:divsChild>
        </w:div>
        <w:div w:id="529688159">
          <w:marLeft w:val="0"/>
          <w:marRight w:val="0"/>
          <w:marTop w:val="0"/>
          <w:marBottom w:val="0"/>
          <w:divBdr>
            <w:top w:val="none" w:sz="0" w:space="0" w:color="auto"/>
            <w:left w:val="none" w:sz="0" w:space="0" w:color="auto"/>
            <w:bottom w:val="none" w:sz="0" w:space="0" w:color="auto"/>
            <w:right w:val="none" w:sz="0" w:space="0" w:color="auto"/>
          </w:divBdr>
          <w:divsChild>
            <w:div w:id="1155144009">
              <w:marLeft w:val="0"/>
              <w:marRight w:val="0"/>
              <w:marTop w:val="0"/>
              <w:marBottom w:val="0"/>
              <w:divBdr>
                <w:top w:val="none" w:sz="0" w:space="0" w:color="auto"/>
                <w:left w:val="none" w:sz="0" w:space="0" w:color="auto"/>
                <w:bottom w:val="none" w:sz="0" w:space="0" w:color="auto"/>
                <w:right w:val="none" w:sz="0" w:space="0" w:color="auto"/>
              </w:divBdr>
            </w:div>
          </w:divsChild>
        </w:div>
        <w:div w:id="547692229">
          <w:marLeft w:val="0"/>
          <w:marRight w:val="0"/>
          <w:marTop w:val="0"/>
          <w:marBottom w:val="0"/>
          <w:divBdr>
            <w:top w:val="none" w:sz="0" w:space="0" w:color="auto"/>
            <w:left w:val="none" w:sz="0" w:space="0" w:color="auto"/>
            <w:bottom w:val="none" w:sz="0" w:space="0" w:color="auto"/>
            <w:right w:val="none" w:sz="0" w:space="0" w:color="auto"/>
          </w:divBdr>
          <w:divsChild>
            <w:div w:id="301544386">
              <w:marLeft w:val="0"/>
              <w:marRight w:val="0"/>
              <w:marTop w:val="0"/>
              <w:marBottom w:val="0"/>
              <w:divBdr>
                <w:top w:val="none" w:sz="0" w:space="0" w:color="auto"/>
                <w:left w:val="none" w:sz="0" w:space="0" w:color="auto"/>
                <w:bottom w:val="none" w:sz="0" w:space="0" w:color="auto"/>
                <w:right w:val="none" w:sz="0" w:space="0" w:color="auto"/>
              </w:divBdr>
            </w:div>
          </w:divsChild>
        </w:div>
        <w:div w:id="550507282">
          <w:marLeft w:val="0"/>
          <w:marRight w:val="0"/>
          <w:marTop w:val="0"/>
          <w:marBottom w:val="0"/>
          <w:divBdr>
            <w:top w:val="none" w:sz="0" w:space="0" w:color="auto"/>
            <w:left w:val="none" w:sz="0" w:space="0" w:color="auto"/>
            <w:bottom w:val="none" w:sz="0" w:space="0" w:color="auto"/>
            <w:right w:val="none" w:sz="0" w:space="0" w:color="auto"/>
          </w:divBdr>
          <w:divsChild>
            <w:div w:id="284124271">
              <w:marLeft w:val="0"/>
              <w:marRight w:val="0"/>
              <w:marTop w:val="0"/>
              <w:marBottom w:val="0"/>
              <w:divBdr>
                <w:top w:val="none" w:sz="0" w:space="0" w:color="auto"/>
                <w:left w:val="none" w:sz="0" w:space="0" w:color="auto"/>
                <w:bottom w:val="none" w:sz="0" w:space="0" w:color="auto"/>
                <w:right w:val="none" w:sz="0" w:space="0" w:color="auto"/>
              </w:divBdr>
            </w:div>
          </w:divsChild>
        </w:div>
        <w:div w:id="606548343">
          <w:marLeft w:val="0"/>
          <w:marRight w:val="0"/>
          <w:marTop w:val="0"/>
          <w:marBottom w:val="0"/>
          <w:divBdr>
            <w:top w:val="none" w:sz="0" w:space="0" w:color="auto"/>
            <w:left w:val="none" w:sz="0" w:space="0" w:color="auto"/>
            <w:bottom w:val="none" w:sz="0" w:space="0" w:color="auto"/>
            <w:right w:val="none" w:sz="0" w:space="0" w:color="auto"/>
          </w:divBdr>
          <w:divsChild>
            <w:div w:id="1573537881">
              <w:marLeft w:val="0"/>
              <w:marRight w:val="0"/>
              <w:marTop w:val="0"/>
              <w:marBottom w:val="0"/>
              <w:divBdr>
                <w:top w:val="none" w:sz="0" w:space="0" w:color="auto"/>
                <w:left w:val="none" w:sz="0" w:space="0" w:color="auto"/>
                <w:bottom w:val="none" w:sz="0" w:space="0" w:color="auto"/>
                <w:right w:val="none" w:sz="0" w:space="0" w:color="auto"/>
              </w:divBdr>
            </w:div>
          </w:divsChild>
        </w:div>
        <w:div w:id="610434783">
          <w:marLeft w:val="0"/>
          <w:marRight w:val="0"/>
          <w:marTop w:val="0"/>
          <w:marBottom w:val="0"/>
          <w:divBdr>
            <w:top w:val="none" w:sz="0" w:space="0" w:color="auto"/>
            <w:left w:val="none" w:sz="0" w:space="0" w:color="auto"/>
            <w:bottom w:val="none" w:sz="0" w:space="0" w:color="auto"/>
            <w:right w:val="none" w:sz="0" w:space="0" w:color="auto"/>
          </w:divBdr>
          <w:divsChild>
            <w:div w:id="966937302">
              <w:marLeft w:val="0"/>
              <w:marRight w:val="0"/>
              <w:marTop w:val="0"/>
              <w:marBottom w:val="0"/>
              <w:divBdr>
                <w:top w:val="none" w:sz="0" w:space="0" w:color="auto"/>
                <w:left w:val="none" w:sz="0" w:space="0" w:color="auto"/>
                <w:bottom w:val="none" w:sz="0" w:space="0" w:color="auto"/>
                <w:right w:val="none" w:sz="0" w:space="0" w:color="auto"/>
              </w:divBdr>
            </w:div>
          </w:divsChild>
        </w:div>
        <w:div w:id="618948559">
          <w:marLeft w:val="0"/>
          <w:marRight w:val="0"/>
          <w:marTop w:val="0"/>
          <w:marBottom w:val="0"/>
          <w:divBdr>
            <w:top w:val="none" w:sz="0" w:space="0" w:color="auto"/>
            <w:left w:val="none" w:sz="0" w:space="0" w:color="auto"/>
            <w:bottom w:val="none" w:sz="0" w:space="0" w:color="auto"/>
            <w:right w:val="none" w:sz="0" w:space="0" w:color="auto"/>
          </w:divBdr>
          <w:divsChild>
            <w:div w:id="1200625550">
              <w:marLeft w:val="0"/>
              <w:marRight w:val="0"/>
              <w:marTop w:val="0"/>
              <w:marBottom w:val="0"/>
              <w:divBdr>
                <w:top w:val="none" w:sz="0" w:space="0" w:color="auto"/>
                <w:left w:val="none" w:sz="0" w:space="0" w:color="auto"/>
                <w:bottom w:val="none" w:sz="0" w:space="0" w:color="auto"/>
                <w:right w:val="none" w:sz="0" w:space="0" w:color="auto"/>
              </w:divBdr>
            </w:div>
          </w:divsChild>
        </w:div>
        <w:div w:id="660088853">
          <w:marLeft w:val="0"/>
          <w:marRight w:val="0"/>
          <w:marTop w:val="0"/>
          <w:marBottom w:val="0"/>
          <w:divBdr>
            <w:top w:val="none" w:sz="0" w:space="0" w:color="auto"/>
            <w:left w:val="none" w:sz="0" w:space="0" w:color="auto"/>
            <w:bottom w:val="none" w:sz="0" w:space="0" w:color="auto"/>
            <w:right w:val="none" w:sz="0" w:space="0" w:color="auto"/>
          </w:divBdr>
          <w:divsChild>
            <w:div w:id="1502966543">
              <w:marLeft w:val="0"/>
              <w:marRight w:val="0"/>
              <w:marTop w:val="0"/>
              <w:marBottom w:val="0"/>
              <w:divBdr>
                <w:top w:val="none" w:sz="0" w:space="0" w:color="auto"/>
                <w:left w:val="none" w:sz="0" w:space="0" w:color="auto"/>
                <w:bottom w:val="none" w:sz="0" w:space="0" w:color="auto"/>
                <w:right w:val="none" w:sz="0" w:space="0" w:color="auto"/>
              </w:divBdr>
            </w:div>
          </w:divsChild>
        </w:div>
        <w:div w:id="729116732">
          <w:marLeft w:val="0"/>
          <w:marRight w:val="0"/>
          <w:marTop w:val="0"/>
          <w:marBottom w:val="0"/>
          <w:divBdr>
            <w:top w:val="none" w:sz="0" w:space="0" w:color="auto"/>
            <w:left w:val="none" w:sz="0" w:space="0" w:color="auto"/>
            <w:bottom w:val="none" w:sz="0" w:space="0" w:color="auto"/>
            <w:right w:val="none" w:sz="0" w:space="0" w:color="auto"/>
          </w:divBdr>
          <w:divsChild>
            <w:div w:id="466708745">
              <w:marLeft w:val="0"/>
              <w:marRight w:val="0"/>
              <w:marTop w:val="0"/>
              <w:marBottom w:val="0"/>
              <w:divBdr>
                <w:top w:val="none" w:sz="0" w:space="0" w:color="auto"/>
                <w:left w:val="none" w:sz="0" w:space="0" w:color="auto"/>
                <w:bottom w:val="none" w:sz="0" w:space="0" w:color="auto"/>
                <w:right w:val="none" w:sz="0" w:space="0" w:color="auto"/>
              </w:divBdr>
            </w:div>
          </w:divsChild>
        </w:div>
        <w:div w:id="835733471">
          <w:marLeft w:val="0"/>
          <w:marRight w:val="0"/>
          <w:marTop w:val="0"/>
          <w:marBottom w:val="0"/>
          <w:divBdr>
            <w:top w:val="none" w:sz="0" w:space="0" w:color="auto"/>
            <w:left w:val="none" w:sz="0" w:space="0" w:color="auto"/>
            <w:bottom w:val="none" w:sz="0" w:space="0" w:color="auto"/>
            <w:right w:val="none" w:sz="0" w:space="0" w:color="auto"/>
          </w:divBdr>
          <w:divsChild>
            <w:div w:id="806553852">
              <w:marLeft w:val="0"/>
              <w:marRight w:val="0"/>
              <w:marTop w:val="0"/>
              <w:marBottom w:val="0"/>
              <w:divBdr>
                <w:top w:val="none" w:sz="0" w:space="0" w:color="auto"/>
                <w:left w:val="none" w:sz="0" w:space="0" w:color="auto"/>
                <w:bottom w:val="none" w:sz="0" w:space="0" w:color="auto"/>
                <w:right w:val="none" w:sz="0" w:space="0" w:color="auto"/>
              </w:divBdr>
            </w:div>
          </w:divsChild>
        </w:div>
        <w:div w:id="1016426933">
          <w:marLeft w:val="0"/>
          <w:marRight w:val="0"/>
          <w:marTop w:val="0"/>
          <w:marBottom w:val="0"/>
          <w:divBdr>
            <w:top w:val="none" w:sz="0" w:space="0" w:color="auto"/>
            <w:left w:val="none" w:sz="0" w:space="0" w:color="auto"/>
            <w:bottom w:val="none" w:sz="0" w:space="0" w:color="auto"/>
            <w:right w:val="none" w:sz="0" w:space="0" w:color="auto"/>
          </w:divBdr>
          <w:divsChild>
            <w:div w:id="1761443634">
              <w:marLeft w:val="0"/>
              <w:marRight w:val="0"/>
              <w:marTop w:val="0"/>
              <w:marBottom w:val="0"/>
              <w:divBdr>
                <w:top w:val="none" w:sz="0" w:space="0" w:color="auto"/>
                <w:left w:val="none" w:sz="0" w:space="0" w:color="auto"/>
                <w:bottom w:val="none" w:sz="0" w:space="0" w:color="auto"/>
                <w:right w:val="none" w:sz="0" w:space="0" w:color="auto"/>
              </w:divBdr>
            </w:div>
          </w:divsChild>
        </w:div>
        <w:div w:id="1026053862">
          <w:marLeft w:val="0"/>
          <w:marRight w:val="0"/>
          <w:marTop w:val="0"/>
          <w:marBottom w:val="0"/>
          <w:divBdr>
            <w:top w:val="none" w:sz="0" w:space="0" w:color="auto"/>
            <w:left w:val="none" w:sz="0" w:space="0" w:color="auto"/>
            <w:bottom w:val="none" w:sz="0" w:space="0" w:color="auto"/>
            <w:right w:val="none" w:sz="0" w:space="0" w:color="auto"/>
          </w:divBdr>
          <w:divsChild>
            <w:div w:id="1700663429">
              <w:marLeft w:val="0"/>
              <w:marRight w:val="0"/>
              <w:marTop w:val="0"/>
              <w:marBottom w:val="0"/>
              <w:divBdr>
                <w:top w:val="none" w:sz="0" w:space="0" w:color="auto"/>
                <w:left w:val="none" w:sz="0" w:space="0" w:color="auto"/>
                <w:bottom w:val="none" w:sz="0" w:space="0" w:color="auto"/>
                <w:right w:val="none" w:sz="0" w:space="0" w:color="auto"/>
              </w:divBdr>
            </w:div>
          </w:divsChild>
        </w:div>
        <w:div w:id="1144200104">
          <w:marLeft w:val="0"/>
          <w:marRight w:val="0"/>
          <w:marTop w:val="0"/>
          <w:marBottom w:val="0"/>
          <w:divBdr>
            <w:top w:val="none" w:sz="0" w:space="0" w:color="auto"/>
            <w:left w:val="none" w:sz="0" w:space="0" w:color="auto"/>
            <w:bottom w:val="none" w:sz="0" w:space="0" w:color="auto"/>
            <w:right w:val="none" w:sz="0" w:space="0" w:color="auto"/>
          </w:divBdr>
          <w:divsChild>
            <w:div w:id="1648240014">
              <w:marLeft w:val="0"/>
              <w:marRight w:val="0"/>
              <w:marTop w:val="0"/>
              <w:marBottom w:val="0"/>
              <w:divBdr>
                <w:top w:val="none" w:sz="0" w:space="0" w:color="auto"/>
                <w:left w:val="none" w:sz="0" w:space="0" w:color="auto"/>
                <w:bottom w:val="none" w:sz="0" w:space="0" w:color="auto"/>
                <w:right w:val="none" w:sz="0" w:space="0" w:color="auto"/>
              </w:divBdr>
            </w:div>
          </w:divsChild>
        </w:div>
        <w:div w:id="1190724234">
          <w:marLeft w:val="0"/>
          <w:marRight w:val="0"/>
          <w:marTop w:val="0"/>
          <w:marBottom w:val="0"/>
          <w:divBdr>
            <w:top w:val="none" w:sz="0" w:space="0" w:color="auto"/>
            <w:left w:val="none" w:sz="0" w:space="0" w:color="auto"/>
            <w:bottom w:val="none" w:sz="0" w:space="0" w:color="auto"/>
            <w:right w:val="none" w:sz="0" w:space="0" w:color="auto"/>
          </w:divBdr>
          <w:divsChild>
            <w:div w:id="1537501253">
              <w:marLeft w:val="0"/>
              <w:marRight w:val="0"/>
              <w:marTop w:val="0"/>
              <w:marBottom w:val="0"/>
              <w:divBdr>
                <w:top w:val="none" w:sz="0" w:space="0" w:color="auto"/>
                <w:left w:val="none" w:sz="0" w:space="0" w:color="auto"/>
                <w:bottom w:val="none" w:sz="0" w:space="0" w:color="auto"/>
                <w:right w:val="none" w:sz="0" w:space="0" w:color="auto"/>
              </w:divBdr>
            </w:div>
          </w:divsChild>
        </w:div>
        <w:div w:id="1350915276">
          <w:marLeft w:val="0"/>
          <w:marRight w:val="0"/>
          <w:marTop w:val="0"/>
          <w:marBottom w:val="0"/>
          <w:divBdr>
            <w:top w:val="none" w:sz="0" w:space="0" w:color="auto"/>
            <w:left w:val="none" w:sz="0" w:space="0" w:color="auto"/>
            <w:bottom w:val="none" w:sz="0" w:space="0" w:color="auto"/>
            <w:right w:val="none" w:sz="0" w:space="0" w:color="auto"/>
          </w:divBdr>
          <w:divsChild>
            <w:div w:id="1417744691">
              <w:marLeft w:val="0"/>
              <w:marRight w:val="0"/>
              <w:marTop w:val="0"/>
              <w:marBottom w:val="0"/>
              <w:divBdr>
                <w:top w:val="none" w:sz="0" w:space="0" w:color="auto"/>
                <w:left w:val="none" w:sz="0" w:space="0" w:color="auto"/>
                <w:bottom w:val="none" w:sz="0" w:space="0" w:color="auto"/>
                <w:right w:val="none" w:sz="0" w:space="0" w:color="auto"/>
              </w:divBdr>
            </w:div>
          </w:divsChild>
        </w:div>
        <w:div w:id="1373725094">
          <w:marLeft w:val="0"/>
          <w:marRight w:val="0"/>
          <w:marTop w:val="0"/>
          <w:marBottom w:val="0"/>
          <w:divBdr>
            <w:top w:val="none" w:sz="0" w:space="0" w:color="auto"/>
            <w:left w:val="none" w:sz="0" w:space="0" w:color="auto"/>
            <w:bottom w:val="none" w:sz="0" w:space="0" w:color="auto"/>
            <w:right w:val="none" w:sz="0" w:space="0" w:color="auto"/>
          </w:divBdr>
          <w:divsChild>
            <w:div w:id="22676279">
              <w:marLeft w:val="0"/>
              <w:marRight w:val="0"/>
              <w:marTop w:val="0"/>
              <w:marBottom w:val="0"/>
              <w:divBdr>
                <w:top w:val="none" w:sz="0" w:space="0" w:color="auto"/>
                <w:left w:val="none" w:sz="0" w:space="0" w:color="auto"/>
                <w:bottom w:val="none" w:sz="0" w:space="0" w:color="auto"/>
                <w:right w:val="none" w:sz="0" w:space="0" w:color="auto"/>
              </w:divBdr>
            </w:div>
          </w:divsChild>
        </w:div>
        <w:div w:id="1446583076">
          <w:marLeft w:val="0"/>
          <w:marRight w:val="0"/>
          <w:marTop w:val="0"/>
          <w:marBottom w:val="0"/>
          <w:divBdr>
            <w:top w:val="none" w:sz="0" w:space="0" w:color="auto"/>
            <w:left w:val="none" w:sz="0" w:space="0" w:color="auto"/>
            <w:bottom w:val="none" w:sz="0" w:space="0" w:color="auto"/>
            <w:right w:val="none" w:sz="0" w:space="0" w:color="auto"/>
          </w:divBdr>
          <w:divsChild>
            <w:div w:id="1807622202">
              <w:marLeft w:val="0"/>
              <w:marRight w:val="0"/>
              <w:marTop w:val="0"/>
              <w:marBottom w:val="0"/>
              <w:divBdr>
                <w:top w:val="none" w:sz="0" w:space="0" w:color="auto"/>
                <w:left w:val="none" w:sz="0" w:space="0" w:color="auto"/>
                <w:bottom w:val="none" w:sz="0" w:space="0" w:color="auto"/>
                <w:right w:val="none" w:sz="0" w:space="0" w:color="auto"/>
              </w:divBdr>
            </w:div>
          </w:divsChild>
        </w:div>
        <w:div w:id="1448887147">
          <w:marLeft w:val="0"/>
          <w:marRight w:val="0"/>
          <w:marTop w:val="0"/>
          <w:marBottom w:val="0"/>
          <w:divBdr>
            <w:top w:val="none" w:sz="0" w:space="0" w:color="auto"/>
            <w:left w:val="none" w:sz="0" w:space="0" w:color="auto"/>
            <w:bottom w:val="none" w:sz="0" w:space="0" w:color="auto"/>
            <w:right w:val="none" w:sz="0" w:space="0" w:color="auto"/>
          </w:divBdr>
          <w:divsChild>
            <w:div w:id="1164129609">
              <w:marLeft w:val="0"/>
              <w:marRight w:val="0"/>
              <w:marTop w:val="0"/>
              <w:marBottom w:val="0"/>
              <w:divBdr>
                <w:top w:val="none" w:sz="0" w:space="0" w:color="auto"/>
                <w:left w:val="none" w:sz="0" w:space="0" w:color="auto"/>
                <w:bottom w:val="none" w:sz="0" w:space="0" w:color="auto"/>
                <w:right w:val="none" w:sz="0" w:space="0" w:color="auto"/>
              </w:divBdr>
            </w:div>
          </w:divsChild>
        </w:div>
        <w:div w:id="1480153169">
          <w:marLeft w:val="0"/>
          <w:marRight w:val="0"/>
          <w:marTop w:val="0"/>
          <w:marBottom w:val="0"/>
          <w:divBdr>
            <w:top w:val="none" w:sz="0" w:space="0" w:color="auto"/>
            <w:left w:val="none" w:sz="0" w:space="0" w:color="auto"/>
            <w:bottom w:val="none" w:sz="0" w:space="0" w:color="auto"/>
            <w:right w:val="none" w:sz="0" w:space="0" w:color="auto"/>
          </w:divBdr>
          <w:divsChild>
            <w:div w:id="1461531647">
              <w:marLeft w:val="0"/>
              <w:marRight w:val="0"/>
              <w:marTop w:val="0"/>
              <w:marBottom w:val="0"/>
              <w:divBdr>
                <w:top w:val="none" w:sz="0" w:space="0" w:color="auto"/>
                <w:left w:val="none" w:sz="0" w:space="0" w:color="auto"/>
                <w:bottom w:val="none" w:sz="0" w:space="0" w:color="auto"/>
                <w:right w:val="none" w:sz="0" w:space="0" w:color="auto"/>
              </w:divBdr>
            </w:div>
          </w:divsChild>
        </w:div>
        <w:div w:id="1525704045">
          <w:marLeft w:val="0"/>
          <w:marRight w:val="0"/>
          <w:marTop w:val="0"/>
          <w:marBottom w:val="0"/>
          <w:divBdr>
            <w:top w:val="none" w:sz="0" w:space="0" w:color="auto"/>
            <w:left w:val="none" w:sz="0" w:space="0" w:color="auto"/>
            <w:bottom w:val="none" w:sz="0" w:space="0" w:color="auto"/>
            <w:right w:val="none" w:sz="0" w:space="0" w:color="auto"/>
          </w:divBdr>
          <w:divsChild>
            <w:div w:id="1700080862">
              <w:marLeft w:val="0"/>
              <w:marRight w:val="0"/>
              <w:marTop w:val="0"/>
              <w:marBottom w:val="0"/>
              <w:divBdr>
                <w:top w:val="none" w:sz="0" w:space="0" w:color="auto"/>
                <w:left w:val="none" w:sz="0" w:space="0" w:color="auto"/>
                <w:bottom w:val="none" w:sz="0" w:space="0" w:color="auto"/>
                <w:right w:val="none" w:sz="0" w:space="0" w:color="auto"/>
              </w:divBdr>
            </w:div>
          </w:divsChild>
        </w:div>
        <w:div w:id="1539010550">
          <w:marLeft w:val="0"/>
          <w:marRight w:val="0"/>
          <w:marTop w:val="0"/>
          <w:marBottom w:val="0"/>
          <w:divBdr>
            <w:top w:val="none" w:sz="0" w:space="0" w:color="auto"/>
            <w:left w:val="none" w:sz="0" w:space="0" w:color="auto"/>
            <w:bottom w:val="none" w:sz="0" w:space="0" w:color="auto"/>
            <w:right w:val="none" w:sz="0" w:space="0" w:color="auto"/>
          </w:divBdr>
          <w:divsChild>
            <w:div w:id="750933454">
              <w:marLeft w:val="0"/>
              <w:marRight w:val="0"/>
              <w:marTop w:val="0"/>
              <w:marBottom w:val="0"/>
              <w:divBdr>
                <w:top w:val="none" w:sz="0" w:space="0" w:color="auto"/>
                <w:left w:val="none" w:sz="0" w:space="0" w:color="auto"/>
                <w:bottom w:val="none" w:sz="0" w:space="0" w:color="auto"/>
                <w:right w:val="none" w:sz="0" w:space="0" w:color="auto"/>
              </w:divBdr>
            </w:div>
          </w:divsChild>
        </w:div>
        <w:div w:id="1540431664">
          <w:marLeft w:val="0"/>
          <w:marRight w:val="0"/>
          <w:marTop w:val="0"/>
          <w:marBottom w:val="0"/>
          <w:divBdr>
            <w:top w:val="none" w:sz="0" w:space="0" w:color="auto"/>
            <w:left w:val="none" w:sz="0" w:space="0" w:color="auto"/>
            <w:bottom w:val="none" w:sz="0" w:space="0" w:color="auto"/>
            <w:right w:val="none" w:sz="0" w:space="0" w:color="auto"/>
          </w:divBdr>
          <w:divsChild>
            <w:div w:id="1776553227">
              <w:marLeft w:val="0"/>
              <w:marRight w:val="0"/>
              <w:marTop w:val="0"/>
              <w:marBottom w:val="0"/>
              <w:divBdr>
                <w:top w:val="none" w:sz="0" w:space="0" w:color="auto"/>
                <w:left w:val="none" w:sz="0" w:space="0" w:color="auto"/>
                <w:bottom w:val="none" w:sz="0" w:space="0" w:color="auto"/>
                <w:right w:val="none" w:sz="0" w:space="0" w:color="auto"/>
              </w:divBdr>
            </w:div>
          </w:divsChild>
        </w:div>
        <w:div w:id="1547371106">
          <w:marLeft w:val="0"/>
          <w:marRight w:val="0"/>
          <w:marTop w:val="0"/>
          <w:marBottom w:val="0"/>
          <w:divBdr>
            <w:top w:val="none" w:sz="0" w:space="0" w:color="auto"/>
            <w:left w:val="none" w:sz="0" w:space="0" w:color="auto"/>
            <w:bottom w:val="none" w:sz="0" w:space="0" w:color="auto"/>
            <w:right w:val="none" w:sz="0" w:space="0" w:color="auto"/>
          </w:divBdr>
          <w:divsChild>
            <w:div w:id="1406998228">
              <w:marLeft w:val="0"/>
              <w:marRight w:val="0"/>
              <w:marTop w:val="0"/>
              <w:marBottom w:val="0"/>
              <w:divBdr>
                <w:top w:val="none" w:sz="0" w:space="0" w:color="auto"/>
                <w:left w:val="none" w:sz="0" w:space="0" w:color="auto"/>
                <w:bottom w:val="none" w:sz="0" w:space="0" w:color="auto"/>
                <w:right w:val="none" w:sz="0" w:space="0" w:color="auto"/>
              </w:divBdr>
            </w:div>
          </w:divsChild>
        </w:div>
        <w:div w:id="1586381179">
          <w:marLeft w:val="0"/>
          <w:marRight w:val="0"/>
          <w:marTop w:val="0"/>
          <w:marBottom w:val="0"/>
          <w:divBdr>
            <w:top w:val="none" w:sz="0" w:space="0" w:color="auto"/>
            <w:left w:val="none" w:sz="0" w:space="0" w:color="auto"/>
            <w:bottom w:val="none" w:sz="0" w:space="0" w:color="auto"/>
            <w:right w:val="none" w:sz="0" w:space="0" w:color="auto"/>
          </w:divBdr>
          <w:divsChild>
            <w:div w:id="1050807366">
              <w:marLeft w:val="0"/>
              <w:marRight w:val="0"/>
              <w:marTop w:val="0"/>
              <w:marBottom w:val="0"/>
              <w:divBdr>
                <w:top w:val="none" w:sz="0" w:space="0" w:color="auto"/>
                <w:left w:val="none" w:sz="0" w:space="0" w:color="auto"/>
                <w:bottom w:val="none" w:sz="0" w:space="0" w:color="auto"/>
                <w:right w:val="none" w:sz="0" w:space="0" w:color="auto"/>
              </w:divBdr>
            </w:div>
          </w:divsChild>
        </w:div>
        <w:div w:id="1610774998">
          <w:marLeft w:val="0"/>
          <w:marRight w:val="0"/>
          <w:marTop w:val="0"/>
          <w:marBottom w:val="0"/>
          <w:divBdr>
            <w:top w:val="none" w:sz="0" w:space="0" w:color="auto"/>
            <w:left w:val="none" w:sz="0" w:space="0" w:color="auto"/>
            <w:bottom w:val="none" w:sz="0" w:space="0" w:color="auto"/>
            <w:right w:val="none" w:sz="0" w:space="0" w:color="auto"/>
          </w:divBdr>
          <w:divsChild>
            <w:div w:id="189806082">
              <w:marLeft w:val="0"/>
              <w:marRight w:val="0"/>
              <w:marTop w:val="0"/>
              <w:marBottom w:val="0"/>
              <w:divBdr>
                <w:top w:val="none" w:sz="0" w:space="0" w:color="auto"/>
                <w:left w:val="none" w:sz="0" w:space="0" w:color="auto"/>
                <w:bottom w:val="none" w:sz="0" w:space="0" w:color="auto"/>
                <w:right w:val="none" w:sz="0" w:space="0" w:color="auto"/>
              </w:divBdr>
            </w:div>
            <w:div w:id="191383136">
              <w:marLeft w:val="0"/>
              <w:marRight w:val="0"/>
              <w:marTop w:val="0"/>
              <w:marBottom w:val="0"/>
              <w:divBdr>
                <w:top w:val="none" w:sz="0" w:space="0" w:color="auto"/>
                <w:left w:val="none" w:sz="0" w:space="0" w:color="auto"/>
                <w:bottom w:val="none" w:sz="0" w:space="0" w:color="auto"/>
                <w:right w:val="none" w:sz="0" w:space="0" w:color="auto"/>
              </w:divBdr>
            </w:div>
          </w:divsChild>
        </w:div>
        <w:div w:id="1638728129">
          <w:marLeft w:val="0"/>
          <w:marRight w:val="0"/>
          <w:marTop w:val="0"/>
          <w:marBottom w:val="0"/>
          <w:divBdr>
            <w:top w:val="none" w:sz="0" w:space="0" w:color="auto"/>
            <w:left w:val="none" w:sz="0" w:space="0" w:color="auto"/>
            <w:bottom w:val="none" w:sz="0" w:space="0" w:color="auto"/>
            <w:right w:val="none" w:sz="0" w:space="0" w:color="auto"/>
          </w:divBdr>
          <w:divsChild>
            <w:div w:id="1600064262">
              <w:marLeft w:val="0"/>
              <w:marRight w:val="0"/>
              <w:marTop w:val="0"/>
              <w:marBottom w:val="0"/>
              <w:divBdr>
                <w:top w:val="none" w:sz="0" w:space="0" w:color="auto"/>
                <w:left w:val="none" w:sz="0" w:space="0" w:color="auto"/>
                <w:bottom w:val="none" w:sz="0" w:space="0" w:color="auto"/>
                <w:right w:val="none" w:sz="0" w:space="0" w:color="auto"/>
              </w:divBdr>
            </w:div>
          </w:divsChild>
        </w:div>
        <w:div w:id="1732773414">
          <w:marLeft w:val="0"/>
          <w:marRight w:val="0"/>
          <w:marTop w:val="0"/>
          <w:marBottom w:val="0"/>
          <w:divBdr>
            <w:top w:val="none" w:sz="0" w:space="0" w:color="auto"/>
            <w:left w:val="none" w:sz="0" w:space="0" w:color="auto"/>
            <w:bottom w:val="none" w:sz="0" w:space="0" w:color="auto"/>
            <w:right w:val="none" w:sz="0" w:space="0" w:color="auto"/>
          </w:divBdr>
          <w:divsChild>
            <w:div w:id="99104761">
              <w:marLeft w:val="0"/>
              <w:marRight w:val="0"/>
              <w:marTop w:val="0"/>
              <w:marBottom w:val="0"/>
              <w:divBdr>
                <w:top w:val="none" w:sz="0" w:space="0" w:color="auto"/>
                <w:left w:val="none" w:sz="0" w:space="0" w:color="auto"/>
                <w:bottom w:val="none" w:sz="0" w:space="0" w:color="auto"/>
                <w:right w:val="none" w:sz="0" w:space="0" w:color="auto"/>
              </w:divBdr>
            </w:div>
          </w:divsChild>
        </w:div>
        <w:div w:id="1767770405">
          <w:marLeft w:val="0"/>
          <w:marRight w:val="0"/>
          <w:marTop w:val="0"/>
          <w:marBottom w:val="0"/>
          <w:divBdr>
            <w:top w:val="none" w:sz="0" w:space="0" w:color="auto"/>
            <w:left w:val="none" w:sz="0" w:space="0" w:color="auto"/>
            <w:bottom w:val="none" w:sz="0" w:space="0" w:color="auto"/>
            <w:right w:val="none" w:sz="0" w:space="0" w:color="auto"/>
          </w:divBdr>
          <w:divsChild>
            <w:div w:id="1309940240">
              <w:marLeft w:val="0"/>
              <w:marRight w:val="0"/>
              <w:marTop w:val="0"/>
              <w:marBottom w:val="0"/>
              <w:divBdr>
                <w:top w:val="none" w:sz="0" w:space="0" w:color="auto"/>
                <w:left w:val="none" w:sz="0" w:space="0" w:color="auto"/>
                <w:bottom w:val="none" w:sz="0" w:space="0" w:color="auto"/>
                <w:right w:val="none" w:sz="0" w:space="0" w:color="auto"/>
              </w:divBdr>
            </w:div>
          </w:divsChild>
        </w:div>
        <w:div w:id="1859154737">
          <w:marLeft w:val="0"/>
          <w:marRight w:val="0"/>
          <w:marTop w:val="0"/>
          <w:marBottom w:val="0"/>
          <w:divBdr>
            <w:top w:val="none" w:sz="0" w:space="0" w:color="auto"/>
            <w:left w:val="none" w:sz="0" w:space="0" w:color="auto"/>
            <w:bottom w:val="none" w:sz="0" w:space="0" w:color="auto"/>
            <w:right w:val="none" w:sz="0" w:space="0" w:color="auto"/>
          </w:divBdr>
          <w:divsChild>
            <w:div w:id="686054279">
              <w:marLeft w:val="0"/>
              <w:marRight w:val="0"/>
              <w:marTop w:val="0"/>
              <w:marBottom w:val="0"/>
              <w:divBdr>
                <w:top w:val="none" w:sz="0" w:space="0" w:color="auto"/>
                <w:left w:val="none" w:sz="0" w:space="0" w:color="auto"/>
                <w:bottom w:val="none" w:sz="0" w:space="0" w:color="auto"/>
                <w:right w:val="none" w:sz="0" w:space="0" w:color="auto"/>
              </w:divBdr>
            </w:div>
          </w:divsChild>
        </w:div>
        <w:div w:id="1932466891">
          <w:marLeft w:val="0"/>
          <w:marRight w:val="0"/>
          <w:marTop w:val="0"/>
          <w:marBottom w:val="0"/>
          <w:divBdr>
            <w:top w:val="none" w:sz="0" w:space="0" w:color="auto"/>
            <w:left w:val="none" w:sz="0" w:space="0" w:color="auto"/>
            <w:bottom w:val="none" w:sz="0" w:space="0" w:color="auto"/>
            <w:right w:val="none" w:sz="0" w:space="0" w:color="auto"/>
          </w:divBdr>
          <w:divsChild>
            <w:div w:id="1720670210">
              <w:marLeft w:val="0"/>
              <w:marRight w:val="0"/>
              <w:marTop w:val="0"/>
              <w:marBottom w:val="0"/>
              <w:divBdr>
                <w:top w:val="none" w:sz="0" w:space="0" w:color="auto"/>
                <w:left w:val="none" w:sz="0" w:space="0" w:color="auto"/>
                <w:bottom w:val="none" w:sz="0" w:space="0" w:color="auto"/>
                <w:right w:val="none" w:sz="0" w:space="0" w:color="auto"/>
              </w:divBdr>
            </w:div>
          </w:divsChild>
        </w:div>
        <w:div w:id="2025983217">
          <w:marLeft w:val="0"/>
          <w:marRight w:val="0"/>
          <w:marTop w:val="0"/>
          <w:marBottom w:val="0"/>
          <w:divBdr>
            <w:top w:val="none" w:sz="0" w:space="0" w:color="auto"/>
            <w:left w:val="none" w:sz="0" w:space="0" w:color="auto"/>
            <w:bottom w:val="none" w:sz="0" w:space="0" w:color="auto"/>
            <w:right w:val="none" w:sz="0" w:space="0" w:color="auto"/>
          </w:divBdr>
          <w:divsChild>
            <w:div w:id="1709646727">
              <w:marLeft w:val="0"/>
              <w:marRight w:val="0"/>
              <w:marTop w:val="0"/>
              <w:marBottom w:val="0"/>
              <w:divBdr>
                <w:top w:val="none" w:sz="0" w:space="0" w:color="auto"/>
                <w:left w:val="none" w:sz="0" w:space="0" w:color="auto"/>
                <w:bottom w:val="none" w:sz="0" w:space="0" w:color="auto"/>
                <w:right w:val="none" w:sz="0" w:space="0" w:color="auto"/>
              </w:divBdr>
            </w:div>
          </w:divsChild>
        </w:div>
        <w:div w:id="2029017951">
          <w:marLeft w:val="0"/>
          <w:marRight w:val="0"/>
          <w:marTop w:val="0"/>
          <w:marBottom w:val="0"/>
          <w:divBdr>
            <w:top w:val="none" w:sz="0" w:space="0" w:color="auto"/>
            <w:left w:val="none" w:sz="0" w:space="0" w:color="auto"/>
            <w:bottom w:val="none" w:sz="0" w:space="0" w:color="auto"/>
            <w:right w:val="none" w:sz="0" w:space="0" w:color="auto"/>
          </w:divBdr>
          <w:divsChild>
            <w:div w:id="169149520">
              <w:marLeft w:val="0"/>
              <w:marRight w:val="0"/>
              <w:marTop w:val="0"/>
              <w:marBottom w:val="0"/>
              <w:divBdr>
                <w:top w:val="none" w:sz="0" w:space="0" w:color="auto"/>
                <w:left w:val="none" w:sz="0" w:space="0" w:color="auto"/>
                <w:bottom w:val="none" w:sz="0" w:space="0" w:color="auto"/>
                <w:right w:val="none" w:sz="0" w:space="0" w:color="auto"/>
              </w:divBdr>
            </w:div>
          </w:divsChild>
        </w:div>
        <w:div w:id="2036074578">
          <w:marLeft w:val="0"/>
          <w:marRight w:val="0"/>
          <w:marTop w:val="0"/>
          <w:marBottom w:val="0"/>
          <w:divBdr>
            <w:top w:val="none" w:sz="0" w:space="0" w:color="auto"/>
            <w:left w:val="none" w:sz="0" w:space="0" w:color="auto"/>
            <w:bottom w:val="none" w:sz="0" w:space="0" w:color="auto"/>
            <w:right w:val="none" w:sz="0" w:space="0" w:color="auto"/>
          </w:divBdr>
          <w:divsChild>
            <w:div w:id="698049656">
              <w:marLeft w:val="0"/>
              <w:marRight w:val="0"/>
              <w:marTop w:val="0"/>
              <w:marBottom w:val="0"/>
              <w:divBdr>
                <w:top w:val="none" w:sz="0" w:space="0" w:color="auto"/>
                <w:left w:val="none" w:sz="0" w:space="0" w:color="auto"/>
                <w:bottom w:val="none" w:sz="0" w:space="0" w:color="auto"/>
                <w:right w:val="none" w:sz="0" w:space="0" w:color="auto"/>
              </w:divBdr>
            </w:div>
          </w:divsChild>
        </w:div>
        <w:div w:id="2037533294">
          <w:marLeft w:val="0"/>
          <w:marRight w:val="0"/>
          <w:marTop w:val="0"/>
          <w:marBottom w:val="0"/>
          <w:divBdr>
            <w:top w:val="none" w:sz="0" w:space="0" w:color="auto"/>
            <w:left w:val="none" w:sz="0" w:space="0" w:color="auto"/>
            <w:bottom w:val="none" w:sz="0" w:space="0" w:color="auto"/>
            <w:right w:val="none" w:sz="0" w:space="0" w:color="auto"/>
          </w:divBdr>
          <w:divsChild>
            <w:div w:id="1987006329">
              <w:marLeft w:val="0"/>
              <w:marRight w:val="0"/>
              <w:marTop w:val="0"/>
              <w:marBottom w:val="0"/>
              <w:divBdr>
                <w:top w:val="none" w:sz="0" w:space="0" w:color="auto"/>
                <w:left w:val="none" w:sz="0" w:space="0" w:color="auto"/>
                <w:bottom w:val="none" w:sz="0" w:space="0" w:color="auto"/>
                <w:right w:val="none" w:sz="0" w:space="0" w:color="auto"/>
              </w:divBdr>
            </w:div>
          </w:divsChild>
        </w:div>
        <w:div w:id="2049523465">
          <w:marLeft w:val="0"/>
          <w:marRight w:val="0"/>
          <w:marTop w:val="0"/>
          <w:marBottom w:val="0"/>
          <w:divBdr>
            <w:top w:val="none" w:sz="0" w:space="0" w:color="auto"/>
            <w:left w:val="none" w:sz="0" w:space="0" w:color="auto"/>
            <w:bottom w:val="none" w:sz="0" w:space="0" w:color="auto"/>
            <w:right w:val="none" w:sz="0" w:space="0" w:color="auto"/>
          </w:divBdr>
          <w:divsChild>
            <w:div w:id="532154538">
              <w:marLeft w:val="0"/>
              <w:marRight w:val="0"/>
              <w:marTop w:val="0"/>
              <w:marBottom w:val="0"/>
              <w:divBdr>
                <w:top w:val="none" w:sz="0" w:space="0" w:color="auto"/>
                <w:left w:val="none" w:sz="0" w:space="0" w:color="auto"/>
                <w:bottom w:val="none" w:sz="0" w:space="0" w:color="auto"/>
                <w:right w:val="none" w:sz="0" w:space="0" w:color="auto"/>
              </w:divBdr>
            </w:div>
          </w:divsChild>
        </w:div>
        <w:div w:id="2138529633">
          <w:marLeft w:val="0"/>
          <w:marRight w:val="0"/>
          <w:marTop w:val="0"/>
          <w:marBottom w:val="0"/>
          <w:divBdr>
            <w:top w:val="none" w:sz="0" w:space="0" w:color="auto"/>
            <w:left w:val="none" w:sz="0" w:space="0" w:color="auto"/>
            <w:bottom w:val="none" w:sz="0" w:space="0" w:color="auto"/>
            <w:right w:val="none" w:sz="0" w:space="0" w:color="auto"/>
          </w:divBdr>
          <w:divsChild>
            <w:div w:id="103851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71944">
      <w:bodyDiv w:val="1"/>
      <w:marLeft w:val="0"/>
      <w:marRight w:val="0"/>
      <w:marTop w:val="0"/>
      <w:marBottom w:val="0"/>
      <w:divBdr>
        <w:top w:val="none" w:sz="0" w:space="0" w:color="auto"/>
        <w:left w:val="none" w:sz="0" w:space="0" w:color="auto"/>
        <w:bottom w:val="none" w:sz="0" w:space="0" w:color="auto"/>
        <w:right w:val="none" w:sz="0" w:space="0" w:color="auto"/>
      </w:divBdr>
      <w:divsChild>
        <w:div w:id="24139342">
          <w:marLeft w:val="0"/>
          <w:marRight w:val="0"/>
          <w:marTop w:val="0"/>
          <w:marBottom w:val="0"/>
          <w:divBdr>
            <w:top w:val="none" w:sz="0" w:space="0" w:color="auto"/>
            <w:left w:val="none" w:sz="0" w:space="0" w:color="auto"/>
            <w:bottom w:val="none" w:sz="0" w:space="0" w:color="auto"/>
            <w:right w:val="none" w:sz="0" w:space="0" w:color="auto"/>
          </w:divBdr>
          <w:divsChild>
            <w:div w:id="568271828">
              <w:marLeft w:val="0"/>
              <w:marRight w:val="0"/>
              <w:marTop w:val="0"/>
              <w:marBottom w:val="0"/>
              <w:divBdr>
                <w:top w:val="none" w:sz="0" w:space="0" w:color="auto"/>
                <w:left w:val="none" w:sz="0" w:space="0" w:color="auto"/>
                <w:bottom w:val="none" w:sz="0" w:space="0" w:color="auto"/>
                <w:right w:val="none" w:sz="0" w:space="0" w:color="auto"/>
              </w:divBdr>
            </w:div>
          </w:divsChild>
        </w:div>
        <w:div w:id="74205933">
          <w:marLeft w:val="0"/>
          <w:marRight w:val="0"/>
          <w:marTop w:val="0"/>
          <w:marBottom w:val="0"/>
          <w:divBdr>
            <w:top w:val="none" w:sz="0" w:space="0" w:color="auto"/>
            <w:left w:val="none" w:sz="0" w:space="0" w:color="auto"/>
            <w:bottom w:val="none" w:sz="0" w:space="0" w:color="auto"/>
            <w:right w:val="none" w:sz="0" w:space="0" w:color="auto"/>
          </w:divBdr>
          <w:divsChild>
            <w:div w:id="1977367529">
              <w:marLeft w:val="0"/>
              <w:marRight w:val="0"/>
              <w:marTop w:val="0"/>
              <w:marBottom w:val="0"/>
              <w:divBdr>
                <w:top w:val="none" w:sz="0" w:space="0" w:color="auto"/>
                <w:left w:val="none" w:sz="0" w:space="0" w:color="auto"/>
                <w:bottom w:val="none" w:sz="0" w:space="0" w:color="auto"/>
                <w:right w:val="none" w:sz="0" w:space="0" w:color="auto"/>
              </w:divBdr>
            </w:div>
          </w:divsChild>
        </w:div>
        <w:div w:id="94712297">
          <w:marLeft w:val="0"/>
          <w:marRight w:val="0"/>
          <w:marTop w:val="0"/>
          <w:marBottom w:val="0"/>
          <w:divBdr>
            <w:top w:val="none" w:sz="0" w:space="0" w:color="auto"/>
            <w:left w:val="none" w:sz="0" w:space="0" w:color="auto"/>
            <w:bottom w:val="none" w:sz="0" w:space="0" w:color="auto"/>
            <w:right w:val="none" w:sz="0" w:space="0" w:color="auto"/>
          </w:divBdr>
          <w:divsChild>
            <w:div w:id="1400133832">
              <w:marLeft w:val="0"/>
              <w:marRight w:val="0"/>
              <w:marTop w:val="0"/>
              <w:marBottom w:val="0"/>
              <w:divBdr>
                <w:top w:val="none" w:sz="0" w:space="0" w:color="auto"/>
                <w:left w:val="none" w:sz="0" w:space="0" w:color="auto"/>
                <w:bottom w:val="none" w:sz="0" w:space="0" w:color="auto"/>
                <w:right w:val="none" w:sz="0" w:space="0" w:color="auto"/>
              </w:divBdr>
            </w:div>
          </w:divsChild>
        </w:div>
        <w:div w:id="94862855">
          <w:marLeft w:val="0"/>
          <w:marRight w:val="0"/>
          <w:marTop w:val="0"/>
          <w:marBottom w:val="0"/>
          <w:divBdr>
            <w:top w:val="none" w:sz="0" w:space="0" w:color="auto"/>
            <w:left w:val="none" w:sz="0" w:space="0" w:color="auto"/>
            <w:bottom w:val="none" w:sz="0" w:space="0" w:color="auto"/>
            <w:right w:val="none" w:sz="0" w:space="0" w:color="auto"/>
          </w:divBdr>
          <w:divsChild>
            <w:div w:id="211693915">
              <w:marLeft w:val="0"/>
              <w:marRight w:val="0"/>
              <w:marTop w:val="0"/>
              <w:marBottom w:val="0"/>
              <w:divBdr>
                <w:top w:val="none" w:sz="0" w:space="0" w:color="auto"/>
                <w:left w:val="none" w:sz="0" w:space="0" w:color="auto"/>
                <w:bottom w:val="none" w:sz="0" w:space="0" w:color="auto"/>
                <w:right w:val="none" w:sz="0" w:space="0" w:color="auto"/>
              </w:divBdr>
            </w:div>
          </w:divsChild>
        </w:div>
        <w:div w:id="232081857">
          <w:marLeft w:val="0"/>
          <w:marRight w:val="0"/>
          <w:marTop w:val="0"/>
          <w:marBottom w:val="0"/>
          <w:divBdr>
            <w:top w:val="none" w:sz="0" w:space="0" w:color="auto"/>
            <w:left w:val="none" w:sz="0" w:space="0" w:color="auto"/>
            <w:bottom w:val="none" w:sz="0" w:space="0" w:color="auto"/>
            <w:right w:val="none" w:sz="0" w:space="0" w:color="auto"/>
          </w:divBdr>
          <w:divsChild>
            <w:div w:id="1965303257">
              <w:marLeft w:val="0"/>
              <w:marRight w:val="0"/>
              <w:marTop w:val="0"/>
              <w:marBottom w:val="0"/>
              <w:divBdr>
                <w:top w:val="none" w:sz="0" w:space="0" w:color="auto"/>
                <w:left w:val="none" w:sz="0" w:space="0" w:color="auto"/>
                <w:bottom w:val="none" w:sz="0" w:space="0" w:color="auto"/>
                <w:right w:val="none" w:sz="0" w:space="0" w:color="auto"/>
              </w:divBdr>
            </w:div>
          </w:divsChild>
        </w:div>
        <w:div w:id="282620361">
          <w:marLeft w:val="0"/>
          <w:marRight w:val="0"/>
          <w:marTop w:val="0"/>
          <w:marBottom w:val="0"/>
          <w:divBdr>
            <w:top w:val="none" w:sz="0" w:space="0" w:color="auto"/>
            <w:left w:val="none" w:sz="0" w:space="0" w:color="auto"/>
            <w:bottom w:val="none" w:sz="0" w:space="0" w:color="auto"/>
            <w:right w:val="none" w:sz="0" w:space="0" w:color="auto"/>
          </w:divBdr>
          <w:divsChild>
            <w:div w:id="649482476">
              <w:marLeft w:val="0"/>
              <w:marRight w:val="0"/>
              <w:marTop w:val="0"/>
              <w:marBottom w:val="0"/>
              <w:divBdr>
                <w:top w:val="none" w:sz="0" w:space="0" w:color="auto"/>
                <w:left w:val="none" w:sz="0" w:space="0" w:color="auto"/>
                <w:bottom w:val="none" w:sz="0" w:space="0" w:color="auto"/>
                <w:right w:val="none" w:sz="0" w:space="0" w:color="auto"/>
              </w:divBdr>
            </w:div>
            <w:div w:id="651566884">
              <w:marLeft w:val="0"/>
              <w:marRight w:val="0"/>
              <w:marTop w:val="0"/>
              <w:marBottom w:val="0"/>
              <w:divBdr>
                <w:top w:val="none" w:sz="0" w:space="0" w:color="auto"/>
                <w:left w:val="none" w:sz="0" w:space="0" w:color="auto"/>
                <w:bottom w:val="none" w:sz="0" w:space="0" w:color="auto"/>
                <w:right w:val="none" w:sz="0" w:space="0" w:color="auto"/>
              </w:divBdr>
            </w:div>
          </w:divsChild>
        </w:div>
        <w:div w:id="341973368">
          <w:marLeft w:val="0"/>
          <w:marRight w:val="0"/>
          <w:marTop w:val="0"/>
          <w:marBottom w:val="0"/>
          <w:divBdr>
            <w:top w:val="none" w:sz="0" w:space="0" w:color="auto"/>
            <w:left w:val="none" w:sz="0" w:space="0" w:color="auto"/>
            <w:bottom w:val="none" w:sz="0" w:space="0" w:color="auto"/>
            <w:right w:val="none" w:sz="0" w:space="0" w:color="auto"/>
          </w:divBdr>
          <w:divsChild>
            <w:div w:id="483281722">
              <w:marLeft w:val="0"/>
              <w:marRight w:val="0"/>
              <w:marTop w:val="0"/>
              <w:marBottom w:val="0"/>
              <w:divBdr>
                <w:top w:val="none" w:sz="0" w:space="0" w:color="auto"/>
                <w:left w:val="none" w:sz="0" w:space="0" w:color="auto"/>
                <w:bottom w:val="none" w:sz="0" w:space="0" w:color="auto"/>
                <w:right w:val="none" w:sz="0" w:space="0" w:color="auto"/>
              </w:divBdr>
            </w:div>
          </w:divsChild>
        </w:div>
        <w:div w:id="364792845">
          <w:marLeft w:val="0"/>
          <w:marRight w:val="0"/>
          <w:marTop w:val="0"/>
          <w:marBottom w:val="0"/>
          <w:divBdr>
            <w:top w:val="none" w:sz="0" w:space="0" w:color="auto"/>
            <w:left w:val="none" w:sz="0" w:space="0" w:color="auto"/>
            <w:bottom w:val="none" w:sz="0" w:space="0" w:color="auto"/>
            <w:right w:val="none" w:sz="0" w:space="0" w:color="auto"/>
          </w:divBdr>
          <w:divsChild>
            <w:div w:id="1258294540">
              <w:marLeft w:val="0"/>
              <w:marRight w:val="0"/>
              <w:marTop w:val="0"/>
              <w:marBottom w:val="0"/>
              <w:divBdr>
                <w:top w:val="none" w:sz="0" w:space="0" w:color="auto"/>
                <w:left w:val="none" w:sz="0" w:space="0" w:color="auto"/>
                <w:bottom w:val="none" w:sz="0" w:space="0" w:color="auto"/>
                <w:right w:val="none" w:sz="0" w:space="0" w:color="auto"/>
              </w:divBdr>
            </w:div>
          </w:divsChild>
        </w:div>
        <w:div w:id="396130169">
          <w:marLeft w:val="0"/>
          <w:marRight w:val="0"/>
          <w:marTop w:val="0"/>
          <w:marBottom w:val="0"/>
          <w:divBdr>
            <w:top w:val="none" w:sz="0" w:space="0" w:color="auto"/>
            <w:left w:val="none" w:sz="0" w:space="0" w:color="auto"/>
            <w:bottom w:val="none" w:sz="0" w:space="0" w:color="auto"/>
            <w:right w:val="none" w:sz="0" w:space="0" w:color="auto"/>
          </w:divBdr>
          <w:divsChild>
            <w:div w:id="2107538037">
              <w:marLeft w:val="0"/>
              <w:marRight w:val="0"/>
              <w:marTop w:val="0"/>
              <w:marBottom w:val="0"/>
              <w:divBdr>
                <w:top w:val="none" w:sz="0" w:space="0" w:color="auto"/>
                <w:left w:val="none" w:sz="0" w:space="0" w:color="auto"/>
                <w:bottom w:val="none" w:sz="0" w:space="0" w:color="auto"/>
                <w:right w:val="none" w:sz="0" w:space="0" w:color="auto"/>
              </w:divBdr>
            </w:div>
          </w:divsChild>
        </w:div>
        <w:div w:id="455415789">
          <w:marLeft w:val="0"/>
          <w:marRight w:val="0"/>
          <w:marTop w:val="0"/>
          <w:marBottom w:val="0"/>
          <w:divBdr>
            <w:top w:val="none" w:sz="0" w:space="0" w:color="auto"/>
            <w:left w:val="none" w:sz="0" w:space="0" w:color="auto"/>
            <w:bottom w:val="none" w:sz="0" w:space="0" w:color="auto"/>
            <w:right w:val="none" w:sz="0" w:space="0" w:color="auto"/>
          </w:divBdr>
          <w:divsChild>
            <w:div w:id="597179600">
              <w:marLeft w:val="0"/>
              <w:marRight w:val="0"/>
              <w:marTop w:val="0"/>
              <w:marBottom w:val="0"/>
              <w:divBdr>
                <w:top w:val="none" w:sz="0" w:space="0" w:color="auto"/>
                <w:left w:val="none" w:sz="0" w:space="0" w:color="auto"/>
                <w:bottom w:val="none" w:sz="0" w:space="0" w:color="auto"/>
                <w:right w:val="none" w:sz="0" w:space="0" w:color="auto"/>
              </w:divBdr>
            </w:div>
          </w:divsChild>
        </w:div>
        <w:div w:id="457262288">
          <w:marLeft w:val="0"/>
          <w:marRight w:val="0"/>
          <w:marTop w:val="0"/>
          <w:marBottom w:val="0"/>
          <w:divBdr>
            <w:top w:val="none" w:sz="0" w:space="0" w:color="auto"/>
            <w:left w:val="none" w:sz="0" w:space="0" w:color="auto"/>
            <w:bottom w:val="none" w:sz="0" w:space="0" w:color="auto"/>
            <w:right w:val="none" w:sz="0" w:space="0" w:color="auto"/>
          </w:divBdr>
          <w:divsChild>
            <w:div w:id="1362779827">
              <w:marLeft w:val="0"/>
              <w:marRight w:val="0"/>
              <w:marTop w:val="0"/>
              <w:marBottom w:val="0"/>
              <w:divBdr>
                <w:top w:val="none" w:sz="0" w:space="0" w:color="auto"/>
                <w:left w:val="none" w:sz="0" w:space="0" w:color="auto"/>
                <w:bottom w:val="none" w:sz="0" w:space="0" w:color="auto"/>
                <w:right w:val="none" w:sz="0" w:space="0" w:color="auto"/>
              </w:divBdr>
            </w:div>
          </w:divsChild>
        </w:div>
        <w:div w:id="458382861">
          <w:marLeft w:val="0"/>
          <w:marRight w:val="0"/>
          <w:marTop w:val="0"/>
          <w:marBottom w:val="0"/>
          <w:divBdr>
            <w:top w:val="none" w:sz="0" w:space="0" w:color="auto"/>
            <w:left w:val="none" w:sz="0" w:space="0" w:color="auto"/>
            <w:bottom w:val="none" w:sz="0" w:space="0" w:color="auto"/>
            <w:right w:val="none" w:sz="0" w:space="0" w:color="auto"/>
          </w:divBdr>
          <w:divsChild>
            <w:div w:id="234634708">
              <w:marLeft w:val="0"/>
              <w:marRight w:val="0"/>
              <w:marTop w:val="0"/>
              <w:marBottom w:val="0"/>
              <w:divBdr>
                <w:top w:val="none" w:sz="0" w:space="0" w:color="auto"/>
                <w:left w:val="none" w:sz="0" w:space="0" w:color="auto"/>
                <w:bottom w:val="none" w:sz="0" w:space="0" w:color="auto"/>
                <w:right w:val="none" w:sz="0" w:space="0" w:color="auto"/>
              </w:divBdr>
            </w:div>
          </w:divsChild>
        </w:div>
        <w:div w:id="510683854">
          <w:marLeft w:val="0"/>
          <w:marRight w:val="0"/>
          <w:marTop w:val="0"/>
          <w:marBottom w:val="0"/>
          <w:divBdr>
            <w:top w:val="none" w:sz="0" w:space="0" w:color="auto"/>
            <w:left w:val="none" w:sz="0" w:space="0" w:color="auto"/>
            <w:bottom w:val="none" w:sz="0" w:space="0" w:color="auto"/>
            <w:right w:val="none" w:sz="0" w:space="0" w:color="auto"/>
          </w:divBdr>
          <w:divsChild>
            <w:div w:id="1995714057">
              <w:marLeft w:val="0"/>
              <w:marRight w:val="0"/>
              <w:marTop w:val="0"/>
              <w:marBottom w:val="0"/>
              <w:divBdr>
                <w:top w:val="none" w:sz="0" w:space="0" w:color="auto"/>
                <w:left w:val="none" w:sz="0" w:space="0" w:color="auto"/>
                <w:bottom w:val="none" w:sz="0" w:space="0" w:color="auto"/>
                <w:right w:val="none" w:sz="0" w:space="0" w:color="auto"/>
              </w:divBdr>
            </w:div>
          </w:divsChild>
        </w:div>
        <w:div w:id="630597634">
          <w:marLeft w:val="0"/>
          <w:marRight w:val="0"/>
          <w:marTop w:val="0"/>
          <w:marBottom w:val="0"/>
          <w:divBdr>
            <w:top w:val="none" w:sz="0" w:space="0" w:color="auto"/>
            <w:left w:val="none" w:sz="0" w:space="0" w:color="auto"/>
            <w:bottom w:val="none" w:sz="0" w:space="0" w:color="auto"/>
            <w:right w:val="none" w:sz="0" w:space="0" w:color="auto"/>
          </w:divBdr>
          <w:divsChild>
            <w:div w:id="722025157">
              <w:marLeft w:val="0"/>
              <w:marRight w:val="0"/>
              <w:marTop w:val="0"/>
              <w:marBottom w:val="0"/>
              <w:divBdr>
                <w:top w:val="none" w:sz="0" w:space="0" w:color="auto"/>
                <w:left w:val="none" w:sz="0" w:space="0" w:color="auto"/>
                <w:bottom w:val="none" w:sz="0" w:space="0" w:color="auto"/>
                <w:right w:val="none" w:sz="0" w:space="0" w:color="auto"/>
              </w:divBdr>
            </w:div>
          </w:divsChild>
        </w:div>
        <w:div w:id="771243023">
          <w:marLeft w:val="0"/>
          <w:marRight w:val="0"/>
          <w:marTop w:val="0"/>
          <w:marBottom w:val="0"/>
          <w:divBdr>
            <w:top w:val="none" w:sz="0" w:space="0" w:color="auto"/>
            <w:left w:val="none" w:sz="0" w:space="0" w:color="auto"/>
            <w:bottom w:val="none" w:sz="0" w:space="0" w:color="auto"/>
            <w:right w:val="none" w:sz="0" w:space="0" w:color="auto"/>
          </w:divBdr>
          <w:divsChild>
            <w:div w:id="1922055987">
              <w:marLeft w:val="0"/>
              <w:marRight w:val="0"/>
              <w:marTop w:val="0"/>
              <w:marBottom w:val="0"/>
              <w:divBdr>
                <w:top w:val="none" w:sz="0" w:space="0" w:color="auto"/>
                <w:left w:val="none" w:sz="0" w:space="0" w:color="auto"/>
                <w:bottom w:val="none" w:sz="0" w:space="0" w:color="auto"/>
                <w:right w:val="none" w:sz="0" w:space="0" w:color="auto"/>
              </w:divBdr>
            </w:div>
          </w:divsChild>
        </w:div>
        <w:div w:id="780611466">
          <w:marLeft w:val="0"/>
          <w:marRight w:val="0"/>
          <w:marTop w:val="0"/>
          <w:marBottom w:val="0"/>
          <w:divBdr>
            <w:top w:val="none" w:sz="0" w:space="0" w:color="auto"/>
            <w:left w:val="none" w:sz="0" w:space="0" w:color="auto"/>
            <w:bottom w:val="none" w:sz="0" w:space="0" w:color="auto"/>
            <w:right w:val="none" w:sz="0" w:space="0" w:color="auto"/>
          </w:divBdr>
          <w:divsChild>
            <w:div w:id="1053890266">
              <w:marLeft w:val="0"/>
              <w:marRight w:val="0"/>
              <w:marTop w:val="0"/>
              <w:marBottom w:val="0"/>
              <w:divBdr>
                <w:top w:val="none" w:sz="0" w:space="0" w:color="auto"/>
                <w:left w:val="none" w:sz="0" w:space="0" w:color="auto"/>
                <w:bottom w:val="none" w:sz="0" w:space="0" w:color="auto"/>
                <w:right w:val="none" w:sz="0" w:space="0" w:color="auto"/>
              </w:divBdr>
            </w:div>
          </w:divsChild>
        </w:div>
        <w:div w:id="997998080">
          <w:marLeft w:val="0"/>
          <w:marRight w:val="0"/>
          <w:marTop w:val="0"/>
          <w:marBottom w:val="0"/>
          <w:divBdr>
            <w:top w:val="none" w:sz="0" w:space="0" w:color="auto"/>
            <w:left w:val="none" w:sz="0" w:space="0" w:color="auto"/>
            <w:bottom w:val="none" w:sz="0" w:space="0" w:color="auto"/>
            <w:right w:val="none" w:sz="0" w:space="0" w:color="auto"/>
          </w:divBdr>
          <w:divsChild>
            <w:div w:id="1877161719">
              <w:marLeft w:val="0"/>
              <w:marRight w:val="0"/>
              <w:marTop w:val="0"/>
              <w:marBottom w:val="0"/>
              <w:divBdr>
                <w:top w:val="none" w:sz="0" w:space="0" w:color="auto"/>
                <w:left w:val="none" w:sz="0" w:space="0" w:color="auto"/>
                <w:bottom w:val="none" w:sz="0" w:space="0" w:color="auto"/>
                <w:right w:val="none" w:sz="0" w:space="0" w:color="auto"/>
              </w:divBdr>
            </w:div>
          </w:divsChild>
        </w:div>
        <w:div w:id="1000742000">
          <w:marLeft w:val="0"/>
          <w:marRight w:val="0"/>
          <w:marTop w:val="0"/>
          <w:marBottom w:val="0"/>
          <w:divBdr>
            <w:top w:val="none" w:sz="0" w:space="0" w:color="auto"/>
            <w:left w:val="none" w:sz="0" w:space="0" w:color="auto"/>
            <w:bottom w:val="none" w:sz="0" w:space="0" w:color="auto"/>
            <w:right w:val="none" w:sz="0" w:space="0" w:color="auto"/>
          </w:divBdr>
          <w:divsChild>
            <w:div w:id="813789363">
              <w:marLeft w:val="0"/>
              <w:marRight w:val="0"/>
              <w:marTop w:val="0"/>
              <w:marBottom w:val="0"/>
              <w:divBdr>
                <w:top w:val="none" w:sz="0" w:space="0" w:color="auto"/>
                <w:left w:val="none" w:sz="0" w:space="0" w:color="auto"/>
                <w:bottom w:val="none" w:sz="0" w:space="0" w:color="auto"/>
                <w:right w:val="none" w:sz="0" w:space="0" w:color="auto"/>
              </w:divBdr>
            </w:div>
          </w:divsChild>
        </w:div>
        <w:div w:id="1015503251">
          <w:marLeft w:val="0"/>
          <w:marRight w:val="0"/>
          <w:marTop w:val="0"/>
          <w:marBottom w:val="0"/>
          <w:divBdr>
            <w:top w:val="none" w:sz="0" w:space="0" w:color="auto"/>
            <w:left w:val="none" w:sz="0" w:space="0" w:color="auto"/>
            <w:bottom w:val="none" w:sz="0" w:space="0" w:color="auto"/>
            <w:right w:val="none" w:sz="0" w:space="0" w:color="auto"/>
          </w:divBdr>
          <w:divsChild>
            <w:div w:id="554317666">
              <w:marLeft w:val="0"/>
              <w:marRight w:val="0"/>
              <w:marTop w:val="0"/>
              <w:marBottom w:val="0"/>
              <w:divBdr>
                <w:top w:val="none" w:sz="0" w:space="0" w:color="auto"/>
                <w:left w:val="none" w:sz="0" w:space="0" w:color="auto"/>
                <w:bottom w:val="none" w:sz="0" w:space="0" w:color="auto"/>
                <w:right w:val="none" w:sz="0" w:space="0" w:color="auto"/>
              </w:divBdr>
            </w:div>
          </w:divsChild>
        </w:div>
        <w:div w:id="1037661684">
          <w:marLeft w:val="0"/>
          <w:marRight w:val="0"/>
          <w:marTop w:val="0"/>
          <w:marBottom w:val="0"/>
          <w:divBdr>
            <w:top w:val="none" w:sz="0" w:space="0" w:color="auto"/>
            <w:left w:val="none" w:sz="0" w:space="0" w:color="auto"/>
            <w:bottom w:val="none" w:sz="0" w:space="0" w:color="auto"/>
            <w:right w:val="none" w:sz="0" w:space="0" w:color="auto"/>
          </w:divBdr>
          <w:divsChild>
            <w:div w:id="2144686124">
              <w:marLeft w:val="0"/>
              <w:marRight w:val="0"/>
              <w:marTop w:val="0"/>
              <w:marBottom w:val="0"/>
              <w:divBdr>
                <w:top w:val="none" w:sz="0" w:space="0" w:color="auto"/>
                <w:left w:val="none" w:sz="0" w:space="0" w:color="auto"/>
                <w:bottom w:val="none" w:sz="0" w:space="0" w:color="auto"/>
                <w:right w:val="none" w:sz="0" w:space="0" w:color="auto"/>
              </w:divBdr>
            </w:div>
          </w:divsChild>
        </w:div>
        <w:div w:id="1047870946">
          <w:marLeft w:val="0"/>
          <w:marRight w:val="0"/>
          <w:marTop w:val="0"/>
          <w:marBottom w:val="0"/>
          <w:divBdr>
            <w:top w:val="none" w:sz="0" w:space="0" w:color="auto"/>
            <w:left w:val="none" w:sz="0" w:space="0" w:color="auto"/>
            <w:bottom w:val="none" w:sz="0" w:space="0" w:color="auto"/>
            <w:right w:val="none" w:sz="0" w:space="0" w:color="auto"/>
          </w:divBdr>
          <w:divsChild>
            <w:div w:id="494491676">
              <w:marLeft w:val="0"/>
              <w:marRight w:val="0"/>
              <w:marTop w:val="0"/>
              <w:marBottom w:val="0"/>
              <w:divBdr>
                <w:top w:val="none" w:sz="0" w:space="0" w:color="auto"/>
                <w:left w:val="none" w:sz="0" w:space="0" w:color="auto"/>
                <w:bottom w:val="none" w:sz="0" w:space="0" w:color="auto"/>
                <w:right w:val="none" w:sz="0" w:space="0" w:color="auto"/>
              </w:divBdr>
            </w:div>
          </w:divsChild>
        </w:div>
        <w:div w:id="1110661349">
          <w:marLeft w:val="0"/>
          <w:marRight w:val="0"/>
          <w:marTop w:val="0"/>
          <w:marBottom w:val="0"/>
          <w:divBdr>
            <w:top w:val="none" w:sz="0" w:space="0" w:color="auto"/>
            <w:left w:val="none" w:sz="0" w:space="0" w:color="auto"/>
            <w:bottom w:val="none" w:sz="0" w:space="0" w:color="auto"/>
            <w:right w:val="none" w:sz="0" w:space="0" w:color="auto"/>
          </w:divBdr>
          <w:divsChild>
            <w:div w:id="1801485986">
              <w:marLeft w:val="0"/>
              <w:marRight w:val="0"/>
              <w:marTop w:val="0"/>
              <w:marBottom w:val="0"/>
              <w:divBdr>
                <w:top w:val="none" w:sz="0" w:space="0" w:color="auto"/>
                <w:left w:val="none" w:sz="0" w:space="0" w:color="auto"/>
                <w:bottom w:val="none" w:sz="0" w:space="0" w:color="auto"/>
                <w:right w:val="none" w:sz="0" w:space="0" w:color="auto"/>
              </w:divBdr>
            </w:div>
          </w:divsChild>
        </w:div>
        <w:div w:id="1122110473">
          <w:marLeft w:val="0"/>
          <w:marRight w:val="0"/>
          <w:marTop w:val="0"/>
          <w:marBottom w:val="0"/>
          <w:divBdr>
            <w:top w:val="none" w:sz="0" w:space="0" w:color="auto"/>
            <w:left w:val="none" w:sz="0" w:space="0" w:color="auto"/>
            <w:bottom w:val="none" w:sz="0" w:space="0" w:color="auto"/>
            <w:right w:val="none" w:sz="0" w:space="0" w:color="auto"/>
          </w:divBdr>
          <w:divsChild>
            <w:div w:id="1973510863">
              <w:marLeft w:val="0"/>
              <w:marRight w:val="0"/>
              <w:marTop w:val="0"/>
              <w:marBottom w:val="0"/>
              <w:divBdr>
                <w:top w:val="none" w:sz="0" w:space="0" w:color="auto"/>
                <w:left w:val="none" w:sz="0" w:space="0" w:color="auto"/>
                <w:bottom w:val="none" w:sz="0" w:space="0" w:color="auto"/>
                <w:right w:val="none" w:sz="0" w:space="0" w:color="auto"/>
              </w:divBdr>
            </w:div>
          </w:divsChild>
        </w:div>
        <w:div w:id="1128935333">
          <w:marLeft w:val="0"/>
          <w:marRight w:val="0"/>
          <w:marTop w:val="0"/>
          <w:marBottom w:val="0"/>
          <w:divBdr>
            <w:top w:val="none" w:sz="0" w:space="0" w:color="auto"/>
            <w:left w:val="none" w:sz="0" w:space="0" w:color="auto"/>
            <w:bottom w:val="none" w:sz="0" w:space="0" w:color="auto"/>
            <w:right w:val="none" w:sz="0" w:space="0" w:color="auto"/>
          </w:divBdr>
          <w:divsChild>
            <w:div w:id="1936554107">
              <w:marLeft w:val="0"/>
              <w:marRight w:val="0"/>
              <w:marTop w:val="0"/>
              <w:marBottom w:val="0"/>
              <w:divBdr>
                <w:top w:val="none" w:sz="0" w:space="0" w:color="auto"/>
                <w:left w:val="none" w:sz="0" w:space="0" w:color="auto"/>
                <w:bottom w:val="none" w:sz="0" w:space="0" w:color="auto"/>
                <w:right w:val="none" w:sz="0" w:space="0" w:color="auto"/>
              </w:divBdr>
            </w:div>
          </w:divsChild>
        </w:div>
        <w:div w:id="1162895041">
          <w:marLeft w:val="0"/>
          <w:marRight w:val="0"/>
          <w:marTop w:val="0"/>
          <w:marBottom w:val="0"/>
          <w:divBdr>
            <w:top w:val="none" w:sz="0" w:space="0" w:color="auto"/>
            <w:left w:val="none" w:sz="0" w:space="0" w:color="auto"/>
            <w:bottom w:val="none" w:sz="0" w:space="0" w:color="auto"/>
            <w:right w:val="none" w:sz="0" w:space="0" w:color="auto"/>
          </w:divBdr>
          <w:divsChild>
            <w:div w:id="2030987446">
              <w:marLeft w:val="0"/>
              <w:marRight w:val="0"/>
              <w:marTop w:val="0"/>
              <w:marBottom w:val="0"/>
              <w:divBdr>
                <w:top w:val="none" w:sz="0" w:space="0" w:color="auto"/>
                <w:left w:val="none" w:sz="0" w:space="0" w:color="auto"/>
                <w:bottom w:val="none" w:sz="0" w:space="0" w:color="auto"/>
                <w:right w:val="none" w:sz="0" w:space="0" w:color="auto"/>
              </w:divBdr>
            </w:div>
          </w:divsChild>
        </w:div>
        <w:div w:id="1232732502">
          <w:marLeft w:val="0"/>
          <w:marRight w:val="0"/>
          <w:marTop w:val="0"/>
          <w:marBottom w:val="0"/>
          <w:divBdr>
            <w:top w:val="none" w:sz="0" w:space="0" w:color="auto"/>
            <w:left w:val="none" w:sz="0" w:space="0" w:color="auto"/>
            <w:bottom w:val="none" w:sz="0" w:space="0" w:color="auto"/>
            <w:right w:val="none" w:sz="0" w:space="0" w:color="auto"/>
          </w:divBdr>
          <w:divsChild>
            <w:div w:id="1570845328">
              <w:marLeft w:val="0"/>
              <w:marRight w:val="0"/>
              <w:marTop w:val="0"/>
              <w:marBottom w:val="0"/>
              <w:divBdr>
                <w:top w:val="none" w:sz="0" w:space="0" w:color="auto"/>
                <w:left w:val="none" w:sz="0" w:space="0" w:color="auto"/>
                <w:bottom w:val="none" w:sz="0" w:space="0" w:color="auto"/>
                <w:right w:val="none" w:sz="0" w:space="0" w:color="auto"/>
              </w:divBdr>
            </w:div>
          </w:divsChild>
        </w:div>
        <w:div w:id="1306545319">
          <w:marLeft w:val="0"/>
          <w:marRight w:val="0"/>
          <w:marTop w:val="0"/>
          <w:marBottom w:val="0"/>
          <w:divBdr>
            <w:top w:val="none" w:sz="0" w:space="0" w:color="auto"/>
            <w:left w:val="none" w:sz="0" w:space="0" w:color="auto"/>
            <w:bottom w:val="none" w:sz="0" w:space="0" w:color="auto"/>
            <w:right w:val="none" w:sz="0" w:space="0" w:color="auto"/>
          </w:divBdr>
          <w:divsChild>
            <w:div w:id="1352875127">
              <w:marLeft w:val="0"/>
              <w:marRight w:val="0"/>
              <w:marTop w:val="0"/>
              <w:marBottom w:val="0"/>
              <w:divBdr>
                <w:top w:val="none" w:sz="0" w:space="0" w:color="auto"/>
                <w:left w:val="none" w:sz="0" w:space="0" w:color="auto"/>
                <w:bottom w:val="none" w:sz="0" w:space="0" w:color="auto"/>
                <w:right w:val="none" w:sz="0" w:space="0" w:color="auto"/>
              </w:divBdr>
            </w:div>
          </w:divsChild>
        </w:div>
        <w:div w:id="1315835264">
          <w:marLeft w:val="0"/>
          <w:marRight w:val="0"/>
          <w:marTop w:val="0"/>
          <w:marBottom w:val="0"/>
          <w:divBdr>
            <w:top w:val="none" w:sz="0" w:space="0" w:color="auto"/>
            <w:left w:val="none" w:sz="0" w:space="0" w:color="auto"/>
            <w:bottom w:val="none" w:sz="0" w:space="0" w:color="auto"/>
            <w:right w:val="none" w:sz="0" w:space="0" w:color="auto"/>
          </w:divBdr>
          <w:divsChild>
            <w:div w:id="321667028">
              <w:marLeft w:val="0"/>
              <w:marRight w:val="0"/>
              <w:marTop w:val="0"/>
              <w:marBottom w:val="0"/>
              <w:divBdr>
                <w:top w:val="none" w:sz="0" w:space="0" w:color="auto"/>
                <w:left w:val="none" w:sz="0" w:space="0" w:color="auto"/>
                <w:bottom w:val="none" w:sz="0" w:space="0" w:color="auto"/>
                <w:right w:val="none" w:sz="0" w:space="0" w:color="auto"/>
              </w:divBdr>
            </w:div>
          </w:divsChild>
        </w:div>
        <w:div w:id="1381325070">
          <w:marLeft w:val="0"/>
          <w:marRight w:val="0"/>
          <w:marTop w:val="0"/>
          <w:marBottom w:val="0"/>
          <w:divBdr>
            <w:top w:val="none" w:sz="0" w:space="0" w:color="auto"/>
            <w:left w:val="none" w:sz="0" w:space="0" w:color="auto"/>
            <w:bottom w:val="none" w:sz="0" w:space="0" w:color="auto"/>
            <w:right w:val="none" w:sz="0" w:space="0" w:color="auto"/>
          </w:divBdr>
          <w:divsChild>
            <w:div w:id="304624102">
              <w:marLeft w:val="0"/>
              <w:marRight w:val="0"/>
              <w:marTop w:val="0"/>
              <w:marBottom w:val="0"/>
              <w:divBdr>
                <w:top w:val="none" w:sz="0" w:space="0" w:color="auto"/>
                <w:left w:val="none" w:sz="0" w:space="0" w:color="auto"/>
                <w:bottom w:val="none" w:sz="0" w:space="0" w:color="auto"/>
                <w:right w:val="none" w:sz="0" w:space="0" w:color="auto"/>
              </w:divBdr>
            </w:div>
          </w:divsChild>
        </w:div>
        <w:div w:id="1437094080">
          <w:marLeft w:val="0"/>
          <w:marRight w:val="0"/>
          <w:marTop w:val="0"/>
          <w:marBottom w:val="0"/>
          <w:divBdr>
            <w:top w:val="none" w:sz="0" w:space="0" w:color="auto"/>
            <w:left w:val="none" w:sz="0" w:space="0" w:color="auto"/>
            <w:bottom w:val="none" w:sz="0" w:space="0" w:color="auto"/>
            <w:right w:val="none" w:sz="0" w:space="0" w:color="auto"/>
          </w:divBdr>
          <w:divsChild>
            <w:div w:id="597979593">
              <w:marLeft w:val="0"/>
              <w:marRight w:val="0"/>
              <w:marTop w:val="0"/>
              <w:marBottom w:val="0"/>
              <w:divBdr>
                <w:top w:val="none" w:sz="0" w:space="0" w:color="auto"/>
                <w:left w:val="none" w:sz="0" w:space="0" w:color="auto"/>
                <w:bottom w:val="none" w:sz="0" w:space="0" w:color="auto"/>
                <w:right w:val="none" w:sz="0" w:space="0" w:color="auto"/>
              </w:divBdr>
            </w:div>
          </w:divsChild>
        </w:div>
        <w:div w:id="1463353517">
          <w:marLeft w:val="0"/>
          <w:marRight w:val="0"/>
          <w:marTop w:val="0"/>
          <w:marBottom w:val="0"/>
          <w:divBdr>
            <w:top w:val="none" w:sz="0" w:space="0" w:color="auto"/>
            <w:left w:val="none" w:sz="0" w:space="0" w:color="auto"/>
            <w:bottom w:val="none" w:sz="0" w:space="0" w:color="auto"/>
            <w:right w:val="none" w:sz="0" w:space="0" w:color="auto"/>
          </w:divBdr>
          <w:divsChild>
            <w:div w:id="796263990">
              <w:marLeft w:val="0"/>
              <w:marRight w:val="0"/>
              <w:marTop w:val="0"/>
              <w:marBottom w:val="0"/>
              <w:divBdr>
                <w:top w:val="none" w:sz="0" w:space="0" w:color="auto"/>
                <w:left w:val="none" w:sz="0" w:space="0" w:color="auto"/>
                <w:bottom w:val="none" w:sz="0" w:space="0" w:color="auto"/>
                <w:right w:val="none" w:sz="0" w:space="0" w:color="auto"/>
              </w:divBdr>
            </w:div>
          </w:divsChild>
        </w:div>
        <w:div w:id="1538084507">
          <w:marLeft w:val="0"/>
          <w:marRight w:val="0"/>
          <w:marTop w:val="0"/>
          <w:marBottom w:val="0"/>
          <w:divBdr>
            <w:top w:val="none" w:sz="0" w:space="0" w:color="auto"/>
            <w:left w:val="none" w:sz="0" w:space="0" w:color="auto"/>
            <w:bottom w:val="none" w:sz="0" w:space="0" w:color="auto"/>
            <w:right w:val="none" w:sz="0" w:space="0" w:color="auto"/>
          </w:divBdr>
          <w:divsChild>
            <w:div w:id="1951667854">
              <w:marLeft w:val="0"/>
              <w:marRight w:val="0"/>
              <w:marTop w:val="0"/>
              <w:marBottom w:val="0"/>
              <w:divBdr>
                <w:top w:val="none" w:sz="0" w:space="0" w:color="auto"/>
                <w:left w:val="none" w:sz="0" w:space="0" w:color="auto"/>
                <w:bottom w:val="none" w:sz="0" w:space="0" w:color="auto"/>
                <w:right w:val="none" w:sz="0" w:space="0" w:color="auto"/>
              </w:divBdr>
            </w:div>
          </w:divsChild>
        </w:div>
        <w:div w:id="1591229528">
          <w:marLeft w:val="0"/>
          <w:marRight w:val="0"/>
          <w:marTop w:val="0"/>
          <w:marBottom w:val="0"/>
          <w:divBdr>
            <w:top w:val="none" w:sz="0" w:space="0" w:color="auto"/>
            <w:left w:val="none" w:sz="0" w:space="0" w:color="auto"/>
            <w:bottom w:val="none" w:sz="0" w:space="0" w:color="auto"/>
            <w:right w:val="none" w:sz="0" w:space="0" w:color="auto"/>
          </w:divBdr>
          <w:divsChild>
            <w:div w:id="301230363">
              <w:marLeft w:val="0"/>
              <w:marRight w:val="0"/>
              <w:marTop w:val="0"/>
              <w:marBottom w:val="0"/>
              <w:divBdr>
                <w:top w:val="none" w:sz="0" w:space="0" w:color="auto"/>
                <w:left w:val="none" w:sz="0" w:space="0" w:color="auto"/>
                <w:bottom w:val="none" w:sz="0" w:space="0" w:color="auto"/>
                <w:right w:val="none" w:sz="0" w:space="0" w:color="auto"/>
              </w:divBdr>
            </w:div>
          </w:divsChild>
        </w:div>
        <w:div w:id="1600025357">
          <w:marLeft w:val="0"/>
          <w:marRight w:val="0"/>
          <w:marTop w:val="0"/>
          <w:marBottom w:val="0"/>
          <w:divBdr>
            <w:top w:val="none" w:sz="0" w:space="0" w:color="auto"/>
            <w:left w:val="none" w:sz="0" w:space="0" w:color="auto"/>
            <w:bottom w:val="none" w:sz="0" w:space="0" w:color="auto"/>
            <w:right w:val="none" w:sz="0" w:space="0" w:color="auto"/>
          </w:divBdr>
          <w:divsChild>
            <w:div w:id="1415200321">
              <w:marLeft w:val="0"/>
              <w:marRight w:val="0"/>
              <w:marTop w:val="0"/>
              <w:marBottom w:val="0"/>
              <w:divBdr>
                <w:top w:val="none" w:sz="0" w:space="0" w:color="auto"/>
                <w:left w:val="none" w:sz="0" w:space="0" w:color="auto"/>
                <w:bottom w:val="none" w:sz="0" w:space="0" w:color="auto"/>
                <w:right w:val="none" w:sz="0" w:space="0" w:color="auto"/>
              </w:divBdr>
            </w:div>
          </w:divsChild>
        </w:div>
        <w:div w:id="1817916926">
          <w:marLeft w:val="0"/>
          <w:marRight w:val="0"/>
          <w:marTop w:val="0"/>
          <w:marBottom w:val="0"/>
          <w:divBdr>
            <w:top w:val="none" w:sz="0" w:space="0" w:color="auto"/>
            <w:left w:val="none" w:sz="0" w:space="0" w:color="auto"/>
            <w:bottom w:val="none" w:sz="0" w:space="0" w:color="auto"/>
            <w:right w:val="none" w:sz="0" w:space="0" w:color="auto"/>
          </w:divBdr>
          <w:divsChild>
            <w:div w:id="1830559372">
              <w:marLeft w:val="0"/>
              <w:marRight w:val="0"/>
              <w:marTop w:val="0"/>
              <w:marBottom w:val="0"/>
              <w:divBdr>
                <w:top w:val="none" w:sz="0" w:space="0" w:color="auto"/>
                <w:left w:val="none" w:sz="0" w:space="0" w:color="auto"/>
                <w:bottom w:val="none" w:sz="0" w:space="0" w:color="auto"/>
                <w:right w:val="none" w:sz="0" w:space="0" w:color="auto"/>
              </w:divBdr>
            </w:div>
          </w:divsChild>
        </w:div>
        <w:div w:id="1831556173">
          <w:marLeft w:val="0"/>
          <w:marRight w:val="0"/>
          <w:marTop w:val="0"/>
          <w:marBottom w:val="0"/>
          <w:divBdr>
            <w:top w:val="none" w:sz="0" w:space="0" w:color="auto"/>
            <w:left w:val="none" w:sz="0" w:space="0" w:color="auto"/>
            <w:bottom w:val="none" w:sz="0" w:space="0" w:color="auto"/>
            <w:right w:val="none" w:sz="0" w:space="0" w:color="auto"/>
          </w:divBdr>
          <w:divsChild>
            <w:div w:id="2030914024">
              <w:marLeft w:val="0"/>
              <w:marRight w:val="0"/>
              <w:marTop w:val="0"/>
              <w:marBottom w:val="0"/>
              <w:divBdr>
                <w:top w:val="none" w:sz="0" w:space="0" w:color="auto"/>
                <w:left w:val="none" w:sz="0" w:space="0" w:color="auto"/>
                <w:bottom w:val="none" w:sz="0" w:space="0" w:color="auto"/>
                <w:right w:val="none" w:sz="0" w:space="0" w:color="auto"/>
              </w:divBdr>
            </w:div>
          </w:divsChild>
        </w:div>
        <w:div w:id="1836993050">
          <w:marLeft w:val="0"/>
          <w:marRight w:val="0"/>
          <w:marTop w:val="0"/>
          <w:marBottom w:val="0"/>
          <w:divBdr>
            <w:top w:val="none" w:sz="0" w:space="0" w:color="auto"/>
            <w:left w:val="none" w:sz="0" w:space="0" w:color="auto"/>
            <w:bottom w:val="none" w:sz="0" w:space="0" w:color="auto"/>
            <w:right w:val="none" w:sz="0" w:space="0" w:color="auto"/>
          </w:divBdr>
          <w:divsChild>
            <w:div w:id="57677685">
              <w:marLeft w:val="0"/>
              <w:marRight w:val="0"/>
              <w:marTop w:val="0"/>
              <w:marBottom w:val="0"/>
              <w:divBdr>
                <w:top w:val="none" w:sz="0" w:space="0" w:color="auto"/>
                <w:left w:val="none" w:sz="0" w:space="0" w:color="auto"/>
                <w:bottom w:val="none" w:sz="0" w:space="0" w:color="auto"/>
                <w:right w:val="none" w:sz="0" w:space="0" w:color="auto"/>
              </w:divBdr>
            </w:div>
          </w:divsChild>
        </w:div>
        <w:div w:id="1910529605">
          <w:marLeft w:val="0"/>
          <w:marRight w:val="0"/>
          <w:marTop w:val="0"/>
          <w:marBottom w:val="0"/>
          <w:divBdr>
            <w:top w:val="none" w:sz="0" w:space="0" w:color="auto"/>
            <w:left w:val="none" w:sz="0" w:space="0" w:color="auto"/>
            <w:bottom w:val="none" w:sz="0" w:space="0" w:color="auto"/>
            <w:right w:val="none" w:sz="0" w:space="0" w:color="auto"/>
          </w:divBdr>
          <w:divsChild>
            <w:div w:id="42291238">
              <w:marLeft w:val="0"/>
              <w:marRight w:val="0"/>
              <w:marTop w:val="0"/>
              <w:marBottom w:val="0"/>
              <w:divBdr>
                <w:top w:val="none" w:sz="0" w:space="0" w:color="auto"/>
                <w:left w:val="none" w:sz="0" w:space="0" w:color="auto"/>
                <w:bottom w:val="none" w:sz="0" w:space="0" w:color="auto"/>
                <w:right w:val="none" w:sz="0" w:space="0" w:color="auto"/>
              </w:divBdr>
            </w:div>
          </w:divsChild>
        </w:div>
        <w:div w:id="1987465098">
          <w:marLeft w:val="0"/>
          <w:marRight w:val="0"/>
          <w:marTop w:val="0"/>
          <w:marBottom w:val="0"/>
          <w:divBdr>
            <w:top w:val="none" w:sz="0" w:space="0" w:color="auto"/>
            <w:left w:val="none" w:sz="0" w:space="0" w:color="auto"/>
            <w:bottom w:val="none" w:sz="0" w:space="0" w:color="auto"/>
            <w:right w:val="none" w:sz="0" w:space="0" w:color="auto"/>
          </w:divBdr>
          <w:divsChild>
            <w:div w:id="301077138">
              <w:marLeft w:val="0"/>
              <w:marRight w:val="0"/>
              <w:marTop w:val="0"/>
              <w:marBottom w:val="0"/>
              <w:divBdr>
                <w:top w:val="none" w:sz="0" w:space="0" w:color="auto"/>
                <w:left w:val="none" w:sz="0" w:space="0" w:color="auto"/>
                <w:bottom w:val="none" w:sz="0" w:space="0" w:color="auto"/>
                <w:right w:val="none" w:sz="0" w:space="0" w:color="auto"/>
              </w:divBdr>
            </w:div>
          </w:divsChild>
        </w:div>
        <w:div w:id="2097436416">
          <w:marLeft w:val="0"/>
          <w:marRight w:val="0"/>
          <w:marTop w:val="0"/>
          <w:marBottom w:val="0"/>
          <w:divBdr>
            <w:top w:val="none" w:sz="0" w:space="0" w:color="auto"/>
            <w:left w:val="none" w:sz="0" w:space="0" w:color="auto"/>
            <w:bottom w:val="none" w:sz="0" w:space="0" w:color="auto"/>
            <w:right w:val="none" w:sz="0" w:space="0" w:color="auto"/>
          </w:divBdr>
          <w:divsChild>
            <w:div w:id="69549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35300">
      <w:bodyDiv w:val="1"/>
      <w:marLeft w:val="0"/>
      <w:marRight w:val="0"/>
      <w:marTop w:val="0"/>
      <w:marBottom w:val="0"/>
      <w:divBdr>
        <w:top w:val="none" w:sz="0" w:space="0" w:color="auto"/>
        <w:left w:val="none" w:sz="0" w:space="0" w:color="auto"/>
        <w:bottom w:val="none" w:sz="0" w:space="0" w:color="auto"/>
        <w:right w:val="none" w:sz="0" w:space="0" w:color="auto"/>
      </w:divBdr>
      <w:divsChild>
        <w:div w:id="5449358">
          <w:marLeft w:val="0"/>
          <w:marRight w:val="0"/>
          <w:marTop w:val="0"/>
          <w:marBottom w:val="0"/>
          <w:divBdr>
            <w:top w:val="none" w:sz="0" w:space="0" w:color="auto"/>
            <w:left w:val="none" w:sz="0" w:space="0" w:color="auto"/>
            <w:bottom w:val="none" w:sz="0" w:space="0" w:color="auto"/>
            <w:right w:val="none" w:sz="0" w:space="0" w:color="auto"/>
          </w:divBdr>
          <w:divsChild>
            <w:div w:id="1624917570">
              <w:marLeft w:val="0"/>
              <w:marRight w:val="0"/>
              <w:marTop w:val="0"/>
              <w:marBottom w:val="0"/>
              <w:divBdr>
                <w:top w:val="none" w:sz="0" w:space="0" w:color="auto"/>
                <w:left w:val="none" w:sz="0" w:space="0" w:color="auto"/>
                <w:bottom w:val="none" w:sz="0" w:space="0" w:color="auto"/>
                <w:right w:val="none" w:sz="0" w:space="0" w:color="auto"/>
              </w:divBdr>
            </w:div>
          </w:divsChild>
        </w:div>
        <w:div w:id="37362185">
          <w:marLeft w:val="0"/>
          <w:marRight w:val="0"/>
          <w:marTop w:val="0"/>
          <w:marBottom w:val="0"/>
          <w:divBdr>
            <w:top w:val="none" w:sz="0" w:space="0" w:color="auto"/>
            <w:left w:val="none" w:sz="0" w:space="0" w:color="auto"/>
            <w:bottom w:val="none" w:sz="0" w:space="0" w:color="auto"/>
            <w:right w:val="none" w:sz="0" w:space="0" w:color="auto"/>
          </w:divBdr>
          <w:divsChild>
            <w:div w:id="694577169">
              <w:marLeft w:val="0"/>
              <w:marRight w:val="0"/>
              <w:marTop w:val="0"/>
              <w:marBottom w:val="0"/>
              <w:divBdr>
                <w:top w:val="none" w:sz="0" w:space="0" w:color="auto"/>
                <w:left w:val="none" w:sz="0" w:space="0" w:color="auto"/>
                <w:bottom w:val="none" w:sz="0" w:space="0" w:color="auto"/>
                <w:right w:val="none" w:sz="0" w:space="0" w:color="auto"/>
              </w:divBdr>
            </w:div>
          </w:divsChild>
        </w:div>
        <w:div w:id="79329533">
          <w:marLeft w:val="0"/>
          <w:marRight w:val="0"/>
          <w:marTop w:val="0"/>
          <w:marBottom w:val="0"/>
          <w:divBdr>
            <w:top w:val="none" w:sz="0" w:space="0" w:color="auto"/>
            <w:left w:val="none" w:sz="0" w:space="0" w:color="auto"/>
            <w:bottom w:val="none" w:sz="0" w:space="0" w:color="auto"/>
            <w:right w:val="none" w:sz="0" w:space="0" w:color="auto"/>
          </w:divBdr>
          <w:divsChild>
            <w:div w:id="1481730109">
              <w:marLeft w:val="0"/>
              <w:marRight w:val="0"/>
              <w:marTop w:val="0"/>
              <w:marBottom w:val="0"/>
              <w:divBdr>
                <w:top w:val="none" w:sz="0" w:space="0" w:color="auto"/>
                <w:left w:val="none" w:sz="0" w:space="0" w:color="auto"/>
                <w:bottom w:val="none" w:sz="0" w:space="0" w:color="auto"/>
                <w:right w:val="none" w:sz="0" w:space="0" w:color="auto"/>
              </w:divBdr>
            </w:div>
          </w:divsChild>
        </w:div>
        <w:div w:id="122584783">
          <w:marLeft w:val="0"/>
          <w:marRight w:val="0"/>
          <w:marTop w:val="0"/>
          <w:marBottom w:val="0"/>
          <w:divBdr>
            <w:top w:val="none" w:sz="0" w:space="0" w:color="auto"/>
            <w:left w:val="none" w:sz="0" w:space="0" w:color="auto"/>
            <w:bottom w:val="none" w:sz="0" w:space="0" w:color="auto"/>
            <w:right w:val="none" w:sz="0" w:space="0" w:color="auto"/>
          </w:divBdr>
          <w:divsChild>
            <w:div w:id="636498410">
              <w:marLeft w:val="0"/>
              <w:marRight w:val="0"/>
              <w:marTop w:val="0"/>
              <w:marBottom w:val="0"/>
              <w:divBdr>
                <w:top w:val="none" w:sz="0" w:space="0" w:color="auto"/>
                <w:left w:val="none" w:sz="0" w:space="0" w:color="auto"/>
                <w:bottom w:val="none" w:sz="0" w:space="0" w:color="auto"/>
                <w:right w:val="none" w:sz="0" w:space="0" w:color="auto"/>
              </w:divBdr>
            </w:div>
          </w:divsChild>
        </w:div>
        <w:div w:id="147136697">
          <w:marLeft w:val="0"/>
          <w:marRight w:val="0"/>
          <w:marTop w:val="0"/>
          <w:marBottom w:val="0"/>
          <w:divBdr>
            <w:top w:val="none" w:sz="0" w:space="0" w:color="auto"/>
            <w:left w:val="none" w:sz="0" w:space="0" w:color="auto"/>
            <w:bottom w:val="none" w:sz="0" w:space="0" w:color="auto"/>
            <w:right w:val="none" w:sz="0" w:space="0" w:color="auto"/>
          </w:divBdr>
          <w:divsChild>
            <w:div w:id="1781410462">
              <w:marLeft w:val="0"/>
              <w:marRight w:val="0"/>
              <w:marTop w:val="0"/>
              <w:marBottom w:val="0"/>
              <w:divBdr>
                <w:top w:val="none" w:sz="0" w:space="0" w:color="auto"/>
                <w:left w:val="none" w:sz="0" w:space="0" w:color="auto"/>
                <w:bottom w:val="none" w:sz="0" w:space="0" w:color="auto"/>
                <w:right w:val="none" w:sz="0" w:space="0" w:color="auto"/>
              </w:divBdr>
            </w:div>
          </w:divsChild>
        </w:div>
        <w:div w:id="185486230">
          <w:marLeft w:val="0"/>
          <w:marRight w:val="0"/>
          <w:marTop w:val="0"/>
          <w:marBottom w:val="0"/>
          <w:divBdr>
            <w:top w:val="none" w:sz="0" w:space="0" w:color="auto"/>
            <w:left w:val="none" w:sz="0" w:space="0" w:color="auto"/>
            <w:bottom w:val="none" w:sz="0" w:space="0" w:color="auto"/>
            <w:right w:val="none" w:sz="0" w:space="0" w:color="auto"/>
          </w:divBdr>
          <w:divsChild>
            <w:div w:id="152139775">
              <w:marLeft w:val="0"/>
              <w:marRight w:val="0"/>
              <w:marTop w:val="0"/>
              <w:marBottom w:val="0"/>
              <w:divBdr>
                <w:top w:val="none" w:sz="0" w:space="0" w:color="auto"/>
                <w:left w:val="none" w:sz="0" w:space="0" w:color="auto"/>
                <w:bottom w:val="none" w:sz="0" w:space="0" w:color="auto"/>
                <w:right w:val="none" w:sz="0" w:space="0" w:color="auto"/>
              </w:divBdr>
            </w:div>
          </w:divsChild>
        </w:div>
        <w:div w:id="246967282">
          <w:marLeft w:val="0"/>
          <w:marRight w:val="0"/>
          <w:marTop w:val="0"/>
          <w:marBottom w:val="0"/>
          <w:divBdr>
            <w:top w:val="none" w:sz="0" w:space="0" w:color="auto"/>
            <w:left w:val="none" w:sz="0" w:space="0" w:color="auto"/>
            <w:bottom w:val="none" w:sz="0" w:space="0" w:color="auto"/>
            <w:right w:val="none" w:sz="0" w:space="0" w:color="auto"/>
          </w:divBdr>
          <w:divsChild>
            <w:div w:id="1581255381">
              <w:marLeft w:val="0"/>
              <w:marRight w:val="0"/>
              <w:marTop w:val="0"/>
              <w:marBottom w:val="0"/>
              <w:divBdr>
                <w:top w:val="none" w:sz="0" w:space="0" w:color="auto"/>
                <w:left w:val="none" w:sz="0" w:space="0" w:color="auto"/>
                <w:bottom w:val="none" w:sz="0" w:space="0" w:color="auto"/>
                <w:right w:val="none" w:sz="0" w:space="0" w:color="auto"/>
              </w:divBdr>
            </w:div>
          </w:divsChild>
        </w:div>
        <w:div w:id="433870022">
          <w:marLeft w:val="0"/>
          <w:marRight w:val="0"/>
          <w:marTop w:val="0"/>
          <w:marBottom w:val="0"/>
          <w:divBdr>
            <w:top w:val="none" w:sz="0" w:space="0" w:color="auto"/>
            <w:left w:val="none" w:sz="0" w:space="0" w:color="auto"/>
            <w:bottom w:val="none" w:sz="0" w:space="0" w:color="auto"/>
            <w:right w:val="none" w:sz="0" w:space="0" w:color="auto"/>
          </w:divBdr>
          <w:divsChild>
            <w:div w:id="486168559">
              <w:marLeft w:val="0"/>
              <w:marRight w:val="0"/>
              <w:marTop w:val="0"/>
              <w:marBottom w:val="0"/>
              <w:divBdr>
                <w:top w:val="none" w:sz="0" w:space="0" w:color="auto"/>
                <w:left w:val="none" w:sz="0" w:space="0" w:color="auto"/>
                <w:bottom w:val="none" w:sz="0" w:space="0" w:color="auto"/>
                <w:right w:val="none" w:sz="0" w:space="0" w:color="auto"/>
              </w:divBdr>
            </w:div>
          </w:divsChild>
        </w:div>
        <w:div w:id="451292419">
          <w:marLeft w:val="0"/>
          <w:marRight w:val="0"/>
          <w:marTop w:val="0"/>
          <w:marBottom w:val="0"/>
          <w:divBdr>
            <w:top w:val="none" w:sz="0" w:space="0" w:color="auto"/>
            <w:left w:val="none" w:sz="0" w:space="0" w:color="auto"/>
            <w:bottom w:val="none" w:sz="0" w:space="0" w:color="auto"/>
            <w:right w:val="none" w:sz="0" w:space="0" w:color="auto"/>
          </w:divBdr>
          <w:divsChild>
            <w:div w:id="27684022">
              <w:marLeft w:val="0"/>
              <w:marRight w:val="0"/>
              <w:marTop w:val="0"/>
              <w:marBottom w:val="0"/>
              <w:divBdr>
                <w:top w:val="none" w:sz="0" w:space="0" w:color="auto"/>
                <w:left w:val="none" w:sz="0" w:space="0" w:color="auto"/>
                <w:bottom w:val="none" w:sz="0" w:space="0" w:color="auto"/>
                <w:right w:val="none" w:sz="0" w:space="0" w:color="auto"/>
              </w:divBdr>
            </w:div>
          </w:divsChild>
        </w:div>
        <w:div w:id="508251419">
          <w:marLeft w:val="0"/>
          <w:marRight w:val="0"/>
          <w:marTop w:val="0"/>
          <w:marBottom w:val="0"/>
          <w:divBdr>
            <w:top w:val="none" w:sz="0" w:space="0" w:color="auto"/>
            <w:left w:val="none" w:sz="0" w:space="0" w:color="auto"/>
            <w:bottom w:val="none" w:sz="0" w:space="0" w:color="auto"/>
            <w:right w:val="none" w:sz="0" w:space="0" w:color="auto"/>
          </w:divBdr>
          <w:divsChild>
            <w:div w:id="1726686401">
              <w:marLeft w:val="0"/>
              <w:marRight w:val="0"/>
              <w:marTop w:val="0"/>
              <w:marBottom w:val="0"/>
              <w:divBdr>
                <w:top w:val="none" w:sz="0" w:space="0" w:color="auto"/>
                <w:left w:val="none" w:sz="0" w:space="0" w:color="auto"/>
                <w:bottom w:val="none" w:sz="0" w:space="0" w:color="auto"/>
                <w:right w:val="none" w:sz="0" w:space="0" w:color="auto"/>
              </w:divBdr>
            </w:div>
          </w:divsChild>
        </w:div>
        <w:div w:id="573322511">
          <w:marLeft w:val="0"/>
          <w:marRight w:val="0"/>
          <w:marTop w:val="0"/>
          <w:marBottom w:val="0"/>
          <w:divBdr>
            <w:top w:val="none" w:sz="0" w:space="0" w:color="auto"/>
            <w:left w:val="none" w:sz="0" w:space="0" w:color="auto"/>
            <w:bottom w:val="none" w:sz="0" w:space="0" w:color="auto"/>
            <w:right w:val="none" w:sz="0" w:space="0" w:color="auto"/>
          </w:divBdr>
          <w:divsChild>
            <w:div w:id="405415526">
              <w:marLeft w:val="0"/>
              <w:marRight w:val="0"/>
              <w:marTop w:val="0"/>
              <w:marBottom w:val="0"/>
              <w:divBdr>
                <w:top w:val="none" w:sz="0" w:space="0" w:color="auto"/>
                <w:left w:val="none" w:sz="0" w:space="0" w:color="auto"/>
                <w:bottom w:val="none" w:sz="0" w:space="0" w:color="auto"/>
                <w:right w:val="none" w:sz="0" w:space="0" w:color="auto"/>
              </w:divBdr>
            </w:div>
          </w:divsChild>
        </w:div>
        <w:div w:id="670564650">
          <w:marLeft w:val="0"/>
          <w:marRight w:val="0"/>
          <w:marTop w:val="0"/>
          <w:marBottom w:val="0"/>
          <w:divBdr>
            <w:top w:val="none" w:sz="0" w:space="0" w:color="auto"/>
            <w:left w:val="none" w:sz="0" w:space="0" w:color="auto"/>
            <w:bottom w:val="none" w:sz="0" w:space="0" w:color="auto"/>
            <w:right w:val="none" w:sz="0" w:space="0" w:color="auto"/>
          </w:divBdr>
          <w:divsChild>
            <w:div w:id="1344818593">
              <w:marLeft w:val="0"/>
              <w:marRight w:val="0"/>
              <w:marTop w:val="0"/>
              <w:marBottom w:val="0"/>
              <w:divBdr>
                <w:top w:val="none" w:sz="0" w:space="0" w:color="auto"/>
                <w:left w:val="none" w:sz="0" w:space="0" w:color="auto"/>
                <w:bottom w:val="none" w:sz="0" w:space="0" w:color="auto"/>
                <w:right w:val="none" w:sz="0" w:space="0" w:color="auto"/>
              </w:divBdr>
            </w:div>
          </w:divsChild>
        </w:div>
        <w:div w:id="725563996">
          <w:marLeft w:val="0"/>
          <w:marRight w:val="0"/>
          <w:marTop w:val="0"/>
          <w:marBottom w:val="0"/>
          <w:divBdr>
            <w:top w:val="none" w:sz="0" w:space="0" w:color="auto"/>
            <w:left w:val="none" w:sz="0" w:space="0" w:color="auto"/>
            <w:bottom w:val="none" w:sz="0" w:space="0" w:color="auto"/>
            <w:right w:val="none" w:sz="0" w:space="0" w:color="auto"/>
          </w:divBdr>
          <w:divsChild>
            <w:div w:id="1164390611">
              <w:marLeft w:val="0"/>
              <w:marRight w:val="0"/>
              <w:marTop w:val="0"/>
              <w:marBottom w:val="0"/>
              <w:divBdr>
                <w:top w:val="none" w:sz="0" w:space="0" w:color="auto"/>
                <w:left w:val="none" w:sz="0" w:space="0" w:color="auto"/>
                <w:bottom w:val="none" w:sz="0" w:space="0" w:color="auto"/>
                <w:right w:val="none" w:sz="0" w:space="0" w:color="auto"/>
              </w:divBdr>
            </w:div>
          </w:divsChild>
        </w:div>
        <w:div w:id="801849669">
          <w:marLeft w:val="0"/>
          <w:marRight w:val="0"/>
          <w:marTop w:val="0"/>
          <w:marBottom w:val="0"/>
          <w:divBdr>
            <w:top w:val="none" w:sz="0" w:space="0" w:color="auto"/>
            <w:left w:val="none" w:sz="0" w:space="0" w:color="auto"/>
            <w:bottom w:val="none" w:sz="0" w:space="0" w:color="auto"/>
            <w:right w:val="none" w:sz="0" w:space="0" w:color="auto"/>
          </w:divBdr>
          <w:divsChild>
            <w:div w:id="475537001">
              <w:marLeft w:val="0"/>
              <w:marRight w:val="0"/>
              <w:marTop w:val="0"/>
              <w:marBottom w:val="0"/>
              <w:divBdr>
                <w:top w:val="none" w:sz="0" w:space="0" w:color="auto"/>
                <w:left w:val="none" w:sz="0" w:space="0" w:color="auto"/>
                <w:bottom w:val="none" w:sz="0" w:space="0" w:color="auto"/>
                <w:right w:val="none" w:sz="0" w:space="0" w:color="auto"/>
              </w:divBdr>
            </w:div>
          </w:divsChild>
        </w:div>
        <w:div w:id="901718245">
          <w:marLeft w:val="0"/>
          <w:marRight w:val="0"/>
          <w:marTop w:val="0"/>
          <w:marBottom w:val="0"/>
          <w:divBdr>
            <w:top w:val="none" w:sz="0" w:space="0" w:color="auto"/>
            <w:left w:val="none" w:sz="0" w:space="0" w:color="auto"/>
            <w:bottom w:val="none" w:sz="0" w:space="0" w:color="auto"/>
            <w:right w:val="none" w:sz="0" w:space="0" w:color="auto"/>
          </w:divBdr>
          <w:divsChild>
            <w:div w:id="2010058824">
              <w:marLeft w:val="0"/>
              <w:marRight w:val="0"/>
              <w:marTop w:val="0"/>
              <w:marBottom w:val="0"/>
              <w:divBdr>
                <w:top w:val="none" w:sz="0" w:space="0" w:color="auto"/>
                <w:left w:val="none" w:sz="0" w:space="0" w:color="auto"/>
                <w:bottom w:val="none" w:sz="0" w:space="0" w:color="auto"/>
                <w:right w:val="none" w:sz="0" w:space="0" w:color="auto"/>
              </w:divBdr>
            </w:div>
          </w:divsChild>
        </w:div>
        <w:div w:id="940838532">
          <w:marLeft w:val="0"/>
          <w:marRight w:val="0"/>
          <w:marTop w:val="0"/>
          <w:marBottom w:val="0"/>
          <w:divBdr>
            <w:top w:val="none" w:sz="0" w:space="0" w:color="auto"/>
            <w:left w:val="none" w:sz="0" w:space="0" w:color="auto"/>
            <w:bottom w:val="none" w:sz="0" w:space="0" w:color="auto"/>
            <w:right w:val="none" w:sz="0" w:space="0" w:color="auto"/>
          </w:divBdr>
          <w:divsChild>
            <w:div w:id="1635794466">
              <w:marLeft w:val="0"/>
              <w:marRight w:val="0"/>
              <w:marTop w:val="0"/>
              <w:marBottom w:val="0"/>
              <w:divBdr>
                <w:top w:val="none" w:sz="0" w:space="0" w:color="auto"/>
                <w:left w:val="none" w:sz="0" w:space="0" w:color="auto"/>
                <w:bottom w:val="none" w:sz="0" w:space="0" w:color="auto"/>
                <w:right w:val="none" w:sz="0" w:space="0" w:color="auto"/>
              </w:divBdr>
            </w:div>
          </w:divsChild>
        </w:div>
        <w:div w:id="947355203">
          <w:marLeft w:val="0"/>
          <w:marRight w:val="0"/>
          <w:marTop w:val="0"/>
          <w:marBottom w:val="0"/>
          <w:divBdr>
            <w:top w:val="none" w:sz="0" w:space="0" w:color="auto"/>
            <w:left w:val="none" w:sz="0" w:space="0" w:color="auto"/>
            <w:bottom w:val="none" w:sz="0" w:space="0" w:color="auto"/>
            <w:right w:val="none" w:sz="0" w:space="0" w:color="auto"/>
          </w:divBdr>
          <w:divsChild>
            <w:div w:id="318773591">
              <w:marLeft w:val="0"/>
              <w:marRight w:val="0"/>
              <w:marTop w:val="0"/>
              <w:marBottom w:val="0"/>
              <w:divBdr>
                <w:top w:val="none" w:sz="0" w:space="0" w:color="auto"/>
                <w:left w:val="none" w:sz="0" w:space="0" w:color="auto"/>
                <w:bottom w:val="none" w:sz="0" w:space="0" w:color="auto"/>
                <w:right w:val="none" w:sz="0" w:space="0" w:color="auto"/>
              </w:divBdr>
            </w:div>
          </w:divsChild>
        </w:div>
        <w:div w:id="1072965585">
          <w:marLeft w:val="0"/>
          <w:marRight w:val="0"/>
          <w:marTop w:val="0"/>
          <w:marBottom w:val="0"/>
          <w:divBdr>
            <w:top w:val="none" w:sz="0" w:space="0" w:color="auto"/>
            <w:left w:val="none" w:sz="0" w:space="0" w:color="auto"/>
            <w:bottom w:val="none" w:sz="0" w:space="0" w:color="auto"/>
            <w:right w:val="none" w:sz="0" w:space="0" w:color="auto"/>
          </w:divBdr>
          <w:divsChild>
            <w:div w:id="1819568480">
              <w:marLeft w:val="0"/>
              <w:marRight w:val="0"/>
              <w:marTop w:val="0"/>
              <w:marBottom w:val="0"/>
              <w:divBdr>
                <w:top w:val="none" w:sz="0" w:space="0" w:color="auto"/>
                <w:left w:val="none" w:sz="0" w:space="0" w:color="auto"/>
                <w:bottom w:val="none" w:sz="0" w:space="0" w:color="auto"/>
                <w:right w:val="none" w:sz="0" w:space="0" w:color="auto"/>
              </w:divBdr>
            </w:div>
          </w:divsChild>
        </w:div>
        <w:div w:id="1087772627">
          <w:marLeft w:val="0"/>
          <w:marRight w:val="0"/>
          <w:marTop w:val="0"/>
          <w:marBottom w:val="0"/>
          <w:divBdr>
            <w:top w:val="none" w:sz="0" w:space="0" w:color="auto"/>
            <w:left w:val="none" w:sz="0" w:space="0" w:color="auto"/>
            <w:bottom w:val="none" w:sz="0" w:space="0" w:color="auto"/>
            <w:right w:val="none" w:sz="0" w:space="0" w:color="auto"/>
          </w:divBdr>
          <w:divsChild>
            <w:div w:id="1291133979">
              <w:marLeft w:val="0"/>
              <w:marRight w:val="0"/>
              <w:marTop w:val="0"/>
              <w:marBottom w:val="0"/>
              <w:divBdr>
                <w:top w:val="none" w:sz="0" w:space="0" w:color="auto"/>
                <w:left w:val="none" w:sz="0" w:space="0" w:color="auto"/>
                <w:bottom w:val="none" w:sz="0" w:space="0" w:color="auto"/>
                <w:right w:val="none" w:sz="0" w:space="0" w:color="auto"/>
              </w:divBdr>
            </w:div>
          </w:divsChild>
        </w:div>
        <w:div w:id="1184973272">
          <w:marLeft w:val="0"/>
          <w:marRight w:val="0"/>
          <w:marTop w:val="0"/>
          <w:marBottom w:val="0"/>
          <w:divBdr>
            <w:top w:val="none" w:sz="0" w:space="0" w:color="auto"/>
            <w:left w:val="none" w:sz="0" w:space="0" w:color="auto"/>
            <w:bottom w:val="none" w:sz="0" w:space="0" w:color="auto"/>
            <w:right w:val="none" w:sz="0" w:space="0" w:color="auto"/>
          </w:divBdr>
          <w:divsChild>
            <w:div w:id="1231623455">
              <w:marLeft w:val="0"/>
              <w:marRight w:val="0"/>
              <w:marTop w:val="0"/>
              <w:marBottom w:val="0"/>
              <w:divBdr>
                <w:top w:val="none" w:sz="0" w:space="0" w:color="auto"/>
                <w:left w:val="none" w:sz="0" w:space="0" w:color="auto"/>
                <w:bottom w:val="none" w:sz="0" w:space="0" w:color="auto"/>
                <w:right w:val="none" w:sz="0" w:space="0" w:color="auto"/>
              </w:divBdr>
            </w:div>
          </w:divsChild>
        </w:div>
        <w:div w:id="1257910224">
          <w:marLeft w:val="0"/>
          <w:marRight w:val="0"/>
          <w:marTop w:val="0"/>
          <w:marBottom w:val="0"/>
          <w:divBdr>
            <w:top w:val="none" w:sz="0" w:space="0" w:color="auto"/>
            <w:left w:val="none" w:sz="0" w:space="0" w:color="auto"/>
            <w:bottom w:val="none" w:sz="0" w:space="0" w:color="auto"/>
            <w:right w:val="none" w:sz="0" w:space="0" w:color="auto"/>
          </w:divBdr>
          <w:divsChild>
            <w:div w:id="1150639499">
              <w:marLeft w:val="0"/>
              <w:marRight w:val="0"/>
              <w:marTop w:val="0"/>
              <w:marBottom w:val="0"/>
              <w:divBdr>
                <w:top w:val="none" w:sz="0" w:space="0" w:color="auto"/>
                <w:left w:val="none" w:sz="0" w:space="0" w:color="auto"/>
                <w:bottom w:val="none" w:sz="0" w:space="0" w:color="auto"/>
                <w:right w:val="none" w:sz="0" w:space="0" w:color="auto"/>
              </w:divBdr>
            </w:div>
          </w:divsChild>
        </w:div>
        <w:div w:id="1329552525">
          <w:marLeft w:val="0"/>
          <w:marRight w:val="0"/>
          <w:marTop w:val="0"/>
          <w:marBottom w:val="0"/>
          <w:divBdr>
            <w:top w:val="none" w:sz="0" w:space="0" w:color="auto"/>
            <w:left w:val="none" w:sz="0" w:space="0" w:color="auto"/>
            <w:bottom w:val="none" w:sz="0" w:space="0" w:color="auto"/>
            <w:right w:val="none" w:sz="0" w:space="0" w:color="auto"/>
          </w:divBdr>
          <w:divsChild>
            <w:div w:id="2111269444">
              <w:marLeft w:val="0"/>
              <w:marRight w:val="0"/>
              <w:marTop w:val="0"/>
              <w:marBottom w:val="0"/>
              <w:divBdr>
                <w:top w:val="none" w:sz="0" w:space="0" w:color="auto"/>
                <w:left w:val="none" w:sz="0" w:space="0" w:color="auto"/>
                <w:bottom w:val="none" w:sz="0" w:space="0" w:color="auto"/>
                <w:right w:val="none" w:sz="0" w:space="0" w:color="auto"/>
              </w:divBdr>
            </w:div>
          </w:divsChild>
        </w:div>
        <w:div w:id="1380783241">
          <w:marLeft w:val="0"/>
          <w:marRight w:val="0"/>
          <w:marTop w:val="0"/>
          <w:marBottom w:val="0"/>
          <w:divBdr>
            <w:top w:val="none" w:sz="0" w:space="0" w:color="auto"/>
            <w:left w:val="none" w:sz="0" w:space="0" w:color="auto"/>
            <w:bottom w:val="none" w:sz="0" w:space="0" w:color="auto"/>
            <w:right w:val="none" w:sz="0" w:space="0" w:color="auto"/>
          </w:divBdr>
          <w:divsChild>
            <w:div w:id="860751367">
              <w:marLeft w:val="0"/>
              <w:marRight w:val="0"/>
              <w:marTop w:val="0"/>
              <w:marBottom w:val="0"/>
              <w:divBdr>
                <w:top w:val="none" w:sz="0" w:space="0" w:color="auto"/>
                <w:left w:val="none" w:sz="0" w:space="0" w:color="auto"/>
                <w:bottom w:val="none" w:sz="0" w:space="0" w:color="auto"/>
                <w:right w:val="none" w:sz="0" w:space="0" w:color="auto"/>
              </w:divBdr>
            </w:div>
          </w:divsChild>
        </w:div>
        <w:div w:id="1381634512">
          <w:marLeft w:val="0"/>
          <w:marRight w:val="0"/>
          <w:marTop w:val="0"/>
          <w:marBottom w:val="0"/>
          <w:divBdr>
            <w:top w:val="none" w:sz="0" w:space="0" w:color="auto"/>
            <w:left w:val="none" w:sz="0" w:space="0" w:color="auto"/>
            <w:bottom w:val="none" w:sz="0" w:space="0" w:color="auto"/>
            <w:right w:val="none" w:sz="0" w:space="0" w:color="auto"/>
          </w:divBdr>
          <w:divsChild>
            <w:div w:id="1091897010">
              <w:marLeft w:val="0"/>
              <w:marRight w:val="0"/>
              <w:marTop w:val="0"/>
              <w:marBottom w:val="0"/>
              <w:divBdr>
                <w:top w:val="none" w:sz="0" w:space="0" w:color="auto"/>
                <w:left w:val="none" w:sz="0" w:space="0" w:color="auto"/>
                <w:bottom w:val="none" w:sz="0" w:space="0" w:color="auto"/>
                <w:right w:val="none" w:sz="0" w:space="0" w:color="auto"/>
              </w:divBdr>
            </w:div>
            <w:div w:id="1551573183">
              <w:marLeft w:val="0"/>
              <w:marRight w:val="0"/>
              <w:marTop w:val="0"/>
              <w:marBottom w:val="0"/>
              <w:divBdr>
                <w:top w:val="none" w:sz="0" w:space="0" w:color="auto"/>
                <w:left w:val="none" w:sz="0" w:space="0" w:color="auto"/>
                <w:bottom w:val="none" w:sz="0" w:space="0" w:color="auto"/>
                <w:right w:val="none" w:sz="0" w:space="0" w:color="auto"/>
              </w:divBdr>
            </w:div>
          </w:divsChild>
        </w:div>
        <w:div w:id="1437359485">
          <w:marLeft w:val="0"/>
          <w:marRight w:val="0"/>
          <w:marTop w:val="0"/>
          <w:marBottom w:val="0"/>
          <w:divBdr>
            <w:top w:val="none" w:sz="0" w:space="0" w:color="auto"/>
            <w:left w:val="none" w:sz="0" w:space="0" w:color="auto"/>
            <w:bottom w:val="none" w:sz="0" w:space="0" w:color="auto"/>
            <w:right w:val="none" w:sz="0" w:space="0" w:color="auto"/>
          </w:divBdr>
          <w:divsChild>
            <w:div w:id="1621301675">
              <w:marLeft w:val="0"/>
              <w:marRight w:val="0"/>
              <w:marTop w:val="0"/>
              <w:marBottom w:val="0"/>
              <w:divBdr>
                <w:top w:val="none" w:sz="0" w:space="0" w:color="auto"/>
                <w:left w:val="none" w:sz="0" w:space="0" w:color="auto"/>
                <w:bottom w:val="none" w:sz="0" w:space="0" w:color="auto"/>
                <w:right w:val="none" w:sz="0" w:space="0" w:color="auto"/>
              </w:divBdr>
            </w:div>
          </w:divsChild>
        </w:div>
        <w:div w:id="1452240004">
          <w:marLeft w:val="0"/>
          <w:marRight w:val="0"/>
          <w:marTop w:val="0"/>
          <w:marBottom w:val="0"/>
          <w:divBdr>
            <w:top w:val="none" w:sz="0" w:space="0" w:color="auto"/>
            <w:left w:val="none" w:sz="0" w:space="0" w:color="auto"/>
            <w:bottom w:val="none" w:sz="0" w:space="0" w:color="auto"/>
            <w:right w:val="none" w:sz="0" w:space="0" w:color="auto"/>
          </w:divBdr>
          <w:divsChild>
            <w:div w:id="807354411">
              <w:marLeft w:val="0"/>
              <w:marRight w:val="0"/>
              <w:marTop w:val="0"/>
              <w:marBottom w:val="0"/>
              <w:divBdr>
                <w:top w:val="none" w:sz="0" w:space="0" w:color="auto"/>
                <w:left w:val="none" w:sz="0" w:space="0" w:color="auto"/>
                <w:bottom w:val="none" w:sz="0" w:space="0" w:color="auto"/>
                <w:right w:val="none" w:sz="0" w:space="0" w:color="auto"/>
              </w:divBdr>
            </w:div>
          </w:divsChild>
        </w:div>
        <w:div w:id="1465999687">
          <w:marLeft w:val="0"/>
          <w:marRight w:val="0"/>
          <w:marTop w:val="0"/>
          <w:marBottom w:val="0"/>
          <w:divBdr>
            <w:top w:val="none" w:sz="0" w:space="0" w:color="auto"/>
            <w:left w:val="none" w:sz="0" w:space="0" w:color="auto"/>
            <w:bottom w:val="none" w:sz="0" w:space="0" w:color="auto"/>
            <w:right w:val="none" w:sz="0" w:space="0" w:color="auto"/>
          </w:divBdr>
          <w:divsChild>
            <w:div w:id="791439082">
              <w:marLeft w:val="0"/>
              <w:marRight w:val="0"/>
              <w:marTop w:val="0"/>
              <w:marBottom w:val="0"/>
              <w:divBdr>
                <w:top w:val="none" w:sz="0" w:space="0" w:color="auto"/>
                <w:left w:val="none" w:sz="0" w:space="0" w:color="auto"/>
                <w:bottom w:val="none" w:sz="0" w:space="0" w:color="auto"/>
                <w:right w:val="none" w:sz="0" w:space="0" w:color="auto"/>
              </w:divBdr>
            </w:div>
          </w:divsChild>
        </w:div>
        <w:div w:id="1483541477">
          <w:marLeft w:val="0"/>
          <w:marRight w:val="0"/>
          <w:marTop w:val="0"/>
          <w:marBottom w:val="0"/>
          <w:divBdr>
            <w:top w:val="none" w:sz="0" w:space="0" w:color="auto"/>
            <w:left w:val="none" w:sz="0" w:space="0" w:color="auto"/>
            <w:bottom w:val="none" w:sz="0" w:space="0" w:color="auto"/>
            <w:right w:val="none" w:sz="0" w:space="0" w:color="auto"/>
          </w:divBdr>
          <w:divsChild>
            <w:div w:id="1897623001">
              <w:marLeft w:val="0"/>
              <w:marRight w:val="0"/>
              <w:marTop w:val="0"/>
              <w:marBottom w:val="0"/>
              <w:divBdr>
                <w:top w:val="none" w:sz="0" w:space="0" w:color="auto"/>
                <w:left w:val="none" w:sz="0" w:space="0" w:color="auto"/>
                <w:bottom w:val="none" w:sz="0" w:space="0" w:color="auto"/>
                <w:right w:val="none" w:sz="0" w:space="0" w:color="auto"/>
              </w:divBdr>
            </w:div>
          </w:divsChild>
        </w:div>
        <w:div w:id="1491096126">
          <w:marLeft w:val="0"/>
          <w:marRight w:val="0"/>
          <w:marTop w:val="0"/>
          <w:marBottom w:val="0"/>
          <w:divBdr>
            <w:top w:val="none" w:sz="0" w:space="0" w:color="auto"/>
            <w:left w:val="none" w:sz="0" w:space="0" w:color="auto"/>
            <w:bottom w:val="none" w:sz="0" w:space="0" w:color="auto"/>
            <w:right w:val="none" w:sz="0" w:space="0" w:color="auto"/>
          </w:divBdr>
          <w:divsChild>
            <w:div w:id="1685864922">
              <w:marLeft w:val="0"/>
              <w:marRight w:val="0"/>
              <w:marTop w:val="0"/>
              <w:marBottom w:val="0"/>
              <w:divBdr>
                <w:top w:val="none" w:sz="0" w:space="0" w:color="auto"/>
                <w:left w:val="none" w:sz="0" w:space="0" w:color="auto"/>
                <w:bottom w:val="none" w:sz="0" w:space="0" w:color="auto"/>
                <w:right w:val="none" w:sz="0" w:space="0" w:color="auto"/>
              </w:divBdr>
            </w:div>
          </w:divsChild>
        </w:div>
        <w:div w:id="1520314249">
          <w:marLeft w:val="0"/>
          <w:marRight w:val="0"/>
          <w:marTop w:val="0"/>
          <w:marBottom w:val="0"/>
          <w:divBdr>
            <w:top w:val="none" w:sz="0" w:space="0" w:color="auto"/>
            <w:left w:val="none" w:sz="0" w:space="0" w:color="auto"/>
            <w:bottom w:val="none" w:sz="0" w:space="0" w:color="auto"/>
            <w:right w:val="none" w:sz="0" w:space="0" w:color="auto"/>
          </w:divBdr>
          <w:divsChild>
            <w:div w:id="1599941827">
              <w:marLeft w:val="0"/>
              <w:marRight w:val="0"/>
              <w:marTop w:val="0"/>
              <w:marBottom w:val="0"/>
              <w:divBdr>
                <w:top w:val="none" w:sz="0" w:space="0" w:color="auto"/>
                <w:left w:val="none" w:sz="0" w:space="0" w:color="auto"/>
                <w:bottom w:val="none" w:sz="0" w:space="0" w:color="auto"/>
                <w:right w:val="none" w:sz="0" w:space="0" w:color="auto"/>
              </w:divBdr>
            </w:div>
          </w:divsChild>
        </w:div>
        <w:div w:id="1546522279">
          <w:marLeft w:val="0"/>
          <w:marRight w:val="0"/>
          <w:marTop w:val="0"/>
          <w:marBottom w:val="0"/>
          <w:divBdr>
            <w:top w:val="none" w:sz="0" w:space="0" w:color="auto"/>
            <w:left w:val="none" w:sz="0" w:space="0" w:color="auto"/>
            <w:bottom w:val="none" w:sz="0" w:space="0" w:color="auto"/>
            <w:right w:val="none" w:sz="0" w:space="0" w:color="auto"/>
          </w:divBdr>
          <w:divsChild>
            <w:div w:id="643699819">
              <w:marLeft w:val="0"/>
              <w:marRight w:val="0"/>
              <w:marTop w:val="0"/>
              <w:marBottom w:val="0"/>
              <w:divBdr>
                <w:top w:val="none" w:sz="0" w:space="0" w:color="auto"/>
                <w:left w:val="none" w:sz="0" w:space="0" w:color="auto"/>
                <w:bottom w:val="none" w:sz="0" w:space="0" w:color="auto"/>
                <w:right w:val="none" w:sz="0" w:space="0" w:color="auto"/>
              </w:divBdr>
            </w:div>
          </w:divsChild>
        </w:div>
        <w:div w:id="1612516922">
          <w:marLeft w:val="0"/>
          <w:marRight w:val="0"/>
          <w:marTop w:val="0"/>
          <w:marBottom w:val="0"/>
          <w:divBdr>
            <w:top w:val="none" w:sz="0" w:space="0" w:color="auto"/>
            <w:left w:val="none" w:sz="0" w:space="0" w:color="auto"/>
            <w:bottom w:val="none" w:sz="0" w:space="0" w:color="auto"/>
            <w:right w:val="none" w:sz="0" w:space="0" w:color="auto"/>
          </w:divBdr>
          <w:divsChild>
            <w:div w:id="209460765">
              <w:marLeft w:val="0"/>
              <w:marRight w:val="0"/>
              <w:marTop w:val="0"/>
              <w:marBottom w:val="0"/>
              <w:divBdr>
                <w:top w:val="none" w:sz="0" w:space="0" w:color="auto"/>
                <w:left w:val="none" w:sz="0" w:space="0" w:color="auto"/>
                <w:bottom w:val="none" w:sz="0" w:space="0" w:color="auto"/>
                <w:right w:val="none" w:sz="0" w:space="0" w:color="auto"/>
              </w:divBdr>
            </w:div>
          </w:divsChild>
        </w:div>
        <w:div w:id="1704669759">
          <w:marLeft w:val="0"/>
          <w:marRight w:val="0"/>
          <w:marTop w:val="0"/>
          <w:marBottom w:val="0"/>
          <w:divBdr>
            <w:top w:val="none" w:sz="0" w:space="0" w:color="auto"/>
            <w:left w:val="none" w:sz="0" w:space="0" w:color="auto"/>
            <w:bottom w:val="none" w:sz="0" w:space="0" w:color="auto"/>
            <w:right w:val="none" w:sz="0" w:space="0" w:color="auto"/>
          </w:divBdr>
          <w:divsChild>
            <w:div w:id="1922329163">
              <w:marLeft w:val="0"/>
              <w:marRight w:val="0"/>
              <w:marTop w:val="0"/>
              <w:marBottom w:val="0"/>
              <w:divBdr>
                <w:top w:val="none" w:sz="0" w:space="0" w:color="auto"/>
                <w:left w:val="none" w:sz="0" w:space="0" w:color="auto"/>
                <w:bottom w:val="none" w:sz="0" w:space="0" w:color="auto"/>
                <w:right w:val="none" w:sz="0" w:space="0" w:color="auto"/>
              </w:divBdr>
            </w:div>
          </w:divsChild>
        </w:div>
        <w:div w:id="1771244381">
          <w:marLeft w:val="0"/>
          <w:marRight w:val="0"/>
          <w:marTop w:val="0"/>
          <w:marBottom w:val="0"/>
          <w:divBdr>
            <w:top w:val="none" w:sz="0" w:space="0" w:color="auto"/>
            <w:left w:val="none" w:sz="0" w:space="0" w:color="auto"/>
            <w:bottom w:val="none" w:sz="0" w:space="0" w:color="auto"/>
            <w:right w:val="none" w:sz="0" w:space="0" w:color="auto"/>
          </w:divBdr>
          <w:divsChild>
            <w:div w:id="38282162">
              <w:marLeft w:val="0"/>
              <w:marRight w:val="0"/>
              <w:marTop w:val="0"/>
              <w:marBottom w:val="0"/>
              <w:divBdr>
                <w:top w:val="none" w:sz="0" w:space="0" w:color="auto"/>
                <w:left w:val="none" w:sz="0" w:space="0" w:color="auto"/>
                <w:bottom w:val="none" w:sz="0" w:space="0" w:color="auto"/>
                <w:right w:val="none" w:sz="0" w:space="0" w:color="auto"/>
              </w:divBdr>
            </w:div>
          </w:divsChild>
        </w:div>
        <w:div w:id="1794665317">
          <w:marLeft w:val="0"/>
          <w:marRight w:val="0"/>
          <w:marTop w:val="0"/>
          <w:marBottom w:val="0"/>
          <w:divBdr>
            <w:top w:val="none" w:sz="0" w:space="0" w:color="auto"/>
            <w:left w:val="none" w:sz="0" w:space="0" w:color="auto"/>
            <w:bottom w:val="none" w:sz="0" w:space="0" w:color="auto"/>
            <w:right w:val="none" w:sz="0" w:space="0" w:color="auto"/>
          </w:divBdr>
          <w:divsChild>
            <w:div w:id="810515617">
              <w:marLeft w:val="0"/>
              <w:marRight w:val="0"/>
              <w:marTop w:val="0"/>
              <w:marBottom w:val="0"/>
              <w:divBdr>
                <w:top w:val="none" w:sz="0" w:space="0" w:color="auto"/>
                <w:left w:val="none" w:sz="0" w:space="0" w:color="auto"/>
                <w:bottom w:val="none" w:sz="0" w:space="0" w:color="auto"/>
                <w:right w:val="none" w:sz="0" w:space="0" w:color="auto"/>
              </w:divBdr>
            </w:div>
          </w:divsChild>
        </w:div>
        <w:div w:id="1818767704">
          <w:marLeft w:val="0"/>
          <w:marRight w:val="0"/>
          <w:marTop w:val="0"/>
          <w:marBottom w:val="0"/>
          <w:divBdr>
            <w:top w:val="none" w:sz="0" w:space="0" w:color="auto"/>
            <w:left w:val="none" w:sz="0" w:space="0" w:color="auto"/>
            <w:bottom w:val="none" w:sz="0" w:space="0" w:color="auto"/>
            <w:right w:val="none" w:sz="0" w:space="0" w:color="auto"/>
          </w:divBdr>
          <w:divsChild>
            <w:div w:id="2045669810">
              <w:marLeft w:val="0"/>
              <w:marRight w:val="0"/>
              <w:marTop w:val="0"/>
              <w:marBottom w:val="0"/>
              <w:divBdr>
                <w:top w:val="none" w:sz="0" w:space="0" w:color="auto"/>
                <w:left w:val="none" w:sz="0" w:space="0" w:color="auto"/>
                <w:bottom w:val="none" w:sz="0" w:space="0" w:color="auto"/>
                <w:right w:val="none" w:sz="0" w:space="0" w:color="auto"/>
              </w:divBdr>
            </w:div>
          </w:divsChild>
        </w:div>
        <w:div w:id="1855067581">
          <w:marLeft w:val="0"/>
          <w:marRight w:val="0"/>
          <w:marTop w:val="0"/>
          <w:marBottom w:val="0"/>
          <w:divBdr>
            <w:top w:val="none" w:sz="0" w:space="0" w:color="auto"/>
            <w:left w:val="none" w:sz="0" w:space="0" w:color="auto"/>
            <w:bottom w:val="none" w:sz="0" w:space="0" w:color="auto"/>
            <w:right w:val="none" w:sz="0" w:space="0" w:color="auto"/>
          </w:divBdr>
          <w:divsChild>
            <w:div w:id="319161644">
              <w:marLeft w:val="0"/>
              <w:marRight w:val="0"/>
              <w:marTop w:val="0"/>
              <w:marBottom w:val="0"/>
              <w:divBdr>
                <w:top w:val="none" w:sz="0" w:space="0" w:color="auto"/>
                <w:left w:val="none" w:sz="0" w:space="0" w:color="auto"/>
                <w:bottom w:val="none" w:sz="0" w:space="0" w:color="auto"/>
                <w:right w:val="none" w:sz="0" w:space="0" w:color="auto"/>
              </w:divBdr>
            </w:div>
          </w:divsChild>
        </w:div>
        <w:div w:id="1960144509">
          <w:marLeft w:val="0"/>
          <w:marRight w:val="0"/>
          <w:marTop w:val="0"/>
          <w:marBottom w:val="0"/>
          <w:divBdr>
            <w:top w:val="none" w:sz="0" w:space="0" w:color="auto"/>
            <w:left w:val="none" w:sz="0" w:space="0" w:color="auto"/>
            <w:bottom w:val="none" w:sz="0" w:space="0" w:color="auto"/>
            <w:right w:val="none" w:sz="0" w:space="0" w:color="auto"/>
          </w:divBdr>
          <w:divsChild>
            <w:div w:id="874124773">
              <w:marLeft w:val="0"/>
              <w:marRight w:val="0"/>
              <w:marTop w:val="0"/>
              <w:marBottom w:val="0"/>
              <w:divBdr>
                <w:top w:val="none" w:sz="0" w:space="0" w:color="auto"/>
                <w:left w:val="none" w:sz="0" w:space="0" w:color="auto"/>
                <w:bottom w:val="none" w:sz="0" w:space="0" w:color="auto"/>
                <w:right w:val="none" w:sz="0" w:space="0" w:color="auto"/>
              </w:divBdr>
            </w:div>
          </w:divsChild>
        </w:div>
        <w:div w:id="2053142539">
          <w:marLeft w:val="0"/>
          <w:marRight w:val="0"/>
          <w:marTop w:val="0"/>
          <w:marBottom w:val="0"/>
          <w:divBdr>
            <w:top w:val="none" w:sz="0" w:space="0" w:color="auto"/>
            <w:left w:val="none" w:sz="0" w:space="0" w:color="auto"/>
            <w:bottom w:val="none" w:sz="0" w:space="0" w:color="auto"/>
            <w:right w:val="none" w:sz="0" w:space="0" w:color="auto"/>
          </w:divBdr>
          <w:divsChild>
            <w:div w:id="2084644793">
              <w:marLeft w:val="0"/>
              <w:marRight w:val="0"/>
              <w:marTop w:val="0"/>
              <w:marBottom w:val="0"/>
              <w:divBdr>
                <w:top w:val="none" w:sz="0" w:space="0" w:color="auto"/>
                <w:left w:val="none" w:sz="0" w:space="0" w:color="auto"/>
                <w:bottom w:val="none" w:sz="0" w:space="0" w:color="auto"/>
                <w:right w:val="none" w:sz="0" w:space="0" w:color="auto"/>
              </w:divBdr>
            </w:div>
          </w:divsChild>
        </w:div>
        <w:div w:id="2121100118">
          <w:marLeft w:val="0"/>
          <w:marRight w:val="0"/>
          <w:marTop w:val="0"/>
          <w:marBottom w:val="0"/>
          <w:divBdr>
            <w:top w:val="none" w:sz="0" w:space="0" w:color="auto"/>
            <w:left w:val="none" w:sz="0" w:space="0" w:color="auto"/>
            <w:bottom w:val="none" w:sz="0" w:space="0" w:color="auto"/>
            <w:right w:val="none" w:sz="0" w:space="0" w:color="auto"/>
          </w:divBdr>
          <w:divsChild>
            <w:div w:id="41447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rivm-file-a03p.rivm.ssc-campus.nl\home\ottent\_AppSense_\Desktop\IMDB%20Archive\MenB%20Results\Infant%20Bexsero%20PSA%20MenB%20Vaccination%20Model(AutoRecovered).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rivm-file-a03p.rivm.ssc-campus.nl\home\ottent\_AppSense_\Desktop\IMDB%20Archive\MenB%20Results\Adolescent%20Bexsero%20PSA%20MenB%20Vaccination%20Model(AutoRecovered).xlsm"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ICER 4CMenB (Infant) DSA</a:t>
            </a:r>
          </a:p>
        </c:rich>
      </c:tx>
      <c:overlay val="0"/>
    </c:title>
    <c:autoTitleDeleted val="0"/>
    <c:plotArea>
      <c:layout/>
      <c:barChart>
        <c:barDir val="bar"/>
        <c:grouping val="clustered"/>
        <c:varyColors val="0"/>
        <c:ser>
          <c:idx val="0"/>
          <c:order val="0"/>
          <c:tx>
            <c:strRef>
              <c:f>DOWSA!$F$5</c:f>
              <c:strCache>
                <c:ptCount val="1"/>
                <c:pt idx="0">
                  <c:v>Minimum value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DOWSA!$P$6:$Q$16</c:f>
              <c:strCache>
                <c:ptCount val="11"/>
                <c:pt idx="0">
                  <c:v>Case-fatality rate - Age &lt; 5 (0.077, 0.036, 0.131)</c:v>
                </c:pt>
                <c:pt idx="1">
                  <c:v>Monthly incidence - Age 1 - 2 (0.000003, 0.000002, 0.000005)</c:v>
                </c:pt>
                <c:pt idx="2">
                  <c:v>Monthly incidence - Age &lt;1 (0.000005, 0.000003, 0.000007)</c:v>
                </c:pt>
                <c:pt idx="3">
                  <c:v>Vaccine Effectiveness in Infants (0.81, 0.695, 0.903)</c:v>
                </c:pt>
                <c:pt idx="4">
                  <c:v>Monthly incidence - Age 2 - 5 (0.000002, 0.000001, 0.000002)</c:v>
                </c:pt>
                <c:pt idx="5">
                  <c:v>Sequelae probability - Scaring (0.064, 0.042, 0.09)</c:v>
                </c:pt>
                <c:pt idx="6">
                  <c:v>Sequelae probability - Amputation (0.013, 0.003, 0.03)</c:v>
                </c:pt>
                <c:pt idx="7">
                  <c:v>Sequelae probability - Neurological  (0.036, 0.02, 0.056)</c:v>
                </c:pt>
                <c:pt idx="8">
                  <c:v>Sequelae probability - Unilateral hearing loss (0.047, 0.024, 0.078)</c:v>
                </c:pt>
                <c:pt idx="9">
                  <c:v>Sequelae probability - Speech impediment (0.042, 0.02, 0.071)</c:v>
                </c:pt>
                <c:pt idx="10">
                  <c:v>Sequelae probability - Motor deficits (0.015, 0, 0.055)</c:v>
                </c:pt>
              </c:strCache>
            </c:strRef>
          </c:cat>
          <c:val>
            <c:numRef>
              <c:f>DOWSA!$F$6:$F$15</c:f>
              <c:numCache>
                <c:formatCode>_ [$€-2]\ * #,##0_ ;_ [$€-2]\ * \-#,##0_ ;_ [$€-2]\ * "-"??_ ;_ @_ </c:formatCode>
                <c:ptCount val="10"/>
                <c:pt idx="0">
                  <c:v>727177.09218977741</c:v>
                </c:pt>
                <c:pt idx="1">
                  <c:v>691994.8150212334</c:v>
                </c:pt>
                <c:pt idx="2">
                  <c:v>683450.68901385483</c:v>
                </c:pt>
                <c:pt idx="3">
                  <c:v>689934.50605599058</c:v>
                </c:pt>
                <c:pt idx="4">
                  <c:v>660228.04004712589</c:v>
                </c:pt>
                <c:pt idx="5">
                  <c:v>616648.52820261568</c:v>
                </c:pt>
                <c:pt idx="6">
                  <c:v>606687.55959273304</c:v>
                </c:pt>
                <c:pt idx="7">
                  <c:v>609360.36639168602</c:v>
                </c:pt>
                <c:pt idx="8">
                  <c:v>606900.71634832362</c:v>
                </c:pt>
                <c:pt idx="9">
                  <c:v>606746.10607204749</c:v>
                </c:pt>
              </c:numCache>
            </c:numRef>
          </c:val>
          <c:extLst>
            <c:ext xmlns:c16="http://schemas.microsoft.com/office/drawing/2014/chart" uri="{C3380CC4-5D6E-409C-BE32-E72D297353CC}">
              <c16:uniqueId val="{00000000-3901-460C-97B2-16BFF3227443}"/>
            </c:ext>
          </c:extLst>
        </c:ser>
        <c:ser>
          <c:idx val="1"/>
          <c:order val="1"/>
          <c:tx>
            <c:strRef>
              <c:f>DOWSA!$G$5</c:f>
              <c:strCache>
                <c:ptCount val="1"/>
                <c:pt idx="0">
                  <c:v>Maximum value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DOWSA!$P$6:$Q$16</c:f>
              <c:strCache>
                <c:ptCount val="11"/>
                <c:pt idx="0">
                  <c:v>Case-fatality rate - Age &lt; 5 (0.077, 0.036, 0.131)</c:v>
                </c:pt>
                <c:pt idx="1">
                  <c:v>Monthly incidence - Age 1 - 2 (0.000003, 0.000002, 0.000005)</c:v>
                </c:pt>
                <c:pt idx="2">
                  <c:v>Monthly incidence - Age &lt;1 (0.000005, 0.000003, 0.000007)</c:v>
                </c:pt>
                <c:pt idx="3">
                  <c:v>Vaccine Effectiveness in Infants (0.81, 0.695, 0.903)</c:v>
                </c:pt>
                <c:pt idx="4">
                  <c:v>Monthly incidence - Age 2 - 5 (0.000002, 0.000001, 0.000002)</c:v>
                </c:pt>
                <c:pt idx="5">
                  <c:v>Sequelae probability - Scaring (0.064, 0.042, 0.09)</c:v>
                </c:pt>
                <c:pt idx="6">
                  <c:v>Sequelae probability - Amputation (0.013, 0.003, 0.03)</c:v>
                </c:pt>
                <c:pt idx="7">
                  <c:v>Sequelae probability - Neurological  (0.036, 0.02, 0.056)</c:v>
                </c:pt>
                <c:pt idx="8">
                  <c:v>Sequelae probability - Unilateral hearing loss (0.047, 0.024, 0.078)</c:v>
                </c:pt>
                <c:pt idx="9">
                  <c:v>Sequelae probability - Speech impediment (0.042, 0.02, 0.071)</c:v>
                </c:pt>
                <c:pt idx="10">
                  <c:v>Sequelae probability - Motor deficits (0.015, 0, 0.055)</c:v>
                </c:pt>
              </c:strCache>
            </c:strRef>
          </c:cat>
          <c:val>
            <c:numRef>
              <c:f>DOWSA!$G$6:$G$15</c:f>
              <c:numCache>
                <c:formatCode>_ [$€-2]\ * #,##0_ ;_ [$€-2]\ * \-#,##0_ ;_ [$€-2]\ * "-"??_ ;_ @_ </c:formatCode>
                <c:ptCount val="10"/>
                <c:pt idx="0">
                  <c:v>475980.36089767393</c:v>
                </c:pt>
                <c:pt idx="1">
                  <c:v>501397.20147129701</c:v>
                </c:pt>
                <c:pt idx="2">
                  <c:v>510591.98975212988</c:v>
                </c:pt>
                <c:pt idx="3">
                  <c:v>532191.10208761808</c:v>
                </c:pt>
                <c:pt idx="4">
                  <c:v>527540.39696975274</c:v>
                </c:pt>
                <c:pt idx="5">
                  <c:v>566924.48807745136</c:v>
                </c:pt>
                <c:pt idx="6">
                  <c:v>570082.77275017439</c:v>
                </c:pt>
                <c:pt idx="7">
                  <c:v>573031.22631661443</c:v>
                </c:pt>
                <c:pt idx="8">
                  <c:v>575493.29855598521</c:v>
                </c:pt>
                <c:pt idx="9">
                  <c:v>575400.80031236634</c:v>
                </c:pt>
              </c:numCache>
            </c:numRef>
          </c:val>
          <c:extLst>
            <c:ext xmlns:c16="http://schemas.microsoft.com/office/drawing/2014/chart" uri="{C3380CC4-5D6E-409C-BE32-E72D297353CC}">
              <c16:uniqueId val="{00000001-3901-460C-97B2-16BFF3227443}"/>
            </c:ext>
          </c:extLst>
        </c:ser>
        <c:dLbls>
          <c:dLblPos val="outEnd"/>
          <c:showLegendKey val="0"/>
          <c:showVal val="1"/>
          <c:showCatName val="0"/>
          <c:showSerName val="0"/>
          <c:showPercent val="0"/>
          <c:showBubbleSize val="0"/>
        </c:dLbls>
        <c:gapWidth val="183"/>
        <c:overlap val="100"/>
        <c:axId val="249765888"/>
        <c:axId val="249767424"/>
      </c:barChart>
      <c:catAx>
        <c:axId val="249765888"/>
        <c:scaling>
          <c:orientation val="maxMin"/>
        </c:scaling>
        <c:delete val="0"/>
        <c:axPos val="l"/>
        <c:numFmt formatCode="General" sourceLinked="1"/>
        <c:majorTickMark val="none"/>
        <c:minorTickMark val="none"/>
        <c:tickLblPos val="low"/>
        <c:crossAx val="249767424"/>
        <c:crossesAt val="592917.75939999998"/>
        <c:auto val="1"/>
        <c:lblAlgn val="ctr"/>
        <c:lblOffset val="100"/>
        <c:noMultiLvlLbl val="0"/>
      </c:catAx>
      <c:valAx>
        <c:axId val="249767424"/>
        <c:scaling>
          <c:orientation val="minMax"/>
        </c:scaling>
        <c:delete val="0"/>
        <c:axPos val="t"/>
        <c:majorGridlines/>
        <c:numFmt formatCode="&quot;€&quot;\ #,##0" sourceLinked="0"/>
        <c:majorTickMark val="none"/>
        <c:minorTickMark val="none"/>
        <c:tickLblPos val="nextTo"/>
        <c:crossAx val="24976588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ICER 4CMenB (Adolescent) DSA</a:t>
            </a:r>
          </a:p>
        </c:rich>
      </c:tx>
      <c:overlay val="0"/>
    </c:title>
    <c:autoTitleDeleted val="0"/>
    <c:plotArea>
      <c:layout/>
      <c:barChart>
        <c:barDir val="bar"/>
        <c:grouping val="clustered"/>
        <c:varyColors val="0"/>
        <c:ser>
          <c:idx val="0"/>
          <c:order val="0"/>
          <c:tx>
            <c:strRef>
              <c:f>DOWSA!$F$5</c:f>
              <c:strCache>
                <c:ptCount val="1"/>
                <c:pt idx="0">
                  <c:v>Minimum value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DOWSA!$P$6:$Q$16</c:f>
              <c:strCache>
                <c:ptCount val="11"/>
                <c:pt idx="0">
                  <c:v>Monthly incidence - Age 15 -18 (0, 0, 0)</c:v>
                </c:pt>
                <c:pt idx="1">
                  <c:v>Vaccine Effectiveness in Adolescents (0.89, 0.629071, 0.99719)</c:v>
                </c:pt>
                <c:pt idx="2">
                  <c:v>Case-fatality rate - Age 15 - 25 (0.034247, 0.01129, 0.069124)</c:v>
                </c:pt>
                <c:pt idx="3">
                  <c:v>Sequelae probability - Scaring (0.064, 0.042, 0.09)</c:v>
                </c:pt>
                <c:pt idx="4">
                  <c:v>Sequelae probability - Amputation (0.012552, 0.002607, 0.030024)</c:v>
                </c:pt>
                <c:pt idx="5">
                  <c:v>Sequelae probability - Neurological  (0.036, 0.02, 0.056)</c:v>
                </c:pt>
                <c:pt idx="6">
                  <c:v>Sequelae probability - Unilateral hearing loss (0.047, 0.024, 0.078)</c:v>
                </c:pt>
                <c:pt idx="7">
                  <c:v>Sequelae probability - Speech impediment (0.042, 0.02, 0.071)</c:v>
                </c:pt>
                <c:pt idx="8">
                  <c:v>Monthly incidence - Age 18 - 25 (0, 0, 0)</c:v>
                </c:pt>
                <c:pt idx="9">
                  <c:v>Sequelae probability - motor deficits (0.015, 0, 0.055)</c:v>
                </c:pt>
                <c:pt idx="10">
                  <c:v>Sequelae probability - Low IQ (0.008, 0.001, 0.023)</c:v>
                </c:pt>
              </c:strCache>
            </c:strRef>
          </c:cat>
          <c:val>
            <c:numRef>
              <c:f>DOWSA!$F$6:$F$15</c:f>
              <c:numCache>
                <c:formatCode>_ [$€-2]\ * #,##0_ ;_ [$€-2]\ * \-#,##0_ ;_ [$€-2]\ * "-"??_ ;_ @_ </c:formatCode>
                <c:ptCount val="10"/>
                <c:pt idx="0">
                  <c:v>1212445.8628414895</c:v>
                </c:pt>
                <c:pt idx="1">
                  <c:v>1256905.3663105743</c:v>
                </c:pt>
                <c:pt idx="2">
                  <c:v>1017116.5162779735</c:v>
                </c:pt>
                <c:pt idx="3">
                  <c:v>932047.01891619177</c:v>
                </c:pt>
                <c:pt idx="4">
                  <c:v>911374.76356509223</c:v>
                </c:pt>
                <c:pt idx="5">
                  <c:v>915896.0881199392</c:v>
                </c:pt>
                <c:pt idx="6">
                  <c:v>912840.78091815137</c:v>
                </c:pt>
                <c:pt idx="7">
                  <c:v>912459.75189922412</c:v>
                </c:pt>
                <c:pt idx="8">
                  <c:v>913068.09211222036</c:v>
                </c:pt>
                <c:pt idx="9">
                  <c:v>899878.09284757543</c:v>
                </c:pt>
              </c:numCache>
            </c:numRef>
          </c:val>
          <c:extLst>
            <c:ext xmlns:c16="http://schemas.microsoft.com/office/drawing/2014/chart" uri="{C3380CC4-5D6E-409C-BE32-E72D297353CC}">
              <c16:uniqueId val="{00000000-4C1A-41A4-B87B-B42365DC94FB}"/>
            </c:ext>
          </c:extLst>
        </c:ser>
        <c:ser>
          <c:idx val="1"/>
          <c:order val="1"/>
          <c:tx>
            <c:strRef>
              <c:f>DOWSA!$G$5</c:f>
              <c:strCache>
                <c:ptCount val="1"/>
                <c:pt idx="0">
                  <c:v>Maximum value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DOWSA!$P$6:$Q$16</c:f>
              <c:strCache>
                <c:ptCount val="11"/>
                <c:pt idx="0">
                  <c:v>Monthly incidence - Age 15 -18 (0, 0, 0)</c:v>
                </c:pt>
                <c:pt idx="1">
                  <c:v>Vaccine Effectiveness in Adolescents (0.89, 0.629071, 0.99719)</c:v>
                </c:pt>
                <c:pt idx="2">
                  <c:v>Case-fatality rate - Age 15 - 25 (0.034247, 0.01129, 0.069124)</c:v>
                </c:pt>
                <c:pt idx="3">
                  <c:v>Sequelae probability - Scaring (0.064, 0.042, 0.09)</c:v>
                </c:pt>
                <c:pt idx="4">
                  <c:v>Sequelae probability - Amputation (0.012552, 0.002607, 0.030024)</c:v>
                </c:pt>
                <c:pt idx="5">
                  <c:v>Sequelae probability - Neurological  (0.036, 0.02, 0.056)</c:v>
                </c:pt>
                <c:pt idx="6">
                  <c:v>Sequelae probability - Unilateral hearing loss (0.047, 0.024, 0.078)</c:v>
                </c:pt>
                <c:pt idx="7">
                  <c:v>Sequelae probability - Speech impediment (0.042, 0.02, 0.071)</c:v>
                </c:pt>
                <c:pt idx="8">
                  <c:v>Monthly incidence - Age 18 - 25 (0, 0, 0)</c:v>
                </c:pt>
                <c:pt idx="9">
                  <c:v>Sequelae probability - motor deficits (0.015, 0, 0.055)</c:v>
                </c:pt>
                <c:pt idx="10">
                  <c:v>Sequelae probability - Low IQ (0.008, 0.001, 0.023)</c:v>
                </c:pt>
              </c:strCache>
            </c:strRef>
          </c:cat>
          <c:val>
            <c:numRef>
              <c:f>DOWSA!$G$6:$G$15</c:f>
              <c:numCache>
                <c:formatCode>_ [$€-2]\ * #,##0_ ;_ [$€-2]\ * \-#,##0_ ;_ [$€-2]\ * "-"??_ ;_ @_ </c:formatCode>
                <c:ptCount val="10"/>
                <c:pt idx="0">
                  <c:v>670572.16659341566</c:v>
                </c:pt>
                <c:pt idx="1">
                  <c:v>789251.87594062777</c:v>
                </c:pt>
                <c:pt idx="2">
                  <c:v>740088.37125112512</c:v>
                </c:pt>
                <c:pt idx="3">
                  <c:v>835774.98376674054</c:v>
                </c:pt>
                <c:pt idx="4">
                  <c:v>843319.35404821404</c:v>
                </c:pt>
                <c:pt idx="5">
                  <c:v>849346.36194988608</c:v>
                </c:pt>
                <c:pt idx="6">
                  <c:v>851970.48624609003</c:v>
                </c:pt>
                <c:pt idx="7">
                  <c:v>851883.56801154511</c:v>
                </c:pt>
                <c:pt idx="8">
                  <c:v>856310.0065254271</c:v>
                </c:pt>
                <c:pt idx="9">
                  <c:v>848881.6718045451</c:v>
                </c:pt>
              </c:numCache>
            </c:numRef>
          </c:val>
          <c:extLst>
            <c:ext xmlns:c16="http://schemas.microsoft.com/office/drawing/2014/chart" uri="{C3380CC4-5D6E-409C-BE32-E72D297353CC}">
              <c16:uniqueId val="{00000001-4C1A-41A4-B87B-B42365DC94FB}"/>
            </c:ext>
          </c:extLst>
        </c:ser>
        <c:dLbls>
          <c:dLblPos val="outEnd"/>
          <c:showLegendKey val="0"/>
          <c:showVal val="1"/>
          <c:showCatName val="0"/>
          <c:showSerName val="0"/>
          <c:showPercent val="0"/>
          <c:showBubbleSize val="0"/>
        </c:dLbls>
        <c:gapWidth val="183"/>
        <c:overlap val="100"/>
        <c:axId val="249765888"/>
        <c:axId val="249767424"/>
      </c:barChart>
      <c:catAx>
        <c:axId val="249765888"/>
        <c:scaling>
          <c:orientation val="maxMin"/>
        </c:scaling>
        <c:delete val="0"/>
        <c:axPos val="l"/>
        <c:numFmt formatCode="General" sourceLinked="1"/>
        <c:majorTickMark val="none"/>
        <c:minorTickMark val="none"/>
        <c:tickLblPos val="low"/>
        <c:crossAx val="249767424"/>
        <c:crossesAt val="885501.67039999994"/>
        <c:auto val="1"/>
        <c:lblAlgn val="ctr"/>
        <c:lblOffset val="100"/>
        <c:noMultiLvlLbl val="0"/>
      </c:catAx>
      <c:valAx>
        <c:axId val="249767424"/>
        <c:scaling>
          <c:orientation val="minMax"/>
        </c:scaling>
        <c:delete val="0"/>
        <c:axPos val="t"/>
        <c:majorGridlines/>
        <c:numFmt formatCode="&quot;€&quot;\ #,##0" sourceLinked="0"/>
        <c:majorTickMark val="none"/>
        <c:minorTickMark val="none"/>
        <c:tickLblPos val="nextTo"/>
        <c:crossAx val="24976588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ICER MenB-fHBp (Adolescent) DSA</a:t>
            </a:r>
          </a:p>
        </c:rich>
      </c:tx>
      <c:overlay val="0"/>
    </c:title>
    <c:autoTitleDeleted val="0"/>
    <c:plotArea>
      <c:layout/>
      <c:barChart>
        <c:barDir val="bar"/>
        <c:grouping val="clustered"/>
        <c:varyColors val="0"/>
        <c:ser>
          <c:idx val="0"/>
          <c:order val="0"/>
          <c:tx>
            <c:strRef>
              <c:f>DOWSA!$F$5</c:f>
              <c:strCache>
                <c:ptCount val="1"/>
                <c:pt idx="0">
                  <c:v>Minimum value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DOWSA!$P$6:$Q$16</c:f>
              <c:strCache>
                <c:ptCount val="11"/>
                <c:pt idx="0">
                  <c:v>Monthly incidence - Age 15 -18 (0, 0, 0)</c:v>
                </c:pt>
                <c:pt idx="1">
                  <c:v>Vaccine Effectiveness in Adolescents (0.89, 0.629071, 0.99719)</c:v>
                </c:pt>
                <c:pt idx="2">
                  <c:v>Case-fatality rate - Age 15 - 25 (0.034247, 0.01129, 0.069124)</c:v>
                </c:pt>
                <c:pt idx="3">
                  <c:v>Sequelae probability - Scaring (0.064, 0.042, 0.09)</c:v>
                </c:pt>
                <c:pt idx="4">
                  <c:v>Sequelae probability - Amputation (0.012552, 0.002607, 0.030024)</c:v>
                </c:pt>
                <c:pt idx="5">
                  <c:v>Sequelae probability - Neurological  (0.036, 0.02, 0.056)</c:v>
                </c:pt>
                <c:pt idx="6">
                  <c:v>Sequelae probability - Unilateral hearing loss (0.047, 0.024, 0.078)</c:v>
                </c:pt>
                <c:pt idx="7">
                  <c:v>Sequelae probability - Speech impediment (0.042, 0.02, 0.071)</c:v>
                </c:pt>
                <c:pt idx="8">
                  <c:v>Monthly incidence - Age 18 - 25 (0, 0, 0)</c:v>
                </c:pt>
                <c:pt idx="9">
                  <c:v>Sequelae probability - Speech impediment (0.015, 0, 0.055)</c:v>
                </c:pt>
                <c:pt idx="10">
                  <c:v>Sequelae probability - Low IQ (0.008, 0.001, 0.023)</c:v>
                </c:pt>
              </c:strCache>
            </c:strRef>
          </c:cat>
          <c:val>
            <c:numRef>
              <c:f>DOWSA!$F$6:$F$15</c:f>
              <c:numCache>
                <c:formatCode>_ [$€-2]\ * #,##0_ ;_ [$€-2]\ * \-#,##0_ ;_ [$€-2]\ * "-"??_ ;_ @_ </c:formatCode>
                <c:ptCount val="10"/>
                <c:pt idx="0">
                  <c:v>978098.08218115394</c:v>
                </c:pt>
                <c:pt idx="1">
                  <c:v>1014015.7480873658</c:v>
                </c:pt>
                <c:pt idx="2">
                  <c:v>819876.7870752106</c:v>
                </c:pt>
                <c:pt idx="3">
                  <c:v>751346.1035673751</c:v>
                </c:pt>
                <c:pt idx="4">
                  <c:v>734864.43947031023</c:v>
                </c:pt>
                <c:pt idx="5">
                  <c:v>738547.68854588387</c:v>
                </c:pt>
                <c:pt idx="6">
                  <c:v>735868.69621500408</c:v>
                </c:pt>
                <c:pt idx="7">
                  <c:v>735568.18248043023</c:v>
                </c:pt>
                <c:pt idx="8">
                  <c:v>736093.77783301368</c:v>
                </c:pt>
                <c:pt idx="9">
                  <c:v>725448.71100618993</c:v>
                </c:pt>
              </c:numCache>
            </c:numRef>
          </c:val>
          <c:extLst>
            <c:ext xmlns:c16="http://schemas.microsoft.com/office/drawing/2014/chart" uri="{C3380CC4-5D6E-409C-BE32-E72D297353CC}">
              <c16:uniqueId val="{00000000-08CC-4872-8CA4-79B4625D2E58}"/>
            </c:ext>
          </c:extLst>
        </c:ser>
        <c:ser>
          <c:idx val="1"/>
          <c:order val="1"/>
          <c:tx>
            <c:strRef>
              <c:f>DOWSA!$G$5</c:f>
              <c:strCache>
                <c:ptCount val="1"/>
                <c:pt idx="0">
                  <c:v>Maximum value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DOWSA!$P$6:$Q$16</c:f>
              <c:strCache>
                <c:ptCount val="11"/>
                <c:pt idx="0">
                  <c:v>Monthly incidence - Age 15 -18 (0, 0, 0)</c:v>
                </c:pt>
                <c:pt idx="1">
                  <c:v>Vaccine Effectiveness in Adolescents (0.89, 0.629071, 0.99719)</c:v>
                </c:pt>
                <c:pt idx="2">
                  <c:v>Case-fatality rate - Age 15 - 25 (0.034247, 0.01129, 0.069124)</c:v>
                </c:pt>
                <c:pt idx="3">
                  <c:v>Sequelae probability - Scaring (0.064, 0.042, 0.09)</c:v>
                </c:pt>
                <c:pt idx="4">
                  <c:v>Sequelae probability - Amputation (0.012552, 0.002607, 0.030024)</c:v>
                </c:pt>
                <c:pt idx="5">
                  <c:v>Sequelae probability - Neurological  (0.036, 0.02, 0.056)</c:v>
                </c:pt>
                <c:pt idx="6">
                  <c:v>Sequelae probability - Unilateral hearing loss (0.047, 0.024, 0.078)</c:v>
                </c:pt>
                <c:pt idx="7">
                  <c:v>Sequelae probability - Speech impediment (0.042, 0.02, 0.071)</c:v>
                </c:pt>
                <c:pt idx="8">
                  <c:v>Monthly incidence - Age 18 - 25 (0, 0, 0)</c:v>
                </c:pt>
                <c:pt idx="9">
                  <c:v>Sequelae probability - Speech impediment (0.015, 0, 0.055)</c:v>
                </c:pt>
                <c:pt idx="10">
                  <c:v>Sequelae probability - Low IQ (0.008, 0.001, 0.023)</c:v>
                </c:pt>
              </c:strCache>
            </c:strRef>
          </c:cat>
          <c:val>
            <c:numRef>
              <c:f>DOWSA!$G$6:$G$15</c:f>
              <c:numCache>
                <c:formatCode>_ [$€-2]\ * #,##0_ ;_ [$€-2]\ * \-#,##0_ ;_ [$€-2]\ * "-"??_ ;_ @_ </c:formatCode>
                <c:ptCount val="10"/>
                <c:pt idx="0">
                  <c:v>540090.37977610447</c:v>
                </c:pt>
                <c:pt idx="1">
                  <c:v>636026.89598089596</c:v>
                </c:pt>
                <c:pt idx="2">
                  <c:v>596649.30981334951</c:v>
                </c:pt>
                <c:pt idx="3">
                  <c:v>673733.9818873764</c:v>
                </c:pt>
                <c:pt idx="4">
                  <c:v>679516.4151352999</c:v>
                </c:pt>
                <c:pt idx="5">
                  <c:v>684410.73614094313</c:v>
                </c:pt>
                <c:pt idx="6">
                  <c:v>686782.80789778207</c:v>
                </c:pt>
                <c:pt idx="7">
                  <c:v>686704.30116176582</c:v>
                </c:pt>
                <c:pt idx="8">
                  <c:v>690237.95059974084</c:v>
                </c:pt>
                <c:pt idx="9">
                  <c:v>684207.55834436137</c:v>
                </c:pt>
              </c:numCache>
            </c:numRef>
          </c:val>
          <c:extLst>
            <c:ext xmlns:c16="http://schemas.microsoft.com/office/drawing/2014/chart" uri="{C3380CC4-5D6E-409C-BE32-E72D297353CC}">
              <c16:uniqueId val="{00000001-08CC-4872-8CA4-79B4625D2E58}"/>
            </c:ext>
          </c:extLst>
        </c:ser>
        <c:dLbls>
          <c:dLblPos val="outEnd"/>
          <c:showLegendKey val="0"/>
          <c:showVal val="1"/>
          <c:showCatName val="0"/>
          <c:showSerName val="0"/>
          <c:showPercent val="0"/>
          <c:showBubbleSize val="0"/>
        </c:dLbls>
        <c:gapWidth val="183"/>
        <c:overlap val="100"/>
        <c:axId val="249765888"/>
        <c:axId val="249767424"/>
      </c:barChart>
      <c:catAx>
        <c:axId val="249765888"/>
        <c:scaling>
          <c:orientation val="maxMin"/>
        </c:scaling>
        <c:delete val="0"/>
        <c:axPos val="l"/>
        <c:numFmt formatCode="General" sourceLinked="1"/>
        <c:majorTickMark val="none"/>
        <c:minorTickMark val="none"/>
        <c:tickLblPos val="low"/>
        <c:crossAx val="249767424"/>
        <c:crossesAt val="713822.40099999995"/>
        <c:auto val="1"/>
        <c:lblAlgn val="ctr"/>
        <c:lblOffset val="100"/>
        <c:noMultiLvlLbl val="0"/>
      </c:catAx>
      <c:valAx>
        <c:axId val="249767424"/>
        <c:scaling>
          <c:orientation val="minMax"/>
        </c:scaling>
        <c:delete val="0"/>
        <c:axPos val="t"/>
        <c:majorGridlines/>
        <c:numFmt formatCode="&quot;€&quot;\ #,##0" sourceLinked="0"/>
        <c:majorTickMark val="none"/>
        <c:minorTickMark val="none"/>
        <c:tickLblPos val="nextTo"/>
        <c:crossAx val="24976588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ICER MenABCWY (Adolescent) DSA</a:t>
            </a:r>
          </a:p>
        </c:rich>
      </c:tx>
      <c:overlay val="0"/>
    </c:title>
    <c:autoTitleDeleted val="0"/>
    <c:plotArea>
      <c:layout/>
      <c:barChart>
        <c:barDir val="bar"/>
        <c:grouping val="clustered"/>
        <c:varyColors val="0"/>
        <c:ser>
          <c:idx val="0"/>
          <c:order val="0"/>
          <c:tx>
            <c:strRef>
              <c:f>DOWSA!$F$5</c:f>
              <c:strCache>
                <c:ptCount val="1"/>
                <c:pt idx="0">
                  <c:v>Minimum value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DOWSA!$P$6:$Q$16</c:f>
              <c:strCache>
                <c:ptCount val="11"/>
                <c:pt idx="0">
                  <c:v>Monthly incidence - Age 15 -18 (0, 0, 0)</c:v>
                </c:pt>
                <c:pt idx="1">
                  <c:v>Vaccine Effectiveness in Adolescents (0.89, 0.629071, 0.99719)</c:v>
                </c:pt>
                <c:pt idx="2">
                  <c:v>Case-fatality rate - Age 15 - 25 (0.034247, 0.01129, 0.069124)</c:v>
                </c:pt>
                <c:pt idx="3">
                  <c:v>Sequelae probability - Scaring (0.064, 0.042, 0.09)</c:v>
                </c:pt>
                <c:pt idx="4">
                  <c:v>Sequelae probability - Amputation (0.012552, 0.002607, 0.030024)</c:v>
                </c:pt>
                <c:pt idx="5">
                  <c:v>Sequelae probability - Neurological  (0.036, 0.02, 0.056)</c:v>
                </c:pt>
                <c:pt idx="6">
                  <c:v>Sequelae probability - Unilateral hearing loss (0.047, 0.024, 0.078)</c:v>
                </c:pt>
                <c:pt idx="7">
                  <c:v>Sequelae probability - Speech impediment (0.042, 0.02, 0.071)</c:v>
                </c:pt>
                <c:pt idx="8">
                  <c:v>Monthly incidence - Age 18 - 25 (0, 0, 0)</c:v>
                </c:pt>
                <c:pt idx="9">
                  <c:v>#N/A</c:v>
                </c:pt>
                <c:pt idx="10">
                  <c:v>Sequelae probability - Low IQ (0.008, 0.001, 0.023)</c:v>
                </c:pt>
              </c:strCache>
            </c:strRef>
          </c:cat>
          <c:val>
            <c:numRef>
              <c:f>DOWSA!$F$6:$F$15</c:f>
              <c:numCache>
                <c:formatCode>_ [$€-2]\ * #,##0_ ;_ [$€-2]\ * \-#,##0_ ;_ [$€-2]\ * "-"??_ ;_ @_ </c:formatCode>
                <c:ptCount val="10"/>
                <c:pt idx="0">
                  <c:v>978626.43039174355</c:v>
                </c:pt>
                <c:pt idx="1">
                  <c:v>1014563.3553708924</c:v>
                </c:pt>
                <c:pt idx="2">
                  <c:v>820321.47181118955</c:v>
                </c:pt>
                <c:pt idx="3">
                  <c:v>751753.5008970201</c:v>
                </c:pt>
                <c:pt idx="4">
                  <c:v>735262.38894576777</c:v>
                </c:pt>
                <c:pt idx="5">
                  <c:v>738947.52749663836</c:v>
                </c:pt>
                <c:pt idx="6">
                  <c:v>736267.68674794363</c:v>
                </c:pt>
                <c:pt idx="7">
                  <c:v>735966.99148882681</c:v>
                </c:pt>
                <c:pt idx="8">
                  <c:v>736492.7736487278</c:v>
                </c:pt>
                <c:pt idx="9">
                  <c:v>725841.96891567623</c:v>
                </c:pt>
              </c:numCache>
            </c:numRef>
          </c:val>
          <c:extLst>
            <c:ext xmlns:c16="http://schemas.microsoft.com/office/drawing/2014/chart" uri="{C3380CC4-5D6E-409C-BE32-E72D297353CC}">
              <c16:uniqueId val="{00000000-2AA5-40EF-9B85-D2BF8B9A2821}"/>
            </c:ext>
          </c:extLst>
        </c:ser>
        <c:ser>
          <c:idx val="1"/>
          <c:order val="1"/>
          <c:tx>
            <c:strRef>
              <c:f>DOWSA!$G$5</c:f>
              <c:strCache>
                <c:ptCount val="1"/>
                <c:pt idx="0">
                  <c:v>Maximum value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DOWSA!$P$6:$Q$16</c:f>
              <c:strCache>
                <c:ptCount val="11"/>
                <c:pt idx="0">
                  <c:v>Monthly incidence - Age 15 -18 (0, 0, 0)</c:v>
                </c:pt>
                <c:pt idx="1">
                  <c:v>Vaccine Effectiveness in Adolescents (0.89, 0.629071, 0.99719)</c:v>
                </c:pt>
                <c:pt idx="2">
                  <c:v>Case-fatality rate - Age 15 - 25 (0.034247, 0.01129, 0.069124)</c:v>
                </c:pt>
                <c:pt idx="3">
                  <c:v>Sequelae probability - Scaring (0.064, 0.042, 0.09)</c:v>
                </c:pt>
                <c:pt idx="4">
                  <c:v>Sequelae probability - Amputation (0.012552, 0.002607, 0.030024)</c:v>
                </c:pt>
                <c:pt idx="5">
                  <c:v>Sequelae probability - Neurological  (0.036, 0.02, 0.056)</c:v>
                </c:pt>
                <c:pt idx="6">
                  <c:v>Sequelae probability - Unilateral hearing loss (0.047, 0.024, 0.078)</c:v>
                </c:pt>
                <c:pt idx="7">
                  <c:v>Sequelae probability - Speech impediment (0.042, 0.02, 0.071)</c:v>
                </c:pt>
                <c:pt idx="8">
                  <c:v>Monthly incidence - Age 18 - 25 (0, 0, 0)</c:v>
                </c:pt>
                <c:pt idx="9">
                  <c:v>#N/A</c:v>
                </c:pt>
                <c:pt idx="10">
                  <c:v>Sequelae probability - Low IQ (0.008, 0.001, 0.023)</c:v>
                </c:pt>
              </c:strCache>
            </c:strRef>
          </c:cat>
          <c:val>
            <c:numRef>
              <c:f>DOWSA!$G$6:$G$15</c:f>
              <c:numCache>
                <c:formatCode>_ [$€-2]\ * #,##0_ ;_ [$€-2]\ * \-#,##0_ ;_ [$€-2]\ * "-"??_ ;_ @_ </c:formatCode>
                <c:ptCount val="10"/>
                <c:pt idx="0">
                  <c:v>540384.55496676732</c:v>
                </c:pt>
                <c:pt idx="1">
                  <c:v>636372.34696443065</c:v>
                </c:pt>
                <c:pt idx="2">
                  <c:v>596972.69882554852</c:v>
                </c:pt>
                <c:pt idx="3">
                  <c:v>674099.30970709259</c:v>
                </c:pt>
                <c:pt idx="4">
                  <c:v>679885.71531155787</c:v>
                </c:pt>
                <c:pt idx="5">
                  <c:v>684782.59000417206</c:v>
                </c:pt>
                <c:pt idx="6">
                  <c:v>687155.23002350482</c:v>
                </c:pt>
                <c:pt idx="7">
                  <c:v>687076.70432323299</c:v>
                </c:pt>
                <c:pt idx="8">
                  <c:v>690612.36632108141</c:v>
                </c:pt>
                <c:pt idx="9">
                  <c:v>684578.8226177675</c:v>
                </c:pt>
              </c:numCache>
            </c:numRef>
          </c:val>
          <c:extLst>
            <c:ext xmlns:c16="http://schemas.microsoft.com/office/drawing/2014/chart" uri="{C3380CC4-5D6E-409C-BE32-E72D297353CC}">
              <c16:uniqueId val="{00000001-2AA5-40EF-9B85-D2BF8B9A2821}"/>
            </c:ext>
          </c:extLst>
        </c:ser>
        <c:dLbls>
          <c:dLblPos val="outEnd"/>
          <c:showLegendKey val="0"/>
          <c:showVal val="1"/>
          <c:showCatName val="0"/>
          <c:showSerName val="0"/>
          <c:showPercent val="0"/>
          <c:showBubbleSize val="0"/>
        </c:dLbls>
        <c:gapWidth val="183"/>
        <c:overlap val="100"/>
        <c:axId val="249765888"/>
        <c:axId val="249767424"/>
      </c:barChart>
      <c:catAx>
        <c:axId val="249765888"/>
        <c:scaling>
          <c:orientation val="maxMin"/>
        </c:scaling>
        <c:delete val="0"/>
        <c:axPos val="l"/>
        <c:numFmt formatCode="General" sourceLinked="1"/>
        <c:majorTickMark val="none"/>
        <c:minorTickMark val="none"/>
        <c:tickLblPos val="low"/>
        <c:crossAx val="249767424"/>
        <c:crossesAt val="714209.45869999996"/>
        <c:auto val="1"/>
        <c:lblAlgn val="ctr"/>
        <c:lblOffset val="100"/>
        <c:noMultiLvlLbl val="0"/>
      </c:catAx>
      <c:valAx>
        <c:axId val="249767424"/>
        <c:scaling>
          <c:orientation val="minMax"/>
        </c:scaling>
        <c:delete val="0"/>
        <c:axPos val="t"/>
        <c:majorGridlines/>
        <c:numFmt formatCode="&quot;€&quot;\ #,##0" sourceLinked="0"/>
        <c:majorTickMark val="none"/>
        <c:minorTickMark val="none"/>
        <c:tickLblPos val="nextTo"/>
        <c:crossAx val="249765888"/>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95B15-8BCB-4075-80F8-D2A68D107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1306</Words>
  <Characters>7185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Otten</dc:creator>
  <cp:keywords/>
  <dc:description/>
  <cp:lastModifiedBy>Thomas Otten</cp:lastModifiedBy>
  <cp:revision>3</cp:revision>
  <dcterms:created xsi:type="dcterms:W3CDTF">2025-07-09T08:39:00Z</dcterms:created>
  <dcterms:modified xsi:type="dcterms:W3CDTF">2026-01-06T12:47:00Z</dcterms:modified>
</cp:coreProperties>
</file>