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B70C7"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2" w:leftChars="0" w:right="102" w:rightChars="0" w:firstLine="0" w:firstLineChars="0"/>
        <w:jc w:val="both"/>
        <w:textAlignment w:val="auto"/>
        <w:rPr>
          <w:rFonts w:hint="eastAsia" w:ascii="Times New Roman" w:hAnsi="Times New Roman" w:eastAsia="黑体" w:cs="Times New Roman"/>
          <w:b/>
          <w:bCs/>
          <w:i w:val="0"/>
          <w:color w:val="auto"/>
          <w:sz w:val="20"/>
          <w:szCs w:val="20"/>
          <w:u w:val="none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color w:val="auto"/>
          <w:kern w:val="2"/>
          <w:sz w:val="20"/>
          <w:szCs w:val="20"/>
          <w:lang w:val="en-US" w:eastAsia="zh-CN" w:bidi="ar"/>
        </w:rPr>
        <w:t xml:space="preserve">Table </w:t>
      </w:r>
      <w:r>
        <w:rPr>
          <w:rFonts w:hint="eastAsia" w:ascii="Times New Roman" w:hAnsi="Times New Roman" w:eastAsia="等线" w:cs="Times New Roman"/>
          <w:b/>
          <w:bCs/>
          <w:color w:val="auto"/>
          <w:kern w:val="2"/>
          <w:sz w:val="20"/>
          <w:szCs w:val="20"/>
          <w:lang w:val="en-US" w:eastAsia="zh-CN" w:bidi="ar"/>
        </w:rPr>
        <w:t>3</w:t>
      </w:r>
      <w:r>
        <w:rPr>
          <w:rFonts w:hint="default" w:ascii="Times New Roman" w:hAnsi="Times New Roman" w:eastAsia="等线" w:cs="Times New Roman"/>
          <w:b/>
          <w:bCs/>
          <w:color w:val="auto"/>
          <w:kern w:val="2"/>
          <w:sz w:val="20"/>
          <w:szCs w:val="20"/>
          <w:lang w:val="en-US" w:eastAsia="zh-CN" w:bidi="ar"/>
        </w:rPr>
        <w:t xml:space="preserve">. Hazard Ratios and 95% Confidence Intervals </w:t>
      </w:r>
      <w:bookmarkStart w:id="1" w:name="_GoBack"/>
      <w:bookmarkEnd w:id="1"/>
      <w:r>
        <w:rPr>
          <w:rFonts w:hint="default" w:ascii="Times New Roman" w:hAnsi="Times New Roman" w:eastAsia="等线" w:cs="Times New Roman"/>
          <w:b/>
          <w:bCs/>
          <w:color w:val="auto"/>
          <w:kern w:val="2"/>
          <w:sz w:val="20"/>
          <w:szCs w:val="20"/>
          <w:lang w:val="en-US" w:eastAsia="zh-CN" w:bidi="ar"/>
        </w:rPr>
        <w:t>for Survival Outcomes using Time-</w:t>
      </w:r>
      <w:r>
        <w:rPr>
          <w:rFonts w:hint="eastAsia" w:ascii="Times New Roman" w:hAnsi="Times New Roman" w:eastAsia="等线" w:cs="Times New Roman"/>
          <w:b/>
          <w:bCs/>
          <w:color w:val="auto"/>
          <w:kern w:val="2"/>
          <w:sz w:val="20"/>
          <w:szCs w:val="20"/>
          <w:lang w:val="en-US" w:eastAsia="zh-CN" w:bidi="ar"/>
        </w:rPr>
        <w:t>Dependent</w:t>
      </w:r>
      <w:r>
        <w:rPr>
          <w:rFonts w:hint="default" w:ascii="Times New Roman" w:hAnsi="Times New Roman" w:eastAsia="等线" w:cs="Times New Roman"/>
          <w:b/>
          <w:bCs/>
          <w:color w:val="auto"/>
          <w:kern w:val="2"/>
          <w:sz w:val="20"/>
          <w:szCs w:val="20"/>
          <w:lang w:val="en-US" w:eastAsia="zh-CN" w:bidi="ar"/>
        </w:rPr>
        <w:t xml:space="preserve"> IPTW-Adjusted Cox Regression</w:t>
      </w:r>
      <w:r>
        <w:rPr>
          <w:rFonts w:hint="eastAsia" w:ascii="Times New Roman" w:hAnsi="Times New Roman" w:eastAsia="等线" w:cs="Times New Roman"/>
          <w:b/>
          <w:bCs/>
          <w:color w:val="auto"/>
          <w:kern w:val="2"/>
          <w:sz w:val="20"/>
          <w:szCs w:val="20"/>
          <w:lang w:val="en-US" w:eastAsia="zh-CN" w:bidi="ar"/>
        </w:rPr>
        <w:t>.</w:t>
      </w:r>
    </w:p>
    <w:tbl>
      <w:tblPr>
        <w:tblStyle w:val="9"/>
        <w:tblW w:w="90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2453"/>
        <w:gridCol w:w="2453"/>
        <w:gridCol w:w="2455"/>
      </w:tblGrid>
      <w:tr w14:paraId="74990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75D94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0" w:after="280"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HR (95%CI)</w:t>
            </w:r>
          </w:p>
        </w:tc>
        <w:tc>
          <w:tcPr>
            <w:tcW w:w="2453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E8DF9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0" w:after="280"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1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(No chemotherapy)</w:t>
            </w:r>
          </w:p>
        </w:tc>
        <w:tc>
          <w:tcPr>
            <w:tcW w:w="2453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4AEEA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0" w:after="280"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2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(3 to 12 weeks)</w:t>
            </w:r>
          </w:p>
        </w:tc>
        <w:tc>
          <w:tcPr>
            <w:tcW w:w="2455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BC568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0" w:after="280"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3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(15 weeks)</w:t>
            </w:r>
          </w:p>
        </w:tc>
      </w:tr>
      <w:tr w14:paraId="57F44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15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FEF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 w:bidi="ar-SA"/>
              </w:rPr>
              <w:t>Disease-Free Survival</w:t>
            </w:r>
          </w:p>
        </w:tc>
      </w:tr>
      <w:tr w14:paraId="7A3FE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C0F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1</w:t>
            </w:r>
          </w:p>
          <w:p w14:paraId="2E38A2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(No chemotherapy)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DE9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ADD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7C4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1D71E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F1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2</w:t>
            </w:r>
          </w:p>
          <w:p w14:paraId="2C29E9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(3 to 12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9D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0.796 (0.559–1.134), P=0.310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EB1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6C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2679F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7FE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3</w:t>
            </w:r>
          </w:p>
          <w:p w14:paraId="2A2F2F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(15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F1E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1.076 (0.640–1.811), P=0.782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30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1.352 (0.799–2.287), P=0.261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5F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</w:tr>
      <w:tr w14:paraId="513FC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703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4</w:t>
            </w:r>
          </w:p>
          <w:p w14:paraId="2C70B4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Arial" w:hAnsi="Arial" w:eastAsia="黑体" w:cs="Arial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18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6EE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0.625 (0.446–0.877), P=0.019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FAC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0.785 (0.547–1.127), P=0.261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7A6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0.581 (0.348–0.969), P=0.113</w:t>
            </w:r>
          </w:p>
        </w:tc>
      </w:tr>
      <w:tr w14:paraId="3C3AF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08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B6E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Overall Survival</w:t>
            </w:r>
          </w:p>
        </w:tc>
      </w:tr>
      <w:tr w14:paraId="727D4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B4A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1</w:t>
            </w:r>
          </w:p>
          <w:p w14:paraId="5D4F92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(No chemotherapy)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C6E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AF9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E24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21B5D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584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2</w:t>
            </w:r>
          </w:p>
          <w:p w14:paraId="3D01CB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(3 to 12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AFD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0.744 (0.490–1.130), P=0.165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C07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8B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2F53E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14F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3</w:t>
            </w:r>
          </w:p>
          <w:p w14:paraId="3B81FA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(15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E64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0.529 (0.265–1.059), P=0.108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F9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0.712 (0.354–1.431), P=0.340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F90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</w:tr>
      <w:tr w14:paraId="1EDD6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13A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4</w:t>
            </w:r>
          </w:p>
          <w:p w14:paraId="06CA40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Arial" w:hAnsi="Arial" w:eastAsia="黑体" w:cs="Arial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18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A11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0.370 (0.252–0.541), P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2C0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0.497 (0.333–0.741), P=0.002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3B0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0.698 (0.353–1.381), P=0.340</w:t>
            </w:r>
          </w:p>
        </w:tc>
      </w:tr>
      <w:tr w14:paraId="1044A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A4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CC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 w:bidi="ar-SA"/>
              </w:rPr>
              <w:t>Distant Metastasis</w:t>
            </w:r>
          </w:p>
        </w:tc>
      </w:tr>
      <w:tr w14:paraId="521A5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8FB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1</w:t>
            </w:r>
          </w:p>
          <w:p w14:paraId="1D0615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(No chemotherapy)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B8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5E6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575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2B44E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AA6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2</w:t>
            </w:r>
          </w:p>
          <w:p w14:paraId="57D9CE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(3 to 12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C8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0.795 (0.515–1.226), P=0.551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392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93C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2D04C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F87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3</w:t>
            </w:r>
          </w:p>
          <w:p w14:paraId="457933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(15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FF8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0.799 (0.383–1.669), P=0.551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90C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1.006 (0.479–2.113), P=0.988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F15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</w:tr>
      <w:tr w14:paraId="3F015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AEB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4</w:t>
            </w:r>
          </w:p>
          <w:p w14:paraId="212451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Arial" w:hAnsi="Arial" w:eastAsia="黑体" w:cs="Arial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18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E4F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0.837 (0.550–1.274), P=0.551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0FB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1.054 (0.668–1.661), P=0.988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492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1.048 (0.504–2.175), P=0.988</w:t>
            </w:r>
          </w:p>
        </w:tc>
      </w:tr>
      <w:tr w14:paraId="75145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90F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8EE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right="100" w:right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 w:bidi="ar-SA"/>
              </w:rPr>
              <w:t>Locoregional Recurrence</w:t>
            </w:r>
          </w:p>
        </w:tc>
      </w:tr>
      <w:tr w14:paraId="53FAB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B10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1</w:t>
            </w:r>
          </w:p>
          <w:p w14:paraId="0BA90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(No chemotherapy)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E9D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D5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866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1C45F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D9C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2</w:t>
            </w:r>
          </w:p>
          <w:p w14:paraId="2DCB05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(3 to 12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13C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0.464 (0.199–1.080), P=0.224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E34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3B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3CED8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8C6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3</w:t>
            </w:r>
          </w:p>
          <w:p w14:paraId="5E9732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(15 weeks)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B9B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1.643 (0.666–4.054), P=0.282 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32F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3.543 (1.249–10.050),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P=0.052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6D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Ref.</w:t>
            </w:r>
          </w:p>
        </w:tc>
      </w:tr>
      <w:tr w14:paraId="524CA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AC1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 4</w:t>
            </w:r>
          </w:p>
          <w:p w14:paraId="24520F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Arial" w:hAnsi="Arial" w:eastAsia="黑体" w:cs="Arial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18 weeks)</w:t>
            </w:r>
          </w:p>
        </w:tc>
        <w:tc>
          <w:tcPr>
            <w:tcW w:w="24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20C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0.645 (0.339–1.227), P=0.272</w:t>
            </w:r>
          </w:p>
        </w:tc>
        <w:tc>
          <w:tcPr>
            <w:tcW w:w="24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242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1.392 (0.616–3.146), P=0.427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C5D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0.393 (0.166–0.929), P=0.0</w:t>
            </w: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50</w:t>
            </w:r>
          </w:p>
        </w:tc>
      </w:tr>
    </w:tbl>
    <w:p w14:paraId="54E870F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40" w:after="40" w:line="240" w:lineRule="auto"/>
        <w:ind w:left="100" w:right="100" w:firstLine="0" w:firstLineChars="0"/>
        <w:jc w:val="both"/>
        <w:rPr>
          <w:rFonts w:hint="eastAsia" w:ascii="Times New Roman" w:hAnsi="Times New Roman" w:eastAsia="黑体" w:cs="Times New Roman"/>
          <w:b/>
          <w:bCs/>
          <w:i w:val="0"/>
          <w:color w:val="auto"/>
          <w:sz w:val="20"/>
          <w:szCs w:val="20"/>
          <w:u w:val="none"/>
          <w:lang w:val="en-US" w:eastAsia="zh-CN"/>
        </w:rPr>
      </w:pPr>
    </w:p>
    <w:p w14:paraId="29ABBE1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40" w:after="40" w:line="240" w:lineRule="auto"/>
        <w:ind w:left="100" w:right="100" w:firstLine="0" w:firstLineChars="0"/>
        <w:jc w:val="both"/>
        <w:rPr>
          <w:rFonts w:hint="default" w:ascii="Times New Roman" w:hAnsi="Times New Roman" w:eastAsia="黑体" w:cs="Times New Roman"/>
          <w:b/>
          <w:bCs/>
          <w:i w:val="0"/>
          <w:color w:val="auto"/>
          <w:sz w:val="20"/>
          <w:szCs w:val="20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i w:val="0"/>
          <w:color w:val="auto"/>
          <w:sz w:val="20"/>
          <w:szCs w:val="20"/>
          <w:u w:val="none"/>
          <w:lang w:val="en-US" w:eastAsia="zh-CN"/>
        </w:rPr>
        <w:t>Note:</w:t>
      </w:r>
      <w:r>
        <w:rPr>
          <w:rFonts w:hint="eastAsia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 xml:space="preserve"> All p-values were adjusted using the Benjamini-Hochberg procedure to control the false discovery rate. </w:t>
      </w:r>
      <w:r>
        <w:rPr>
          <w:rFonts w:hint="default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>Time-dependent inverse probability of treatment weighting (IPTW) was applied to adjust for baseline covariates, including age, sex, ECOG, cT stage, cN stage, mesorectal fascia involvement, and extramural vascular invasion.</w:t>
      </w:r>
    </w:p>
    <w:p w14:paraId="6F0F815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40" w:after="40" w:line="240" w:lineRule="auto"/>
        <w:ind w:left="100" w:right="100" w:firstLine="0" w:firstLineChars="0"/>
        <w:jc w:val="both"/>
        <w:rPr>
          <w:rFonts w:hint="default" w:ascii="Times New Roman" w:hAnsi="Times New Roman" w:eastAsia="黑体" w:cs="Times New Roman"/>
          <w:b w:val="0"/>
          <w:i w:val="0"/>
          <w:color w:val="auto"/>
          <w:sz w:val="20"/>
          <w:szCs w:val="20"/>
          <w:u w:val="none"/>
        </w:rPr>
      </w:pPr>
      <w:r>
        <w:rPr>
          <w:rFonts w:hint="eastAsia" w:ascii="Times New Roman" w:hAnsi="Times New Roman" w:eastAsia="黑体" w:cs="Times New Roman"/>
          <w:b/>
          <w:bCs/>
          <w:i w:val="0"/>
          <w:color w:val="auto"/>
          <w:sz w:val="20"/>
          <w:szCs w:val="20"/>
          <w:u w:val="none"/>
        </w:rPr>
        <w:t>Abbreviations:</w:t>
      </w:r>
      <w:r>
        <w:rPr>
          <w:rFonts w:hint="eastAsia" w:ascii="Times New Roman" w:hAnsi="Times New Roman" w:eastAsia="黑体" w:cs="Times New Roman"/>
          <w:b w:val="0"/>
          <w:i w:val="0"/>
          <w:color w:val="auto"/>
          <w:sz w:val="20"/>
          <w:szCs w:val="20"/>
          <w:u w:val="none"/>
        </w:rPr>
        <w:t xml:space="preserve"> </w:t>
      </w:r>
      <w:bookmarkStart w:id="0" w:name="OLE_LINK2"/>
      <w:r>
        <w:rPr>
          <w:rFonts w:hint="default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>HR, Hazard Ratio; CI, Confidence Interval</w:t>
      </w:r>
      <w:r>
        <w:rPr>
          <w:rFonts w:hint="eastAsia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>; DFS</w:t>
      </w:r>
      <w:r>
        <w:rPr>
          <w:rFonts w:hint="default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 xml:space="preserve">, Disease-Free Survival; </w:t>
      </w:r>
      <w:r>
        <w:rPr>
          <w:rFonts w:hint="eastAsia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>OS</w:t>
      </w:r>
      <w:r>
        <w:rPr>
          <w:rFonts w:hint="default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 xml:space="preserve">, </w:t>
      </w:r>
      <w:r>
        <w:rPr>
          <w:rFonts w:hint="eastAsia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>Overall Survival</w:t>
      </w:r>
      <w:r>
        <w:rPr>
          <w:rFonts w:hint="default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>;</w:t>
      </w:r>
      <w:bookmarkEnd w:id="0"/>
      <w:r>
        <w:rPr>
          <w:rFonts w:hint="default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b w:val="0"/>
          <w:bCs w:val="0"/>
          <w:i w:val="0"/>
          <w:color w:val="auto"/>
          <w:sz w:val="20"/>
          <w:szCs w:val="20"/>
          <w:u w:val="none"/>
          <w:lang w:val="en-US" w:eastAsia="zh-CN"/>
        </w:rPr>
        <w:t>DM, Distant Metastasis; LRR, locoregional recurrence.</w:t>
      </w: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001B223C"/>
    <w:rsid w:val="00BF3FC0"/>
    <w:rsid w:val="01E5354E"/>
    <w:rsid w:val="020257F2"/>
    <w:rsid w:val="02BC7D06"/>
    <w:rsid w:val="035B5688"/>
    <w:rsid w:val="03795BF7"/>
    <w:rsid w:val="03D64DF8"/>
    <w:rsid w:val="054A15F9"/>
    <w:rsid w:val="05973508"/>
    <w:rsid w:val="05AF1DBA"/>
    <w:rsid w:val="062A31D9"/>
    <w:rsid w:val="06C278B5"/>
    <w:rsid w:val="06CC4290"/>
    <w:rsid w:val="079270B3"/>
    <w:rsid w:val="08A96637"/>
    <w:rsid w:val="097326CC"/>
    <w:rsid w:val="0A2C5771"/>
    <w:rsid w:val="0A467155"/>
    <w:rsid w:val="0A7315F2"/>
    <w:rsid w:val="0B2E376B"/>
    <w:rsid w:val="0B7F5D75"/>
    <w:rsid w:val="0C9C7B0F"/>
    <w:rsid w:val="0D570D57"/>
    <w:rsid w:val="0DF540CC"/>
    <w:rsid w:val="0E236E8B"/>
    <w:rsid w:val="0E3A5F83"/>
    <w:rsid w:val="0F0E17DD"/>
    <w:rsid w:val="0FF8085C"/>
    <w:rsid w:val="108B6F31"/>
    <w:rsid w:val="11764382"/>
    <w:rsid w:val="125E2474"/>
    <w:rsid w:val="128802B9"/>
    <w:rsid w:val="129A3494"/>
    <w:rsid w:val="12D54DF1"/>
    <w:rsid w:val="13946135"/>
    <w:rsid w:val="15A24B3A"/>
    <w:rsid w:val="16922E00"/>
    <w:rsid w:val="16A93ACE"/>
    <w:rsid w:val="1703146C"/>
    <w:rsid w:val="174F2A9F"/>
    <w:rsid w:val="18B84674"/>
    <w:rsid w:val="1C967DA0"/>
    <w:rsid w:val="1CA43C14"/>
    <w:rsid w:val="1CBF5997"/>
    <w:rsid w:val="1D4970AA"/>
    <w:rsid w:val="1D562B86"/>
    <w:rsid w:val="1D8E294C"/>
    <w:rsid w:val="1DA17DCD"/>
    <w:rsid w:val="21552CB5"/>
    <w:rsid w:val="22972EB6"/>
    <w:rsid w:val="229D6DB5"/>
    <w:rsid w:val="22E20C6B"/>
    <w:rsid w:val="230C7A96"/>
    <w:rsid w:val="235654CA"/>
    <w:rsid w:val="24651B54"/>
    <w:rsid w:val="24AD7057"/>
    <w:rsid w:val="25325B41"/>
    <w:rsid w:val="25441769"/>
    <w:rsid w:val="265005E2"/>
    <w:rsid w:val="268F2EB8"/>
    <w:rsid w:val="26A85D28"/>
    <w:rsid w:val="26C823F0"/>
    <w:rsid w:val="27A17423"/>
    <w:rsid w:val="27F15E1E"/>
    <w:rsid w:val="28BC374C"/>
    <w:rsid w:val="28BE5CD7"/>
    <w:rsid w:val="2B396608"/>
    <w:rsid w:val="2B683CD8"/>
    <w:rsid w:val="2BFF288E"/>
    <w:rsid w:val="2C041C52"/>
    <w:rsid w:val="2CE55D92"/>
    <w:rsid w:val="2CED112A"/>
    <w:rsid w:val="2D297AB8"/>
    <w:rsid w:val="2D3E73E6"/>
    <w:rsid w:val="2DB476A8"/>
    <w:rsid w:val="2DF33D2D"/>
    <w:rsid w:val="2EBB1854"/>
    <w:rsid w:val="30252571"/>
    <w:rsid w:val="33B17FAA"/>
    <w:rsid w:val="34120C85"/>
    <w:rsid w:val="347D308E"/>
    <w:rsid w:val="34F07218"/>
    <w:rsid w:val="35223EF6"/>
    <w:rsid w:val="3578720D"/>
    <w:rsid w:val="36413AA3"/>
    <w:rsid w:val="36DD557A"/>
    <w:rsid w:val="37571761"/>
    <w:rsid w:val="37997B59"/>
    <w:rsid w:val="37AE40BC"/>
    <w:rsid w:val="37E82428"/>
    <w:rsid w:val="38084878"/>
    <w:rsid w:val="38105EFC"/>
    <w:rsid w:val="382A0D6E"/>
    <w:rsid w:val="3837403F"/>
    <w:rsid w:val="389D0B18"/>
    <w:rsid w:val="38F766E7"/>
    <w:rsid w:val="39CE684A"/>
    <w:rsid w:val="39E84962"/>
    <w:rsid w:val="3AAC1E33"/>
    <w:rsid w:val="3B6A7236"/>
    <w:rsid w:val="3CCF36FE"/>
    <w:rsid w:val="3D6B6959"/>
    <w:rsid w:val="3DD11700"/>
    <w:rsid w:val="3DD56308"/>
    <w:rsid w:val="3DD746AD"/>
    <w:rsid w:val="3EF913BF"/>
    <w:rsid w:val="407F58F4"/>
    <w:rsid w:val="41C77552"/>
    <w:rsid w:val="41DB4DAC"/>
    <w:rsid w:val="422D6421"/>
    <w:rsid w:val="4267530C"/>
    <w:rsid w:val="44FF7AF9"/>
    <w:rsid w:val="453835F0"/>
    <w:rsid w:val="45AC0F39"/>
    <w:rsid w:val="45DA351F"/>
    <w:rsid w:val="46113F6F"/>
    <w:rsid w:val="46584C1D"/>
    <w:rsid w:val="46C557DB"/>
    <w:rsid w:val="47086643"/>
    <w:rsid w:val="4779309D"/>
    <w:rsid w:val="481728B6"/>
    <w:rsid w:val="48A951B4"/>
    <w:rsid w:val="490B241B"/>
    <w:rsid w:val="49D163E9"/>
    <w:rsid w:val="4A471230"/>
    <w:rsid w:val="4A5D0A54"/>
    <w:rsid w:val="4B5F41DE"/>
    <w:rsid w:val="4BD42F98"/>
    <w:rsid w:val="4C5365B2"/>
    <w:rsid w:val="4CC01F2C"/>
    <w:rsid w:val="4CC535CC"/>
    <w:rsid w:val="4D6C1885"/>
    <w:rsid w:val="4D897DB2"/>
    <w:rsid w:val="4DD06B99"/>
    <w:rsid w:val="4EDD2163"/>
    <w:rsid w:val="4F3E697A"/>
    <w:rsid w:val="4F6656D9"/>
    <w:rsid w:val="4F9C0C0A"/>
    <w:rsid w:val="50155B4A"/>
    <w:rsid w:val="50DE0415"/>
    <w:rsid w:val="50E30904"/>
    <w:rsid w:val="50EB78F8"/>
    <w:rsid w:val="51005C5C"/>
    <w:rsid w:val="51EE28D9"/>
    <w:rsid w:val="52825E86"/>
    <w:rsid w:val="52A116FA"/>
    <w:rsid w:val="52B81006"/>
    <w:rsid w:val="540C7047"/>
    <w:rsid w:val="540E6417"/>
    <w:rsid w:val="5473485A"/>
    <w:rsid w:val="54A604DF"/>
    <w:rsid w:val="55DB51B0"/>
    <w:rsid w:val="58515970"/>
    <w:rsid w:val="58782EFD"/>
    <w:rsid w:val="59B330DC"/>
    <w:rsid w:val="59E3318D"/>
    <w:rsid w:val="5A0709DC"/>
    <w:rsid w:val="5AD54636"/>
    <w:rsid w:val="5AE95B55"/>
    <w:rsid w:val="5AFA72D9"/>
    <w:rsid w:val="5BE53865"/>
    <w:rsid w:val="5C361105"/>
    <w:rsid w:val="5C555FC5"/>
    <w:rsid w:val="5D3A69D3"/>
    <w:rsid w:val="5D4D7BAA"/>
    <w:rsid w:val="5DAF5613"/>
    <w:rsid w:val="5DE84681"/>
    <w:rsid w:val="5EA06D09"/>
    <w:rsid w:val="5EEB267A"/>
    <w:rsid w:val="60A34281"/>
    <w:rsid w:val="61F97CF1"/>
    <w:rsid w:val="628C7CD0"/>
    <w:rsid w:val="62A163C6"/>
    <w:rsid w:val="633841F5"/>
    <w:rsid w:val="63416D0D"/>
    <w:rsid w:val="6390559E"/>
    <w:rsid w:val="639D7CBB"/>
    <w:rsid w:val="63DA0F0F"/>
    <w:rsid w:val="6582683E"/>
    <w:rsid w:val="67AE7B47"/>
    <w:rsid w:val="67BE11FA"/>
    <w:rsid w:val="68B57855"/>
    <w:rsid w:val="69723446"/>
    <w:rsid w:val="69794D27"/>
    <w:rsid w:val="69BF098B"/>
    <w:rsid w:val="69CD7F99"/>
    <w:rsid w:val="69D63F27"/>
    <w:rsid w:val="6A963DC6"/>
    <w:rsid w:val="6B543355"/>
    <w:rsid w:val="6C9500C9"/>
    <w:rsid w:val="6CD36911"/>
    <w:rsid w:val="6CFD722F"/>
    <w:rsid w:val="6E006290"/>
    <w:rsid w:val="6E843F52"/>
    <w:rsid w:val="6EA42846"/>
    <w:rsid w:val="6F0C16EC"/>
    <w:rsid w:val="70FA499F"/>
    <w:rsid w:val="72B3017F"/>
    <w:rsid w:val="72C214EC"/>
    <w:rsid w:val="73131D48"/>
    <w:rsid w:val="7329331A"/>
    <w:rsid w:val="733846F3"/>
    <w:rsid w:val="73F25E01"/>
    <w:rsid w:val="750D6CB7"/>
    <w:rsid w:val="76053BCA"/>
    <w:rsid w:val="77185B7F"/>
    <w:rsid w:val="772863B6"/>
    <w:rsid w:val="798227A4"/>
    <w:rsid w:val="7A252A8D"/>
    <w:rsid w:val="7B87299F"/>
    <w:rsid w:val="7C574A54"/>
    <w:rsid w:val="7CA0289E"/>
    <w:rsid w:val="7D555E34"/>
    <w:rsid w:val="7E2D63B4"/>
    <w:rsid w:val="7EA61CC2"/>
    <w:rsid w:val="7EC5039A"/>
    <w:rsid w:val="7F5E11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1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paragraph" w:styleId="8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Professional"/>
    <w:basedOn w:val="9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1">
    <w:name w:val="Light List Accent 2"/>
    <w:basedOn w:val="9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3">
    <w:name w:val="strong"/>
    <w:basedOn w:val="12"/>
    <w:qFormat/>
    <w:uiPriority w:val="1"/>
    <w:rPr>
      <w:b/>
    </w:rPr>
  </w:style>
  <w:style w:type="paragraph" w:customStyle="1" w:styleId="14">
    <w:name w:val="centered"/>
    <w:basedOn w:val="1"/>
    <w:qFormat/>
    <w:uiPriority w:val="0"/>
    <w:pPr>
      <w:jc w:val="center"/>
    </w:pPr>
  </w:style>
  <w:style w:type="table" w:customStyle="1" w:styleId="15">
    <w:name w:val="table_template"/>
    <w:basedOn w:val="9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6">
    <w:name w:val="Titre 1 Car"/>
    <w:basedOn w:val="12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Titre 2 Car"/>
    <w:basedOn w:val="12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8">
    <w:name w:val="Titre 3 Car"/>
    <w:basedOn w:val="12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9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20">
    <w:name w:val="Table Caption"/>
    <w:basedOn w:val="19"/>
    <w:qFormat/>
    <w:uiPriority w:val="0"/>
  </w:style>
  <w:style w:type="character" w:customStyle="1" w:styleId="21">
    <w:name w:val="Texte de bulles Car"/>
    <w:basedOn w:val="12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2">
    <w:name w:val="reference_id"/>
    <w:basedOn w:val="12"/>
    <w:qFormat/>
    <w:uiPriority w:val="1"/>
    <w:rPr>
      <w:vertAlign w:val="superscript"/>
    </w:rPr>
  </w:style>
  <w:style w:type="paragraph" w:customStyle="1" w:styleId="23">
    <w:name w:val="graphic title"/>
    <w:basedOn w:val="19"/>
    <w:next w:val="1"/>
    <w:qFormat/>
    <w:uiPriority w:val="0"/>
  </w:style>
  <w:style w:type="paragraph" w:customStyle="1" w:styleId="24">
    <w:name w:val="table title"/>
    <w:basedOn w:val="20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1622</Characters>
  <Lines>0</Lines>
  <Paragraphs>0</Paragraphs>
  <TotalTime>0</TotalTime>
  <ScaleCrop>false</ScaleCrop>
  <LinksUpToDate>false</LinksUpToDate>
  <CharactersWithSpaces>1801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许桐榛</dc:creator>
  <cp:lastModifiedBy>Tongzhen</cp:lastModifiedBy>
  <dcterms:modified xsi:type="dcterms:W3CDTF">2026-02-13T08:50:07Z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eyJoZGlkIjoiMGJjYjQ4NjlkZTI3MjA4ZGY3MjkxNTRhNWQwOGRhZDEiLCJ1c2VySWQiOiIyNjg2MTY0NzgifQ==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208CD3413AD8445B9D4BF65DC518B8E9_12</vt:lpwstr>
  </property>
</Properties>
</file>