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05EE" w:rsidRDefault="005805EE" w:rsidP="005805EE">
      <w:pPr>
        <w:pStyle w:val="NormalWeb"/>
        <w:widowControl/>
        <w:shd w:val="clear" w:color="auto" w:fill="FFFFFF"/>
        <w:spacing w:before="120" w:beforeAutospacing="0" w:after="120" w:afterAutospacing="0" w:line="480" w:lineRule="auto"/>
        <w:rPr>
          <w:rStyle w:val="15"/>
          <w:rFonts w:eastAsia="Segoe UI"/>
          <w:color w:val="000000" w:themeColor="text1"/>
          <w:shd w:val="clear" w:color="auto" w:fill="FFFFFF"/>
        </w:rPr>
      </w:pPr>
      <w:r>
        <w:rPr>
          <w:rStyle w:val="15"/>
          <w:rFonts w:eastAsia="Segoe UI" w:hint="eastAsia"/>
          <w:b/>
          <w:bCs/>
          <w:color w:val="000000" w:themeColor="text1"/>
          <w:shd w:val="clear" w:color="auto" w:fill="FFFFFF"/>
        </w:rPr>
        <w:t xml:space="preserve">Additional file </w:t>
      </w:r>
      <w:r>
        <w:rPr>
          <w:rStyle w:val="15"/>
          <w:rFonts w:eastAsia="Segoe UI"/>
          <w:b/>
          <w:bCs/>
          <w:color w:val="000000" w:themeColor="text1"/>
          <w:shd w:val="clear" w:color="auto" w:fill="FFFFFF"/>
        </w:rPr>
        <w:t xml:space="preserve">2: </w:t>
      </w:r>
      <w:r w:rsidRPr="00934C51">
        <w:rPr>
          <w:rStyle w:val="15"/>
          <w:rFonts w:eastAsia="Segoe UI"/>
          <w:b/>
          <w:bCs/>
          <w:color w:val="000000" w:themeColor="text1"/>
          <w:shd w:val="clear" w:color="auto" w:fill="FFFFFF"/>
        </w:rPr>
        <w:t>Statistical methods for network meta-analysis, direct meta-analysis, and single-arm analysis.</w:t>
      </w:r>
      <w:r>
        <w:rPr>
          <w:rStyle w:val="15"/>
          <w:rFonts w:eastAsia="Segoe UI"/>
          <w:color w:val="000000" w:themeColor="text1"/>
          <w:shd w:val="clear" w:color="auto" w:fill="FFFFFF"/>
        </w:rPr>
        <w:t xml:space="preserve"> </w:t>
      </w:r>
    </w:p>
    <w:p w:rsidR="005805EE" w:rsidRDefault="005805EE" w:rsidP="005805EE">
      <w:pPr>
        <w:widowControl/>
        <w:tabs>
          <w:tab w:val="center" w:pos="4153"/>
        </w:tabs>
        <w:spacing w:line="480" w:lineRule="auto"/>
        <w:rPr>
          <w:rFonts w:ascii="Times New Roman" w:hAnsi="Times New Roman"/>
          <w:b/>
          <w:bCs/>
          <w:color w:val="000000" w:themeColor="text1"/>
        </w:rPr>
      </w:pPr>
      <w:r>
        <w:rPr>
          <w:rFonts w:ascii="Times New Roman" w:hAnsi="Times New Roman" w:hint="eastAsia"/>
          <w:b/>
          <w:bCs/>
          <w:color w:val="000000" w:themeColor="text1"/>
        </w:rPr>
        <w:t>2.</w:t>
      </w:r>
      <w:r>
        <w:rPr>
          <w:rFonts w:ascii="Times New Roman" w:hAnsi="Times New Roman"/>
          <w:b/>
          <w:bCs/>
          <w:color w:val="000000" w:themeColor="text1"/>
        </w:rPr>
        <w:t>8.</w:t>
      </w:r>
      <w:r>
        <w:rPr>
          <w:rFonts w:ascii="Times New Roman" w:hAnsi="Times New Roman" w:hint="eastAsia"/>
          <w:b/>
          <w:bCs/>
          <w:color w:val="000000" w:themeColor="text1"/>
        </w:rPr>
        <w:t xml:space="preserve">1 </w:t>
      </w:r>
      <w:r>
        <w:rPr>
          <w:rFonts w:ascii="Times New Roman" w:hAnsi="Times New Roman"/>
          <w:b/>
          <w:bCs/>
          <w:color w:val="000000" w:themeColor="text1"/>
        </w:rPr>
        <w:t>Network Meta-Analysis</w:t>
      </w:r>
      <w:r>
        <w:rPr>
          <w:rFonts w:ascii="Times New Roman" w:hAnsi="Times New Roman" w:hint="eastAsia"/>
          <w:b/>
          <w:bCs/>
          <w:color w:val="000000" w:themeColor="text1"/>
        </w:rPr>
        <w:t xml:space="preserve"> </w:t>
      </w:r>
      <w:r>
        <w:rPr>
          <w:rFonts w:ascii="Times New Roman" w:hAnsi="Times New Roman"/>
          <w:b/>
          <w:bCs/>
          <w:color w:val="000000" w:themeColor="text1"/>
        </w:rPr>
        <w:t>of RCTs</w:t>
      </w:r>
      <w:r>
        <w:rPr>
          <w:rFonts w:ascii="Times New Roman" w:hAnsi="Times New Roman"/>
          <w:b/>
          <w:bCs/>
          <w:color w:val="000000" w:themeColor="text1"/>
        </w:rPr>
        <w:tab/>
      </w:r>
    </w:p>
    <w:p w:rsidR="005805EE" w:rsidRDefault="005805EE" w:rsidP="005805EE">
      <w:pPr>
        <w:widowControl/>
        <w:spacing w:line="480" w:lineRule="auto"/>
        <w:ind w:firstLineChars="200" w:firstLine="422"/>
        <w:rPr>
          <w:rFonts w:ascii="Times New Roman" w:hAnsi="Times New Roman"/>
          <w:color w:val="000000" w:themeColor="text1"/>
        </w:rPr>
      </w:pPr>
      <w:r>
        <w:rPr>
          <w:rFonts w:ascii="Times New Roman" w:hAnsi="Times New Roman" w:hint="eastAsia"/>
          <w:b/>
          <w:bCs/>
          <w:i/>
          <w:iCs/>
          <w:color w:val="000000" w:themeColor="text1"/>
        </w:rPr>
        <w:t xml:space="preserve">Data Synthesis: </w:t>
      </w:r>
      <w:r>
        <w:rPr>
          <w:rFonts w:ascii="Times New Roman" w:hAnsi="Times New Roman"/>
          <w:color w:val="000000" w:themeColor="text1"/>
        </w:rPr>
        <w:t xml:space="preserve">A frequentist framework was employed for its analytical adequacy given our network structure and to align with the conventional reporting of </w:t>
      </w:r>
      <w:r>
        <w:rPr>
          <w:rFonts w:ascii="Times New Roman" w:hAnsi="Times New Roman" w:hint="eastAsia"/>
          <w:color w:val="000000" w:themeColor="text1"/>
        </w:rPr>
        <w:t>RR</w:t>
      </w:r>
      <w:r>
        <w:rPr>
          <w:rFonts w:ascii="Times New Roman" w:hAnsi="Times New Roman"/>
          <w:color w:val="000000" w:themeColor="text1"/>
        </w:rPr>
        <w:t xml:space="preserve"> with confidence intervals in the clinical literature. </w:t>
      </w:r>
      <w:r>
        <w:rPr>
          <w:rFonts w:ascii="Times New Roman" w:hAnsi="Times New Roman" w:hint="eastAsia"/>
          <w:color w:val="000000" w:themeColor="text1"/>
        </w:rPr>
        <w:t>All analyses were conducted using the netmeta package in R software (version 4.4.2).</w:t>
      </w:r>
    </w:p>
    <w:p w:rsidR="005805EE" w:rsidRDefault="005805EE" w:rsidP="005805EE">
      <w:pPr>
        <w:widowControl/>
        <w:spacing w:line="480" w:lineRule="auto"/>
        <w:ind w:firstLineChars="200" w:firstLine="422"/>
        <w:rPr>
          <w:rFonts w:ascii="Times New Roman" w:hAnsi="Times New Roman"/>
          <w:color w:val="000000" w:themeColor="text1"/>
        </w:rPr>
      </w:pPr>
      <w:r>
        <w:rPr>
          <w:rFonts w:ascii="Times New Roman" w:hAnsi="Times New Roman" w:hint="eastAsia"/>
          <w:b/>
          <w:bCs/>
          <w:i/>
          <w:iCs/>
          <w:color w:val="000000" w:themeColor="text1"/>
        </w:rPr>
        <w:t xml:space="preserve">Model Specification: </w:t>
      </w:r>
      <w:r>
        <w:rPr>
          <w:rFonts w:ascii="Times New Roman" w:hAnsi="Times New Roman" w:hint="eastAsia"/>
          <w:color w:val="000000" w:themeColor="text1"/>
        </w:rPr>
        <w:t>For all dichotomous outcomes</w:t>
      </w:r>
      <w:r>
        <w:rPr>
          <w:rFonts w:ascii="Times New Roman" w:hAnsi="Times New Roman"/>
          <w:color w:val="000000" w:themeColor="text1"/>
        </w:rPr>
        <w:t>(</w:t>
      </w:r>
      <w:r>
        <w:rPr>
          <w:rFonts w:ascii="Times New Roman" w:hAnsi="Times New Roman" w:hint="eastAsia"/>
          <w:color w:val="000000" w:themeColor="text1"/>
        </w:rPr>
        <w:t>including the primary endpoint of curative-intent response rate, the secondary endpoint of pCR rate, and the safety outcome of grade</w:t>
      </w:r>
      <w:r>
        <w:rPr>
          <w:rFonts w:ascii="Times New Roman" w:hAnsi="Times New Roman" w:hint="eastAsia"/>
          <w:color w:val="000000" w:themeColor="text1"/>
        </w:rPr>
        <w:t>≥</w:t>
      </w:r>
      <w:r>
        <w:rPr>
          <w:rFonts w:ascii="Times New Roman" w:hAnsi="Times New Roman" w:hint="eastAsia"/>
          <w:color w:val="000000" w:themeColor="text1"/>
        </w:rPr>
        <w:t>3 TRAEs</w:t>
      </w:r>
      <w:r>
        <w:rPr>
          <w:rFonts w:ascii="Times New Roman" w:hAnsi="Times New Roman"/>
          <w:color w:val="000000" w:themeColor="text1"/>
        </w:rPr>
        <w:t xml:space="preserve">), </w:t>
      </w:r>
      <w:r>
        <w:rPr>
          <w:rFonts w:ascii="Times New Roman" w:hAnsi="Times New Roman" w:hint="eastAsia"/>
          <w:color w:val="000000" w:themeColor="text1"/>
        </w:rPr>
        <w:t>we employed a generalized linear model (GLM) framework with a logit link function within the network meta-analysis.</w:t>
      </w:r>
    </w:p>
    <w:p w:rsidR="005805EE" w:rsidRDefault="005805EE" w:rsidP="005805EE">
      <w:pPr>
        <w:widowControl/>
        <w:spacing w:line="480" w:lineRule="auto"/>
        <w:ind w:firstLineChars="200" w:firstLine="422"/>
        <w:rPr>
          <w:rFonts w:ascii="Times New Roman" w:hAnsi="Times New Roman"/>
          <w:color w:val="000000" w:themeColor="text1"/>
        </w:rPr>
      </w:pPr>
      <w:r>
        <w:rPr>
          <w:rFonts w:ascii="Times New Roman" w:hAnsi="Times New Roman" w:hint="eastAsia"/>
          <w:b/>
          <w:bCs/>
          <w:i/>
          <w:iCs/>
          <w:color w:val="000000" w:themeColor="text1"/>
        </w:rPr>
        <w:t xml:space="preserve">Assessment of Inconsistency and Heterogeneity: </w:t>
      </w:r>
      <w:r>
        <w:rPr>
          <w:rFonts w:ascii="Times New Roman" w:hAnsi="Times New Roman" w:hint="eastAsia"/>
          <w:color w:val="000000" w:themeColor="text1"/>
        </w:rPr>
        <w:t>Due to the limited number of studies in the evidence network, formal quantitative tests for inconsistency (e.g., design-by-treatment interaction model) were not statistically robust. Therefore, the consistency of direct and indirect evidence was primarily evaluated by visually inspecting the agreement between their point estimates and 95% confidence intervals for all available comparisons. This qualitative approach, focusing on the degree of overlap between confidence intervals, is a recognized and conservative method for assessing consistency in sparse networks.</w:t>
      </w:r>
    </w:p>
    <w:p w:rsidR="005805EE" w:rsidRDefault="005805EE" w:rsidP="005805EE">
      <w:pPr>
        <w:widowControl/>
        <w:spacing w:line="480" w:lineRule="auto"/>
        <w:ind w:firstLineChars="200" w:firstLine="420"/>
        <w:rPr>
          <w:rFonts w:ascii="Times New Roman" w:hAnsi="Times New Roman"/>
          <w:color w:val="000000" w:themeColor="text1"/>
        </w:rPr>
      </w:pPr>
      <w:r>
        <w:rPr>
          <w:rFonts w:ascii="Times New Roman" w:hAnsi="Times New Roman" w:hint="eastAsia"/>
          <w:color w:val="000000" w:themeColor="text1"/>
        </w:rPr>
        <w:t xml:space="preserve">Heterogeneity was assessed quantitatively within the </w:t>
      </w:r>
      <w:r>
        <w:rPr>
          <w:rFonts w:ascii="Times New Roman" w:hAnsi="Times New Roman"/>
          <w:color w:val="000000" w:themeColor="text1"/>
        </w:rPr>
        <w:t xml:space="preserve">NMA </w:t>
      </w:r>
      <w:r>
        <w:rPr>
          <w:rFonts w:ascii="Times New Roman" w:hAnsi="Times New Roman" w:hint="eastAsia"/>
          <w:color w:val="000000" w:themeColor="text1"/>
        </w:rPr>
        <w:t>framework. The extent of between-study heterogeneity was estimated using the between-study standard deviation (</w:t>
      </w:r>
      <w:r>
        <w:rPr>
          <w:rFonts w:ascii="SimSun" w:hAnsi="SimSun" w:hint="eastAsia"/>
          <w:color w:val="000000" w:themeColor="text1"/>
        </w:rPr>
        <w:t>τ</w:t>
      </w:r>
      <w:r>
        <w:rPr>
          <w:rFonts w:ascii="Times New Roman" w:hAnsi="Times New Roman" w:hint="eastAsia"/>
          <w:color w:val="000000" w:themeColor="text1"/>
        </w:rPr>
        <w:t>), which represents the estimated standard deviation of true treatment effects across studies. The magnitude of the between-study standard deviation (</w:t>
      </w:r>
      <w:r>
        <w:rPr>
          <w:rFonts w:ascii="SimSun" w:hAnsi="SimSun" w:hint="eastAsia"/>
          <w:color w:val="000000" w:themeColor="text1"/>
        </w:rPr>
        <w:t>τ</w:t>
      </w:r>
      <w:r>
        <w:rPr>
          <w:rFonts w:ascii="Times New Roman" w:hAnsi="Times New Roman" w:hint="eastAsia"/>
          <w:color w:val="000000" w:themeColor="text1"/>
        </w:rPr>
        <w:t xml:space="preserve">) was interpreted with reference to empirical guidelines for log-scale effect measures (e.g., log risk ratio): </w:t>
      </w:r>
      <w:r>
        <w:rPr>
          <w:rFonts w:ascii="SimSun" w:hAnsi="SimSun" w:hint="eastAsia"/>
          <w:color w:val="000000" w:themeColor="text1"/>
        </w:rPr>
        <w:t xml:space="preserve">τ ≈ </w:t>
      </w:r>
      <w:r>
        <w:rPr>
          <w:rFonts w:ascii="Times New Roman" w:hAnsi="Times New Roman" w:hint="eastAsia"/>
          <w:color w:val="000000" w:themeColor="text1"/>
        </w:rPr>
        <w:t>0.1</w:t>
      </w:r>
      <w:r>
        <w:rPr>
          <w:rFonts w:ascii="SimSun" w:hAnsi="SimSun" w:hint="eastAsia"/>
          <w:color w:val="000000" w:themeColor="text1"/>
        </w:rPr>
        <w:t>–</w:t>
      </w:r>
      <w:r>
        <w:rPr>
          <w:rFonts w:ascii="Times New Roman" w:hAnsi="Times New Roman" w:hint="eastAsia"/>
          <w:color w:val="000000" w:themeColor="text1"/>
        </w:rPr>
        <w:t xml:space="preserve">0.2 suggests low-to-moderate heterogeneity; </w:t>
      </w:r>
      <w:r>
        <w:rPr>
          <w:rFonts w:ascii="SimSun" w:hAnsi="SimSun" w:hint="eastAsia"/>
          <w:color w:val="000000" w:themeColor="text1"/>
        </w:rPr>
        <w:t>τ≈</w:t>
      </w:r>
      <w:r>
        <w:rPr>
          <w:rFonts w:ascii="Times New Roman" w:hAnsi="Times New Roman" w:hint="eastAsia"/>
          <w:color w:val="000000" w:themeColor="text1"/>
        </w:rPr>
        <w:t>0.3</w:t>
      </w:r>
      <w:r>
        <w:rPr>
          <w:rFonts w:ascii="SimSun" w:hAnsi="SimSun" w:hint="eastAsia"/>
          <w:color w:val="000000" w:themeColor="text1"/>
        </w:rPr>
        <w:t>–</w:t>
      </w:r>
      <w:r>
        <w:rPr>
          <w:rFonts w:ascii="Times New Roman" w:hAnsi="Times New Roman" w:hint="eastAsia"/>
          <w:color w:val="000000" w:themeColor="text1"/>
        </w:rPr>
        <w:t xml:space="preserve">0.4 suggests moderate-to-high heterogeneity and warrants careful interpretation; </w:t>
      </w:r>
      <w:r>
        <w:rPr>
          <w:rFonts w:ascii="SimSun" w:hAnsi="SimSun" w:hint="eastAsia"/>
          <w:color w:val="000000" w:themeColor="text1"/>
        </w:rPr>
        <w:t>τ</w:t>
      </w:r>
      <w:r>
        <w:rPr>
          <w:rFonts w:ascii="Times New Roman" w:hAnsi="Times New Roman" w:hint="eastAsia"/>
          <w:color w:val="000000" w:themeColor="text1"/>
        </w:rPr>
        <w:t xml:space="preserve">&gt; 0.5 indicates substantial heterogeneity, and the clinical interpretability of pooled estimates may be limited. Given the limited number of studies, the estimate of </w:t>
      </w:r>
      <w:r>
        <w:rPr>
          <w:rFonts w:ascii="SimSun" w:hAnsi="SimSun" w:hint="eastAsia"/>
          <w:color w:val="000000" w:themeColor="text1"/>
        </w:rPr>
        <w:t xml:space="preserve">τ </w:t>
      </w:r>
      <w:r>
        <w:rPr>
          <w:rFonts w:ascii="Times New Roman" w:hAnsi="Times New Roman" w:hint="eastAsia"/>
          <w:color w:val="000000" w:themeColor="text1"/>
        </w:rPr>
        <w:t>should be interpreted with due consideration of its precision and clinical context. The I</w:t>
      </w:r>
      <w:r>
        <w:rPr>
          <w:rFonts w:ascii="SimSun" w:hAnsi="SimSun" w:hint="eastAsia"/>
          <w:color w:val="000000" w:themeColor="text1"/>
        </w:rPr>
        <w:t xml:space="preserve">² </w:t>
      </w:r>
      <w:r>
        <w:rPr>
          <w:rFonts w:ascii="Times New Roman" w:hAnsi="Times New Roman" w:hint="eastAsia"/>
          <w:color w:val="000000" w:themeColor="text1"/>
        </w:rPr>
        <w:t xml:space="preserve">statistic was used to quantify the percentage of total variability attributable to heterogeneity rather than chance. A random-effects </w:t>
      </w:r>
      <w:r>
        <w:rPr>
          <w:rFonts w:ascii="Times New Roman" w:hAnsi="Times New Roman" w:hint="eastAsia"/>
          <w:color w:val="000000" w:themeColor="text1"/>
        </w:rPr>
        <w:lastRenderedPageBreak/>
        <w:t xml:space="preserve">model, which incorporates this heterogeneity by allowing true effects to vary across studies, was applied for all analyses. </w:t>
      </w:r>
    </w:p>
    <w:p w:rsidR="005805EE" w:rsidRDefault="005805EE" w:rsidP="005805EE">
      <w:pPr>
        <w:widowControl/>
        <w:spacing w:line="480" w:lineRule="auto"/>
        <w:ind w:firstLineChars="200" w:firstLine="422"/>
        <w:rPr>
          <w:rFonts w:ascii="Times New Roman" w:hAnsi="Times New Roman"/>
          <w:color w:val="000000" w:themeColor="text1"/>
        </w:rPr>
      </w:pPr>
      <w:r>
        <w:rPr>
          <w:rFonts w:ascii="Times New Roman" w:hAnsi="Times New Roman" w:hint="eastAsia"/>
          <w:b/>
          <w:bCs/>
          <w:i/>
          <w:iCs/>
          <w:color w:val="000000" w:themeColor="text1"/>
        </w:rPr>
        <w:t xml:space="preserve">Output Presentation: </w:t>
      </w:r>
      <w:r>
        <w:rPr>
          <w:rFonts w:ascii="Times New Roman" w:hAnsi="Times New Roman" w:hint="eastAsia"/>
          <w:color w:val="000000" w:themeColor="text1"/>
        </w:rPr>
        <w:t xml:space="preserve">For each outcome, pairwise treatment effects are reported as RR (95% CI). </w:t>
      </w:r>
      <w:r>
        <w:rPr>
          <w:rFonts w:ascii="Times New Roman" w:hAnsi="Times New Roman"/>
          <w:color w:val="000000" w:themeColor="text1"/>
        </w:rPr>
        <w:t xml:space="preserve">Treatment hierarchies are presented using the surface under the cumulative ranking curve (SUCRA), where a higher SUCRA indicates a greater probability of being the most effective treatment for efficacy outcomes, and a greater probability of being the most toxic for safety outcomes. </w:t>
      </w:r>
      <w:r>
        <w:rPr>
          <w:rFonts w:ascii="Times New Roman" w:hAnsi="Times New Roman" w:hint="eastAsia"/>
          <w:color w:val="000000" w:themeColor="text1"/>
        </w:rPr>
        <w:t>Rankings are shown separately for the curative-intent response rate, pCR rate, and grade</w:t>
      </w:r>
      <w:r>
        <w:rPr>
          <w:rFonts w:ascii="Times New Roman" w:hAnsi="Times New Roman" w:hint="eastAsia"/>
          <w:color w:val="000000" w:themeColor="text1"/>
        </w:rPr>
        <w:t>≥</w:t>
      </w:r>
      <w:r>
        <w:rPr>
          <w:rFonts w:ascii="Times New Roman" w:hAnsi="Times New Roman" w:hint="eastAsia"/>
          <w:color w:val="000000" w:themeColor="text1"/>
        </w:rPr>
        <w:t>3 TRAEs. Findings from the main and sensitivity analyses are tabulated or plotted together. Network plots visualize the available comparisons, with node size weighted by total patients and line thickness weighted by the number of studies contributing to each direct comparison.</w:t>
      </w:r>
    </w:p>
    <w:p w:rsidR="005805EE" w:rsidRDefault="005805EE" w:rsidP="005805EE">
      <w:pPr>
        <w:pStyle w:val="NormalWeb"/>
        <w:widowControl/>
        <w:shd w:val="clear" w:color="auto" w:fill="FFFFFF"/>
        <w:spacing w:before="120" w:beforeAutospacing="0" w:after="120" w:afterAutospacing="0"/>
        <w:rPr>
          <w:rFonts w:ascii="Segoe UI" w:eastAsia="SimSun" w:hAnsi="Segoe UI" w:cs="Segoe UI"/>
          <w:color w:val="000000" w:themeColor="text1"/>
          <w:sz w:val="12"/>
          <w:szCs w:val="12"/>
        </w:rPr>
      </w:pPr>
      <w:r>
        <w:rPr>
          <w:rFonts w:ascii="Times New Roman" w:hAnsi="Times New Roman" w:hint="eastAsia"/>
          <w:b/>
          <w:bCs/>
          <w:color w:val="000000" w:themeColor="text1"/>
          <w:sz w:val="22"/>
        </w:rPr>
        <w:t>2.8</w:t>
      </w:r>
      <w:r>
        <w:rPr>
          <w:rFonts w:ascii="Times New Roman" w:hAnsi="Times New Roman"/>
          <w:b/>
          <w:bCs/>
          <w:color w:val="000000" w:themeColor="text1"/>
          <w:sz w:val="22"/>
        </w:rPr>
        <w:t>.</w:t>
      </w:r>
      <w:r>
        <w:rPr>
          <w:rFonts w:ascii="Times New Roman" w:hAnsi="Times New Roman" w:hint="eastAsia"/>
          <w:b/>
          <w:bCs/>
          <w:color w:val="000000" w:themeColor="text1"/>
          <w:sz w:val="22"/>
        </w:rPr>
        <w:t>2</w:t>
      </w:r>
      <w:r>
        <w:rPr>
          <w:rFonts w:ascii="Times New Roman" w:hAnsi="Times New Roman"/>
          <w:b/>
          <w:bCs/>
          <w:color w:val="000000" w:themeColor="text1"/>
          <w:sz w:val="22"/>
        </w:rPr>
        <w:t xml:space="preserve"> </w:t>
      </w:r>
      <w:r>
        <w:rPr>
          <w:rFonts w:ascii="Times New Roman" w:hAnsi="Times New Roman"/>
          <w:b/>
          <w:bCs/>
          <w:color w:val="000000" w:themeColor="text1"/>
          <w:kern w:val="2"/>
          <w:sz w:val="22"/>
        </w:rPr>
        <w:t>Direct Meta-Analysis of RCTs</w:t>
      </w:r>
    </w:p>
    <w:p w:rsidR="005805EE" w:rsidRDefault="005805EE" w:rsidP="005805EE">
      <w:pPr>
        <w:widowControl/>
        <w:spacing w:line="480" w:lineRule="auto"/>
        <w:ind w:firstLineChars="200" w:firstLine="420"/>
        <w:rPr>
          <w:rFonts w:ascii="Times New Roman" w:hAnsi="Times New Roman"/>
          <w:color w:val="000000" w:themeColor="text1"/>
        </w:rPr>
      </w:pPr>
      <w:r>
        <w:rPr>
          <w:rFonts w:ascii="Times New Roman" w:hAnsi="Times New Roman"/>
          <w:color w:val="000000" w:themeColor="text1"/>
        </w:rPr>
        <w:t>To provide a foundational assessment of comparative efficacy and safety, we performed pairwise meta-analyses of RCTs for two key contrasts: (1) SCRT+ICIs vs. SCRT alone, and (2) LCRT+ICIs vs. LCRT alone. For each contrast, pooled risk ratios (RRs) with 95% confidence intervals (CIs) were calculated.</w:t>
      </w:r>
    </w:p>
    <w:p w:rsidR="005805EE" w:rsidRDefault="005805EE" w:rsidP="005805EE">
      <w:pPr>
        <w:widowControl/>
        <w:spacing w:line="480" w:lineRule="auto"/>
        <w:ind w:firstLineChars="200" w:firstLine="420"/>
        <w:rPr>
          <w:rFonts w:ascii="Times New Roman" w:hAnsi="Times New Roman"/>
          <w:color w:val="000000" w:themeColor="text1"/>
        </w:rPr>
      </w:pPr>
      <w:r>
        <w:rPr>
          <w:rFonts w:ascii="Times New Roman" w:hAnsi="Times New Roman"/>
          <w:color w:val="000000" w:themeColor="text1"/>
        </w:rPr>
        <w:t xml:space="preserve">To facilitate comparison with single-arm studies, we also calculated the pooled event rates (for the curative-intent response rate, pCR rate, and grade≥3 TRAEs) for the SCRT+ICIs and LCRT+ICIs strategies separately, using a random-effects generic inverse-variance model. Statistical heterogeneity was quantified using the I² statistic. A fixed-effect model was used when heterogeneity was low (I² ≤50%); otherwise, a random-effects model was applied. The robustness of the pooled estimates was assessed using leave-one-out sensitivity analysis. </w:t>
      </w:r>
      <w:r>
        <w:rPr>
          <w:rFonts w:ascii="Times New Roman" w:hAnsi="Times New Roman" w:hint="eastAsia"/>
          <w:color w:val="000000" w:themeColor="text1"/>
        </w:rPr>
        <w:t>All direct meta-analyses were conducted using the meta package in R software (version 4.4.2).</w:t>
      </w:r>
    </w:p>
    <w:p w:rsidR="005805EE" w:rsidRDefault="005805EE" w:rsidP="005805EE">
      <w:pPr>
        <w:widowControl/>
        <w:spacing w:line="480" w:lineRule="auto"/>
        <w:ind w:firstLineChars="200" w:firstLine="420"/>
        <w:rPr>
          <w:rFonts w:ascii="Times New Roman" w:hAnsi="Times New Roman"/>
          <w:color w:val="000000" w:themeColor="text1"/>
        </w:rPr>
      </w:pPr>
    </w:p>
    <w:p w:rsidR="005805EE" w:rsidRDefault="005805EE" w:rsidP="005805EE">
      <w:pPr>
        <w:widowControl/>
        <w:spacing w:line="480" w:lineRule="auto"/>
        <w:rPr>
          <w:rFonts w:ascii="Times New Roman" w:hAnsi="Times New Roman"/>
          <w:b/>
          <w:bCs/>
          <w:color w:val="000000" w:themeColor="text1"/>
        </w:rPr>
      </w:pPr>
      <w:r>
        <w:rPr>
          <w:rFonts w:ascii="Times New Roman" w:hAnsi="Times New Roman" w:hint="eastAsia"/>
          <w:b/>
          <w:bCs/>
          <w:color w:val="000000" w:themeColor="text1"/>
        </w:rPr>
        <w:t>2.</w:t>
      </w:r>
      <w:r>
        <w:rPr>
          <w:rFonts w:ascii="Times New Roman" w:hAnsi="Times New Roman"/>
          <w:b/>
          <w:bCs/>
          <w:color w:val="000000" w:themeColor="text1"/>
        </w:rPr>
        <w:t>9</w:t>
      </w:r>
      <w:r>
        <w:rPr>
          <w:rFonts w:ascii="Times New Roman" w:hAnsi="Times New Roman" w:hint="eastAsia"/>
          <w:b/>
          <w:bCs/>
          <w:color w:val="000000" w:themeColor="text1"/>
        </w:rPr>
        <w:t xml:space="preserve"> Supplemental Meta Analysis of Single-Arm Studies </w:t>
      </w:r>
    </w:p>
    <w:p w:rsidR="005805EE" w:rsidRDefault="005805EE" w:rsidP="005805EE">
      <w:pPr>
        <w:widowControl/>
        <w:spacing w:line="480" w:lineRule="auto"/>
        <w:ind w:firstLineChars="200" w:firstLine="422"/>
        <w:rPr>
          <w:rFonts w:ascii="Times New Roman" w:hAnsi="Times New Roman"/>
          <w:color w:val="000000" w:themeColor="text1"/>
        </w:rPr>
      </w:pPr>
      <w:r>
        <w:rPr>
          <w:rFonts w:ascii="Times New Roman" w:hAnsi="Times New Roman" w:hint="eastAsia"/>
          <w:b/>
          <w:bCs/>
          <w:i/>
          <w:iCs/>
          <w:color w:val="000000" w:themeColor="text1"/>
        </w:rPr>
        <w:t xml:space="preserve">Eligibility CIteria and Search Strategy: </w:t>
      </w:r>
      <w:r>
        <w:rPr>
          <w:rFonts w:ascii="Times New Roman" w:hAnsi="Times New Roman" w:hint="eastAsia"/>
          <w:color w:val="000000" w:themeColor="text1"/>
        </w:rPr>
        <w:t xml:space="preserve">The search strategy used for RCT identification was adapted and expanded to include non-randomized, single-arm prospective studies. For the supplementary analysis of single-arm studies, the PICOS criteria were adapted from the primary RCT-based analysis. The population, intervention, and outcome definitions remained identical. The key adaptation was the inclusion of single-arm </w:t>
      </w:r>
      <w:r>
        <w:rPr>
          <w:rFonts w:ascii="Times New Roman" w:hAnsi="Times New Roman" w:hint="eastAsia"/>
          <w:color w:val="000000" w:themeColor="text1"/>
        </w:rPr>
        <w:lastRenderedPageBreak/>
        <w:t>phase II studies (removing the requirement for a comparator arm). Retrospective studies, case series, and studies with overlapping populations were excluded.</w:t>
      </w:r>
    </w:p>
    <w:p w:rsidR="005805EE" w:rsidRDefault="005805EE" w:rsidP="005805EE">
      <w:pPr>
        <w:widowControl/>
        <w:spacing w:line="480" w:lineRule="auto"/>
        <w:ind w:firstLineChars="200" w:firstLine="422"/>
        <w:rPr>
          <w:rFonts w:ascii="Segoe UI" w:hAnsi="Segoe UI" w:cs="Segoe UI"/>
          <w:color w:val="000000" w:themeColor="text1"/>
          <w:sz w:val="12"/>
          <w:szCs w:val="12"/>
          <w:shd w:val="clear" w:color="auto" w:fill="FFFFFF"/>
        </w:rPr>
      </w:pPr>
      <w:r>
        <w:rPr>
          <w:rFonts w:ascii="Times New Roman" w:hAnsi="Times New Roman" w:hint="eastAsia"/>
          <w:b/>
          <w:bCs/>
          <w:i/>
          <w:iCs/>
          <w:color w:val="000000" w:themeColor="text1"/>
        </w:rPr>
        <w:t xml:space="preserve">Data Synthesis and Statistical Analysis: </w:t>
      </w:r>
      <w:r>
        <w:rPr>
          <w:rFonts w:ascii="Times New Roman" w:hAnsi="Times New Roman" w:hint="eastAsia"/>
          <w:color w:val="000000" w:themeColor="text1"/>
        </w:rPr>
        <w:t xml:space="preserve">Data extraction and the approach for calculating pooled effect estimates were consistent with those described previously for the analysis of RCTs. </w:t>
      </w:r>
    </w:p>
    <w:p w:rsidR="005805EE" w:rsidRDefault="005805EE" w:rsidP="005805EE">
      <w:pPr>
        <w:widowControl/>
        <w:spacing w:line="480" w:lineRule="auto"/>
        <w:ind w:firstLineChars="200" w:firstLine="422"/>
        <w:rPr>
          <w:rFonts w:ascii="Times New Roman" w:hAnsi="Times New Roman"/>
          <w:color w:val="000000" w:themeColor="text1"/>
        </w:rPr>
      </w:pPr>
      <w:r>
        <w:rPr>
          <w:rFonts w:ascii="Times New Roman Bold Italic" w:hAnsi="Times New Roman Bold Italic"/>
          <w:b/>
          <w:bCs/>
          <w:i/>
          <w:iCs/>
          <w:color w:val="000000" w:themeColor="text1"/>
        </w:rPr>
        <w:t xml:space="preserve">Assessment of Robustness and Potential Biases in Single-Arm Studies: </w:t>
      </w:r>
      <w:r>
        <w:rPr>
          <w:rFonts w:ascii="Times New Roman" w:hAnsi="Times New Roman"/>
          <w:color w:val="000000" w:themeColor="text1"/>
        </w:rPr>
        <w:t>For each pooled event rate derived from single-arm studies (including the curative</w:t>
      </w:r>
      <w:r>
        <w:rPr>
          <w:rFonts w:ascii="Times New Roman" w:hAnsi="Times New Roman"/>
          <w:color w:val="000000" w:themeColor="text1"/>
        </w:rPr>
        <w:noBreakHyphen/>
        <w:t xml:space="preserve">intent response rate, pCR rate, and incidence of </w:t>
      </w:r>
      <w:r>
        <w:rPr>
          <w:rFonts w:ascii="Times New Roman" w:hAnsi="Times New Roman" w:hint="eastAsia"/>
          <w:color w:val="000000" w:themeColor="text1"/>
        </w:rPr>
        <w:t>grade</w:t>
      </w:r>
      <w:r>
        <w:rPr>
          <w:rFonts w:ascii="Times New Roman" w:hAnsi="Times New Roman" w:hint="eastAsia"/>
          <w:color w:val="000000" w:themeColor="text1"/>
        </w:rPr>
        <w:t>≥</w:t>
      </w:r>
      <w:r>
        <w:rPr>
          <w:rFonts w:ascii="Times New Roman" w:hAnsi="Times New Roman" w:hint="eastAsia"/>
          <w:color w:val="000000" w:themeColor="text1"/>
        </w:rPr>
        <w:t>3</w:t>
      </w:r>
      <w:r>
        <w:rPr>
          <w:rFonts w:ascii="Times New Roman" w:hAnsi="Times New Roman"/>
          <w:color w:val="000000" w:themeColor="text1"/>
        </w:rPr>
        <w:t xml:space="preserve"> TRAEs for both the SCRT+ICIs and LCRT+ICIs strategies), we performed a comprehensive set of diagnostic analyses to evaluate the robustness of the estimates and to explore potential biases. These analyses were conducted separately for each outcome and treatment strategy, and comprised:</w:t>
      </w:r>
      <w:r>
        <w:rPr>
          <w:rFonts w:ascii="Times New Roman" w:hAnsi="Times New Roman" w:hint="eastAsia"/>
          <w:color w:val="000000" w:themeColor="text1"/>
        </w:rPr>
        <w:t xml:space="preserve"> </w:t>
      </w:r>
      <w:r>
        <w:rPr>
          <w:rFonts w:ascii="Times New Roman" w:hAnsi="Times New Roman"/>
          <w:color w:val="000000" w:themeColor="text1"/>
        </w:rPr>
        <w:t>(1) Leave</w:t>
      </w:r>
      <w:r>
        <w:rPr>
          <w:rFonts w:ascii="Times New Roman" w:hAnsi="Times New Roman"/>
          <w:color w:val="000000" w:themeColor="text1"/>
        </w:rPr>
        <w:noBreakHyphen/>
        <w:t>one</w:t>
      </w:r>
      <w:r>
        <w:rPr>
          <w:rFonts w:ascii="Times New Roman" w:hAnsi="Times New Roman"/>
          <w:color w:val="000000" w:themeColor="text1"/>
        </w:rPr>
        <w:noBreakHyphen/>
        <w:t>out sensitivity analysis to assess the influence of individual studies on the pooled estimate; (2) Influence</w:t>
      </w:r>
      <w:r>
        <w:rPr>
          <w:rFonts w:ascii="Times New Roman" w:hAnsi="Times New Roman"/>
          <w:color w:val="000000" w:themeColor="text1"/>
        </w:rPr>
        <w:noBreakHyphen/>
        <w:t>Heterogeneity plotting to visually examine how the removal of each study sequentially affects the pooled point estimate, aiding in the identification of influential studies; (3) Funnel plot construction to visually inspect for potential small</w:t>
      </w:r>
      <w:r>
        <w:rPr>
          <w:rFonts w:ascii="Times New Roman" w:hAnsi="Times New Roman"/>
          <w:color w:val="000000" w:themeColor="text1"/>
        </w:rPr>
        <w:noBreakHyphen/>
        <w:t>study effects or publication bias</w:t>
      </w:r>
      <w:r>
        <w:rPr>
          <w:rFonts w:ascii="SimSun" w:hAnsi="SimSun" w:hint="eastAsia"/>
          <w:color w:val="000000" w:themeColor="text1"/>
        </w:rPr>
        <w:t>。</w:t>
      </w:r>
    </w:p>
    <w:p w:rsidR="00930D6B" w:rsidRDefault="00930D6B">
      <w:bookmarkStart w:id="0" w:name="_GoBack"/>
      <w:bookmarkEnd w:id="0"/>
    </w:p>
    <w:sectPr w:rsidR="00930D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Italic">
    <w:altName w:val="Times New Roman"/>
    <w:panose1 w:val="02020703060505090304"/>
    <w:charset w:val="00"/>
    <w:family w:val="auto"/>
    <w:pitch w:val="default"/>
    <w:sig w:usb0="E0000AFF" w:usb1="00007843" w:usb2="00000001" w:usb3="00000000" w:csb0="400001BF" w:csb1="DF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170786"/>
    <w:multiLevelType w:val="multilevel"/>
    <w:tmpl w:val="2D170786"/>
    <w:lvl w:ilvl="0">
      <w:start w:val="1"/>
      <w:numFmt w:val="bullet"/>
      <w:lvlText w:val=""/>
      <w:lvlJc w:val="left"/>
      <w:pPr>
        <w:ind w:left="420" w:hanging="42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C64"/>
    <w:rsid w:val="00005C2C"/>
    <w:rsid w:val="00007A5B"/>
    <w:rsid w:val="0001177C"/>
    <w:rsid w:val="00012A8E"/>
    <w:rsid w:val="0001319E"/>
    <w:rsid w:val="0001416D"/>
    <w:rsid w:val="00021A70"/>
    <w:rsid w:val="00023F8C"/>
    <w:rsid w:val="00027E46"/>
    <w:rsid w:val="0003120F"/>
    <w:rsid w:val="00040530"/>
    <w:rsid w:val="000604C2"/>
    <w:rsid w:val="000642E2"/>
    <w:rsid w:val="00066064"/>
    <w:rsid w:val="00066D8A"/>
    <w:rsid w:val="000875A3"/>
    <w:rsid w:val="000926B9"/>
    <w:rsid w:val="000A10BA"/>
    <w:rsid w:val="000A3161"/>
    <w:rsid w:val="000A4CEB"/>
    <w:rsid w:val="000A5E31"/>
    <w:rsid w:val="000B07CD"/>
    <w:rsid w:val="000B3F01"/>
    <w:rsid w:val="000C7586"/>
    <w:rsid w:val="000D0AA0"/>
    <w:rsid w:val="000D2266"/>
    <w:rsid w:val="000D3BD3"/>
    <w:rsid w:val="000D700E"/>
    <w:rsid w:val="000E7A8C"/>
    <w:rsid w:val="000F6D45"/>
    <w:rsid w:val="001148B4"/>
    <w:rsid w:val="00122722"/>
    <w:rsid w:val="00122E40"/>
    <w:rsid w:val="001265CB"/>
    <w:rsid w:val="00131081"/>
    <w:rsid w:val="001325C0"/>
    <w:rsid w:val="00134867"/>
    <w:rsid w:val="0013576C"/>
    <w:rsid w:val="00136A1E"/>
    <w:rsid w:val="001371F6"/>
    <w:rsid w:val="001446D4"/>
    <w:rsid w:val="00151873"/>
    <w:rsid w:val="001577B8"/>
    <w:rsid w:val="00157C45"/>
    <w:rsid w:val="0016068B"/>
    <w:rsid w:val="001678F6"/>
    <w:rsid w:val="001761A8"/>
    <w:rsid w:val="00192C8E"/>
    <w:rsid w:val="00194411"/>
    <w:rsid w:val="001B1243"/>
    <w:rsid w:val="001B2133"/>
    <w:rsid w:val="001B4365"/>
    <w:rsid w:val="001C1924"/>
    <w:rsid w:val="001E0ED7"/>
    <w:rsid w:val="001E30B3"/>
    <w:rsid w:val="001E30D0"/>
    <w:rsid w:val="001E38BC"/>
    <w:rsid w:val="001E4A85"/>
    <w:rsid w:val="001F41A6"/>
    <w:rsid w:val="001F7FC0"/>
    <w:rsid w:val="00200951"/>
    <w:rsid w:val="00204F53"/>
    <w:rsid w:val="0021492D"/>
    <w:rsid w:val="00216006"/>
    <w:rsid w:val="00217C64"/>
    <w:rsid w:val="002246A4"/>
    <w:rsid w:val="002258DA"/>
    <w:rsid w:val="00230AEE"/>
    <w:rsid w:val="00236452"/>
    <w:rsid w:val="0023669C"/>
    <w:rsid w:val="00236AE4"/>
    <w:rsid w:val="00237304"/>
    <w:rsid w:val="002543AB"/>
    <w:rsid w:val="00256A15"/>
    <w:rsid w:val="00262A3B"/>
    <w:rsid w:val="002646CC"/>
    <w:rsid w:val="00270860"/>
    <w:rsid w:val="0027257A"/>
    <w:rsid w:val="002733D2"/>
    <w:rsid w:val="00273C03"/>
    <w:rsid w:val="00284BB2"/>
    <w:rsid w:val="00286910"/>
    <w:rsid w:val="00296FAF"/>
    <w:rsid w:val="002A0329"/>
    <w:rsid w:val="002A06CE"/>
    <w:rsid w:val="002A5475"/>
    <w:rsid w:val="002A7140"/>
    <w:rsid w:val="002C1031"/>
    <w:rsid w:val="002C4068"/>
    <w:rsid w:val="002C6E33"/>
    <w:rsid w:val="002C7F08"/>
    <w:rsid w:val="002D0314"/>
    <w:rsid w:val="002D21F2"/>
    <w:rsid w:val="002D57A3"/>
    <w:rsid w:val="002E0230"/>
    <w:rsid w:val="002F0AAC"/>
    <w:rsid w:val="002F2A40"/>
    <w:rsid w:val="0030089C"/>
    <w:rsid w:val="00311BF8"/>
    <w:rsid w:val="00331B34"/>
    <w:rsid w:val="00342174"/>
    <w:rsid w:val="00342416"/>
    <w:rsid w:val="003426D8"/>
    <w:rsid w:val="003445E6"/>
    <w:rsid w:val="003602BD"/>
    <w:rsid w:val="00362309"/>
    <w:rsid w:val="003630A4"/>
    <w:rsid w:val="00366302"/>
    <w:rsid w:val="00370C89"/>
    <w:rsid w:val="00371AAF"/>
    <w:rsid w:val="00371DE6"/>
    <w:rsid w:val="00377A19"/>
    <w:rsid w:val="00390E72"/>
    <w:rsid w:val="00393106"/>
    <w:rsid w:val="00393CE6"/>
    <w:rsid w:val="003A2C19"/>
    <w:rsid w:val="003A3099"/>
    <w:rsid w:val="003A5F33"/>
    <w:rsid w:val="003B2E0A"/>
    <w:rsid w:val="003B6F4B"/>
    <w:rsid w:val="003F1202"/>
    <w:rsid w:val="003F1AAB"/>
    <w:rsid w:val="0040468B"/>
    <w:rsid w:val="004125D6"/>
    <w:rsid w:val="00412D6F"/>
    <w:rsid w:val="00415769"/>
    <w:rsid w:val="00425993"/>
    <w:rsid w:val="004314DF"/>
    <w:rsid w:val="00442912"/>
    <w:rsid w:val="00452C8E"/>
    <w:rsid w:val="00461A22"/>
    <w:rsid w:val="00462C9D"/>
    <w:rsid w:val="0046605B"/>
    <w:rsid w:val="00472FD2"/>
    <w:rsid w:val="00476CF3"/>
    <w:rsid w:val="004847E3"/>
    <w:rsid w:val="004972BB"/>
    <w:rsid w:val="004B2FD1"/>
    <w:rsid w:val="004B37F0"/>
    <w:rsid w:val="004B7D21"/>
    <w:rsid w:val="004C0AF9"/>
    <w:rsid w:val="004C6EE8"/>
    <w:rsid w:val="004D6862"/>
    <w:rsid w:val="004E3694"/>
    <w:rsid w:val="004E668F"/>
    <w:rsid w:val="004E721D"/>
    <w:rsid w:val="00503E9B"/>
    <w:rsid w:val="0050545F"/>
    <w:rsid w:val="00505E5E"/>
    <w:rsid w:val="00514468"/>
    <w:rsid w:val="00516E83"/>
    <w:rsid w:val="00522D67"/>
    <w:rsid w:val="00532978"/>
    <w:rsid w:val="00534BCB"/>
    <w:rsid w:val="005366E0"/>
    <w:rsid w:val="005461AC"/>
    <w:rsid w:val="005472B8"/>
    <w:rsid w:val="0054751E"/>
    <w:rsid w:val="005479E9"/>
    <w:rsid w:val="00547DC5"/>
    <w:rsid w:val="0055415F"/>
    <w:rsid w:val="005564E3"/>
    <w:rsid w:val="00556769"/>
    <w:rsid w:val="00570ABB"/>
    <w:rsid w:val="00573E98"/>
    <w:rsid w:val="00576EF0"/>
    <w:rsid w:val="00577284"/>
    <w:rsid w:val="005805EE"/>
    <w:rsid w:val="00593404"/>
    <w:rsid w:val="00595655"/>
    <w:rsid w:val="005C2774"/>
    <w:rsid w:val="005C620C"/>
    <w:rsid w:val="005D3E29"/>
    <w:rsid w:val="005D5FB9"/>
    <w:rsid w:val="005D67D4"/>
    <w:rsid w:val="005F1F64"/>
    <w:rsid w:val="005F6301"/>
    <w:rsid w:val="005F673A"/>
    <w:rsid w:val="0061217F"/>
    <w:rsid w:val="00622370"/>
    <w:rsid w:val="00636521"/>
    <w:rsid w:val="00644D97"/>
    <w:rsid w:val="0065387C"/>
    <w:rsid w:val="006618BC"/>
    <w:rsid w:val="0066534B"/>
    <w:rsid w:val="0067312E"/>
    <w:rsid w:val="0067494E"/>
    <w:rsid w:val="00676C74"/>
    <w:rsid w:val="006871CF"/>
    <w:rsid w:val="006976F3"/>
    <w:rsid w:val="00697F16"/>
    <w:rsid w:val="006A6085"/>
    <w:rsid w:val="006A63AA"/>
    <w:rsid w:val="006A6967"/>
    <w:rsid w:val="006A7833"/>
    <w:rsid w:val="006B1588"/>
    <w:rsid w:val="006C1356"/>
    <w:rsid w:val="006C7E1A"/>
    <w:rsid w:val="006D360F"/>
    <w:rsid w:val="006D7C62"/>
    <w:rsid w:val="006E64D9"/>
    <w:rsid w:val="006E6C8D"/>
    <w:rsid w:val="006F0236"/>
    <w:rsid w:val="006F6797"/>
    <w:rsid w:val="00700689"/>
    <w:rsid w:val="00704E5C"/>
    <w:rsid w:val="007138EA"/>
    <w:rsid w:val="00716D69"/>
    <w:rsid w:val="007231AD"/>
    <w:rsid w:val="00735D4B"/>
    <w:rsid w:val="00737CAC"/>
    <w:rsid w:val="0074122F"/>
    <w:rsid w:val="007412CF"/>
    <w:rsid w:val="00757AC0"/>
    <w:rsid w:val="0076283F"/>
    <w:rsid w:val="00782A10"/>
    <w:rsid w:val="00790B6A"/>
    <w:rsid w:val="00791FE8"/>
    <w:rsid w:val="007A0D0D"/>
    <w:rsid w:val="007B086D"/>
    <w:rsid w:val="007B4EDD"/>
    <w:rsid w:val="007B77A2"/>
    <w:rsid w:val="007C3357"/>
    <w:rsid w:val="007C3387"/>
    <w:rsid w:val="007C618D"/>
    <w:rsid w:val="007C6357"/>
    <w:rsid w:val="007D2D82"/>
    <w:rsid w:val="007E180B"/>
    <w:rsid w:val="007E6222"/>
    <w:rsid w:val="007E7B45"/>
    <w:rsid w:val="007F5254"/>
    <w:rsid w:val="00807028"/>
    <w:rsid w:val="00813850"/>
    <w:rsid w:val="008163A2"/>
    <w:rsid w:val="00817ECA"/>
    <w:rsid w:val="00817F2C"/>
    <w:rsid w:val="00820C1C"/>
    <w:rsid w:val="0083269B"/>
    <w:rsid w:val="00840DFE"/>
    <w:rsid w:val="00841C36"/>
    <w:rsid w:val="0084396B"/>
    <w:rsid w:val="00846981"/>
    <w:rsid w:val="0085190F"/>
    <w:rsid w:val="008547FD"/>
    <w:rsid w:val="00857EF2"/>
    <w:rsid w:val="00862CD1"/>
    <w:rsid w:val="00866FCC"/>
    <w:rsid w:val="00870973"/>
    <w:rsid w:val="008734EE"/>
    <w:rsid w:val="00874E05"/>
    <w:rsid w:val="00882A54"/>
    <w:rsid w:val="008858B3"/>
    <w:rsid w:val="00885E92"/>
    <w:rsid w:val="008A3426"/>
    <w:rsid w:val="008C2C96"/>
    <w:rsid w:val="008C367F"/>
    <w:rsid w:val="008C7DE5"/>
    <w:rsid w:val="008D6CCB"/>
    <w:rsid w:val="008D768E"/>
    <w:rsid w:val="008E1676"/>
    <w:rsid w:val="008E1E5A"/>
    <w:rsid w:val="008E20CF"/>
    <w:rsid w:val="008E74A3"/>
    <w:rsid w:val="008E77B1"/>
    <w:rsid w:val="008F60EF"/>
    <w:rsid w:val="009042BC"/>
    <w:rsid w:val="00906D3A"/>
    <w:rsid w:val="00917788"/>
    <w:rsid w:val="009236D2"/>
    <w:rsid w:val="009250D9"/>
    <w:rsid w:val="00930D6B"/>
    <w:rsid w:val="009335BA"/>
    <w:rsid w:val="00936741"/>
    <w:rsid w:val="00936F43"/>
    <w:rsid w:val="00940639"/>
    <w:rsid w:val="0095766A"/>
    <w:rsid w:val="009658C0"/>
    <w:rsid w:val="00971EB8"/>
    <w:rsid w:val="00974688"/>
    <w:rsid w:val="00974B9F"/>
    <w:rsid w:val="009751CF"/>
    <w:rsid w:val="00976A59"/>
    <w:rsid w:val="00983B05"/>
    <w:rsid w:val="00990E23"/>
    <w:rsid w:val="00991DE0"/>
    <w:rsid w:val="00992650"/>
    <w:rsid w:val="009B5C14"/>
    <w:rsid w:val="009C220F"/>
    <w:rsid w:val="009C5682"/>
    <w:rsid w:val="009D0510"/>
    <w:rsid w:val="009D7C2A"/>
    <w:rsid w:val="009E292C"/>
    <w:rsid w:val="009E56E6"/>
    <w:rsid w:val="009F697A"/>
    <w:rsid w:val="00A00BFE"/>
    <w:rsid w:val="00A02140"/>
    <w:rsid w:val="00A04AFF"/>
    <w:rsid w:val="00A054A0"/>
    <w:rsid w:val="00A101EF"/>
    <w:rsid w:val="00A10BBF"/>
    <w:rsid w:val="00A1249D"/>
    <w:rsid w:val="00A157A6"/>
    <w:rsid w:val="00A17AC4"/>
    <w:rsid w:val="00A2330C"/>
    <w:rsid w:val="00A241C7"/>
    <w:rsid w:val="00A31113"/>
    <w:rsid w:val="00A31476"/>
    <w:rsid w:val="00A410A1"/>
    <w:rsid w:val="00A44D14"/>
    <w:rsid w:val="00A56655"/>
    <w:rsid w:val="00A566E7"/>
    <w:rsid w:val="00A56FD7"/>
    <w:rsid w:val="00A64F9E"/>
    <w:rsid w:val="00A65F04"/>
    <w:rsid w:val="00A666CD"/>
    <w:rsid w:val="00A73D14"/>
    <w:rsid w:val="00A84CF5"/>
    <w:rsid w:val="00A8726F"/>
    <w:rsid w:val="00A90DA4"/>
    <w:rsid w:val="00AC347D"/>
    <w:rsid w:val="00AC3F52"/>
    <w:rsid w:val="00AC4391"/>
    <w:rsid w:val="00AC65DE"/>
    <w:rsid w:val="00AD05B5"/>
    <w:rsid w:val="00AD6577"/>
    <w:rsid w:val="00AD6B6B"/>
    <w:rsid w:val="00AE3D0B"/>
    <w:rsid w:val="00AF0750"/>
    <w:rsid w:val="00AF5387"/>
    <w:rsid w:val="00AF5E51"/>
    <w:rsid w:val="00B0322C"/>
    <w:rsid w:val="00B13720"/>
    <w:rsid w:val="00B14C36"/>
    <w:rsid w:val="00B261AC"/>
    <w:rsid w:val="00B3000D"/>
    <w:rsid w:val="00B3048E"/>
    <w:rsid w:val="00B31569"/>
    <w:rsid w:val="00B31733"/>
    <w:rsid w:val="00B31FAD"/>
    <w:rsid w:val="00B329FD"/>
    <w:rsid w:val="00B34BB5"/>
    <w:rsid w:val="00B35481"/>
    <w:rsid w:val="00B47C69"/>
    <w:rsid w:val="00B532BF"/>
    <w:rsid w:val="00B54104"/>
    <w:rsid w:val="00B66772"/>
    <w:rsid w:val="00B705B3"/>
    <w:rsid w:val="00B72625"/>
    <w:rsid w:val="00B83CC5"/>
    <w:rsid w:val="00B91DA3"/>
    <w:rsid w:val="00B91F5E"/>
    <w:rsid w:val="00B97EF1"/>
    <w:rsid w:val="00BA1283"/>
    <w:rsid w:val="00BA5FFF"/>
    <w:rsid w:val="00BB2390"/>
    <w:rsid w:val="00BC1CBC"/>
    <w:rsid w:val="00BC43CE"/>
    <w:rsid w:val="00BC5C50"/>
    <w:rsid w:val="00BC5E77"/>
    <w:rsid w:val="00BD2F8C"/>
    <w:rsid w:val="00BE12CB"/>
    <w:rsid w:val="00BF04F1"/>
    <w:rsid w:val="00BF669A"/>
    <w:rsid w:val="00BF745C"/>
    <w:rsid w:val="00C00D11"/>
    <w:rsid w:val="00C037B6"/>
    <w:rsid w:val="00C0522F"/>
    <w:rsid w:val="00C10878"/>
    <w:rsid w:val="00C120D0"/>
    <w:rsid w:val="00C202BA"/>
    <w:rsid w:val="00C21F3D"/>
    <w:rsid w:val="00C25DA7"/>
    <w:rsid w:val="00C343C9"/>
    <w:rsid w:val="00C34991"/>
    <w:rsid w:val="00C35C2B"/>
    <w:rsid w:val="00C37E0A"/>
    <w:rsid w:val="00C44E00"/>
    <w:rsid w:val="00C52416"/>
    <w:rsid w:val="00C61A87"/>
    <w:rsid w:val="00C765E0"/>
    <w:rsid w:val="00C84D54"/>
    <w:rsid w:val="00C91D4B"/>
    <w:rsid w:val="00C92DAB"/>
    <w:rsid w:val="00C93D88"/>
    <w:rsid w:val="00CA5C52"/>
    <w:rsid w:val="00CB0861"/>
    <w:rsid w:val="00CB5FED"/>
    <w:rsid w:val="00CB6075"/>
    <w:rsid w:val="00CB7117"/>
    <w:rsid w:val="00CB7520"/>
    <w:rsid w:val="00CD1B7B"/>
    <w:rsid w:val="00CD4899"/>
    <w:rsid w:val="00CD5A0B"/>
    <w:rsid w:val="00CF0D97"/>
    <w:rsid w:val="00CF7236"/>
    <w:rsid w:val="00D03414"/>
    <w:rsid w:val="00D035BB"/>
    <w:rsid w:val="00D1198F"/>
    <w:rsid w:val="00D2312D"/>
    <w:rsid w:val="00D24861"/>
    <w:rsid w:val="00D30AF9"/>
    <w:rsid w:val="00D3449F"/>
    <w:rsid w:val="00D42B83"/>
    <w:rsid w:val="00D43DB9"/>
    <w:rsid w:val="00D52818"/>
    <w:rsid w:val="00D535F1"/>
    <w:rsid w:val="00D62630"/>
    <w:rsid w:val="00D63331"/>
    <w:rsid w:val="00D71E5C"/>
    <w:rsid w:val="00D77476"/>
    <w:rsid w:val="00D77791"/>
    <w:rsid w:val="00D85A6C"/>
    <w:rsid w:val="00D928F2"/>
    <w:rsid w:val="00DB1B6D"/>
    <w:rsid w:val="00DB3D02"/>
    <w:rsid w:val="00DB60FF"/>
    <w:rsid w:val="00DC775B"/>
    <w:rsid w:val="00DE4B31"/>
    <w:rsid w:val="00DE4D2E"/>
    <w:rsid w:val="00DF3D54"/>
    <w:rsid w:val="00E077FD"/>
    <w:rsid w:val="00E1292E"/>
    <w:rsid w:val="00E12B9B"/>
    <w:rsid w:val="00E15701"/>
    <w:rsid w:val="00E21B2E"/>
    <w:rsid w:val="00E21CA1"/>
    <w:rsid w:val="00E22F6B"/>
    <w:rsid w:val="00E250A8"/>
    <w:rsid w:val="00E26E59"/>
    <w:rsid w:val="00E32F92"/>
    <w:rsid w:val="00E44936"/>
    <w:rsid w:val="00E5182B"/>
    <w:rsid w:val="00E541E9"/>
    <w:rsid w:val="00E57E30"/>
    <w:rsid w:val="00E67F8C"/>
    <w:rsid w:val="00E735CD"/>
    <w:rsid w:val="00E77281"/>
    <w:rsid w:val="00E816B4"/>
    <w:rsid w:val="00E85F4C"/>
    <w:rsid w:val="00E87555"/>
    <w:rsid w:val="00E921FF"/>
    <w:rsid w:val="00EA1E06"/>
    <w:rsid w:val="00EA5388"/>
    <w:rsid w:val="00EC1613"/>
    <w:rsid w:val="00ED4EDF"/>
    <w:rsid w:val="00EF4F7E"/>
    <w:rsid w:val="00EF717E"/>
    <w:rsid w:val="00F106DA"/>
    <w:rsid w:val="00F11E21"/>
    <w:rsid w:val="00F13C41"/>
    <w:rsid w:val="00F16851"/>
    <w:rsid w:val="00F169AF"/>
    <w:rsid w:val="00F21283"/>
    <w:rsid w:val="00F2257F"/>
    <w:rsid w:val="00F24AEF"/>
    <w:rsid w:val="00F33708"/>
    <w:rsid w:val="00F33C03"/>
    <w:rsid w:val="00F33E92"/>
    <w:rsid w:val="00F34399"/>
    <w:rsid w:val="00F3456F"/>
    <w:rsid w:val="00F34E0B"/>
    <w:rsid w:val="00F35E8D"/>
    <w:rsid w:val="00F36CEA"/>
    <w:rsid w:val="00F434BF"/>
    <w:rsid w:val="00F45130"/>
    <w:rsid w:val="00F50BFC"/>
    <w:rsid w:val="00F62AC1"/>
    <w:rsid w:val="00F65BCC"/>
    <w:rsid w:val="00F710C1"/>
    <w:rsid w:val="00F7748A"/>
    <w:rsid w:val="00F90634"/>
    <w:rsid w:val="00F94D7E"/>
    <w:rsid w:val="00FB71F0"/>
    <w:rsid w:val="00FB7AD2"/>
    <w:rsid w:val="00FC3EAB"/>
    <w:rsid w:val="00FC7ECD"/>
    <w:rsid w:val="00FD1DC4"/>
    <w:rsid w:val="00FD46DA"/>
    <w:rsid w:val="00FE25D9"/>
    <w:rsid w:val="00FE2B33"/>
    <w:rsid w:val="00FE4FE9"/>
    <w:rsid w:val="00FE5076"/>
    <w:rsid w:val="00FE7C5B"/>
    <w:rsid w:val="00FF1760"/>
    <w:rsid w:val="00FF320E"/>
    <w:rsid w:val="00FF3522"/>
    <w:rsid w:val="00FF6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C64"/>
    <w:pPr>
      <w:widowControl w:val="0"/>
      <w:spacing w:after="0" w:line="240" w:lineRule="auto"/>
      <w:jc w:val="both"/>
    </w:pPr>
    <w:rPr>
      <w:rFonts w:ascii="Calibri" w:eastAsia="SimSun" w:hAnsi="Calibri" w:cs="Times New Roman"/>
      <w:kern w:val="2"/>
      <w:sz w:val="21"/>
      <w:szCs w:val="21"/>
      <w:lang w:eastAsia="zh-CN"/>
    </w:rPr>
  </w:style>
  <w:style w:type="paragraph" w:styleId="Heading3">
    <w:name w:val="heading 3"/>
    <w:basedOn w:val="Normal"/>
    <w:next w:val="Normal"/>
    <w:link w:val="Heading3Char"/>
    <w:uiPriority w:val="9"/>
    <w:unhideWhenUsed/>
    <w:qFormat/>
    <w:rsid w:val="00217C64"/>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7C64"/>
    <w:rPr>
      <w:rFonts w:asciiTheme="majorHAnsi" w:eastAsiaTheme="majorEastAsia" w:hAnsiTheme="majorHAnsi" w:cstheme="majorBidi"/>
      <w:color w:val="365F91" w:themeColor="accent1" w:themeShade="BF"/>
      <w:kern w:val="2"/>
      <w:sz w:val="32"/>
      <w:szCs w:val="32"/>
      <w:lang w:eastAsia="zh-CN"/>
    </w:rPr>
  </w:style>
  <w:style w:type="paragraph" w:styleId="NormalWeb">
    <w:name w:val="Normal (Web)"/>
    <w:basedOn w:val="Normal"/>
    <w:uiPriority w:val="99"/>
    <w:unhideWhenUsed/>
    <w:qFormat/>
    <w:rsid w:val="00217C64"/>
    <w:pPr>
      <w:spacing w:beforeAutospacing="1" w:afterAutospacing="1"/>
      <w:jc w:val="left"/>
    </w:pPr>
    <w:rPr>
      <w:rFonts w:asciiTheme="minorHAnsi" w:eastAsiaTheme="minorEastAsia" w:hAnsiTheme="minorHAnsi"/>
      <w:kern w:val="0"/>
      <w:sz w:val="24"/>
      <w:szCs w:val="22"/>
    </w:rPr>
  </w:style>
  <w:style w:type="character" w:customStyle="1" w:styleId="15">
    <w:name w:val="15"/>
    <w:basedOn w:val="DefaultParagraphFont"/>
    <w:rsid w:val="00217C64"/>
    <w:rPr>
      <w:rFonts w:ascii="Times New Roman" w:hAnsi="Times New Roman" w:cs="Times New Roman" w:hint="default"/>
      <w:color w:val="000000"/>
      <w:sz w:val="22"/>
      <w:szCs w:val="22"/>
    </w:rPr>
  </w:style>
  <w:style w:type="paragraph" w:styleId="HTMLPreformatted">
    <w:name w:val="HTML Preformatted"/>
    <w:basedOn w:val="Normal"/>
    <w:link w:val="HTMLPreformattedChar"/>
    <w:uiPriority w:val="99"/>
    <w:unhideWhenUsed/>
    <w:rsid w:val="00217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cs="SimSun"/>
      <w:kern w:val="0"/>
      <w:sz w:val="24"/>
      <w:szCs w:val="22"/>
    </w:rPr>
  </w:style>
  <w:style w:type="character" w:customStyle="1" w:styleId="HTMLPreformattedChar">
    <w:name w:val="HTML Preformatted Char"/>
    <w:basedOn w:val="DefaultParagraphFont"/>
    <w:link w:val="HTMLPreformatted"/>
    <w:uiPriority w:val="99"/>
    <w:rsid w:val="00217C64"/>
    <w:rPr>
      <w:rFonts w:ascii="SimSun" w:eastAsia="SimSun" w:hAnsi="SimSun" w:cs="SimSun"/>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C64"/>
    <w:pPr>
      <w:widowControl w:val="0"/>
      <w:spacing w:after="0" w:line="240" w:lineRule="auto"/>
      <w:jc w:val="both"/>
    </w:pPr>
    <w:rPr>
      <w:rFonts w:ascii="Calibri" w:eastAsia="SimSun" w:hAnsi="Calibri" w:cs="Times New Roman"/>
      <w:kern w:val="2"/>
      <w:sz w:val="21"/>
      <w:szCs w:val="21"/>
      <w:lang w:eastAsia="zh-CN"/>
    </w:rPr>
  </w:style>
  <w:style w:type="paragraph" w:styleId="Heading3">
    <w:name w:val="heading 3"/>
    <w:basedOn w:val="Normal"/>
    <w:next w:val="Normal"/>
    <w:link w:val="Heading3Char"/>
    <w:uiPriority w:val="9"/>
    <w:unhideWhenUsed/>
    <w:qFormat/>
    <w:rsid w:val="00217C64"/>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17C64"/>
    <w:rPr>
      <w:rFonts w:asciiTheme="majorHAnsi" w:eastAsiaTheme="majorEastAsia" w:hAnsiTheme="majorHAnsi" w:cstheme="majorBidi"/>
      <w:color w:val="365F91" w:themeColor="accent1" w:themeShade="BF"/>
      <w:kern w:val="2"/>
      <w:sz w:val="32"/>
      <w:szCs w:val="32"/>
      <w:lang w:eastAsia="zh-CN"/>
    </w:rPr>
  </w:style>
  <w:style w:type="paragraph" w:styleId="NormalWeb">
    <w:name w:val="Normal (Web)"/>
    <w:basedOn w:val="Normal"/>
    <w:uiPriority w:val="99"/>
    <w:unhideWhenUsed/>
    <w:qFormat/>
    <w:rsid w:val="00217C64"/>
    <w:pPr>
      <w:spacing w:beforeAutospacing="1" w:afterAutospacing="1"/>
      <w:jc w:val="left"/>
    </w:pPr>
    <w:rPr>
      <w:rFonts w:asciiTheme="minorHAnsi" w:eastAsiaTheme="minorEastAsia" w:hAnsiTheme="minorHAnsi"/>
      <w:kern w:val="0"/>
      <w:sz w:val="24"/>
      <w:szCs w:val="22"/>
    </w:rPr>
  </w:style>
  <w:style w:type="character" w:customStyle="1" w:styleId="15">
    <w:name w:val="15"/>
    <w:basedOn w:val="DefaultParagraphFont"/>
    <w:rsid w:val="00217C64"/>
    <w:rPr>
      <w:rFonts w:ascii="Times New Roman" w:hAnsi="Times New Roman" w:cs="Times New Roman" w:hint="default"/>
      <w:color w:val="000000"/>
      <w:sz w:val="22"/>
      <w:szCs w:val="22"/>
    </w:rPr>
  </w:style>
  <w:style w:type="paragraph" w:styleId="HTMLPreformatted">
    <w:name w:val="HTML Preformatted"/>
    <w:basedOn w:val="Normal"/>
    <w:link w:val="HTMLPreformattedChar"/>
    <w:uiPriority w:val="99"/>
    <w:unhideWhenUsed/>
    <w:rsid w:val="00217C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cs="SimSun"/>
      <w:kern w:val="0"/>
      <w:sz w:val="24"/>
      <w:szCs w:val="22"/>
    </w:rPr>
  </w:style>
  <w:style w:type="character" w:customStyle="1" w:styleId="HTMLPreformattedChar">
    <w:name w:val="HTML Preformatted Char"/>
    <w:basedOn w:val="DefaultParagraphFont"/>
    <w:link w:val="HTMLPreformatted"/>
    <w:uiPriority w:val="99"/>
    <w:rsid w:val="00217C64"/>
    <w:rPr>
      <w:rFonts w:ascii="SimSun" w:eastAsia="SimSun" w:hAnsi="SimSun" w:cs="SimSu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881</Words>
  <Characters>5024</Characters>
  <Application>Microsoft Office Word</Application>
  <DocSecurity>0</DocSecurity>
  <Lines>41</Lines>
  <Paragraphs>11</Paragraphs>
  <ScaleCrop>false</ScaleCrop>
  <Company/>
  <LinksUpToDate>false</LinksUpToDate>
  <CharactersWithSpaces>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Mikole Ariane Medina</dc:creator>
  <cp:lastModifiedBy>Mikole Ariane Medina</cp:lastModifiedBy>
  <cp:revision>2</cp:revision>
  <dcterms:created xsi:type="dcterms:W3CDTF">2026-02-28T06:50:00Z</dcterms:created>
  <dcterms:modified xsi:type="dcterms:W3CDTF">2026-02-28T06:50:00Z</dcterms:modified>
</cp:coreProperties>
</file>