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9E3" w:rsidRPr="000B2260" w:rsidRDefault="000F19E3" w:rsidP="000F19E3">
      <w:pPr>
        <w:rPr>
          <w:rStyle w:val="26"/>
          <w:b/>
          <w:bCs/>
          <w:sz w:val="22"/>
          <w:szCs w:val="22"/>
          <w:shd w:val="clear" w:color="auto" w:fill="FFFFFF"/>
        </w:rPr>
      </w:pPr>
      <w:r w:rsidRPr="000B2260">
        <w:rPr>
          <w:rStyle w:val="26"/>
          <w:b/>
          <w:bCs/>
          <w:sz w:val="22"/>
          <w:szCs w:val="22"/>
          <w:shd w:val="clear" w:color="auto" w:fill="FFFFFF"/>
        </w:rPr>
        <w:t xml:space="preserve">Additional file 6: Table S1. </w:t>
      </w:r>
      <w:proofErr w:type="gramStart"/>
      <w:r w:rsidRPr="000B2260">
        <w:rPr>
          <w:rStyle w:val="26"/>
          <w:b/>
          <w:bCs/>
          <w:sz w:val="22"/>
          <w:szCs w:val="22"/>
          <w:shd w:val="clear" w:color="auto" w:fill="FFFFFF"/>
        </w:rPr>
        <w:t>Characteristics of Single-Arm Studies Included in the Supplemental Analysis.</w:t>
      </w:r>
      <w:proofErr w:type="gramEnd"/>
    </w:p>
    <w:p w:rsidR="000F19E3" w:rsidRDefault="000F19E3" w:rsidP="000F19E3">
      <w:r>
        <w:rPr>
          <w:rFonts w:ascii="Times New Roman" w:hAnsi="Times New Roman" w:hint="eastAsia"/>
          <w:b/>
          <w:bCs/>
          <w:color w:val="000000"/>
          <w:sz w:val="24"/>
          <w:szCs w:val="24"/>
        </w:rPr>
        <w:t xml:space="preserve"> </w:t>
      </w:r>
    </w:p>
    <w:tbl>
      <w:tblPr>
        <w:tblW w:w="5000" w:type="pct"/>
        <w:tblCellMar>
          <w:top w:w="40" w:type="dxa"/>
          <w:left w:w="64" w:type="dxa"/>
          <w:bottom w:w="40" w:type="dxa"/>
          <w:right w:w="64" w:type="dxa"/>
        </w:tblCellMar>
        <w:tblLook w:val="04A0" w:firstRow="1" w:lastRow="0" w:firstColumn="1" w:lastColumn="0" w:noHBand="0" w:noVBand="1"/>
      </w:tblPr>
      <w:tblGrid>
        <w:gridCol w:w="735"/>
        <w:gridCol w:w="447"/>
        <w:gridCol w:w="376"/>
        <w:gridCol w:w="1438"/>
        <w:gridCol w:w="734"/>
        <w:gridCol w:w="565"/>
        <w:gridCol w:w="499"/>
        <w:gridCol w:w="518"/>
        <w:gridCol w:w="974"/>
        <w:gridCol w:w="1042"/>
        <w:gridCol w:w="356"/>
        <w:gridCol w:w="669"/>
        <w:gridCol w:w="514"/>
        <w:gridCol w:w="462"/>
        <w:gridCol w:w="916"/>
        <w:gridCol w:w="681"/>
        <w:gridCol w:w="854"/>
        <w:gridCol w:w="854"/>
        <w:gridCol w:w="454"/>
      </w:tblGrid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Study 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Study design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Year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Treatment 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Type of ICIs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Number of patients</w:t>
            </w:r>
            <w:r>
              <w:rPr>
                <w:rFonts w:ascii="SimSun" w:hAnsi="SimSun" w:hint="eastAsia"/>
                <w:b/>
                <w:bCs/>
                <w:color w:val="000000"/>
                <w:kern w:val="0"/>
              </w:rPr>
              <w:t>（</w:t>
            </w: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ITT</w:t>
            </w:r>
            <w:r>
              <w:rPr>
                <w:rFonts w:ascii="SimSun" w:hAnsi="SimSun" w:hint="eastAsia"/>
                <w:b/>
                <w:bCs/>
                <w:color w:val="000000"/>
                <w:kern w:val="0"/>
              </w:rPr>
              <w:t>）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proofErr w:type="spellStart"/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pMMR</w:t>
            </w:r>
            <w:proofErr w:type="spellEnd"/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 Status </w:t>
            </w:r>
          </w:p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(%)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Women </w:t>
            </w:r>
          </w:p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(%)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Style w:val="24"/>
                <w:rFonts w:hint="eastAsia"/>
              </w:rPr>
              <w:t>Median*/mean# age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AV </w:t>
            </w:r>
            <w:r>
              <w:rPr>
                <w:rFonts w:ascii="SimSun" w:hAnsi="SimSun" w:hint="eastAsia"/>
                <w:b/>
                <w:bCs/>
                <w:color w:val="000000"/>
                <w:kern w:val="0"/>
              </w:rPr>
              <w:t>≤</w:t>
            </w: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5 cm </w:t>
            </w:r>
          </w:p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(%)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cT3-4 </w:t>
            </w:r>
          </w:p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(%)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cN2 </w:t>
            </w:r>
          </w:p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(%)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EMVI+ </w:t>
            </w:r>
          </w:p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(%)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MRF+ </w:t>
            </w:r>
          </w:p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(%)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proofErr w:type="spellStart"/>
            <w:proofErr w:type="gramStart"/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cCR</w:t>
            </w:r>
            <w:proofErr w:type="spellEnd"/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</w:rPr>
              <w:t xml:space="preserve"> </w:t>
            </w: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followed</w:t>
            </w:r>
            <w:proofErr w:type="gramEnd"/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 by WW(n/ITT, %)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proofErr w:type="spellStart"/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pCR</w:t>
            </w:r>
            <w:proofErr w:type="spellEnd"/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 </w:t>
            </w:r>
          </w:p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(</w:t>
            </w:r>
            <w:proofErr w:type="gramStart"/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n/ITT</w:t>
            </w:r>
            <w:proofErr w:type="gramEnd"/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, %)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R0 resection rate</w:t>
            </w:r>
          </w:p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(</w:t>
            </w:r>
            <w:proofErr w:type="gramStart"/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n/surgical</w:t>
            </w:r>
            <w:proofErr w:type="gramEnd"/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 population,%)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Sphincter preservation rate</w:t>
            </w:r>
          </w:p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(</w:t>
            </w:r>
            <w:proofErr w:type="gramStart"/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n/surgical</w:t>
            </w:r>
            <w:proofErr w:type="gramEnd"/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 xml:space="preserve"> population,%)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Grade</w:t>
            </w:r>
            <w:r>
              <w:rPr>
                <w:rFonts w:ascii="SimSun" w:hAnsi="SimSun" w:hint="eastAsia"/>
                <w:b/>
                <w:bCs/>
                <w:color w:val="000000"/>
                <w:kern w:val="0"/>
              </w:rPr>
              <w:t>≥</w:t>
            </w: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3 TRAE</w:t>
            </w:r>
          </w:p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b/>
                <w:bCs/>
                <w:color w:val="000000"/>
                <w:kern w:val="0"/>
              </w:rPr>
            </w:pP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</w:rPr>
              <w:t>(%)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</w:rPr>
              <w:t>Averectal</w:t>
            </w:r>
            <w:proofErr w:type="spellEnd"/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2025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SCRT → (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</w:rPr>
              <w:t>FOLFOX+Avelumab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</w:rPr>
              <w:t xml:space="preserve">)×6 </w:t>
            </w:r>
            <w:r>
              <w:rPr>
                <w:rFonts w:ascii="Times New Roman" w:hAnsi="Times New Roman"/>
                <w:color w:val="000000"/>
                <w:kern w:val="0"/>
              </w:rPr>
              <w:br/>
              <w:t>→ S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anti-PDL1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40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35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58.5*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12.5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90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72.5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37.5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NA 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</w:rPr>
              <w:t>Hou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</w:rPr>
              <w:t xml:space="preserve"> Z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2025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LCRT/Cape  → Sintilimab×3 →S 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56.5</w:t>
            </w:r>
            <w:r>
              <w:rPr>
                <w:rStyle w:val="19"/>
              </w:rPr>
              <w:t>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60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90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 (N+ 70%)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65.4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15.4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35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94.7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89.5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PANFORTE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2025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SimSun"/>
                <w:color w:val="000000"/>
              </w:rPr>
            </w:pPr>
            <w:r>
              <w:rPr>
                <w:rStyle w:val="25"/>
                <w:rFonts w:ascii="SimSun" w:hAnsi="SimSun"/>
              </w:rPr>
              <w:t>（</w:t>
            </w:r>
            <w:r>
              <w:rPr>
                <w:rStyle w:val="23"/>
              </w:rPr>
              <w:t>FOLFOXIRI +</w:t>
            </w:r>
            <w:proofErr w:type="spellStart"/>
            <w:r>
              <w:rPr>
                <w:rStyle w:val="23"/>
              </w:rPr>
              <w:t>serplulimab</w:t>
            </w:r>
            <w:proofErr w:type="spellEnd"/>
            <w:r>
              <w:rPr>
                <w:rStyle w:val="21"/>
                <w:rFonts w:hint="default"/>
              </w:rPr>
              <w:t>）×</w:t>
            </w:r>
            <w:r>
              <w:rPr>
                <w:rStyle w:val="23"/>
              </w:rPr>
              <w:t xml:space="preserve">4 → LCRT/Cape + </w:t>
            </w:r>
            <w:proofErr w:type="spellStart"/>
            <w:r>
              <w:rPr>
                <w:rStyle w:val="23"/>
              </w:rPr>
              <w:t>serplulimab</w:t>
            </w:r>
            <w:proofErr w:type="spellEnd"/>
            <w:r>
              <w:rPr>
                <w:rStyle w:val="23"/>
              </w:rPr>
              <w:t xml:space="preserve">*2 → </w:t>
            </w:r>
            <w:r>
              <w:rPr>
                <w:rStyle w:val="21"/>
                <w:rFonts w:hint="default"/>
              </w:rPr>
              <w:t>（</w:t>
            </w:r>
            <w:r>
              <w:rPr>
                <w:rStyle w:val="23"/>
              </w:rPr>
              <w:t>FOLFOXIRI +</w:t>
            </w:r>
            <w:proofErr w:type="spellStart"/>
            <w:r>
              <w:rPr>
                <w:rStyle w:val="23"/>
              </w:rPr>
              <w:t>serplulimab</w:t>
            </w:r>
            <w:proofErr w:type="spellEnd"/>
            <w:r>
              <w:rPr>
                <w:rStyle w:val="21"/>
                <w:rFonts w:hint="default"/>
              </w:rPr>
              <w:t>）</w:t>
            </w:r>
            <w:r>
              <w:rPr>
                <w:rStyle w:val="23"/>
              </w:rPr>
              <w:t xml:space="preserve">→ </w:t>
            </w:r>
            <w:r>
              <w:rPr>
                <w:rStyle w:val="21"/>
                <w:rFonts w:hint="default"/>
              </w:rPr>
              <w:t>×</w:t>
            </w:r>
            <w:r>
              <w:rPr>
                <w:rStyle w:val="23"/>
              </w:rPr>
              <w:t xml:space="preserve">4→ WW/S 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22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50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50</w:t>
            </w:r>
            <w:r>
              <w:rPr>
                <w:rStyle w:val="19"/>
              </w:rPr>
              <w:t>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textAlignment w:val="center"/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 Regular" w:hAnsi="Times New Roman Regular"/>
                <w:color w:val="000000"/>
                <w:kern w:val="0"/>
              </w:rPr>
              <w:t>50.0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40.9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95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14</w:t>
            </w:r>
            <w:r>
              <w:rPr>
                <w:rStyle w:val="18"/>
                <w:rFonts w:ascii="Times New Roman" w:hAnsi="Times New Roman" w:hint="default"/>
                <w:vertAlign w:val="superscript"/>
              </w:rPr>
              <w:t>a</w:t>
            </w:r>
          </w:p>
        </w:tc>
      </w:tr>
      <w:tr w:rsidR="000F19E3" w:rsidTr="000F19E3">
        <w:tc>
          <w:tcPr>
            <w:tcW w:w="28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TORCH</w:t>
            </w:r>
          </w:p>
        </w:tc>
        <w:tc>
          <w:tcPr>
            <w:tcW w:w="427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RCT</w:t>
            </w:r>
          </w:p>
        </w:tc>
        <w:tc>
          <w:tcPr>
            <w:tcW w:w="204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2024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Style w:val="17"/>
              </w:rPr>
              <w:t>Exp</w:t>
            </w:r>
            <w:proofErr w:type="spellEnd"/>
            <w:r>
              <w:rPr>
                <w:rStyle w:val="17"/>
              </w:rPr>
              <w:t xml:space="preserve"> A</w:t>
            </w:r>
            <w:r>
              <w:rPr>
                <w:rStyle w:val="16"/>
                <w:rFonts w:ascii="SimSun" w:hAnsi="SimSun"/>
              </w:rPr>
              <w:t>：</w:t>
            </w:r>
            <w:r>
              <w:rPr>
                <w:rStyle w:val="17"/>
              </w:rPr>
              <w:t>SCRT → (</w:t>
            </w:r>
            <w:proofErr w:type="spellStart"/>
            <w:r>
              <w:rPr>
                <w:rStyle w:val="17"/>
              </w:rPr>
              <w:t>CAPOX+Toripalimab</w:t>
            </w:r>
            <w:proofErr w:type="spellEnd"/>
            <w:r>
              <w:rPr>
                <w:rStyle w:val="17"/>
              </w:rPr>
              <w:t>)×6 → WW/S</w:t>
            </w:r>
          </w:p>
        </w:tc>
        <w:tc>
          <w:tcPr>
            <w:tcW w:w="320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arm A</w:t>
            </w:r>
            <w:r>
              <w:rPr>
                <w:rStyle w:val="25"/>
                <w:rFonts w:ascii="SimSun" w:hAnsi="SimSun"/>
              </w:rPr>
              <w:t>：</w:t>
            </w:r>
            <w:r>
              <w:rPr>
                <w:rStyle w:val="22"/>
              </w:rPr>
              <w:t>62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32.3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55</w:t>
            </w:r>
            <w:r>
              <w:rPr>
                <w:rStyle w:val="19"/>
              </w:rPr>
              <w:t>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79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98.4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43.5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22.6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27.4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textAlignment w:val="center"/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 Regular" w:hAnsi="Times New Roman Regular"/>
                <w:color w:val="000000"/>
                <w:kern w:val="0"/>
              </w:rPr>
              <w:t>24.2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32.3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72.5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45.2</w:t>
            </w:r>
          </w:p>
        </w:tc>
      </w:tr>
      <w:tr w:rsidR="000F19E3" w:rsidTr="000F19E3">
        <w:tc>
          <w:tcPr>
            <w:tcW w:w="28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27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04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proofErr w:type="spellStart"/>
            <w:r>
              <w:rPr>
                <w:rStyle w:val="17"/>
              </w:rPr>
              <w:t>Exp</w:t>
            </w:r>
            <w:proofErr w:type="spellEnd"/>
            <w:r>
              <w:rPr>
                <w:rStyle w:val="17"/>
              </w:rPr>
              <w:t xml:space="preserve"> B</w:t>
            </w:r>
            <w:r>
              <w:rPr>
                <w:rStyle w:val="16"/>
                <w:rFonts w:ascii="SimSun" w:hAnsi="SimSun"/>
              </w:rPr>
              <w:t>：</w:t>
            </w:r>
            <w:r>
              <w:rPr>
                <w:rStyle w:val="17"/>
              </w:rPr>
              <w:t>(</w:t>
            </w:r>
            <w:proofErr w:type="spellStart"/>
            <w:r>
              <w:rPr>
                <w:rStyle w:val="17"/>
              </w:rPr>
              <w:t>CAPOX+Toripalimab</w:t>
            </w:r>
            <w:proofErr w:type="spellEnd"/>
            <w:r>
              <w:rPr>
                <w:rStyle w:val="17"/>
              </w:rPr>
              <w:t>)×2 → SCRT → (</w:t>
            </w:r>
            <w:proofErr w:type="spellStart"/>
            <w:r>
              <w:rPr>
                <w:rStyle w:val="17"/>
              </w:rPr>
              <w:t>CAPOX+Toripalimab</w:t>
            </w:r>
            <w:proofErr w:type="spellEnd"/>
            <w:r>
              <w:rPr>
                <w:rStyle w:val="17"/>
              </w:rPr>
              <w:t>)×4 → WW/S</w:t>
            </w:r>
          </w:p>
        </w:tc>
        <w:tc>
          <w:tcPr>
            <w:tcW w:w="320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jc w:val="left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arm B</w:t>
            </w:r>
            <w:r>
              <w:rPr>
                <w:rStyle w:val="25"/>
                <w:rFonts w:ascii="SimSun" w:hAnsi="SimSun"/>
              </w:rPr>
              <w:t>：</w:t>
            </w:r>
            <w:r>
              <w:rPr>
                <w:rStyle w:val="22"/>
              </w:rPr>
              <w:t>59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32.2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56</w:t>
            </w:r>
            <w:r>
              <w:rPr>
                <w:rStyle w:val="19"/>
              </w:rPr>
              <w:t>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81.4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96</w:t>
            </w:r>
            <w:bookmarkStart w:id="0" w:name="_GoBack"/>
            <w:bookmarkEnd w:id="0"/>
            <w:r>
              <w:rPr>
                <w:rFonts w:ascii="Times New Roman" w:hAnsi="Times New Roman"/>
                <w:color w:val="000000"/>
                <w:kern w:val="0"/>
              </w:rPr>
              <w:t>.6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52.5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28.8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39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textAlignment w:val="center"/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 Regular" w:hAnsi="Times New Roman Regular"/>
                <w:color w:val="000000"/>
                <w:kern w:val="0"/>
              </w:rPr>
              <w:t>25.4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25.4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96.9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82.4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42.4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NECTAR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2024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LCRT/Cape + Tislelizumab×3 → S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50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98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36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62*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 (median: 5.4 cm)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92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26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24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80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40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89.1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Liu X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2024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LCRT/Cape →(CAPOX +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</w:rPr>
              <w:t>sintilimab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</w:rPr>
              <w:t xml:space="preserve">)×6 →WW/S  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35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32.4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59</w:t>
            </w:r>
            <w:r>
              <w:rPr>
                <w:rStyle w:val="19"/>
              </w:rPr>
              <w:t>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textAlignment w:val="center"/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 Regular" w:hAnsi="Times New Roman Regular"/>
                <w:color w:val="000000"/>
                <w:kern w:val="0"/>
              </w:rPr>
              <w:t>34.3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17.1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87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70.8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PRECAM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2024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SCRT →CAPEOX×2 + Envafolimab×6 → S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anti-PDL1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32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28.1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40.6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18.8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34.4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62.5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96.9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6.3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PKUCH 04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2024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</w:rPr>
            </w:pPr>
            <w:r>
              <w:rPr>
                <w:kern w:val="0"/>
              </w:rPr>
              <w:t xml:space="preserve">(CAPOX </w:t>
            </w:r>
            <w:r>
              <w:rPr>
                <w:rFonts w:ascii="Times New Roman" w:hAnsi="Times New Roman"/>
                <w:kern w:val="0"/>
              </w:rPr>
              <w:t>+</w:t>
            </w:r>
            <w:proofErr w:type="spellStart"/>
            <w:r>
              <w:rPr>
                <w:rFonts w:ascii="Times New Roman" w:hAnsi="Times New Roman"/>
                <w:kern w:val="0"/>
              </w:rPr>
              <w:t>Camrelizumab</w:t>
            </w:r>
            <w:proofErr w:type="spellEnd"/>
            <w:r>
              <w:rPr>
                <w:rFonts w:ascii="Times New Roman" w:hAnsi="Times New Roman"/>
                <w:kern w:val="0"/>
              </w:rPr>
              <w:t>)×3 → LCRT/Cape → CAPOX*2 → WW/S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25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24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58</w:t>
            </w:r>
            <w:r>
              <w:rPr>
                <w:rStyle w:val="19"/>
              </w:rPr>
              <w:t>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NA(median:5.3cm)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76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70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56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textAlignment w:val="center"/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 Regular" w:hAnsi="Times New Roman Regular"/>
                <w:color w:val="000000"/>
                <w:kern w:val="0"/>
              </w:rPr>
              <w:t>16.0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28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66.7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36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Feng L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2024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SCRT → (CAPOX +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</w:rPr>
              <w:t>Cadonilimab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</w:rPr>
              <w:t>)×4 → WW/S  → CAPOX×2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anti-PD1/CTLA4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22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56</w:t>
            </w:r>
            <w:r>
              <w:rPr>
                <w:rStyle w:val="19"/>
              </w:rPr>
              <w:t>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textAlignment w:val="center"/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 Regular" w:hAnsi="Times New Roman Regular"/>
                <w:color w:val="000000"/>
                <w:kern w:val="0"/>
              </w:rPr>
              <w:t>13.6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9.1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4.5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ESTIMATE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2024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 xml:space="preserve">(mFOLFOX6+ </w:t>
            </w:r>
            <w:proofErr w:type="spellStart"/>
            <w:r>
              <w:rPr>
                <w:rStyle w:val="22"/>
              </w:rPr>
              <w:t>Envafolimab</w:t>
            </w:r>
            <w:proofErr w:type="spellEnd"/>
            <w:r>
              <w:rPr>
                <w:rStyle w:val="25"/>
                <w:rFonts w:ascii="SimSun" w:hAnsi="SimSun"/>
              </w:rPr>
              <w:t>）</w:t>
            </w:r>
            <w:r>
              <w:rPr>
                <w:rStyle w:val="22"/>
              </w:rPr>
              <w:t xml:space="preserve">×2 , → </w:t>
            </w:r>
            <w:r>
              <w:rPr>
                <w:rStyle w:val="22"/>
              </w:rPr>
              <w:lastRenderedPageBreak/>
              <w:t xml:space="preserve">LCRT/Cape +Envafolimab×3 →(mFOLFOX6+ </w:t>
            </w:r>
            <w:proofErr w:type="spellStart"/>
            <w:r>
              <w:rPr>
                <w:rStyle w:val="22"/>
              </w:rPr>
              <w:t>Envafolimab</w:t>
            </w:r>
            <w:proofErr w:type="spellEnd"/>
            <w:r>
              <w:rPr>
                <w:rStyle w:val="25"/>
                <w:rFonts w:ascii="SimSun" w:hAnsi="SimSun"/>
              </w:rPr>
              <w:t>）</w:t>
            </w:r>
            <w:r>
              <w:rPr>
                <w:rStyle w:val="22"/>
              </w:rPr>
              <w:t xml:space="preserve">×2 →WW/S 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lastRenderedPageBreak/>
              <w:t>anti-PDL1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28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39.3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57</w:t>
            </w:r>
            <w:r>
              <w:rPr>
                <w:rStyle w:val="19"/>
              </w:rPr>
              <w:t>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64.3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96.4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46.4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35.7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32.1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textAlignment w:val="center"/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 Regular" w:hAnsi="Times New Roman Regular"/>
                <w:color w:val="000000"/>
                <w:kern w:val="0"/>
              </w:rPr>
              <w:t>25.0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38.1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7.1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lastRenderedPageBreak/>
              <w:t>BFH-NCRTPD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2023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LCRT/Cape  + Tislelizumab×3 →S 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26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46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60.5</w:t>
            </w:r>
            <w:r>
              <w:rPr>
                <w:rStyle w:val="19"/>
                <w:vertAlign w:val="superscript"/>
              </w:rPr>
              <w:t>#</w:t>
            </w:r>
            <w:r>
              <w:rPr>
                <w:rStyle w:val="19"/>
              </w:rPr>
              <w:t xml:space="preserve"> 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46.2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84.6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19.2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35.7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32.1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50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88.5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3.8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DUREC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2023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(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</w:rPr>
              <w:t>FOLFOX+Durvalumab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</w:rPr>
              <w:t xml:space="preserve">)×6 → </w:t>
            </w:r>
            <w:r>
              <w:rPr>
                <w:rFonts w:ascii="Times New Roman" w:hAnsi="Times New Roman"/>
                <w:color w:val="000000"/>
                <w:kern w:val="0"/>
              </w:rPr>
              <w:br/>
              <w:t xml:space="preserve">LCRT/Cape + 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</w:rPr>
              <w:t>Durvalumab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</w:rPr>
              <w:t xml:space="preserve"> → </w:t>
            </w:r>
            <w:r>
              <w:rPr>
                <w:rFonts w:ascii="Times New Roman" w:hAnsi="Times New Roman"/>
                <w:color w:val="000000"/>
                <w:kern w:val="0"/>
              </w:rPr>
              <w:br/>
            </w:r>
            <w:proofErr w:type="spellStart"/>
            <w:r>
              <w:rPr>
                <w:rFonts w:ascii="Times New Roman" w:hAnsi="Times New Roman"/>
                <w:color w:val="000000"/>
                <w:kern w:val="0"/>
              </w:rPr>
              <w:t>Durvalumab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</w:rPr>
              <w:t xml:space="preserve"> → S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anti-PDL1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61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30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61.3*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53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60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36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13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PANDORA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2023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LCRT/Cape → Durvalumab×3 → S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anti-PDL1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55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95.8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28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64*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 (median: 5.0 cm)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92.7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 (N+79.6%)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17.7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46.5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34.5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98.1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7.3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R-IMMUNE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2023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LCRT/5-Fu + Atezolizumab×1 → </w:t>
            </w:r>
            <w:r>
              <w:rPr>
                <w:rFonts w:ascii="Times New Roman" w:hAnsi="Times New Roman"/>
                <w:color w:val="000000"/>
                <w:kern w:val="0"/>
              </w:rPr>
              <w:br/>
              <w:t>Atezolizumab×3 → S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anti-PDL1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39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88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44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63</w:t>
            </w:r>
            <w:r>
              <w:rPr>
                <w:rStyle w:val="19"/>
              </w:rPr>
              <w:t>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25.6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48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NSABP FR-2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2022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CRT → durvalumab×4 → S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anti-PDL1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45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NA 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NA 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NA 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NA 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NA 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NA 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NA 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22.2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81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71.4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NA 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VOLTAGE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Phase II </w:t>
            </w:r>
            <w:r>
              <w:rPr>
                <w:rFonts w:ascii="Times New Roman" w:hAnsi="Times New Roman"/>
                <w:color w:val="000000"/>
                <w:kern w:val="0"/>
              </w:rPr>
              <w:lastRenderedPageBreak/>
              <w:t>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lastRenderedPageBreak/>
              <w:t>2022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LCRT/Cape → Nivolumab×5 → S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39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33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61*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NA (Median: 7 cm</w:t>
            </w:r>
            <w:r>
              <w:rPr>
                <w:rStyle w:val="25"/>
                <w:rFonts w:ascii="SimSun" w:hAnsi="SimSun"/>
              </w:rPr>
              <w:t>）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NA (N1–2: </w:t>
            </w:r>
            <w:r>
              <w:rPr>
                <w:rFonts w:ascii="Times New Roman" w:hAnsi="Times New Roman"/>
                <w:color w:val="000000"/>
                <w:kern w:val="0"/>
              </w:rPr>
              <w:lastRenderedPageBreak/>
              <w:t>23% (9/39) MSS, 33% (2/6) MSI-H)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lastRenderedPageBreak/>
              <w:t>NA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28.2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87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NA 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lastRenderedPageBreak/>
              <w:t xml:space="preserve">AVANA 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2021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 xml:space="preserve">LCRT/Cape + Avelumab×3 → </w:t>
            </w:r>
            <w:r>
              <w:rPr>
                <w:rFonts w:ascii="Times New Roman" w:hAnsi="Times New Roman"/>
                <w:color w:val="000000"/>
                <w:kern w:val="0"/>
              </w:rPr>
              <w:br/>
              <w:t>Avelumab×3 → S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anti-PDL1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101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97.4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38.6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63*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 (N+</w:t>
            </w:r>
            <w:proofErr w:type="gramStart"/>
            <w:r>
              <w:rPr>
                <w:rFonts w:ascii="Times New Roman" w:hAnsi="Times New Roman"/>
                <w:color w:val="000000"/>
                <w:kern w:val="0"/>
              </w:rPr>
              <w:t>93%</w:t>
            </w:r>
            <w:proofErr w:type="gramEnd"/>
            <w:r>
              <w:rPr>
                <w:rFonts w:ascii="Times New Roman" w:hAnsi="Times New Roman"/>
                <w:color w:val="000000"/>
                <w:kern w:val="0"/>
              </w:rPr>
              <w:t>%)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21.8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12</w:t>
            </w:r>
          </w:p>
        </w:tc>
      </w:tr>
      <w:tr w:rsidR="000F19E3" w:rsidTr="000F19E3"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Lin Z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Phase II SA</w:t>
            </w:r>
          </w:p>
        </w:tc>
        <w:tc>
          <w:tcPr>
            <w:tcW w:w="2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2021</w:t>
            </w:r>
          </w:p>
        </w:tc>
        <w:tc>
          <w:tcPr>
            <w:tcW w:w="59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left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SCRT → (CAPOX +</w:t>
            </w:r>
            <w:proofErr w:type="spellStart"/>
            <w:r>
              <w:rPr>
                <w:rFonts w:ascii="Times New Roman" w:hAnsi="Times New Roman"/>
                <w:color w:val="000000"/>
                <w:kern w:val="0"/>
              </w:rPr>
              <w:t>Camrelizumab</w:t>
            </w:r>
            <w:proofErr w:type="spellEnd"/>
            <w:r>
              <w:rPr>
                <w:rFonts w:ascii="Times New Roman" w:hAnsi="Times New Roman"/>
                <w:color w:val="000000"/>
                <w:kern w:val="0"/>
              </w:rPr>
              <w:t>)×2 → S</w:t>
            </w:r>
          </w:p>
        </w:tc>
        <w:tc>
          <w:tcPr>
            <w:tcW w:w="32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anti-PD1</w:t>
            </w:r>
          </w:p>
        </w:tc>
        <w:tc>
          <w:tcPr>
            <w:tcW w:w="18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30</w:t>
            </w:r>
          </w:p>
        </w:tc>
        <w:tc>
          <w:tcPr>
            <w:tcW w:w="16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93.3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43.3</w:t>
            </w:r>
          </w:p>
        </w:tc>
        <w:tc>
          <w:tcPr>
            <w:tcW w:w="3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Style w:val="22"/>
              </w:rPr>
              <w:t>57</w:t>
            </w:r>
            <w:r>
              <w:rPr>
                <w:rStyle w:val="19"/>
              </w:rPr>
              <w:t>*</w:t>
            </w:r>
          </w:p>
        </w:tc>
        <w:tc>
          <w:tcPr>
            <w:tcW w:w="34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50</w:t>
            </w:r>
          </w:p>
        </w:tc>
        <w:tc>
          <w:tcPr>
            <w:tcW w:w="1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2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33.3</w:t>
            </w:r>
          </w:p>
        </w:tc>
        <w:tc>
          <w:tcPr>
            <w:tcW w:w="1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40</w:t>
            </w:r>
          </w:p>
        </w:tc>
        <w:tc>
          <w:tcPr>
            <w:tcW w:w="20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rPr>
                <w:rFonts w:ascii="Times New Roman Regular" w:hAnsi="Times New Roman Regular"/>
                <w:color w:val="000000"/>
                <w:kern w:val="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NA</w:t>
            </w:r>
          </w:p>
        </w:tc>
        <w:tc>
          <w:tcPr>
            <w:tcW w:w="2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43.3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100</w:t>
            </w:r>
          </w:p>
        </w:tc>
        <w:tc>
          <w:tcPr>
            <w:tcW w:w="2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88.9</w:t>
            </w:r>
          </w:p>
        </w:tc>
        <w:tc>
          <w:tcPr>
            <w:tcW w:w="2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jc w:val="center"/>
              <w:textAlignment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kern w:val="0"/>
              </w:rPr>
              <w:t>26.7</w:t>
            </w:r>
          </w:p>
        </w:tc>
      </w:tr>
      <w:tr w:rsidR="000F19E3" w:rsidTr="000F19E3">
        <w:tc>
          <w:tcPr>
            <w:tcW w:w="5000" w:type="pct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jc w:val="left"/>
              <w:rPr>
                <w:rStyle w:val="15"/>
              </w:rPr>
            </w:pPr>
            <w:proofErr w:type="spellStart"/>
            <w:r>
              <w:rPr>
                <w:rStyle w:val="15"/>
              </w:rPr>
              <w:t>Abbreviations:RCT</w:t>
            </w:r>
            <w:proofErr w:type="spellEnd"/>
            <w:r>
              <w:rPr>
                <w:rStyle w:val="15"/>
              </w:rPr>
              <w:t xml:space="preserve">: Randomized Clinical Trial; </w:t>
            </w:r>
            <w:proofErr w:type="spellStart"/>
            <w:r>
              <w:rPr>
                <w:rStyle w:val="15"/>
              </w:rPr>
              <w:t>Exp</w:t>
            </w:r>
            <w:proofErr w:type="spellEnd"/>
            <w:r>
              <w:rPr>
                <w:rStyle w:val="15"/>
              </w:rPr>
              <w:t>: Experimental group; Con: Control group; AV: distance to anorectal verge</w:t>
            </w:r>
          </w:p>
          <w:p w:rsidR="000F19E3" w:rsidRDefault="000F19E3" w:rsidP="00390669">
            <w:pPr>
              <w:widowControl/>
              <w:snapToGrid w:val="0"/>
              <w:textAlignment w:val="top"/>
              <w:rPr>
                <w:b/>
                <w:bCs/>
              </w:rPr>
            </w:pPr>
            <w:r>
              <w:rPr>
                <w:rStyle w:val="15"/>
              </w:rPr>
              <w:t>; ITT: Intent-to-Treat Population; ICIs, immune checkpoint inhibitors;  PD-1, programmed death-1; PD-L1, programmed death-ligand 1;  CTLA-4, cytotoxic T</w:t>
            </w:r>
            <w:r>
              <w:rPr>
                <w:rStyle w:val="20"/>
              </w:rPr>
              <w:t xml:space="preserve"> </w:t>
            </w:r>
            <w:r>
              <w:rPr>
                <w:rStyle w:val="15"/>
              </w:rPr>
              <w:t xml:space="preserve">lymphocyte antigen-4; </w:t>
            </w:r>
            <w:proofErr w:type="spellStart"/>
            <w:r>
              <w:rPr>
                <w:rStyle w:val="15"/>
              </w:rPr>
              <w:t>pMMR</w:t>
            </w:r>
            <w:proofErr w:type="spellEnd"/>
            <w:r>
              <w:rPr>
                <w:rStyle w:val="15"/>
              </w:rPr>
              <w:t xml:space="preserve">, proficient mismatch repair; </w:t>
            </w:r>
            <w:proofErr w:type="spellStart"/>
            <w:r>
              <w:rPr>
                <w:rStyle w:val="15"/>
              </w:rPr>
              <w:t>cT</w:t>
            </w:r>
            <w:proofErr w:type="spellEnd"/>
            <w:r>
              <w:rPr>
                <w:rStyle w:val="15"/>
              </w:rPr>
              <w:t xml:space="preserve">, clinical T; </w:t>
            </w:r>
            <w:proofErr w:type="spellStart"/>
            <w:r>
              <w:rPr>
                <w:rStyle w:val="15"/>
              </w:rPr>
              <w:t>cN</w:t>
            </w:r>
            <w:proofErr w:type="spellEnd"/>
            <w:r>
              <w:rPr>
                <w:rStyle w:val="15"/>
              </w:rPr>
              <w:t xml:space="preserve">, clinical N; EMVI, extramural vascular invasion; MRF, </w:t>
            </w:r>
            <w:proofErr w:type="spellStart"/>
            <w:r>
              <w:rPr>
                <w:rStyle w:val="15"/>
              </w:rPr>
              <w:t>mesorectal</w:t>
            </w:r>
            <w:proofErr w:type="spellEnd"/>
            <w:r>
              <w:rPr>
                <w:rStyle w:val="15"/>
              </w:rPr>
              <w:t xml:space="preserve"> fascia; </w:t>
            </w:r>
            <w:proofErr w:type="spellStart"/>
            <w:r>
              <w:rPr>
                <w:rStyle w:val="15"/>
              </w:rPr>
              <w:t>cCR</w:t>
            </w:r>
            <w:proofErr w:type="spellEnd"/>
            <w:r>
              <w:rPr>
                <w:rStyle w:val="15"/>
              </w:rPr>
              <w:t xml:space="preserve">, clinical complete response; </w:t>
            </w:r>
            <w:r>
              <w:rPr>
                <w:rStyle w:val="15"/>
                <w:rFonts w:hint="eastAsia"/>
              </w:rPr>
              <w:t xml:space="preserve">WW, Watch-and-Wait; </w:t>
            </w:r>
            <w:proofErr w:type="spellStart"/>
            <w:r>
              <w:rPr>
                <w:rStyle w:val="15"/>
              </w:rPr>
              <w:t>pCR</w:t>
            </w:r>
            <w:proofErr w:type="spellEnd"/>
            <w:r>
              <w:rPr>
                <w:rStyle w:val="15"/>
              </w:rPr>
              <w:t xml:space="preserve">, pathological complete response; SCRT, short-course radiotherapy; LCRT, long-course radiotherapy; CAPOX, </w:t>
            </w:r>
            <w:proofErr w:type="spellStart"/>
            <w:r>
              <w:rPr>
                <w:rStyle w:val="15"/>
              </w:rPr>
              <w:t>capecitabine</w:t>
            </w:r>
            <w:proofErr w:type="spellEnd"/>
            <w:r>
              <w:rPr>
                <w:rStyle w:val="15"/>
              </w:rPr>
              <w:t xml:space="preserve"> + </w:t>
            </w:r>
            <w:proofErr w:type="spellStart"/>
            <w:r>
              <w:rPr>
                <w:rStyle w:val="15"/>
              </w:rPr>
              <w:t>oxaliplatin</w:t>
            </w:r>
            <w:proofErr w:type="spellEnd"/>
            <w:r>
              <w:rPr>
                <w:rStyle w:val="15"/>
              </w:rPr>
              <w:t xml:space="preserve">; Cape, </w:t>
            </w:r>
            <w:proofErr w:type="spellStart"/>
            <w:r>
              <w:rPr>
                <w:rStyle w:val="15"/>
              </w:rPr>
              <w:t>capecitabine</w:t>
            </w:r>
            <w:proofErr w:type="spellEnd"/>
            <w:r>
              <w:rPr>
                <w:rStyle w:val="15"/>
              </w:rPr>
              <w:t xml:space="preserve">; FOLFOX, 5-fluorouracil + </w:t>
            </w:r>
            <w:proofErr w:type="spellStart"/>
            <w:r>
              <w:rPr>
                <w:rStyle w:val="15"/>
              </w:rPr>
              <w:t>leucovorin</w:t>
            </w:r>
            <w:proofErr w:type="spellEnd"/>
            <w:r>
              <w:rPr>
                <w:rStyle w:val="15"/>
              </w:rPr>
              <w:t xml:space="preserve"> + </w:t>
            </w:r>
            <w:proofErr w:type="spellStart"/>
            <w:r>
              <w:rPr>
                <w:rStyle w:val="15"/>
              </w:rPr>
              <w:t>oxaliplatin</w:t>
            </w:r>
            <w:proofErr w:type="spellEnd"/>
            <w:r>
              <w:rPr>
                <w:rStyle w:val="15"/>
              </w:rPr>
              <w:t xml:space="preserve">; 5-Fu, 5-fluorouracil; WW, wait and watch; S, surgery (total </w:t>
            </w:r>
            <w:proofErr w:type="spellStart"/>
            <w:r>
              <w:rPr>
                <w:rStyle w:val="15"/>
              </w:rPr>
              <w:t>mesorectal</w:t>
            </w:r>
            <w:proofErr w:type="spellEnd"/>
            <w:r>
              <w:rPr>
                <w:rStyle w:val="15"/>
              </w:rPr>
              <w:t xml:space="preserve"> excision)</w:t>
            </w:r>
          </w:p>
        </w:tc>
      </w:tr>
      <w:tr w:rsidR="000F19E3" w:rsidTr="000F19E3">
        <w:tc>
          <w:tcPr>
            <w:tcW w:w="5000" w:type="pct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F19E3" w:rsidRDefault="000F19E3" w:rsidP="00390669">
            <w:pPr>
              <w:widowControl/>
              <w:snapToGrid w:val="0"/>
              <w:textAlignment w:val="center"/>
              <w:rPr>
                <w:rFonts w:ascii="Times New Roman" w:hAnsi="Times New Roman"/>
                <w:color w:val="000000"/>
              </w:rPr>
            </w:pPr>
            <w:proofErr w:type="gramStart"/>
            <w:r>
              <w:rPr>
                <w:rFonts w:ascii="Times New Roman" w:hAnsi="Times New Roman"/>
                <w:color w:val="000000"/>
                <w:kern w:val="0"/>
              </w:rPr>
              <w:t>a</w:t>
            </w:r>
            <w:proofErr w:type="gramEnd"/>
            <w:r>
              <w:rPr>
                <w:rFonts w:ascii="Times New Roman" w:hAnsi="Times New Roman"/>
                <w:color w:val="000000"/>
                <w:kern w:val="0"/>
              </w:rPr>
              <w:t xml:space="preserve">: Only 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grade</w:t>
            </w:r>
            <w:r>
              <w:rPr>
                <w:rFonts w:ascii="SimSun" w:hAnsi="SimSun" w:hint="eastAsia"/>
                <w:color w:val="000000"/>
                <w:kern w:val="0"/>
              </w:rPr>
              <w:t>≥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3</w:t>
            </w:r>
            <w:r>
              <w:rPr>
                <w:rFonts w:ascii="Times New Roman" w:hAnsi="Times New Roman"/>
                <w:color w:val="000000"/>
                <w:kern w:val="0"/>
              </w:rPr>
              <w:t xml:space="preserve"> neutropenia is extracted as the most common TRAE from the source document. Comprehensive 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grade</w:t>
            </w:r>
            <w:r>
              <w:rPr>
                <w:rFonts w:ascii="SimSun" w:hAnsi="SimSun" w:hint="eastAsia"/>
                <w:color w:val="000000"/>
                <w:kern w:val="0"/>
              </w:rPr>
              <w:t>≥</w:t>
            </w:r>
            <w:r>
              <w:rPr>
                <w:rFonts w:ascii="Times New Roman" w:hAnsi="Times New Roman" w:hint="eastAsia"/>
                <w:color w:val="000000"/>
                <w:kern w:val="0"/>
              </w:rPr>
              <w:t>3</w:t>
            </w:r>
            <w:r>
              <w:rPr>
                <w:rFonts w:ascii="Times New Roman" w:hAnsi="Times New Roman"/>
                <w:color w:val="000000"/>
                <w:kern w:val="0"/>
              </w:rPr>
              <w:t xml:space="preserve"> TRAE data were not explicitly provided in the article, preventing full extraction.</w:t>
            </w:r>
          </w:p>
        </w:tc>
      </w:tr>
    </w:tbl>
    <w:p w:rsidR="00930D6B" w:rsidRDefault="00930D6B"/>
    <w:sectPr w:rsidR="00930D6B" w:rsidSect="000F19E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Bold">
    <w:altName w:val="Times New Roman"/>
    <w:panose1 w:val="02020803070505020304"/>
    <w:charset w:val="00"/>
    <w:family w:val="auto"/>
    <w:pitch w:val="default"/>
    <w:sig w:usb0="E0000AFF" w:usb1="00007843" w:usb2="00000001" w:usb3="00000000" w:csb0="400001BF" w:csb1="DFF7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Regular">
    <w:altName w:val="Times New Roman"/>
    <w:charset w:val="00"/>
    <w:family w:val="auto"/>
    <w:pitch w:val="default"/>
    <w:sig w:usb0="E0000AFF" w:usb1="00007843" w:usb2="00000001" w:usb3="00000000" w:csb0="400001BF" w:csb1="DFF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B57C4A0"/>
    <w:multiLevelType w:val="singleLevel"/>
    <w:tmpl w:val="DB57C4A0"/>
    <w:lvl w:ilvl="0">
      <w:start w:val="1"/>
      <w:numFmt w:val="upperLetter"/>
      <w:suff w:val="space"/>
      <w:lvlText w:val="(%1)"/>
      <w:lvlJc w:val="left"/>
      <w:rPr>
        <w:rFonts w:ascii="Times New Roman Bold" w:hAnsi="Times New Roman Bold" w:cs="Times New Roman Bold" w:hint="default"/>
        <w:b/>
        <w:bCs/>
      </w:rPr>
    </w:lvl>
  </w:abstractNum>
  <w:abstractNum w:abstractNumId="1">
    <w:nsid w:val="07DF39C1"/>
    <w:multiLevelType w:val="hybridMultilevel"/>
    <w:tmpl w:val="ACC21DCE"/>
    <w:lvl w:ilvl="0" w:tplc="2730B9FC">
      <w:start w:val="1"/>
      <w:numFmt w:val="upperLetter"/>
      <w:lvlText w:val="(%1)"/>
      <w:lvlJc w:val="left"/>
      <w:pPr>
        <w:ind w:left="400" w:hanging="400"/>
      </w:pPr>
      <w:rPr>
        <w:rFonts w:eastAsiaTheme="minorEastAsia" w:hint="default"/>
        <w:b/>
        <w:sz w:val="24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2D170786"/>
    <w:multiLevelType w:val="multilevel"/>
    <w:tmpl w:val="2D170786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672F4F58"/>
    <w:multiLevelType w:val="singleLevel"/>
    <w:tmpl w:val="8F5C242A"/>
    <w:lvl w:ilvl="0">
      <w:start w:val="2"/>
      <w:numFmt w:val="upperLetter"/>
      <w:suff w:val="space"/>
      <w:lvlText w:val="(%1)"/>
      <w:lvlJc w:val="left"/>
      <w:rPr>
        <w:b/>
        <w:bCs/>
      </w:rPr>
    </w:lvl>
  </w:abstractNum>
  <w:num w:numId="1">
    <w:abstractNumId w:val="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C64"/>
    <w:rsid w:val="00005C2C"/>
    <w:rsid w:val="00007A5B"/>
    <w:rsid w:val="0001177C"/>
    <w:rsid w:val="00012A8E"/>
    <w:rsid w:val="0001319E"/>
    <w:rsid w:val="0001416D"/>
    <w:rsid w:val="00021A70"/>
    <w:rsid w:val="00023F8C"/>
    <w:rsid w:val="00027E46"/>
    <w:rsid w:val="0003120F"/>
    <w:rsid w:val="00040530"/>
    <w:rsid w:val="000604C2"/>
    <w:rsid w:val="000642E2"/>
    <w:rsid w:val="00066064"/>
    <w:rsid w:val="00066D8A"/>
    <w:rsid w:val="000875A3"/>
    <w:rsid w:val="000926B9"/>
    <w:rsid w:val="000A10BA"/>
    <w:rsid w:val="000A3161"/>
    <w:rsid w:val="000A4CEB"/>
    <w:rsid w:val="000A5E31"/>
    <w:rsid w:val="000B07CD"/>
    <w:rsid w:val="000B3F01"/>
    <w:rsid w:val="000C7586"/>
    <w:rsid w:val="000D0AA0"/>
    <w:rsid w:val="000D2266"/>
    <w:rsid w:val="000D3BD3"/>
    <w:rsid w:val="000D700E"/>
    <w:rsid w:val="000E1762"/>
    <w:rsid w:val="000E7A8C"/>
    <w:rsid w:val="000F19E3"/>
    <w:rsid w:val="000F6D45"/>
    <w:rsid w:val="001148B4"/>
    <w:rsid w:val="00122722"/>
    <w:rsid w:val="00122E40"/>
    <w:rsid w:val="001265CB"/>
    <w:rsid w:val="00131081"/>
    <w:rsid w:val="001325C0"/>
    <w:rsid w:val="00134867"/>
    <w:rsid w:val="0013576C"/>
    <w:rsid w:val="00136A1E"/>
    <w:rsid w:val="001371F6"/>
    <w:rsid w:val="001446D4"/>
    <w:rsid w:val="00151873"/>
    <w:rsid w:val="001577B8"/>
    <w:rsid w:val="00157C45"/>
    <w:rsid w:val="0016068B"/>
    <w:rsid w:val="001678F6"/>
    <w:rsid w:val="001761A8"/>
    <w:rsid w:val="00192C8E"/>
    <w:rsid w:val="00194411"/>
    <w:rsid w:val="001B1243"/>
    <w:rsid w:val="001B2133"/>
    <w:rsid w:val="001B4365"/>
    <w:rsid w:val="001C1924"/>
    <w:rsid w:val="001E0ED7"/>
    <w:rsid w:val="001E30B3"/>
    <w:rsid w:val="001E30D0"/>
    <w:rsid w:val="001E38BC"/>
    <w:rsid w:val="001E4A85"/>
    <w:rsid w:val="001F41A6"/>
    <w:rsid w:val="001F7FC0"/>
    <w:rsid w:val="00200951"/>
    <w:rsid w:val="00204F53"/>
    <w:rsid w:val="0021492D"/>
    <w:rsid w:val="00216006"/>
    <w:rsid w:val="00217C64"/>
    <w:rsid w:val="002246A4"/>
    <w:rsid w:val="002258DA"/>
    <w:rsid w:val="00230AEE"/>
    <w:rsid w:val="00236452"/>
    <w:rsid w:val="0023669C"/>
    <w:rsid w:val="00236AE4"/>
    <w:rsid w:val="00237304"/>
    <w:rsid w:val="002543AB"/>
    <w:rsid w:val="00256A15"/>
    <w:rsid w:val="00262A3B"/>
    <w:rsid w:val="002646CC"/>
    <w:rsid w:val="00270860"/>
    <w:rsid w:val="0027257A"/>
    <w:rsid w:val="002733D2"/>
    <w:rsid w:val="00273C03"/>
    <w:rsid w:val="00284BB2"/>
    <w:rsid w:val="00286910"/>
    <w:rsid w:val="00296FAF"/>
    <w:rsid w:val="002A0329"/>
    <w:rsid w:val="002A06CE"/>
    <w:rsid w:val="002A5475"/>
    <w:rsid w:val="002A7140"/>
    <w:rsid w:val="002C1031"/>
    <w:rsid w:val="002C4068"/>
    <w:rsid w:val="002C6E33"/>
    <w:rsid w:val="002C7F08"/>
    <w:rsid w:val="002D0314"/>
    <w:rsid w:val="002D21F2"/>
    <w:rsid w:val="002D57A3"/>
    <w:rsid w:val="002E0230"/>
    <w:rsid w:val="002F0AAC"/>
    <w:rsid w:val="002F2A40"/>
    <w:rsid w:val="0030089C"/>
    <w:rsid w:val="00311BF8"/>
    <w:rsid w:val="00322C57"/>
    <w:rsid w:val="00331B34"/>
    <w:rsid w:val="00342174"/>
    <w:rsid w:val="00342416"/>
    <w:rsid w:val="003426D8"/>
    <w:rsid w:val="003445E6"/>
    <w:rsid w:val="003602BD"/>
    <w:rsid w:val="00362309"/>
    <w:rsid w:val="003630A4"/>
    <w:rsid w:val="00366302"/>
    <w:rsid w:val="00370C89"/>
    <w:rsid w:val="00371AAF"/>
    <w:rsid w:val="00371DE6"/>
    <w:rsid w:val="00377A19"/>
    <w:rsid w:val="00390E72"/>
    <w:rsid w:val="00393106"/>
    <w:rsid w:val="00393CE6"/>
    <w:rsid w:val="003A2C19"/>
    <w:rsid w:val="003A3099"/>
    <w:rsid w:val="003A5F33"/>
    <w:rsid w:val="003B2E0A"/>
    <w:rsid w:val="003B6F4B"/>
    <w:rsid w:val="003F1202"/>
    <w:rsid w:val="003F1AAB"/>
    <w:rsid w:val="0040468B"/>
    <w:rsid w:val="004125D6"/>
    <w:rsid w:val="00412D6F"/>
    <w:rsid w:val="00415769"/>
    <w:rsid w:val="00425993"/>
    <w:rsid w:val="004314DF"/>
    <w:rsid w:val="00442912"/>
    <w:rsid w:val="00452C8E"/>
    <w:rsid w:val="00461A22"/>
    <w:rsid w:val="00462C9D"/>
    <w:rsid w:val="0046605B"/>
    <w:rsid w:val="00472FD2"/>
    <w:rsid w:val="00476CF3"/>
    <w:rsid w:val="004847E3"/>
    <w:rsid w:val="004972BB"/>
    <w:rsid w:val="004B2FD1"/>
    <w:rsid w:val="004B37F0"/>
    <w:rsid w:val="004B7D21"/>
    <w:rsid w:val="004C0AF9"/>
    <w:rsid w:val="004C6EE8"/>
    <w:rsid w:val="004D6862"/>
    <w:rsid w:val="004E3694"/>
    <w:rsid w:val="004E668F"/>
    <w:rsid w:val="004E721D"/>
    <w:rsid w:val="00503E9B"/>
    <w:rsid w:val="0050545F"/>
    <w:rsid w:val="00505E5E"/>
    <w:rsid w:val="005132FE"/>
    <w:rsid w:val="00514468"/>
    <w:rsid w:val="00516E83"/>
    <w:rsid w:val="00522D67"/>
    <w:rsid w:val="00532978"/>
    <w:rsid w:val="00534BCB"/>
    <w:rsid w:val="005366E0"/>
    <w:rsid w:val="005461AC"/>
    <w:rsid w:val="005472B8"/>
    <w:rsid w:val="0054751E"/>
    <w:rsid w:val="005479E9"/>
    <w:rsid w:val="00547DC5"/>
    <w:rsid w:val="0055415F"/>
    <w:rsid w:val="005564E3"/>
    <w:rsid w:val="00556769"/>
    <w:rsid w:val="00570ABB"/>
    <w:rsid w:val="00573E98"/>
    <w:rsid w:val="00576EF0"/>
    <w:rsid w:val="00577284"/>
    <w:rsid w:val="005805EE"/>
    <w:rsid w:val="00593404"/>
    <w:rsid w:val="00595655"/>
    <w:rsid w:val="005C2774"/>
    <w:rsid w:val="005C620C"/>
    <w:rsid w:val="005D3E29"/>
    <w:rsid w:val="005D5FB9"/>
    <w:rsid w:val="005D67D4"/>
    <w:rsid w:val="005F1F64"/>
    <w:rsid w:val="005F6301"/>
    <w:rsid w:val="005F673A"/>
    <w:rsid w:val="0061217F"/>
    <w:rsid w:val="00622370"/>
    <w:rsid w:val="00636521"/>
    <w:rsid w:val="00644D97"/>
    <w:rsid w:val="0065387C"/>
    <w:rsid w:val="006618BC"/>
    <w:rsid w:val="0066534B"/>
    <w:rsid w:val="0067312E"/>
    <w:rsid w:val="0067494E"/>
    <w:rsid w:val="00676C74"/>
    <w:rsid w:val="006871CF"/>
    <w:rsid w:val="006976F3"/>
    <w:rsid w:val="00697F16"/>
    <w:rsid w:val="006A6085"/>
    <w:rsid w:val="006A63AA"/>
    <w:rsid w:val="006A6967"/>
    <w:rsid w:val="006A7833"/>
    <w:rsid w:val="006B1588"/>
    <w:rsid w:val="006C1356"/>
    <w:rsid w:val="006C7E1A"/>
    <w:rsid w:val="006D360F"/>
    <w:rsid w:val="006D7C62"/>
    <w:rsid w:val="006E64D9"/>
    <w:rsid w:val="006E6C8D"/>
    <w:rsid w:val="006F0236"/>
    <w:rsid w:val="006F6797"/>
    <w:rsid w:val="00700689"/>
    <w:rsid w:val="00704E5C"/>
    <w:rsid w:val="007138EA"/>
    <w:rsid w:val="00716D69"/>
    <w:rsid w:val="007231AD"/>
    <w:rsid w:val="00735D4B"/>
    <w:rsid w:val="00737CAC"/>
    <w:rsid w:val="0074122F"/>
    <w:rsid w:val="007412CF"/>
    <w:rsid w:val="00757AC0"/>
    <w:rsid w:val="0076283F"/>
    <w:rsid w:val="00782A10"/>
    <w:rsid w:val="00790B6A"/>
    <w:rsid w:val="00791FE8"/>
    <w:rsid w:val="007A0D0D"/>
    <w:rsid w:val="007B086D"/>
    <w:rsid w:val="007B4EDD"/>
    <w:rsid w:val="007B77A2"/>
    <w:rsid w:val="007C3357"/>
    <w:rsid w:val="007C3387"/>
    <w:rsid w:val="007C618D"/>
    <w:rsid w:val="007C6357"/>
    <w:rsid w:val="007D2D82"/>
    <w:rsid w:val="007E180B"/>
    <w:rsid w:val="007E6222"/>
    <w:rsid w:val="007E7B45"/>
    <w:rsid w:val="007F5254"/>
    <w:rsid w:val="00807028"/>
    <w:rsid w:val="00813850"/>
    <w:rsid w:val="008163A2"/>
    <w:rsid w:val="00817ECA"/>
    <w:rsid w:val="00817F2C"/>
    <w:rsid w:val="00820C1C"/>
    <w:rsid w:val="0083269B"/>
    <w:rsid w:val="00840DFE"/>
    <w:rsid w:val="00841C36"/>
    <w:rsid w:val="0084396B"/>
    <w:rsid w:val="00846981"/>
    <w:rsid w:val="0085190F"/>
    <w:rsid w:val="008547FD"/>
    <w:rsid w:val="00857EF2"/>
    <w:rsid w:val="00862CD1"/>
    <w:rsid w:val="00866FCC"/>
    <w:rsid w:val="00870973"/>
    <w:rsid w:val="008734EE"/>
    <w:rsid w:val="00874E05"/>
    <w:rsid w:val="00882A54"/>
    <w:rsid w:val="008858B3"/>
    <w:rsid w:val="00885E92"/>
    <w:rsid w:val="008A3426"/>
    <w:rsid w:val="008C2C96"/>
    <w:rsid w:val="008C367F"/>
    <w:rsid w:val="008C7DE5"/>
    <w:rsid w:val="008D6CCB"/>
    <w:rsid w:val="008D768E"/>
    <w:rsid w:val="008E1676"/>
    <w:rsid w:val="008E1E5A"/>
    <w:rsid w:val="008E20CF"/>
    <w:rsid w:val="008E74A3"/>
    <w:rsid w:val="008E77B1"/>
    <w:rsid w:val="008F60EF"/>
    <w:rsid w:val="009042BC"/>
    <w:rsid w:val="00906D3A"/>
    <w:rsid w:val="00917788"/>
    <w:rsid w:val="009236D2"/>
    <w:rsid w:val="009250D9"/>
    <w:rsid w:val="00930D6B"/>
    <w:rsid w:val="009335BA"/>
    <w:rsid w:val="00936741"/>
    <w:rsid w:val="00936F43"/>
    <w:rsid w:val="00940639"/>
    <w:rsid w:val="0095766A"/>
    <w:rsid w:val="009658C0"/>
    <w:rsid w:val="00971EB8"/>
    <w:rsid w:val="00974688"/>
    <w:rsid w:val="00974B9F"/>
    <w:rsid w:val="009751CF"/>
    <w:rsid w:val="00976A59"/>
    <w:rsid w:val="00983B05"/>
    <w:rsid w:val="00990E23"/>
    <w:rsid w:val="00991DE0"/>
    <w:rsid w:val="00992650"/>
    <w:rsid w:val="009B5C14"/>
    <w:rsid w:val="009C220F"/>
    <w:rsid w:val="009C5682"/>
    <w:rsid w:val="009D0510"/>
    <w:rsid w:val="009D7C2A"/>
    <w:rsid w:val="009E292C"/>
    <w:rsid w:val="009E56E6"/>
    <w:rsid w:val="009F697A"/>
    <w:rsid w:val="00A00BFE"/>
    <w:rsid w:val="00A02140"/>
    <w:rsid w:val="00A04AFF"/>
    <w:rsid w:val="00A054A0"/>
    <w:rsid w:val="00A101EF"/>
    <w:rsid w:val="00A10BBF"/>
    <w:rsid w:val="00A1249D"/>
    <w:rsid w:val="00A157A6"/>
    <w:rsid w:val="00A17AC4"/>
    <w:rsid w:val="00A2330C"/>
    <w:rsid w:val="00A241C7"/>
    <w:rsid w:val="00A31113"/>
    <w:rsid w:val="00A31476"/>
    <w:rsid w:val="00A410A1"/>
    <w:rsid w:val="00A44D14"/>
    <w:rsid w:val="00A56655"/>
    <w:rsid w:val="00A566E7"/>
    <w:rsid w:val="00A56FD7"/>
    <w:rsid w:val="00A64F9E"/>
    <w:rsid w:val="00A65F04"/>
    <w:rsid w:val="00A666CD"/>
    <w:rsid w:val="00A73D14"/>
    <w:rsid w:val="00A84CF5"/>
    <w:rsid w:val="00A8726F"/>
    <w:rsid w:val="00A90DA4"/>
    <w:rsid w:val="00AC347D"/>
    <w:rsid w:val="00AC3F52"/>
    <w:rsid w:val="00AC4391"/>
    <w:rsid w:val="00AC65DE"/>
    <w:rsid w:val="00AD05B5"/>
    <w:rsid w:val="00AD6577"/>
    <w:rsid w:val="00AD6B6B"/>
    <w:rsid w:val="00AE3D0B"/>
    <w:rsid w:val="00AF0750"/>
    <w:rsid w:val="00AF5387"/>
    <w:rsid w:val="00AF5E51"/>
    <w:rsid w:val="00B0322C"/>
    <w:rsid w:val="00B13720"/>
    <w:rsid w:val="00B14C36"/>
    <w:rsid w:val="00B261AC"/>
    <w:rsid w:val="00B3000D"/>
    <w:rsid w:val="00B3048E"/>
    <w:rsid w:val="00B31569"/>
    <w:rsid w:val="00B31733"/>
    <w:rsid w:val="00B31FAD"/>
    <w:rsid w:val="00B329FD"/>
    <w:rsid w:val="00B34BB5"/>
    <w:rsid w:val="00B35481"/>
    <w:rsid w:val="00B47C69"/>
    <w:rsid w:val="00B532BF"/>
    <w:rsid w:val="00B54104"/>
    <w:rsid w:val="00B66772"/>
    <w:rsid w:val="00B705B3"/>
    <w:rsid w:val="00B72625"/>
    <w:rsid w:val="00B83CC5"/>
    <w:rsid w:val="00B91DA3"/>
    <w:rsid w:val="00B91F5E"/>
    <w:rsid w:val="00B97EF1"/>
    <w:rsid w:val="00BA1283"/>
    <w:rsid w:val="00BA5FFF"/>
    <w:rsid w:val="00BB2390"/>
    <w:rsid w:val="00BC1CBC"/>
    <w:rsid w:val="00BC43CE"/>
    <w:rsid w:val="00BC5C50"/>
    <w:rsid w:val="00BC5E77"/>
    <w:rsid w:val="00BD2F8C"/>
    <w:rsid w:val="00BE12CB"/>
    <w:rsid w:val="00BF04F1"/>
    <w:rsid w:val="00BF669A"/>
    <w:rsid w:val="00BF745C"/>
    <w:rsid w:val="00C00D11"/>
    <w:rsid w:val="00C037B6"/>
    <w:rsid w:val="00C0522F"/>
    <w:rsid w:val="00C10878"/>
    <w:rsid w:val="00C120D0"/>
    <w:rsid w:val="00C202BA"/>
    <w:rsid w:val="00C21F3D"/>
    <w:rsid w:val="00C25DA7"/>
    <w:rsid w:val="00C343C9"/>
    <w:rsid w:val="00C34991"/>
    <w:rsid w:val="00C35C2B"/>
    <w:rsid w:val="00C37E0A"/>
    <w:rsid w:val="00C44E00"/>
    <w:rsid w:val="00C52416"/>
    <w:rsid w:val="00C61A87"/>
    <w:rsid w:val="00C765E0"/>
    <w:rsid w:val="00C84D54"/>
    <w:rsid w:val="00C91D4B"/>
    <w:rsid w:val="00C92DAB"/>
    <w:rsid w:val="00C93D88"/>
    <w:rsid w:val="00CA5C52"/>
    <w:rsid w:val="00CB0861"/>
    <w:rsid w:val="00CB5FED"/>
    <w:rsid w:val="00CB6075"/>
    <w:rsid w:val="00CB7117"/>
    <w:rsid w:val="00CB7520"/>
    <w:rsid w:val="00CD1B7B"/>
    <w:rsid w:val="00CD4899"/>
    <w:rsid w:val="00CD5A0B"/>
    <w:rsid w:val="00CF0D97"/>
    <w:rsid w:val="00CF7236"/>
    <w:rsid w:val="00D03414"/>
    <w:rsid w:val="00D035BB"/>
    <w:rsid w:val="00D1198F"/>
    <w:rsid w:val="00D2312D"/>
    <w:rsid w:val="00D24861"/>
    <w:rsid w:val="00D30AF9"/>
    <w:rsid w:val="00D3449F"/>
    <w:rsid w:val="00D42B83"/>
    <w:rsid w:val="00D43DB9"/>
    <w:rsid w:val="00D52818"/>
    <w:rsid w:val="00D535F1"/>
    <w:rsid w:val="00D62630"/>
    <w:rsid w:val="00D63331"/>
    <w:rsid w:val="00D71E5C"/>
    <w:rsid w:val="00D77476"/>
    <w:rsid w:val="00D77791"/>
    <w:rsid w:val="00D85A6C"/>
    <w:rsid w:val="00D928F2"/>
    <w:rsid w:val="00DB1B6D"/>
    <w:rsid w:val="00DB3D02"/>
    <w:rsid w:val="00DB60FF"/>
    <w:rsid w:val="00DC775B"/>
    <w:rsid w:val="00DE4B31"/>
    <w:rsid w:val="00DE4D2E"/>
    <w:rsid w:val="00DF3D54"/>
    <w:rsid w:val="00E077FD"/>
    <w:rsid w:val="00E1292E"/>
    <w:rsid w:val="00E12B9B"/>
    <w:rsid w:val="00E15701"/>
    <w:rsid w:val="00E21B2E"/>
    <w:rsid w:val="00E21CA1"/>
    <w:rsid w:val="00E22F6B"/>
    <w:rsid w:val="00E250A8"/>
    <w:rsid w:val="00E26E59"/>
    <w:rsid w:val="00E32F92"/>
    <w:rsid w:val="00E44936"/>
    <w:rsid w:val="00E5182B"/>
    <w:rsid w:val="00E541E9"/>
    <w:rsid w:val="00E57E30"/>
    <w:rsid w:val="00E67F8C"/>
    <w:rsid w:val="00E735CD"/>
    <w:rsid w:val="00E77281"/>
    <w:rsid w:val="00E816B4"/>
    <w:rsid w:val="00E85F4C"/>
    <w:rsid w:val="00E87555"/>
    <w:rsid w:val="00E921FF"/>
    <w:rsid w:val="00EA1E06"/>
    <w:rsid w:val="00EA5388"/>
    <w:rsid w:val="00EC1613"/>
    <w:rsid w:val="00ED4EDF"/>
    <w:rsid w:val="00EF4F7E"/>
    <w:rsid w:val="00EF717E"/>
    <w:rsid w:val="00F106DA"/>
    <w:rsid w:val="00F11E21"/>
    <w:rsid w:val="00F13C41"/>
    <w:rsid w:val="00F16851"/>
    <w:rsid w:val="00F169AF"/>
    <w:rsid w:val="00F21283"/>
    <w:rsid w:val="00F2257F"/>
    <w:rsid w:val="00F24AEF"/>
    <w:rsid w:val="00F33708"/>
    <w:rsid w:val="00F33C03"/>
    <w:rsid w:val="00F33E92"/>
    <w:rsid w:val="00F34399"/>
    <w:rsid w:val="00F3456F"/>
    <w:rsid w:val="00F34E0B"/>
    <w:rsid w:val="00F35E8D"/>
    <w:rsid w:val="00F36CEA"/>
    <w:rsid w:val="00F434BF"/>
    <w:rsid w:val="00F45130"/>
    <w:rsid w:val="00F50BFC"/>
    <w:rsid w:val="00F62AC1"/>
    <w:rsid w:val="00F65BCC"/>
    <w:rsid w:val="00F710C1"/>
    <w:rsid w:val="00F7748A"/>
    <w:rsid w:val="00F90634"/>
    <w:rsid w:val="00F94D7E"/>
    <w:rsid w:val="00FB71F0"/>
    <w:rsid w:val="00FB7AD2"/>
    <w:rsid w:val="00FC3EAB"/>
    <w:rsid w:val="00FC7ECD"/>
    <w:rsid w:val="00FD1DC4"/>
    <w:rsid w:val="00FD46DA"/>
    <w:rsid w:val="00FE25D9"/>
    <w:rsid w:val="00FE2B33"/>
    <w:rsid w:val="00FE4FE9"/>
    <w:rsid w:val="00FE5076"/>
    <w:rsid w:val="00FE7C5B"/>
    <w:rsid w:val="00FF1760"/>
    <w:rsid w:val="00FF320E"/>
    <w:rsid w:val="00FF3522"/>
    <w:rsid w:val="00FF6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  <w:style w:type="character" w:styleId="Strong">
    <w:name w:val="Strong"/>
    <w:basedOn w:val="DefaultParagraphFont"/>
    <w:uiPriority w:val="22"/>
    <w:qFormat/>
    <w:rsid w:val="00322C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C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C57"/>
    <w:rPr>
      <w:rFonts w:ascii="Tahoma" w:eastAsia="SimSun" w:hAnsi="Tahoma" w:cs="Tahoma"/>
      <w:kern w:val="2"/>
      <w:sz w:val="16"/>
      <w:szCs w:val="16"/>
      <w:lang w:eastAsia="zh-CN"/>
    </w:rPr>
  </w:style>
  <w:style w:type="character" w:customStyle="1" w:styleId="16">
    <w:name w:val="16"/>
    <w:basedOn w:val="DefaultParagraphFont"/>
    <w:rsid w:val="000F19E3"/>
    <w:rPr>
      <w:rFonts w:ascii="Arial" w:hAnsi="Arial" w:cs="Arial" w:hint="default"/>
      <w:color w:val="000000"/>
      <w:sz w:val="22"/>
      <w:szCs w:val="22"/>
    </w:rPr>
  </w:style>
  <w:style w:type="character" w:customStyle="1" w:styleId="17">
    <w:name w:val="17"/>
    <w:basedOn w:val="DefaultParagraphFont"/>
    <w:rsid w:val="000F19E3"/>
    <w:rPr>
      <w:rFonts w:ascii="Times New Roman" w:hAnsi="Times New Roman" w:cs="Times New Roman" w:hint="default"/>
      <w:color w:val="404040"/>
      <w:sz w:val="22"/>
      <w:szCs w:val="22"/>
    </w:rPr>
  </w:style>
  <w:style w:type="character" w:customStyle="1" w:styleId="18">
    <w:name w:val="18"/>
    <w:basedOn w:val="DefaultParagraphFont"/>
    <w:rsid w:val="000F19E3"/>
    <w:rPr>
      <w:rFonts w:ascii="SimSun" w:eastAsia="SimSun" w:hAnsi="SimSun" w:hint="eastAsia"/>
      <w:color w:val="000000"/>
      <w:sz w:val="22"/>
      <w:szCs w:val="22"/>
    </w:rPr>
  </w:style>
  <w:style w:type="character" w:customStyle="1" w:styleId="19">
    <w:name w:val="19"/>
    <w:basedOn w:val="DefaultParagraphFont"/>
    <w:rsid w:val="000F19E3"/>
    <w:rPr>
      <w:rFonts w:ascii="Arial" w:hAnsi="Arial" w:cs="Arial" w:hint="default"/>
      <w:b/>
    </w:rPr>
  </w:style>
  <w:style w:type="character" w:customStyle="1" w:styleId="20">
    <w:name w:val="20"/>
    <w:basedOn w:val="DefaultParagraphFont"/>
    <w:rsid w:val="000F19E3"/>
    <w:rPr>
      <w:rFonts w:ascii="Arial" w:hAnsi="Arial" w:cs="Arial" w:hint="default"/>
      <w:color w:val="000000"/>
      <w:sz w:val="22"/>
      <w:szCs w:val="22"/>
    </w:rPr>
  </w:style>
  <w:style w:type="character" w:customStyle="1" w:styleId="21">
    <w:name w:val="21"/>
    <w:basedOn w:val="DefaultParagraphFont"/>
    <w:rsid w:val="000F19E3"/>
    <w:rPr>
      <w:rFonts w:ascii="SimSun" w:eastAsia="SimSun" w:hAnsi="SimSun" w:hint="eastAsia"/>
      <w:color w:val="404040"/>
      <w:sz w:val="22"/>
      <w:szCs w:val="22"/>
    </w:rPr>
  </w:style>
  <w:style w:type="character" w:customStyle="1" w:styleId="22">
    <w:name w:val="22"/>
    <w:basedOn w:val="DefaultParagraphFont"/>
    <w:rsid w:val="000F19E3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23">
    <w:name w:val="23"/>
    <w:basedOn w:val="DefaultParagraphFont"/>
    <w:rsid w:val="000F19E3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24">
    <w:name w:val="24"/>
    <w:basedOn w:val="DefaultParagraphFont"/>
    <w:rsid w:val="000F19E3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25">
    <w:name w:val="25"/>
    <w:basedOn w:val="DefaultParagraphFont"/>
    <w:rsid w:val="000F19E3"/>
    <w:rPr>
      <w:rFonts w:ascii="Times New Roman" w:hAnsi="Times New Roman" w:cs="Times New Roman" w:hint="default"/>
      <w:color w:val="000000"/>
      <w:sz w:val="22"/>
      <w:szCs w:val="22"/>
      <w:vertAlign w:val="superscript"/>
    </w:rPr>
  </w:style>
  <w:style w:type="character" w:customStyle="1" w:styleId="26">
    <w:name w:val="26"/>
    <w:basedOn w:val="DefaultParagraphFont"/>
    <w:rsid w:val="000F19E3"/>
    <w:rPr>
      <w:rFonts w:ascii="Times New Roman" w:hAnsi="Times New Roman" w:cs="Times New Roman" w:hint="default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7C64"/>
    <w:pPr>
      <w:widowControl w:val="0"/>
      <w:spacing w:after="0" w:line="240" w:lineRule="auto"/>
      <w:jc w:val="both"/>
    </w:pPr>
    <w:rPr>
      <w:rFonts w:ascii="Calibri" w:eastAsia="SimSun" w:hAnsi="Calibri" w:cs="Times New Roman"/>
      <w:kern w:val="2"/>
      <w:sz w:val="21"/>
      <w:szCs w:val="21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17C6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217C64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eastAsia="zh-CN"/>
    </w:rPr>
  </w:style>
  <w:style w:type="paragraph" w:styleId="NormalWeb">
    <w:name w:val="Normal (Web)"/>
    <w:basedOn w:val="Normal"/>
    <w:uiPriority w:val="99"/>
    <w:unhideWhenUsed/>
    <w:qFormat/>
    <w:rsid w:val="00217C64"/>
    <w:pPr>
      <w:spacing w:beforeAutospacing="1" w:afterAutospacing="1"/>
      <w:jc w:val="left"/>
    </w:pPr>
    <w:rPr>
      <w:rFonts w:asciiTheme="minorHAnsi" w:eastAsiaTheme="minorEastAsia" w:hAnsiTheme="minorHAnsi"/>
      <w:kern w:val="0"/>
      <w:sz w:val="24"/>
      <w:szCs w:val="22"/>
    </w:rPr>
  </w:style>
  <w:style w:type="character" w:customStyle="1" w:styleId="15">
    <w:name w:val="15"/>
    <w:basedOn w:val="DefaultParagraphFont"/>
    <w:rsid w:val="00217C64"/>
    <w:rPr>
      <w:rFonts w:ascii="Times New Roman" w:hAnsi="Times New Roman" w:cs="Times New Roman" w:hint="default"/>
      <w:color w:val="000000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17C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SimSun" w:hAnsi="SimSun" w:cs="SimSun"/>
      <w:kern w:val="0"/>
      <w:sz w:val="24"/>
      <w:szCs w:val="22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17C64"/>
    <w:rPr>
      <w:rFonts w:ascii="SimSun" w:eastAsia="SimSun" w:hAnsi="SimSun" w:cs="SimSun"/>
      <w:sz w:val="24"/>
      <w:lang w:eastAsia="zh-CN"/>
    </w:rPr>
  </w:style>
  <w:style w:type="character" w:styleId="Strong">
    <w:name w:val="Strong"/>
    <w:basedOn w:val="DefaultParagraphFont"/>
    <w:uiPriority w:val="22"/>
    <w:qFormat/>
    <w:rsid w:val="00322C5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2C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2C57"/>
    <w:rPr>
      <w:rFonts w:ascii="Tahoma" w:eastAsia="SimSun" w:hAnsi="Tahoma" w:cs="Tahoma"/>
      <w:kern w:val="2"/>
      <w:sz w:val="16"/>
      <w:szCs w:val="16"/>
      <w:lang w:eastAsia="zh-CN"/>
    </w:rPr>
  </w:style>
  <w:style w:type="character" w:customStyle="1" w:styleId="16">
    <w:name w:val="16"/>
    <w:basedOn w:val="DefaultParagraphFont"/>
    <w:rsid w:val="000F19E3"/>
    <w:rPr>
      <w:rFonts w:ascii="Arial" w:hAnsi="Arial" w:cs="Arial" w:hint="default"/>
      <w:color w:val="000000"/>
      <w:sz w:val="22"/>
      <w:szCs w:val="22"/>
    </w:rPr>
  </w:style>
  <w:style w:type="character" w:customStyle="1" w:styleId="17">
    <w:name w:val="17"/>
    <w:basedOn w:val="DefaultParagraphFont"/>
    <w:rsid w:val="000F19E3"/>
    <w:rPr>
      <w:rFonts w:ascii="Times New Roman" w:hAnsi="Times New Roman" w:cs="Times New Roman" w:hint="default"/>
      <w:color w:val="404040"/>
      <w:sz w:val="22"/>
      <w:szCs w:val="22"/>
    </w:rPr>
  </w:style>
  <w:style w:type="character" w:customStyle="1" w:styleId="18">
    <w:name w:val="18"/>
    <w:basedOn w:val="DefaultParagraphFont"/>
    <w:rsid w:val="000F19E3"/>
    <w:rPr>
      <w:rFonts w:ascii="SimSun" w:eastAsia="SimSun" w:hAnsi="SimSun" w:hint="eastAsia"/>
      <w:color w:val="000000"/>
      <w:sz w:val="22"/>
      <w:szCs w:val="22"/>
    </w:rPr>
  </w:style>
  <w:style w:type="character" w:customStyle="1" w:styleId="19">
    <w:name w:val="19"/>
    <w:basedOn w:val="DefaultParagraphFont"/>
    <w:rsid w:val="000F19E3"/>
    <w:rPr>
      <w:rFonts w:ascii="Arial" w:hAnsi="Arial" w:cs="Arial" w:hint="default"/>
      <w:b/>
    </w:rPr>
  </w:style>
  <w:style w:type="character" w:customStyle="1" w:styleId="20">
    <w:name w:val="20"/>
    <w:basedOn w:val="DefaultParagraphFont"/>
    <w:rsid w:val="000F19E3"/>
    <w:rPr>
      <w:rFonts w:ascii="Arial" w:hAnsi="Arial" w:cs="Arial" w:hint="default"/>
      <w:color w:val="000000"/>
      <w:sz w:val="22"/>
      <w:szCs w:val="22"/>
    </w:rPr>
  </w:style>
  <w:style w:type="character" w:customStyle="1" w:styleId="21">
    <w:name w:val="21"/>
    <w:basedOn w:val="DefaultParagraphFont"/>
    <w:rsid w:val="000F19E3"/>
    <w:rPr>
      <w:rFonts w:ascii="SimSun" w:eastAsia="SimSun" w:hAnsi="SimSun" w:hint="eastAsia"/>
      <w:color w:val="404040"/>
      <w:sz w:val="22"/>
      <w:szCs w:val="22"/>
    </w:rPr>
  </w:style>
  <w:style w:type="character" w:customStyle="1" w:styleId="22">
    <w:name w:val="22"/>
    <w:basedOn w:val="DefaultParagraphFont"/>
    <w:rsid w:val="000F19E3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23">
    <w:name w:val="23"/>
    <w:basedOn w:val="DefaultParagraphFont"/>
    <w:rsid w:val="000F19E3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24">
    <w:name w:val="24"/>
    <w:basedOn w:val="DefaultParagraphFont"/>
    <w:rsid w:val="000F19E3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25">
    <w:name w:val="25"/>
    <w:basedOn w:val="DefaultParagraphFont"/>
    <w:rsid w:val="000F19E3"/>
    <w:rPr>
      <w:rFonts w:ascii="Times New Roman" w:hAnsi="Times New Roman" w:cs="Times New Roman" w:hint="default"/>
      <w:color w:val="000000"/>
      <w:sz w:val="22"/>
      <w:szCs w:val="22"/>
      <w:vertAlign w:val="superscript"/>
    </w:rPr>
  </w:style>
  <w:style w:type="character" w:customStyle="1" w:styleId="26">
    <w:name w:val="26"/>
    <w:basedOn w:val="DefaultParagraphFont"/>
    <w:rsid w:val="000F19E3"/>
    <w:rPr>
      <w:rFonts w:ascii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609</Words>
  <Characters>3474</Characters>
  <Application>Microsoft Office Word</Application>
  <DocSecurity>0</DocSecurity>
  <Lines>28</Lines>
  <Paragraphs>8</Paragraphs>
  <ScaleCrop>false</ScaleCrop>
  <Company/>
  <LinksUpToDate>false</LinksUpToDate>
  <CharactersWithSpaces>4075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Mikole Ariane Medina</dc:creator>
  <cp:lastModifiedBy>Mikole Ariane Medina</cp:lastModifiedBy>
  <cp:revision>2</cp:revision>
  <dcterms:created xsi:type="dcterms:W3CDTF">2026-02-28T06:51:00Z</dcterms:created>
  <dcterms:modified xsi:type="dcterms:W3CDTF">2026-02-28T06:51:00Z</dcterms:modified>
</cp:coreProperties>
</file>