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39364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</w:p>
    <w:p w14:paraId="303A4F3A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</w:p>
    <w:p w14:paraId="47FE2D20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</w:p>
    <w:p w14:paraId="7D160248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</w:p>
    <w:p w14:paraId="5062864E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</w:p>
    <w:p w14:paraId="6EC74BCE">
      <w:pPr>
        <w:jc w:val="center"/>
        <w:rPr>
          <w:rFonts w:ascii="Times New Roman" w:hAnsi="Times New Roman" w:cs="Times New Roman"/>
          <w:b/>
          <w:bCs/>
          <w:sz w:val="44"/>
          <w:szCs w:val="48"/>
        </w:rPr>
      </w:pPr>
      <w:r>
        <w:rPr>
          <w:rFonts w:ascii="Times New Roman" w:hAnsi="Times New Roman" w:cs="Times New Roman"/>
          <w:b/>
          <w:bCs/>
          <w:sz w:val="44"/>
          <w:szCs w:val="48"/>
        </w:rPr>
        <w:t>S</w:t>
      </w:r>
      <w:r>
        <w:rPr>
          <w:rFonts w:hint="eastAsia" w:ascii="Times New Roman" w:hAnsi="Times New Roman" w:cs="Times New Roman"/>
          <w:b/>
          <w:bCs/>
          <w:sz w:val="44"/>
          <w:szCs w:val="48"/>
        </w:rPr>
        <w:t>u</w:t>
      </w:r>
      <w:r>
        <w:rPr>
          <w:rFonts w:ascii="Times New Roman" w:hAnsi="Times New Roman" w:cs="Times New Roman"/>
          <w:b/>
          <w:bCs/>
          <w:sz w:val="44"/>
          <w:szCs w:val="48"/>
        </w:rPr>
        <w:t>pplementary Materials</w:t>
      </w:r>
    </w:p>
    <w:p w14:paraId="6EB40622">
      <w:pPr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br w:type="page"/>
      </w:r>
    </w:p>
    <w:p w14:paraId="74B5AEBC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 Information 1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Technical Specifications and Implementation of Thermal Ablation (TA) Modalities</w:t>
      </w:r>
    </w:p>
    <w:p w14:paraId="78FD4CB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Multidisciplinary expert teams developed center-adapted clinical protocols for microwave ablation (MWA) and radiofrequency ablation (RFA), accounting for institution-specific technological preferences. Protocol parameters included: 1) antenna configuration, 2) emission frequency, 3) spatial deployment patterns, 4) ablation duration, and 5) power output optimization. This institutional variation resulted in predominant MWA utilization (n =</w:t>
      </w:r>
      <w:r>
        <w:rPr>
          <w:rFonts w:hint="eastAsia" w:ascii="Times New Roman" w:hAnsi="Times New Roman" w:cs="Times New Roman"/>
          <w:sz w:val="20"/>
          <w:szCs w:val="20"/>
        </w:rPr>
        <w:t xml:space="preserve">780, </w:t>
      </w:r>
      <w:r>
        <w:rPr>
          <w:rFonts w:ascii="Times New Roman" w:hAnsi="Times New Roman" w:cs="Times New Roman"/>
          <w:sz w:val="20"/>
          <w:szCs w:val="20"/>
        </w:rPr>
        <w:t>98.</w:t>
      </w:r>
      <w:r>
        <w:rPr>
          <w:rFonts w:hint="eastAsia"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% of procedures) with RFA exclusively employed at one specialized center (</w:t>
      </w:r>
      <w:r>
        <w:rPr>
          <w:rFonts w:hint="eastAsia" w:ascii="Times New Roman" w:hAnsi="Times New Roman" w:cs="Times New Roman"/>
          <w:sz w:val="20"/>
          <w:szCs w:val="20"/>
        </w:rPr>
        <w:t xml:space="preserve">n=10, </w:t>
      </w:r>
      <w:r>
        <w:rPr>
          <w:rFonts w:ascii="Times New Roman" w:hAnsi="Times New Roman" w:cs="Times New Roman"/>
          <w:sz w:val="20"/>
          <w:szCs w:val="20"/>
        </w:rPr>
        <w:t>1.</w:t>
      </w:r>
      <w:r>
        <w:rPr>
          <w:rFonts w:hint="eastAsia"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% of total procedures).</w:t>
      </w:r>
    </w:p>
    <w:p w14:paraId="28741FC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MWA system consisted of</w:t>
      </w:r>
      <w:r>
        <w:rPr>
          <w:rFonts w:hint="eastAsia" w:ascii="Times New Roman" w:hAnsi="Times New Roman" w:cs="Times New Roman"/>
          <w:sz w:val="20"/>
          <w:szCs w:val="20"/>
        </w:rPr>
        <w:t>:</w:t>
      </w:r>
    </w:p>
    <w:p w14:paraId="09F50545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KY-2000 microwave generator (Kangyou Medical, China) operating at 2450 MHz with adjustable power output (1-100 W)</w:t>
      </w:r>
    </w:p>
    <w:p w14:paraId="17D7DCF8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Sterile single-use coaxial antennas (diameter 1.9 mm) featuring 11 mm or 5 mm active tip configurations</w:t>
      </w:r>
    </w:p>
    <w:p w14:paraId="4F44D2B6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Dedicated monitoring software for real-time parameter tracking</w:t>
      </w:r>
    </w:p>
    <w:p w14:paraId="1E5467E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RFA system employed:</w:t>
      </w:r>
    </w:p>
    <w:p w14:paraId="2724112B">
      <w:pPr>
        <w:widowControl/>
        <w:numPr>
          <w:ilvl w:val="0"/>
          <w:numId w:val="2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Cool-tip™ RF ablation system (Medtronic) utilizing impedance-modulated energy delivery</w:t>
      </w:r>
    </w:p>
    <w:p w14:paraId="2DB37431">
      <w:pPr>
        <w:widowControl/>
        <w:numPr>
          <w:ilvl w:val="0"/>
          <w:numId w:val="2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17-gauge internally cooled electrodes with adjustable active tip lengths (1-3 cm)</w:t>
      </w:r>
    </w:p>
    <w:p w14:paraId="587D3FE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 subdiaphragmatic hepatic lesions, ultrasound-guided hydrodissection was performed between Glisson's capsule and the parietal peritoneum to prevent thermal injury. Contrast-enhanced ultrasound (CEUS) was integrated for poorly visualized metastases to enhance tumor demarcation during ablation planning.</w:t>
      </w:r>
    </w:p>
    <w:p w14:paraId="5809ABC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MWA parameters were standardized as follows:</w:t>
      </w:r>
    </w:p>
    <w:p w14:paraId="060EEA5A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Power delivery: 40-60 W</w:t>
      </w:r>
    </w:p>
    <w:p w14:paraId="05412D01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Duration per application: 3-10 minutes</w:t>
      </w:r>
    </w:p>
    <w:p w14:paraId="30683C95">
      <w:pPr>
        <w:widowControl/>
        <w:numPr>
          <w:ilvl w:val="0"/>
          <w:numId w:val="3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Antenna configuration: Single antenna deployment for lesions &lt;2 cm; dual-antenna simultaneous activation for lesions ≥2 cm</w:t>
      </w:r>
    </w:p>
    <w:p w14:paraId="29E8E2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ablation protocol mandated complete circumferential coverage of tumors with 5-10 mm safety margins. Antenna positioning was dynamically adjusted under image guidance to ensure confluent ablation zones, with iterative treatment cycles performed until complete radiological ablation was confirmed through post-procedural contrast-enhanced imaging.</w:t>
      </w:r>
    </w:p>
    <w:p w14:paraId="6657F87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7E3EC28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1CBB4E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 Information 2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</w:rPr>
        <w:t>Hepatectomy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(HT) </w:t>
      </w:r>
      <w:r>
        <w:rPr>
          <w:rFonts w:ascii="Times New Roman" w:hAnsi="Times New Roman" w:cs="Times New Roman"/>
          <w:b/>
          <w:bCs/>
          <w:sz w:val="20"/>
          <w:szCs w:val="20"/>
        </w:rPr>
        <w:t>Protocol Specifications</w:t>
      </w:r>
      <w:r>
        <w:rPr>
          <w:rFonts w:ascii="Times New Roman" w:hAnsi="Times New Roman" w:cs="Times New Roman"/>
          <w:b/>
          <w:bCs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All patients underwent standardized preoperative assessment comprising laboratory profiling and cross-sectional imaging (CT/MRI) to evaluate surgical feasibility. Surgical strategy was individualized based on multiparametric tumor characteristics including dimensional parameters, spatial configuration, segmental location, and proximity to critical vasculature. </w:t>
      </w:r>
    </w:p>
    <w:p w14:paraId="5DE7AF3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Hepatic resections were performed through either:</w:t>
      </w:r>
    </w:p>
    <w:p w14:paraId="1C38E3E3">
      <w:pPr>
        <w:widowControl/>
        <w:numPr>
          <w:ilvl w:val="0"/>
          <w:numId w:val="4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Open approach (n=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38</w:t>
      </w:r>
      <w:r>
        <w:rPr>
          <w:rFonts w:hint="eastAsia"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7</w:t>
      </w:r>
      <w:r>
        <w:rPr>
          <w:rFonts w:hint="eastAsia" w:ascii="Times New Roman" w:hAnsi="Times New Roman" w:cs="Times New Roman"/>
          <w:sz w:val="20"/>
          <w:szCs w:val="20"/>
        </w:rPr>
        <w:t>1.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sz w:val="20"/>
          <w:szCs w:val="20"/>
        </w:rPr>
        <w:t>%)</w:t>
      </w:r>
    </w:p>
    <w:p w14:paraId="4D8B4352">
      <w:pPr>
        <w:widowControl/>
        <w:numPr>
          <w:ilvl w:val="0"/>
          <w:numId w:val="4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Laparoscopic technique (n=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15</w:t>
      </w:r>
      <w:r>
        <w:rPr>
          <w:rFonts w:hint="eastAsia"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>8.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7</w:t>
      </w:r>
      <w:r>
        <w:rPr>
          <w:rFonts w:ascii="Times New Roman" w:hAnsi="Times New Roman" w:cs="Times New Roman"/>
          <w:sz w:val="20"/>
          <w:szCs w:val="20"/>
        </w:rPr>
        <w:t>%)</w:t>
      </w:r>
    </w:p>
    <w:p w14:paraId="72A2820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operative principle mandated complete macroscopic tumor eradication with histologically confirmed R0 margins (≥1 </w:t>
      </w:r>
      <w:r>
        <w:rPr>
          <w:rFonts w:hint="eastAsia"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m parenchymal clearance where anatomically feasible). Procedure selection followed institutional surgical oncology guidelines prioritizing oncological radicality while preserving functional hepatic reserve.</w:t>
      </w:r>
    </w:p>
    <w:p w14:paraId="5F63D75B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449A58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1. Specification and emulation of a target trial comparing thermal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ablation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vs </w:t>
      </w:r>
      <w:r>
        <w:rPr>
          <w:rFonts w:hint="eastAsia" w:ascii="Times New Roman" w:hAnsi="Times New Roman" w:eastAsia="微软雅黑" w:cs="Times New Roman"/>
          <w:b/>
          <w:bCs/>
          <w:color w:val="000000"/>
          <w:sz w:val="20"/>
          <w:szCs w:val="20"/>
        </w:rPr>
        <w:t>hepatectomy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using observational data.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528"/>
        <w:gridCol w:w="6521"/>
      </w:tblGrid>
      <w:tr w14:paraId="25AC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68604CB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Protocol component </w:t>
            </w:r>
          </w:p>
        </w:tc>
        <w:tc>
          <w:tcPr>
            <w:tcW w:w="5528" w:type="dxa"/>
          </w:tcPr>
          <w:p w14:paraId="516AE68F">
            <w:pPr>
              <w:pStyle w:val="37"/>
              <w:rPr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b/>
                <w:bCs/>
                <w:color w:val="auto"/>
                <w:kern w:val="2"/>
                <w:sz w:val="20"/>
                <w:szCs w:val="20"/>
              </w:rPr>
              <w:t xml:space="preserve">Target pragmatic trial specification </w:t>
            </w:r>
          </w:p>
          <w:p w14:paraId="0D1BE8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(a hypothetical RCT that is ideal for answering this question) </w:t>
            </w:r>
          </w:p>
        </w:tc>
        <w:tc>
          <w:tcPr>
            <w:tcW w:w="6521" w:type="dxa"/>
          </w:tcPr>
          <w:p w14:paraId="029FF8A2">
            <w:pPr>
              <w:pStyle w:val="37"/>
              <w:rPr>
                <w:b/>
                <w:bCs/>
                <w:color w:val="auto"/>
                <w:kern w:val="2"/>
                <w:sz w:val="20"/>
                <w:szCs w:val="20"/>
              </w:rPr>
            </w:pPr>
            <w:r>
              <w:rPr>
                <w:b/>
                <w:bCs/>
                <w:color w:val="auto"/>
                <w:kern w:val="2"/>
                <w:sz w:val="20"/>
                <w:szCs w:val="20"/>
              </w:rPr>
              <w:t xml:space="preserve">Target trial emulation </w:t>
            </w:r>
          </w:p>
          <w:p w14:paraId="4E120DE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(using observational data to best approximate the RCT comparison) </w:t>
            </w:r>
          </w:p>
        </w:tc>
      </w:tr>
      <w:tr w14:paraId="0539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FFEA44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Eligibility criteria </w:t>
            </w:r>
          </w:p>
        </w:tc>
        <w:tc>
          <w:tcPr>
            <w:tcW w:w="5528" w:type="dxa"/>
          </w:tcPr>
          <w:p w14:paraId="46F133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With a specialist multidisciplinary team (sMDT) diagnosis of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solitary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olorectal liver metastas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that were considered to be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resectable or ablatable with curative intent;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solitary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lesions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maximum diameter of metastasis &lt;5cm; R0 resection for the primary tumor;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extrahepatic metastasis at initial diagnosis on CT or MRI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Eastern Cooperative Oncology Group performance status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&lt;4; no other malignant tumors within the past 5 years;</w:t>
            </w:r>
          </w:p>
        </w:tc>
        <w:tc>
          <w:tcPr>
            <w:tcW w:w="6521" w:type="dxa"/>
          </w:tcPr>
          <w:p w14:paraId="2E546AF1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the target trial; </w:t>
            </w:r>
          </w:p>
          <w:p w14:paraId="77975F8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4DD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918FC2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Treatment strategies </w:t>
            </w:r>
          </w:p>
        </w:tc>
        <w:tc>
          <w:tcPr>
            <w:tcW w:w="5528" w:type="dxa"/>
          </w:tcPr>
          <w:p w14:paraId="4E8F847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Individualized treatment strategies were determined by a local multidisciplinary team, which included surgeons, oncologists, gastroenterologists, radiologists, and radiotherapists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which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diagnosis of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solitary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olorectal liver metastas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that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were considered to be resectable or ablatable with curative intent.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These strategies were tailored to each patient's specific condition and conformed to the preferences expressed by the patient. We categorized treatment strategies into two groups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: thermal ablation versus hepatectomy;</w:t>
            </w:r>
          </w:p>
        </w:tc>
        <w:tc>
          <w:tcPr>
            <w:tcW w:w="6521" w:type="dxa"/>
          </w:tcPr>
          <w:p w14:paraId="72D9D0EC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for the target trial; </w:t>
            </w:r>
          </w:p>
          <w:p w14:paraId="2930EC1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C63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3E1EF6C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Treatment assignment </w:t>
            </w:r>
          </w:p>
        </w:tc>
        <w:tc>
          <w:tcPr>
            <w:tcW w:w="5528" w:type="dxa"/>
          </w:tcPr>
          <w:p w14:paraId="44EE600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Individual-level randomization without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blinding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6521" w:type="dxa"/>
          </w:tcPr>
          <w:p w14:paraId="07E5B7D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 classify patients according to the surgery strategy that they received at time zero and emulate </w:t>
            </w:r>
          </w:p>
          <w:p w14:paraId="12C9A246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randomization by propensity score matching;</w:t>
            </w:r>
          </w:p>
        </w:tc>
      </w:tr>
      <w:tr w14:paraId="4D44D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E025F5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Outcomes </w:t>
            </w:r>
          </w:p>
        </w:tc>
        <w:tc>
          <w:tcPr>
            <w:tcW w:w="5528" w:type="dxa"/>
          </w:tcPr>
          <w:p w14:paraId="1C0FD1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Primary: Progression-free survival (PFS);</w:t>
            </w:r>
          </w:p>
          <w:p w14:paraId="25DBD69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Secondary: Overall survival (OS),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ost-treatment complications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hospital stay and hospitalization cost</w:t>
            </w:r>
          </w:p>
        </w:tc>
        <w:tc>
          <w:tcPr>
            <w:tcW w:w="6521" w:type="dxa"/>
          </w:tcPr>
          <w:p w14:paraId="7DC39A11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for the target trial; </w:t>
            </w:r>
          </w:p>
          <w:p w14:paraId="53FA881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996B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63F309B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Follow-up </w:t>
            </w:r>
          </w:p>
        </w:tc>
        <w:tc>
          <w:tcPr>
            <w:tcW w:w="5528" w:type="dxa"/>
          </w:tcPr>
          <w:p w14:paraId="7DC79FB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From treatment assignment until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4831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first occurrence of progressive disease, recurrent disease, death from any cause or administrative end of follow-up; </w:t>
            </w:r>
          </w:p>
        </w:tc>
        <w:tc>
          <w:tcPr>
            <w:tcW w:w="6521" w:type="dxa"/>
          </w:tcPr>
          <w:p w14:paraId="628F0229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for the target trial; </w:t>
            </w:r>
          </w:p>
          <w:p w14:paraId="2352C686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595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670A805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Casual contrasts </w:t>
            </w:r>
          </w:p>
        </w:tc>
        <w:tc>
          <w:tcPr>
            <w:tcW w:w="5528" w:type="dxa"/>
          </w:tcPr>
          <w:p w14:paraId="18EB5C95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Intention-to-treat effect; </w:t>
            </w:r>
          </w:p>
          <w:p w14:paraId="184B901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25E321D7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Intention-to-treat analysis; </w:t>
            </w:r>
          </w:p>
        </w:tc>
      </w:tr>
      <w:tr w14:paraId="3FC6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33FFA2A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Statistical analysis </w:t>
            </w:r>
          </w:p>
        </w:tc>
        <w:tc>
          <w:tcPr>
            <w:tcW w:w="5528" w:type="dxa"/>
          </w:tcPr>
          <w:p w14:paraId="7110BD75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Intention-to-treat analysis; </w:t>
            </w:r>
          </w:p>
          <w:p w14:paraId="2A411FF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Subgroup analysis;</w:t>
            </w:r>
          </w:p>
          <w:p w14:paraId="1F737D3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Sensitivity analysis; </w:t>
            </w:r>
          </w:p>
        </w:tc>
        <w:tc>
          <w:tcPr>
            <w:tcW w:w="6521" w:type="dxa"/>
          </w:tcPr>
          <w:p w14:paraId="2C97ECA5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Observational analog of the Intention-to-treat analysis;</w:t>
            </w:r>
          </w:p>
          <w:p w14:paraId="5B5E2FDC">
            <w:pPr>
              <w:pStyle w:val="3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ox regression analysis was conducted in the propensity score matching dataset, which was calculated based on the following covariates: </w:t>
            </w:r>
            <w:r>
              <w:rPr>
                <w:rFonts w:eastAsia="微软雅黑"/>
                <w:sz w:val="20"/>
                <w:szCs w:val="20"/>
              </w:rPr>
              <w:t>Sex</w:t>
            </w:r>
            <w:r>
              <w:rPr>
                <w:rFonts w:hint="eastAsia" w:eastAsia="微软雅黑"/>
                <w:sz w:val="20"/>
                <w:szCs w:val="20"/>
              </w:rPr>
              <w:t>,</w:t>
            </w:r>
            <w:r>
              <w:rPr>
                <w:rFonts w:hint="eastAsia"/>
                <w:sz w:val="20"/>
                <w:szCs w:val="20"/>
              </w:rPr>
              <w:t xml:space="preserve"> BMI, Plasma CEA, Plasma CA199, ECOG performance status, Comorbidity, </w:t>
            </w:r>
            <w:r>
              <w:rPr>
                <w:rFonts w:eastAsia="微软雅黑"/>
                <w:sz w:val="20"/>
                <w:szCs w:val="20"/>
              </w:rPr>
              <w:t>Location of primary tumor,</w:t>
            </w:r>
            <w:r>
              <w:rPr>
                <w:rFonts w:hint="eastAsia" w:eastAsia="微软雅黑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WHO classification</w:t>
            </w:r>
            <w:r>
              <w:rPr>
                <w:rFonts w:hint="eastAsia"/>
                <w:sz w:val="20"/>
                <w:szCs w:val="20"/>
              </w:rPr>
              <w:t>, Tumor category, Lymphatic spread, Diameter of SCLM, Types of SCLM, Sequence of SCLM, and Disease-free interval;</w:t>
            </w:r>
          </w:p>
          <w:p w14:paraId="475EF46C">
            <w:pPr>
              <w:pStyle w:val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Subgroup analysis was conducted by age, sex, ECOG status, Comorbidity, WHO classification, Tumor category, Lymphatic spread, Sequence of SCRLM, Disease-free interval, and CRS; </w:t>
            </w:r>
          </w:p>
          <w:p w14:paraId="72339420">
            <w:pPr>
              <w:pStyle w:val="3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ensitivity analysis was conducted by multivariable COX regression,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excluding </w:t>
            </w:r>
            <w:r>
              <w:rPr>
                <w:rFonts w:hint="eastAsia"/>
                <w:sz w:val="20"/>
                <w:szCs w:val="20"/>
              </w:rPr>
              <w:t>156</w:t>
            </w:r>
            <w:r>
              <w:rPr>
                <w:sz w:val="20"/>
                <w:szCs w:val="20"/>
              </w:rPr>
              <w:t xml:space="preserve"> patients with missing covariates</w:t>
            </w:r>
            <w:r>
              <w:rPr>
                <w:rFonts w:hint="eastAsia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propensity score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 CPSM.</w:t>
            </w:r>
          </w:p>
        </w:tc>
      </w:tr>
    </w:tbl>
    <w:p w14:paraId="642B6A0F">
      <w:pPr>
        <w:rPr>
          <w:rFonts w:hint="eastAsia"/>
        </w:rPr>
      </w:pPr>
    </w:p>
    <w:p w14:paraId="320F081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82A076B">
      <w:pPr>
        <w:widowControl/>
        <w:jc w:val="left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2.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he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First-line Systemic Therapy in our study is a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cc</w:t>
      </w:r>
      <w:r>
        <w:rPr>
          <w:rFonts w:ascii="Times New Roman" w:hAnsi="Times New Roman" w:cs="Times New Roman"/>
          <w:b/>
          <w:bCs/>
          <w:sz w:val="20"/>
          <w:szCs w:val="20"/>
        </w:rPr>
        <w:t>ording to 2022 NCCN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guidelines of Rectal/Colon Cancer.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7"/>
        <w:gridCol w:w="2191"/>
        <w:gridCol w:w="2297"/>
        <w:gridCol w:w="2248"/>
        <w:gridCol w:w="1913"/>
      </w:tblGrid>
      <w:tr w14:paraId="07B7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  <w:vMerge w:val="restart"/>
          </w:tcPr>
          <w:p w14:paraId="5280AC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 First-line Systemic Therapy</w:t>
            </w:r>
          </w:p>
        </w:tc>
        <w:tc>
          <w:tcPr>
            <w:tcW w:w="4488" w:type="dxa"/>
            <w:gridSpan w:val="2"/>
            <w:vAlign w:val="center"/>
          </w:tcPr>
          <w:p w14:paraId="1ADB109D">
            <w:pPr>
              <w:jc w:val="center"/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enrolled patients</w:t>
            </w:r>
          </w:p>
        </w:tc>
        <w:tc>
          <w:tcPr>
            <w:tcW w:w="4161" w:type="dxa"/>
            <w:gridSpan w:val="2"/>
            <w:vAlign w:val="center"/>
          </w:tcPr>
          <w:p w14:paraId="18B23565">
            <w:pPr>
              <w:jc w:val="center"/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Propensity score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atched patients</w:t>
            </w:r>
          </w:p>
        </w:tc>
      </w:tr>
      <w:tr w14:paraId="4ABE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5217" w:type="dxa"/>
            <w:vMerge w:val="continue"/>
          </w:tcPr>
          <w:p w14:paraId="4EEC0F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1" w:type="dxa"/>
            <w:vAlign w:val="center"/>
          </w:tcPr>
          <w:p w14:paraId="470B24E6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Thermal Ablation</w:t>
            </w:r>
          </w:p>
          <w:p w14:paraId="5125FC37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(N=611)</w:t>
            </w:r>
          </w:p>
        </w:tc>
        <w:tc>
          <w:tcPr>
            <w:tcW w:w="2297" w:type="dxa"/>
            <w:vAlign w:val="center"/>
          </w:tcPr>
          <w:p w14:paraId="4749D2A7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Hepatectomy</w:t>
            </w:r>
          </w:p>
          <w:p w14:paraId="3949A94A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=482)</w:t>
            </w:r>
          </w:p>
        </w:tc>
        <w:tc>
          <w:tcPr>
            <w:tcW w:w="2248" w:type="dxa"/>
            <w:vAlign w:val="center"/>
          </w:tcPr>
          <w:p w14:paraId="64055714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Thermal Ablation</w:t>
            </w:r>
          </w:p>
          <w:p w14:paraId="745A68C6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(N=343)</w:t>
            </w:r>
          </w:p>
        </w:tc>
        <w:tc>
          <w:tcPr>
            <w:tcW w:w="1913" w:type="dxa"/>
            <w:vAlign w:val="center"/>
          </w:tcPr>
          <w:p w14:paraId="632C6698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Hepatectomy</w:t>
            </w:r>
          </w:p>
          <w:p w14:paraId="4B725D81">
            <w:pPr>
              <w:jc w:val="center"/>
              <w:rPr>
                <w:rFonts w:ascii="Times New Roman" w:hAnsi="Times New Roman" w:eastAsia="微软雅黑" w:cs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=388)</w:t>
            </w:r>
          </w:p>
        </w:tc>
      </w:tr>
      <w:tr w14:paraId="1A49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7" w:type="dxa"/>
          </w:tcPr>
          <w:p w14:paraId="1469D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mFOLFOX</w:t>
            </w:r>
          </w:p>
        </w:tc>
        <w:tc>
          <w:tcPr>
            <w:tcW w:w="2191" w:type="dxa"/>
          </w:tcPr>
          <w:p w14:paraId="3C4D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72B45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7 (</w:t>
            </w:r>
            <w:r>
              <w:rPr>
                <w:rFonts w:hint="eastAsia"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4DC0F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162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7E4D13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181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46.6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33F6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23DACD6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CAPEOX</w:t>
            </w:r>
          </w:p>
        </w:tc>
        <w:tc>
          <w:tcPr>
            <w:tcW w:w="2191" w:type="dxa"/>
          </w:tcPr>
          <w:p w14:paraId="1C06B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4 (</w:t>
            </w:r>
            <w:r>
              <w:rPr>
                <w:rFonts w:hint="eastAsia"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49011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173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.9%)</w:t>
            </w:r>
          </w:p>
        </w:tc>
        <w:tc>
          <w:tcPr>
            <w:tcW w:w="2248" w:type="dxa"/>
          </w:tcPr>
          <w:p w14:paraId="55FF4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3E7D5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153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39.4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5925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0B2718F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FOLFIRI</w:t>
            </w:r>
          </w:p>
        </w:tc>
        <w:tc>
          <w:tcPr>
            <w:tcW w:w="2191" w:type="dxa"/>
          </w:tcPr>
          <w:p w14:paraId="75F5C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.0%)</w:t>
            </w:r>
          </w:p>
        </w:tc>
        <w:tc>
          <w:tcPr>
            <w:tcW w:w="2297" w:type="dxa"/>
          </w:tcPr>
          <w:p w14:paraId="71EC52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(</w:t>
            </w:r>
            <w:bookmarkStart w:id="0" w:name="OLE_LINK1"/>
            <w:bookmarkStart w:id="1" w:name="OLE_LINK2"/>
            <w:r>
              <w:rPr>
                <w:rFonts w:hint="eastAsia"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%</w:t>
            </w:r>
            <w:bookmarkEnd w:id="0"/>
            <w:bookmarkEnd w:id="1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8" w:type="dxa"/>
          </w:tcPr>
          <w:p w14:paraId="53A40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55A3E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7.7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0BDA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217" w:type="dxa"/>
          </w:tcPr>
          <w:p w14:paraId="1360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Infusional 5-FU/LV or Capecitabine</w:t>
            </w:r>
          </w:p>
        </w:tc>
        <w:tc>
          <w:tcPr>
            <w:tcW w:w="2191" w:type="dxa"/>
          </w:tcPr>
          <w:p w14:paraId="6E2DF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7445E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7C32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2B71C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21E3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484A596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FOLFOXIRI</w:t>
            </w:r>
          </w:p>
        </w:tc>
        <w:tc>
          <w:tcPr>
            <w:tcW w:w="2191" w:type="dxa"/>
          </w:tcPr>
          <w:p w14:paraId="67543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249E30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0604D8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02E0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791A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1D4C5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FOLFOX + bevacizumab/ cetuximab</w:t>
            </w:r>
          </w:p>
        </w:tc>
        <w:tc>
          <w:tcPr>
            <w:tcW w:w="2191" w:type="dxa"/>
          </w:tcPr>
          <w:p w14:paraId="13F91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56B8F6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</w:t>
            </w:r>
            <w:r>
              <w:rPr>
                <w:rFonts w:hint="eastAsia"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3098B8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6DFC2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</w:t>
            </w:r>
            <w:r>
              <w:rPr>
                <w:rFonts w:hint="eastAsia"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1496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7" w:type="dxa"/>
          </w:tcPr>
          <w:p w14:paraId="14745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CAPEOX + bevacizumab</w:t>
            </w:r>
          </w:p>
        </w:tc>
        <w:tc>
          <w:tcPr>
            <w:tcW w:w="2191" w:type="dxa"/>
          </w:tcPr>
          <w:p w14:paraId="4E680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 (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070D8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(</w:t>
            </w:r>
            <w:r>
              <w:rPr>
                <w:rFonts w:hint="eastAsia"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59223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7.6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11DC5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2.6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66FE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5A832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FOLFIRI + bevacizumab/ cetuximab</w:t>
            </w:r>
          </w:p>
        </w:tc>
        <w:tc>
          <w:tcPr>
            <w:tcW w:w="2191" w:type="dxa"/>
          </w:tcPr>
          <w:p w14:paraId="7432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</w:t>
            </w: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448BEA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</w:t>
            </w:r>
            <w:r>
              <w:rPr>
                <w:rFonts w:hint="eastAsia"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48" w:type="dxa"/>
          </w:tcPr>
          <w:p w14:paraId="692B41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3B85D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hint="eastAsia"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14:paraId="6DA8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53A8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FOLFOXIRI + bevacizumab</w:t>
            </w:r>
          </w:p>
        </w:tc>
        <w:tc>
          <w:tcPr>
            <w:tcW w:w="2191" w:type="dxa"/>
          </w:tcPr>
          <w:p w14:paraId="74D1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7" w:type="dxa"/>
          </w:tcPr>
          <w:p w14:paraId="12B885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</w:p>
        </w:tc>
        <w:tc>
          <w:tcPr>
            <w:tcW w:w="2248" w:type="dxa"/>
          </w:tcPr>
          <w:p w14:paraId="0F4CB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13" w:type="dxa"/>
          </w:tcPr>
          <w:p w14:paraId="0D52C6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</w:p>
        </w:tc>
      </w:tr>
      <w:tr w14:paraId="1EA4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7" w:type="dxa"/>
          </w:tcPr>
          <w:p w14:paraId="622783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91" w:type="dxa"/>
          </w:tcPr>
          <w:p w14:paraId="20E76E1D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611</w:t>
            </w:r>
          </w:p>
        </w:tc>
        <w:tc>
          <w:tcPr>
            <w:tcW w:w="2297" w:type="dxa"/>
          </w:tcPr>
          <w:p w14:paraId="69781484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482</w:t>
            </w:r>
          </w:p>
        </w:tc>
        <w:tc>
          <w:tcPr>
            <w:tcW w:w="2248" w:type="dxa"/>
          </w:tcPr>
          <w:p w14:paraId="33B7833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343</w:t>
            </w:r>
          </w:p>
        </w:tc>
        <w:tc>
          <w:tcPr>
            <w:tcW w:w="1913" w:type="dxa"/>
          </w:tcPr>
          <w:p w14:paraId="2231FFBF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388</w:t>
            </w:r>
          </w:p>
        </w:tc>
      </w:tr>
    </w:tbl>
    <w:p w14:paraId="3621B9B7">
      <w:pPr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5-FU = fluorouracil; CAPEOX = oxaliplatin and capecitabine;</w:t>
      </w:r>
      <w:r>
        <w:rPr>
          <w:rFonts w:hint="eastAsia"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FOLFIRI = irinotecan, leucovorin, and 5-FU</w:t>
      </w:r>
      <w:r>
        <w:rPr>
          <w:rFonts w:hint="eastAsia" w:ascii="Times New Roman" w:hAnsi="Times New Roman" w:cs="Times New Roman"/>
          <w:bCs/>
          <w:szCs w:val="28"/>
        </w:rPr>
        <w:t>;</w:t>
      </w:r>
      <w:r>
        <w:rPr>
          <w:rFonts w:ascii="Times New Roman" w:hAnsi="Times New Roman" w:cs="Times New Roman"/>
          <w:bCs/>
          <w:szCs w:val="28"/>
        </w:rPr>
        <w:t xml:space="preserve"> FOLFOXIRI = irinotecan, oxaliplatin, leucovorin, and fluorouracil; LV = leucovorin; mFOLFOX/FOLFOX = oxaliplatin, leucovorin, and 5-FU. </w:t>
      </w:r>
    </w:p>
    <w:p w14:paraId="3222ABC1">
      <w:pPr>
        <w:widowControl/>
        <w:jc w:val="left"/>
      </w:pPr>
    </w:p>
    <w:p w14:paraId="4A1977CC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4E921C5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Comparative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c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  <w:lang w:bidi="ar"/>
        </w:rPr>
        <w:t>ancer-specific survival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of thermal ablation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versus hepatectomy in patients with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SCLM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1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8"/>
        <w:gridCol w:w="2095"/>
        <w:gridCol w:w="2807"/>
        <w:gridCol w:w="2807"/>
        <w:gridCol w:w="2807"/>
      </w:tblGrid>
      <w:tr w14:paraId="636D7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9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64D4BC9D"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utcomes</w:t>
            </w:r>
          </w:p>
        </w:tc>
        <w:tc>
          <w:tcPr>
            <w:tcW w:w="172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center"/>
          </w:tcPr>
          <w:p w14:paraId="6D0507DA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enrolled patients</w:t>
            </w:r>
          </w:p>
        </w:tc>
        <w:tc>
          <w:tcPr>
            <w:tcW w:w="198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</w:tcPr>
          <w:p w14:paraId="754F3984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Propensity score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atched patients</w:t>
            </w:r>
          </w:p>
        </w:tc>
      </w:tr>
      <w:tr w14:paraId="4EC30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90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bottom"/>
          </w:tcPr>
          <w:p w14:paraId="28068551"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center"/>
          </w:tcPr>
          <w:p w14:paraId="66A90432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Thermal Ablation</w:t>
            </w:r>
          </w:p>
        </w:tc>
        <w:tc>
          <w:tcPr>
            <w:tcW w:w="9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center"/>
          </w:tcPr>
          <w:p w14:paraId="717A95E6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Hepatectomy</w:t>
            </w:r>
          </w:p>
        </w:tc>
        <w:tc>
          <w:tcPr>
            <w:tcW w:w="9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1E409F1D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Thermal Ablation</w:t>
            </w:r>
          </w:p>
        </w:tc>
        <w:tc>
          <w:tcPr>
            <w:tcW w:w="9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214AF028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Hepatectomy</w:t>
            </w:r>
          </w:p>
        </w:tc>
      </w:tr>
      <w:tr w14:paraId="068AD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0610FC13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Cancer-specific survival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</w:tcPr>
          <w:p w14:paraId="12BEE20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</w:tcPr>
          <w:p w14:paraId="7011AB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6A98271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6802D84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F6B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EB85A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Median survival time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(95%CI)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D20E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(6.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4F526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14:paraId="2620E4D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8.10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(5.8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-NA)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14:paraId="5350FD6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8.10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-NA)</w:t>
            </w:r>
          </w:p>
        </w:tc>
      </w:tr>
      <w:tr w14:paraId="58215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B316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Events/Patients, n/N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9120F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6A3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14:paraId="053D864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14:paraId="10F5606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14:paraId="38FA8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81F3484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Hazard ratio (95%CI, P value)</w:t>
            </w:r>
          </w:p>
        </w:tc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77A2FB7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1BD7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FD9007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DA31C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8F52E9D">
      <w:pPr>
        <w:ind w:left="141" w:leftChars="67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 xml:space="preserve">Note: PSM, </w:t>
      </w:r>
      <w:r>
        <w:rPr>
          <w:rFonts w:hint="eastAsia"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ropensity score matching; CI, confidence interval. Propensity score</w:t>
      </w:r>
      <w:r>
        <w:rPr>
          <w:rFonts w:hint="eastAsia" w:ascii="Times New Roman" w:hAnsi="Times New Roman" w:cs="Times New Roman"/>
          <w:sz w:val="20"/>
          <w:szCs w:val="20"/>
        </w:rPr>
        <w:t>s were</w:t>
      </w:r>
      <w:r>
        <w:rPr>
          <w:rFonts w:ascii="Times New Roman" w:hAnsi="Times New Roman" w:cs="Times New Roman"/>
          <w:sz w:val="20"/>
          <w:szCs w:val="20"/>
        </w:rPr>
        <w:t xml:space="preserve"> calculated according to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following </w:t>
      </w:r>
      <w:r>
        <w:rPr>
          <w:rFonts w:hint="eastAsia" w:ascii="Times New Roman" w:hAnsi="Times New Roman" w:cs="Times New Roman"/>
          <w:sz w:val="20"/>
          <w:szCs w:val="20"/>
        </w:rPr>
        <w:t>covariate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hint="eastAsia" w:ascii="Times New Roman" w:hAnsi="Times New Roman" w:cs="Times New Roman"/>
          <w:sz w:val="20"/>
          <w:szCs w:val="20"/>
        </w:rPr>
        <w:t xml:space="preserve">, including: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Sex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BMI, Plasma CEA, Plasma CA199, ECOG performance status, Comorbidity,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Location of primary tumor,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WHO classification</w:t>
      </w:r>
      <w:r>
        <w:rPr>
          <w:rFonts w:hint="eastAsia" w:ascii="Times New Roman" w:hAnsi="Times New Roman" w:cs="Times New Roman"/>
          <w:sz w:val="20"/>
          <w:szCs w:val="20"/>
        </w:rPr>
        <w:t>, Tumor category, Lymphatic spread, Diameter of SCLM, Types of SCLM, Sequence of SCLM, and Disease-free interval.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203D9B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 w14:paraId="00EFA22A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220CED4B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 The Impact of Anatomical Factors: A Sensitivity Analysis of Thermal Ablation versus Hepatectomy for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CLM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15"/>
        <w:tblW w:w="533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627"/>
        <w:gridCol w:w="2671"/>
        <w:gridCol w:w="2235"/>
        <w:gridCol w:w="1630"/>
        <w:gridCol w:w="2671"/>
        <w:gridCol w:w="2372"/>
      </w:tblGrid>
      <w:tr w14:paraId="27C29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34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6B1E9DE">
            <w:pPr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2160" w:type="pct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auto" w:fill="F1F1F1" w:themeFill="background1" w:themeFillShade="F2"/>
          </w:tcPr>
          <w:p w14:paraId="2D96946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Progression-free survival</w:t>
            </w:r>
          </w:p>
        </w:tc>
        <w:tc>
          <w:tcPr>
            <w:tcW w:w="2205" w:type="pct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 w14:paraId="397A73F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Overall survival</w:t>
            </w:r>
          </w:p>
        </w:tc>
      </w:tr>
      <w:tr w14:paraId="18360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34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C5D420B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noWrap/>
            <w:vAlign w:val="bottom"/>
          </w:tcPr>
          <w:p w14:paraId="07E01B7A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Events/Patients</w:t>
            </w:r>
          </w:p>
        </w:tc>
        <w:tc>
          <w:tcPr>
            <w:tcW w:w="8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4B649A15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Median survival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(95%CI)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noWrap/>
            <w:vAlign w:val="bottom"/>
          </w:tcPr>
          <w:p w14:paraId="18AF2B07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 (95%CI,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value)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5C989FA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Events/Patients</w:t>
            </w:r>
          </w:p>
        </w:tc>
        <w:tc>
          <w:tcPr>
            <w:tcW w:w="8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3B4AA0D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Median survival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(95%CI)</w:t>
            </w:r>
          </w:p>
        </w:tc>
        <w:tc>
          <w:tcPr>
            <w:tcW w:w="7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8DD8DE1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 (95%CI,</w:t>
            </w: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value)</w:t>
            </w:r>
          </w:p>
        </w:tc>
      </w:tr>
      <w:tr w14:paraId="4C15B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8D8D8" w:themeFill="background1" w:themeFillShade="D9"/>
          </w:tcPr>
          <w:p w14:paraId="0AFA1670">
            <w:pPr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Sensitivity analysis 1: by multivariable Cox regression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D8D8D8" w:themeFill="background1" w:themeFillShade="D9"/>
                <w:lang w:bidi="ar"/>
              </w:rPr>
              <w:t>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D8D8D8" w:themeFill="background1" w:themeFillShade="D9"/>
                <w:lang w:bidi="ar"/>
              </w:rPr>
              <w:t>1334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D8D8D8" w:themeFill="background1" w:themeFillShade="D9"/>
                <w:lang w:bidi="ar"/>
              </w:rPr>
              <w:t>)</w:t>
            </w:r>
          </w:p>
        </w:tc>
      </w:tr>
      <w:tr w14:paraId="23086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74CD5">
            <w:pPr>
              <w:widowControl/>
              <w:textAlignment w:val="bottom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Thermal Ablation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BC4426A">
            <w:pPr>
              <w:widowControl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</w:tcPr>
          <w:p w14:paraId="08A34BFD">
            <w:pPr>
              <w:widowControl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2.17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5712188B">
            <w:pPr>
              <w:widowControl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AC589"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1795A0BE"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7.55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9.13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494F4"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</w:tr>
      <w:tr w14:paraId="00762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660C58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Hepatectomy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  <w:noWrap/>
          </w:tcPr>
          <w:p w14:paraId="56870E2B">
            <w:pPr>
              <w:widowControl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</w:tcPr>
          <w:p w14:paraId="7AE37EB8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1.81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61-2.13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37AE9311">
            <w:pPr>
              <w:widowControl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1.07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79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-1.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09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, 0.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36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8BBA60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</w:tcPr>
          <w:p w14:paraId="7BEB0B86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7.34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6.43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ECAF75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86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66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, 0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</w:tr>
      <w:tr w14:paraId="1991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5A128121">
            <w:pPr>
              <w:widowControl/>
              <w:jc w:val="left"/>
              <w:textAlignment w:val="top"/>
              <w:rPr>
                <w:rFonts w:hint="eastAsia" w:ascii="Times New Roman" w:hAnsi="Times New Roman" w:eastAsia="MYingHei_18030_C-Medium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Sensitivity analysis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: by multivariable Cox regression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after PSM</w:t>
            </w: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shd w:val="clear" w:color="auto" w:fill="auto"/>
                <w:lang w:bidi="ar"/>
              </w:rPr>
              <w:t xml:space="preserve"> (N=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874</w:t>
            </w:r>
            <w:r>
              <w:rPr>
                <w:rFonts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shd w:val="clear" w:color="auto" w:fill="auto"/>
                <w:lang w:bidi="ar"/>
              </w:rPr>
              <w:t>)</w:t>
            </w:r>
          </w:p>
        </w:tc>
      </w:tr>
      <w:tr w14:paraId="0C981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440ACC">
            <w:pPr>
              <w:widowControl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Thermal Ablation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B934D1E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  <w:vAlign w:val="top"/>
          </w:tcPr>
          <w:p w14:paraId="2A138B85">
            <w:pPr>
              <w:widowControl/>
              <w:jc w:val="left"/>
              <w:textAlignment w:val="top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68E7C082">
            <w:pPr>
              <w:widowControl/>
              <w:jc w:val="left"/>
              <w:textAlignment w:val="top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6EB998AD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vAlign w:val="top"/>
          </w:tcPr>
          <w:p w14:paraId="622C249E">
            <w:pPr>
              <w:widowControl/>
              <w:jc w:val="left"/>
              <w:textAlignment w:val="bottom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9.05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62EB8DDD">
            <w:pPr>
              <w:widowControl/>
              <w:jc w:val="left"/>
              <w:textAlignment w:val="bottom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</w:tr>
      <w:tr w14:paraId="619D9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5799AE6">
            <w:pPr>
              <w:widowControl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Hepatectomy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7A234AB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8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67446A58">
            <w:pPr>
              <w:widowControl/>
              <w:jc w:val="left"/>
              <w:textAlignment w:val="top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2.58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7F9091C1">
            <w:pPr>
              <w:widowControl/>
              <w:jc w:val="left"/>
              <w:textAlignment w:val="top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, 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3861B92C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8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0CBD95B">
            <w:pPr>
              <w:widowControl/>
              <w:jc w:val="left"/>
              <w:textAlignment w:val="center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F3BAC1">
            <w:pPr>
              <w:widowControl/>
              <w:jc w:val="left"/>
              <w:textAlignment w:val="center"/>
              <w:rPr>
                <w:rFonts w:hint="eastAsia"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, 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</w:tr>
    </w:tbl>
    <w:p w14:paraId="0CCBED3B">
      <w:pPr>
        <w:widowControl/>
        <w:ind w:right="-76" w:rightChars="-36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ote: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HR, hazard ratio; CI, confidence interval.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All HRs for sensitivity analyses 1</w:t>
      </w:r>
      <w:r>
        <w:rPr>
          <w:rFonts w:hint="eastAsia" w:ascii="Times New Roman" w:hAnsi="Times New Roman" w:cs="Times New Roman"/>
          <w:sz w:val="20"/>
          <w:szCs w:val="20"/>
        </w:rPr>
        <w:t>-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 xml:space="preserve">were calculated by adjusting the following covariates, including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Sex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BMI, Plasma CEA, Plasma CA199, ECOG performance status, Comorbidity,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Location of primary tumor,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WHO classification</w:t>
      </w:r>
      <w:r>
        <w:rPr>
          <w:rFonts w:hint="eastAsia" w:ascii="Times New Roman" w:hAnsi="Times New Roman" w:cs="Times New Roman"/>
          <w:sz w:val="20"/>
          <w:szCs w:val="20"/>
        </w:rPr>
        <w:t>, Tumor category, Lymphatic spread, Diameter of SCLM, Types of SCLM, Sequence of SCLM,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Disease-free interval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eastAsia="微软雅黑" w:cs="Times New Roman"/>
          <w:color w:val="auto"/>
          <w:sz w:val="20"/>
          <w:szCs w:val="20"/>
        </w:rPr>
        <w:t>Location of SCLM</w:t>
      </w:r>
      <w:r>
        <w:rPr>
          <w:rFonts w:hint="eastAsia" w:ascii="Times New Roman" w:hAnsi="Times New Roman" w:eastAsia="微软雅黑" w:cs="Times New Roman"/>
          <w:color w:val="auto"/>
          <w:sz w:val="20"/>
          <w:szCs w:val="20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2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2"/>
          <w:sz w:val="21"/>
          <w:szCs w:val="21"/>
        </w:rPr>
        <w:t>djacency to major vessels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2"/>
          <w:sz w:val="21"/>
          <w:szCs w:val="21"/>
          <w:lang w:val="en-US" w:eastAsia="zh-CN"/>
        </w:rPr>
        <w:t>.</w:t>
      </w:r>
    </w:p>
    <w:p w14:paraId="74F5703C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 w14:paraId="10D1CF7F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7035A82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Comparative effectiveness of thermal ablation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versus hepatectomy in patients with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SCLM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after PSM.</w:t>
      </w:r>
    </w:p>
    <w:tbl>
      <w:tblPr>
        <w:tblStyle w:val="15"/>
        <w:tblW w:w="373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0"/>
        <w:gridCol w:w="3201"/>
        <w:gridCol w:w="3206"/>
      </w:tblGrid>
      <w:tr w14:paraId="3AA4B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71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55812CDF"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utcomes</w:t>
            </w:r>
          </w:p>
        </w:tc>
        <w:tc>
          <w:tcPr>
            <w:tcW w:w="30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</w:tcPr>
          <w:p w14:paraId="2E602CD5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Propensity score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atched patients</w:t>
            </w:r>
          </w:p>
        </w:tc>
      </w:tr>
      <w:tr w14:paraId="0937C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71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bottom"/>
          </w:tcPr>
          <w:p w14:paraId="5BACA900"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66C490AF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Thermal Ablation</w:t>
            </w:r>
          </w:p>
        </w:tc>
        <w:tc>
          <w:tcPr>
            <w:tcW w:w="15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1DEF87C2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20"/>
                <w:szCs w:val="20"/>
              </w:rPr>
              <w:t>Hepatectomy</w:t>
            </w:r>
          </w:p>
        </w:tc>
      </w:tr>
      <w:tr w14:paraId="11F3B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3CAB7A13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Local Tumor Progression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-free survival</w:t>
            </w:r>
          </w:p>
        </w:tc>
        <w:tc>
          <w:tcPr>
            <w:tcW w:w="15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06C597C4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655BE882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03C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53252"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3-yeas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survival rates (95%CI)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14:paraId="0D884BE9">
            <w:pPr>
              <w:widowControl/>
              <w:jc w:val="left"/>
              <w:textAlignment w:val="top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87.3% (83.7%-91.1%)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40D4D6AD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98.0% (96.5%-99.5%)</w:t>
            </w:r>
          </w:p>
        </w:tc>
      </w:tr>
      <w:tr w14:paraId="1FBDD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F7A9D"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Events/Patients, n/N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14:paraId="0C8CB492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0CF7F6A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14:paraId="01706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9BC93F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Hazard ratio (95%CI, P value)</w:t>
            </w:r>
          </w:p>
        </w:tc>
        <w:tc>
          <w:tcPr>
            <w:tcW w:w="1513" w:type="pct"/>
            <w:tcBorders>
              <w:top w:val="nil"/>
              <w:left w:val="nil"/>
              <w:right w:val="nil"/>
            </w:tcBorders>
            <w:vAlign w:val="bottom"/>
          </w:tcPr>
          <w:p w14:paraId="55296E8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14" w:type="pct"/>
            <w:tcBorders>
              <w:top w:val="nil"/>
              <w:left w:val="nil"/>
              <w:right w:val="nil"/>
            </w:tcBorders>
            <w:vAlign w:val="center"/>
          </w:tcPr>
          <w:p w14:paraId="3182C94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14:paraId="312A2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507EFE7E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New Intrahepatic Metastasis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-free survival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B17E5B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ED44A0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500C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9F072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3-yeas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survival rates (95%CI)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BD68D5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56.9% (52.0%-62.4%)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6BA0B3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53.0% (48.2%-58.4%)</w:t>
            </w:r>
          </w:p>
        </w:tc>
      </w:tr>
      <w:tr w14:paraId="0F576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73149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Events/Patients, n/N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14:paraId="282F9CE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14:paraId="45A2BDC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14:paraId="4D04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6E501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Hazard ratio (95%CI, P value)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8D3F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93F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14:paraId="6068F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48069810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D1D1D1" w:themeColor="background2" w:themeShade="E6"/>
                <w:kern w:val="0"/>
                <w:sz w:val="20"/>
                <w:szCs w:val="20"/>
                <w:highlight w:val="lightGray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Extrahepatic Recurrence-free survival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6F99689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D1D1D1" w:themeColor="background2" w:themeShade="E6"/>
                <w:sz w:val="20"/>
                <w:szCs w:val="20"/>
                <w:highlight w:val="lightGray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5E11217F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color w:val="D1D1D1" w:themeColor="background2" w:themeShade="E6"/>
                <w:sz w:val="20"/>
                <w:szCs w:val="20"/>
                <w:highlight w:val="lightGray"/>
              </w:rPr>
            </w:pPr>
          </w:p>
        </w:tc>
      </w:tr>
      <w:tr w14:paraId="395C2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5DEAF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3-yeas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survival rates (95%CI)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AAFA6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74.0% (69.4%-78.9%)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3AAD47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73.6% (69.0%-78.5%)</w:t>
            </w:r>
          </w:p>
        </w:tc>
      </w:tr>
      <w:tr w14:paraId="350F4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5928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Events/Patients, n/N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1AE62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201AC4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14:paraId="284F9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D9E8AAC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Hazard ratio (95%CI, P value)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9BC045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3E3BCB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C297FC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4E71266">
      <w:pPr>
        <w:widowControl/>
        <w:jc w:val="left"/>
      </w:pPr>
      <w:r>
        <w:br w:type="textWrapping"/>
      </w:r>
    </w:p>
    <w:p w14:paraId="47DF75CD">
      <w:r>
        <w:br w:type="page"/>
      </w:r>
    </w:p>
    <w:p w14:paraId="73E15AFB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A2F45"/>
          <w:spacing w:val="0"/>
          <w:sz w:val="20"/>
          <w:szCs w:val="20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PingFangSC-Regular" w:cs="Times New Roman"/>
          <w:b/>
          <w:bCs/>
          <w:i w:val="0"/>
          <w:iCs w:val="0"/>
          <w:caps w:val="0"/>
          <w:color w:val="2A2F45"/>
          <w:spacing w:val="0"/>
          <w:sz w:val="20"/>
          <w:szCs w:val="20"/>
          <w:shd w:val="clear" w:fill="FFFFFF"/>
        </w:rPr>
        <w:t>he first-line salvage treatments administered after progression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A2F45"/>
          <w:spacing w:val="0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of thermal ablation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versus hepatectomy in patients with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SCLM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after PSM.</w:t>
      </w:r>
    </w:p>
    <w:tbl>
      <w:tblPr>
        <w:tblStyle w:val="15"/>
        <w:tblW w:w="3781" w:type="pct"/>
        <w:tblInd w:w="1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8"/>
        <w:gridCol w:w="1964"/>
        <w:gridCol w:w="1726"/>
      </w:tblGrid>
      <w:tr w14:paraId="5781F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noWrap/>
            <w:vAlign w:val="bottom"/>
          </w:tcPr>
          <w:p w14:paraId="38D391F7">
            <w:pP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T</w:t>
            </w:r>
            <w:r>
              <w:rPr>
                <w:rFonts w:hint="default" w:ascii="Times New Roman" w:hAnsi="Times New Roman" w:eastAsia="PingFangSC-Regular" w:cs="Times New Roman"/>
                <w:b/>
                <w:bCs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he first-line salvage treatments administered after progression</w:t>
            </w:r>
          </w:p>
        </w:tc>
        <w:tc>
          <w:tcPr>
            <w:tcW w:w="9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311D9074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18"/>
                <w:szCs w:val="18"/>
              </w:rPr>
              <w:t>Thermal Ablation</w:t>
            </w:r>
          </w:p>
        </w:tc>
        <w:tc>
          <w:tcPr>
            <w:tcW w:w="8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8E8E8" w:themeFill="background2"/>
            <w:vAlign w:val="center"/>
          </w:tcPr>
          <w:p w14:paraId="704FE10E">
            <w:pPr>
              <w:jc w:val="left"/>
              <w:rPr>
                <w:rFonts w:ascii="Times New Roman" w:hAnsi="Times New Roman" w:eastAsia="微软雅黑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sz w:val="18"/>
                <w:szCs w:val="18"/>
              </w:rPr>
              <w:t>Hepatectomy</w:t>
            </w:r>
          </w:p>
        </w:tc>
      </w:tr>
      <w:tr w14:paraId="489B6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6B5746A6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Only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Local Tumor Progression</w:t>
            </w:r>
          </w:p>
        </w:tc>
        <w:tc>
          <w:tcPr>
            <w:tcW w:w="9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66BF30A9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569B467E">
            <w:pPr>
              <w:widowControl/>
              <w:jc w:val="left"/>
              <w:textAlignment w:val="top"/>
              <w:rPr>
                <w:rFonts w:ascii="Times New Roman" w:hAnsi="Times New Roman" w:eastAsia="MYingHei_18030_C-Medium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5224D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E2603"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89EEC68">
            <w:pPr>
              <w:widowControl/>
              <w:jc w:val="left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77C3496E">
            <w:pPr>
              <w:widowControl/>
              <w:jc w:val="left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40A47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85C38"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7339A80">
            <w:pPr>
              <w:widowControl/>
              <w:jc w:val="left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3E6655F6">
            <w:pPr>
              <w:widowControl/>
              <w:jc w:val="left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0B81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5F351E57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Only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New Intrahepatic Metastasis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44F1507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476A116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2AEE7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C41B8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D2A279">
            <w:pPr>
              <w:widowControl/>
              <w:jc w:val="left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598CD1">
            <w:pPr>
              <w:widowControl/>
              <w:jc w:val="left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</w:t>
            </w:r>
          </w:p>
        </w:tc>
      </w:tr>
      <w:tr w14:paraId="36B6E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B8D08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C9F4A87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081C4FBF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</w:t>
            </w:r>
          </w:p>
        </w:tc>
      </w:tr>
      <w:tr w14:paraId="48946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8FAD2">
            <w:pPr>
              <w:widowControl/>
              <w:ind w:firstLine="200" w:firstLineChars="1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7EA3D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B4A5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14:paraId="6126B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E0F0D">
            <w:pPr>
              <w:widowControl/>
              <w:ind w:firstLine="200" w:firstLineChars="1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77F74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9163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14:paraId="4FDD4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226562D7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D1D1D1" w:themeColor="background2" w:themeShade="E6"/>
                <w:kern w:val="0"/>
                <w:sz w:val="18"/>
                <w:szCs w:val="18"/>
                <w:highlight w:val="lightGray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Only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Extrahepatic Recurrence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3B87E51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D1D1D1" w:themeColor="background2" w:themeShade="E6"/>
                <w:sz w:val="18"/>
                <w:szCs w:val="18"/>
                <w:highlight w:val="lightGray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top"/>
          </w:tcPr>
          <w:p w14:paraId="41C5AF15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color w:val="D1D1D1" w:themeColor="background2" w:themeShade="E6"/>
                <w:sz w:val="18"/>
                <w:szCs w:val="18"/>
                <w:highlight w:val="lightGray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7D35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3DA33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92DE44">
            <w:pPr>
              <w:widowControl/>
              <w:jc w:val="left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CD0BC9">
            <w:pPr>
              <w:widowControl/>
              <w:jc w:val="left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79F20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D7CBB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F46ED5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0096D0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</w:tr>
      <w:tr w14:paraId="4F3A8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8A420">
            <w:pPr>
              <w:widowControl/>
              <w:ind w:firstLine="200" w:firstLineChars="1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7E6C1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327C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</w:t>
            </w:r>
          </w:p>
        </w:tc>
      </w:tr>
      <w:tr w14:paraId="7E040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6D788">
            <w:pPr>
              <w:widowControl/>
              <w:ind w:firstLine="200" w:firstLineChars="1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070EC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F5034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</w:tr>
      <w:tr w14:paraId="08F5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C396C">
            <w:pPr>
              <w:widowControl/>
              <w:ind w:firstLine="200" w:firstLineChars="1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olor w:val="2A2F45"/>
                <w:spacing w:val="0"/>
                <w:sz w:val="20"/>
                <w:szCs w:val="20"/>
                <w:shd w:val="clear" w:fill="FFFFFF"/>
              </w:rPr>
              <w:t>C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hemoradiation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/R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31BE3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9473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1F32C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0BD8649D"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Local Tumor Progression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New Intrahepatic Metastasis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6EED417C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F28B499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09B78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B0401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A8292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B05F8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14:paraId="525A4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61180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0BB07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9E31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14:paraId="220B4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A882F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876A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05E5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40959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16B5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A3EFD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FC8F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1240A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533609BA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Local Tumor Progression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Extrahepatic Recurrence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1345C97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E600C08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3795A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AAC1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C37B2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CC73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597A1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6B690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ECC0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B8FCF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20B6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A2D1D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86D0A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DD44C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4884D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F087D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02BA2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3AF2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1D12C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1C955000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New Intrahepatic Metastasis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Extrahepatic Recurrence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6DE33D0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87760EA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7249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51EAF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[ablation]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2F20E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B6B2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</w:tr>
      <w:tr w14:paraId="4D462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245C0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epeat local therapy [resection]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C47C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429A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</w:p>
        </w:tc>
      </w:tr>
      <w:tr w14:paraId="28BC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627D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8DC31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17CF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</w:p>
        </w:tc>
      </w:tr>
      <w:tr w14:paraId="2B811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4783C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3247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31B6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</w:tr>
      <w:tr w14:paraId="7A794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</w:tcPr>
          <w:p w14:paraId="4F013C4E">
            <w:pPr>
              <w:widowControl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Local Tumor Progression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New Intrahepatic Metastasis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Extrahepatic Recurrence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A3AE568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B3476CB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14:paraId="05121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49984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ystemic therapy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8B817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C594F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4C85A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396A7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olor w:val="2A2F45"/>
                <w:spacing w:val="0"/>
                <w:sz w:val="20"/>
                <w:szCs w:val="20"/>
                <w:shd w:val="clear" w:fill="FFFFFF"/>
              </w:rPr>
              <w:t>C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hemoradiation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/R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adiation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38701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D539D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1A3B5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477EBAB">
            <w:pPr>
              <w:widowControl/>
              <w:ind w:firstLine="200" w:firstLineChars="10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  <w:lang w:val="en-US" w:eastAsia="zh-CN"/>
              </w:rPr>
              <w:t>B</w:t>
            </w:r>
            <w:r>
              <w:rPr>
                <w:rFonts w:hint="default" w:ascii="Times New Roman" w:hAnsi="Times New Roman" w:eastAsia="PingFangSC-Regular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est supportive care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8214FFA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3289C7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EB6B20A">
      <w:pPr>
        <w:widowControl/>
        <w:jc w:val="left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 w14:paraId="0F950885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07BB0583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Outcomes between the ≤3 cm and &gt;3 cm subgroups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 patients with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SCLM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after PSM.</w:t>
      </w:r>
    </w:p>
    <w:tbl>
      <w:tblPr>
        <w:tblStyle w:val="16"/>
        <w:tblW w:w="0" w:type="auto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4142"/>
        <w:gridCol w:w="890"/>
        <w:gridCol w:w="997"/>
        <w:gridCol w:w="3222"/>
        <w:gridCol w:w="1177"/>
        <w:gridCol w:w="1233"/>
      </w:tblGrid>
      <w:tr w14:paraId="05D6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 w14:paraId="2033EAEB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  <w:t>utcomes</w:t>
            </w:r>
          </w:p>
        </w:tc>
        <w:tc>
          <w:tcPr>
            <w:tcW w:w="5032" w:type="dxa"/>
            <w:gridSpan w:val="2"/>
          </w:tcPr>
          <w:p w14:paraId="5AA360B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Tumor Size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of SCLM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≤3 cm</w:t>
            </w:r>
          </w:p>
        </w:tc>
        <w:tc>
          <w:tcPr>
            <w:tcW w:w="997" w:type="dxa"/>
          </w:tcPr>
          <w:p w14:paraId="49772071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P value</w:t>
            </w:r>
          </w:p>
        </w:tc>
        <w:tc>
          <w:tcPr>
            <w:tcW w:w="4399" w:type="dxa"/>
            <w:gridSpan w:val="2"/>
          </w:tcPr>
          <w:p w14:paraId="76369E8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Tumor Size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of SCLM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&gt;3 cm</w:t>
            </w:r>
          </w:p>
        </w:tc>
        <w:tc>
          <w:tcPr>
            <w:tcW w:w="1233" w:type="dxa"/>
          </w:tcPr>
          <w:p w14:paraId="5FF15466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P value</w:t>
            </w:r>
          </w:p>
        </w:tc>
      </w:tr>
      <w:tr w14:paraId="2C9C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 w14:paraId="2D02E9C1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PFS </w:t>
            </w:r>
          </w:p>
        </w:tc>
        <w:tc>
          <w:tcPr>
            <w:tcW w:w="4142" w:type="dxa"/>
            <w:shd w:val="clear" w:color="auto" w:fill="auto"/>
            <w:vAlign w:val="top"/>
          </w:tcPr>
          <w:p w14:paraId="1E5A359D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3-yeas survival rates (95%CI)</w:t>
            </w:r>
          </w:p>
        </w:tc>
        <w:tc>
          <w:tcPr>
            <w:tcW w:w="890" w:type="dxa"/>
            <w:shd w:val="clear" w:color="auto" w:fill="auto"/>
            <w:vAlign w:val="top"/>
          </w:tcPr>
          <w:p w14:paraId="47955FC9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 (%)</w:t>
            </w:r>
          </w:p>
        </w:tc>
        <w:tc>
          <w:tcPr>
            <w:tcW w:w="997" w:type="dxa"/>
            <w:vMerge w:val="restart"/>
          </w:tcPr>
          <w:p w14:paraId="2640436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0.662</w:t>
            </w:r>
          </w:p>
        </w:tc>
        <w:tc>
          <w:tcPr>
            <w:tcW w:w="3222" w:type="dxa"/>
            <w:vAlign w:val="top"/>
          </w:tcPr>
          <w:p w14:paraId="5B9983C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3-yeas survival rates (95%CI)</w:t>
            </w:r>
          </w:p>
        </w:tc>
        <w:tc>
          <w:tcPr>
            <w:tcW w:w="1177" w:type="dxa"/>
            <w:vAlign w:val="top"/>
          </w:tcPr>
          <w:p w14:paraId="6FA7743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 (%)</w:t>
            </w:r>
          </w:p>
        </w:tc>
        <w:tc>
          <w:tcPr>
            <w:tcW w:w="1233" w:type="dxa"/>
            <w:vMerge w:val="restart"/>
          </w:tcPr>
          <w:p w14:paraId="62E40DF0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0.455</w:t>
            </w:r>
          </w:p>
        </w:tc>
      </w:tr>
      <w:tr w14:paraId="34B0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Align w:val="top"/>
          </w:tcPr>
          <w:p w14:paraId="42B65012">
            <w:pPr>
              <w:widowControl/>
              <w:ind w:firstLine="200" w:firstLineChars="100"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TA</w:t>
            </w:r>
          </w:p>
        </w:tc>
        <w:tc>
          <w:tcPr>
            <w:tcW w:w="4142" w:type="dxa"/>
          </w:tcPr>
          <w:p w14:paraId="76CC38B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41.1% (35.8%-47.2%)</w:t>
            </w:r>
          </w:p>
        </w:tc>
        <w:tc>
          <w:tcPr>
            <w:tcW w:w="890" w:type="dxa"/>
          </w:tcPr>
          <w:p w14:paraId="07010022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185/343</w:t>
            </w:r>
          </w:p>
        </w:tc>
        <w:tc>
          <w:tcPr>
            <w:tcW w:w="997" w:type="dxa"/>
            <w:vMerge w:val="continue"/>
          </w:tcPr>
          <w:p w14:paraId="1BF7AD2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6A14C5E4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32.7% (24.0%-44.7%)</w:t>
            </w:r>
          </w:p>
        </w:tc>
        <w:tc>
          <w:tcPr>
            <w:tcW w:w="1177" w:type="dxa"/>
            <w:vAlign w:val="top"/>
          </w:tcPr>
          <w:p w14:paraId="553DD130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58/94</w:t>
            </w:r>
          </w:p>
        </w:tc>
        <w:tc>
          <w:tcPr>
            <w:tcW w:w="1233" w:type="dxa"/>
            <w:vMerge w:val="continue"/>
          </w:tcPr>
          <w:p w14:paraId="7E29620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31E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Align w:val="top"/>
          </w:tcPr>
          <w:p w14:paraId="39ED7C52">
            <w:pPr>
              <w:widowControl/>
              <w:ind w:firstLine="200" w:firstLineChars="100"/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HT</w:t>
            </w:r>
          </w:p>
        </w:tc>
        <w:tc>
          <w:tcPr>
            <w:tcW w:w="4142" w:type="dxa"/>
          </w:tcPr>
          <w:p w14:paraId="3156033B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42.8% (37.4%-49.0%)</w:t>
            </w:r>
          </w:p>
        </w:tc>
        <w:tc>
          <w:tcPr>
            <w:tcW w:w="890" w:type="dxa"/>
          </w:tcPr>
          <w:p w14:paraId="0B439B8D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176/323</w:t>
            </w:r>
          </w:p>
        </w:tc>
        <w:tc>
          <w:tcPr>
            <w:tcW w:w="997" w:type="dxa"/>
            <w:vMerge w:val="continue"/>
          </w:tcPr>
          <w:p w14:paraId="39DF782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006AAE65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37.7% (29.4%-48.5%)</w:t>
            </w:r>
          </w:p>
        </w:tc>
        <w:tc>
          <w:tcPr>
            <w:tcW w:w="1177" w:type="dxa"/>
            <w:vAlign w:val="top"/>
          </w:tcPr>
          <w:p w14:paraId="4A804921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70/114</w:t>
            </w:r>
          </w:p>
        </w:tc>
        <w:tc>
          <w:tcPr>
            <w:tcW w:w="1233" w:type="dxa"/>
            <w:vMerge w:val="continue"/>
          </w:tcPr>
          <w:p w14:paraId="474FBFB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F9A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</w:tcPr>
          <w:p w14:paraId="40A4575A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OS</w:t>
            </w:r>
          </w:p>
        </w:tc>
        <w:tc>
          <w:tcPr>
            <w:tcW w:w="4142" w:type="dxa"/>
            <w:vAlign w:val="top"/>
          </w:tcPr>
          <w:p w14:paraId="6667F7C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3-yeas survival rates (95%CI)</w:t>
            </w:r>
          </w:p>
        </w:tc>
        <w:tc>
          <w:tcPr>
            <w:tcW w:w="890" w:type="dxa"/>
            <w:vAlign w:val="top"/>
          </w:tcPr>
          <w:p w14:paraId="26448CE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 (%)</w:t>
            </w:r>
          </w:p>
        </w:tc>
        <w:tc>
          <w:tcPr>
            <w:tcW w:w="997" w:type="dxa"/>
            <w:vMerge w:val="restart"/>
          </w:tcPr>
          <w:p w14:paraId="7D1D05A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0.846</w:t>
            </w:r>
          </w:p>
        </w:tc>
        <w:tc>
          <w:tcPr>
            <w:tcW w:w="3222" w:type="dxa"/>
            <w:vAlign w:val="top"/>
          </w:tcPr>
          <w:p w14:paraId="68D2BB8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3-yeas survival rates (95%CI)</w:t>
            </w:r>
          </w:p>
        </w:tc>
        <w:tc>
          <w:tcPr>
            <w:tcW w:w="1177" w:type="dxa"/>
            <w:vAlign w:val="top"/>
          </w:tcPr>
          <w:p w14:paraId="6523BC8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 (%)</w:t>
            </w:r>
          </w:p>
        </w:tc>
        <w:tc>
          <w:tcPr>
            <w:tcW w:w="1233" w:type="dxa"/>
            <w:vMerge w:val="restart"/>
          </w:tcPr>
          <w:p w14:paraId="6D3F05A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0.039</w:t>
            </w:r>
          </w:p>
        </w:tc>
      </w:tr>
      <w:tr w14:paraId="7B86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Align w:val="top"/>
          </w:tcPr>
          <w:p w14:paraId="6D431687">
            <w:pPr>
              <w:widowControl/>
              <w:ind w:firstLine="200" w:firstLineChars="100"/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TA</w:t>
            </w:r>
          </w:p>
        </w:tc>
        <w:tc>
          <w:tcPr>
            <w:tcW w:w="4142" w:type="dxa"/>
          </w:tcPr>
          <w:p w14:paraId="464D48B0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82.1% (77.7%-86.7%)</w:t>
            </w:r>
          </w:p>
        </w:tc>
        <w:tc>
          <w:tcPr>
            <w:tcW w:w="890" w:type="dxa"/>
            <w:vAlign w:val="top"/>
          </w:tcPr>
          <w:p w14:paraId="0C784322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66/343</w:t>
            </w:r>
          </w:p>
        </w:tc>
        <w:tc>
          <w:tcPr>
            <w:tcW w:w="997" w:type="dxa"/>
            <w:vMerge w:val="continue"/>
          </w:tcPr>
          <w:p w14:paraId="53612426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222" w:type="dxa"/>
          </w:tcPr>
          <w:p w14:paraId="54B14949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72.6% (63.5%-83.1%)</w:t>
            </w:r>
          </w:p>
        </w:tc>
        <w:tc>
          <w:tcPr>
            <w:tcW w:w="1177" w:type="dxa"/>
          </w:tcPr>
          <w:p w14:paraId="1B395A41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33/94</w:t>
            </w:r>
          </w:p>
        </w:tc>
        <w:tc>
          <w:tcPr>
            <w:tcW w:w="1233" w:type="dxa"/>
            <w:vMerge w:val="continue"/>
          </w:tcPr>
          <w:p w14:paraId="067561F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6CD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vAlign w:val="top"/>
          </w:tcPr>
          <w:p w14:paraId="0DAAFD0C">
            <w:pPr>
              <w:widowControl/>
              <w:ind w:firstLine="200" w:firstLineChars="100"/>
              <w:jc w:val="left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HT</w:t>
            </w:r>
          </w:p>
        </w:tc>
        <w:tc>
          <w:tcPr>
            <w:tcW w:w="4142" w:type="dxa"/>
          </w:tcPr>
          <w:p w14:paraId="7012B5F3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82.6% (78.4%-87.1%)</w:t>
            </w:r>
          </w:p>
        </w:tc>
        <w:tc>
          <w:tcPr>
            <w:tcW w:w="890" w:type="dxa"/>
            <w:vAlign w:val="top"/>
          </w:tcPr>
          <w:p w14:paraId="71D621FC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73/323</w:t>
            </w:r>
          </w:p>
        </w:tc>
        <w:tc>
          <w:tcPr>
            <w:tcW w:w="997" w:type="dxa"/>
            <w:vMerge w:val="continue"/>
          </w:tcPr>
          <w:p w14:paraId="6ECC2FD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222" w:type="dxa"/>
          </w:tcPr>
          <w:p w14:paraId="3F94C249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83.1% (76.4%-90.4%)</w:t>
            </w:r>
          </w:p>
        </w:tc>
        <w:tc>
          <w:tcPr>
            <w:tcW w:w="1177" w:type="dxa"/>
          </w:tcPr>
          <w:p w14:paraId="553D1A8F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26/114</w:t>
            </w:r>
          </w:p>
        </w:tc>
        <w:tc>
          <w:tcPr>
            <w:tcW w:w="1233" w:type="dxa"/>
            <w:vMerge w:val="continue"/>
          </w:tcPr>
          <w:p w14:paraId="3C3B774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028D8645">
      <w:pPr>
        <w:widowControl/>
        <w:jc w:val="left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03C7027A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7F6F7C7F">
      <w:pPr>
        <w:rPr>
          <w:rFonts w:hint="eastAsia" w:ascii="Times New Roman" w:hAnsi="Times New Roman" w:cs="Times New Roman"/>
          <w:b/>
          <w:bCs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2331FB7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Measuring the </w:t>
      </w:r>
      <w:r>
        <w:rPr>
          <w:rFonts w:hint="eastAsia" w:ascii="Times New Roman" w:hAnsi="Times New Roman"/>
          <w:b/>
          <w:bCs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inimum ablation margin (</w:t>
      </w:r>
      <w:r>
        <w:rPr>
          <w:rFonts w:hint="eastAsia" w:ascii="Times New Roman" w:hAnsi="Times New Roman"/>
          <w:b/>
          <w:bCs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 xml:space="preserve">AM) requires determining the shortest distance from the tumor boundary to the ablation zone. </w:t>
      </w:r>
    </w:p>
    <w:p w14:paraId="69ED0CE0">
      <w:pPr>
        <w:widowControl/>
        <w:jc w:val="left"/>
        <w:rPr>
          <w:rFonts w:hint="eastAsia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4441825" cy="3335020"/>
            <wp:effectExtent l="0" t="0" r="8255" b="2540"/>
            <wp:docPr id="900920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2087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CE34">
      <w:pPr>
        <w:rPr>
          <w:rFonts w:ascii="Times New Roman" w:hAnsi="Times New Roman"/>
          <w:sz w:val="20"/>
          <w:szCs w:val="20"/>
        </w:rPr>
      </w:pPr>
      <w:bookmarkStart w:id="2" w:name="_GoBack"/>
      <w:r>
        <w:rPr>
          <w:rFonts w:ascii="Times New Roman" w:hAnsi="Times New Roman"/>
          <w:sz w:val="20"/>
          <w:szCs w:val="20"/>
        </w:rPr>
        <w:t xml:space="preserve">When tumors are situated beneath the liver capsule (within 5 mm of the edge) or near blood vessels (within 3 mm of any vessel ≥3 mm in diameter), areas where the ablation zone interfaces with the liver capsule or adjacent vessels are excluded from the </w:t>
      </w:r>
      <w:r>
        <w:rPr>
          <w:rFonts w:hint="eastAsia"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AM calculation. Illustrated here, according to the Couinaud segmentation system, are two tumors: one in segment IV (yellow) abutting the portal vein (blue) and another in segments V/VIII (yellow) touching the liver capsule (black). The ablation zone (green) is seen extending to the vessel wall and beneath the capsule. In these instances, the </w:t>
      </w:r>
      <w:r>
        <w:rPr>
          <w:rFonts w:hint="eastAsia"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AM (red) is measured away from the liver capsule and blood vessels, ensuring accurate assessment of ablation efficacy.</w:t>
      </w:r>
    </w:p>
    <w:bookmarkEnd w:id="2"/>
    <w:p w14:paraId="4C19619A">
      <w:pPr>
        <w:rPr>
          <w:rFonts w:ascii="Times New Roman" w:hAnsi="Times New Roman"/>
          <w:sz w:val="20"/>
          <w:szCs w:val="20"/>
        </w:rPr>
      </w:pPr>
    </w:p>
    <w:p w14:paraId="5BF0D94E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br w:type="page"/>
      </w:r>
    </w:p>
    <w:p w14:paraId="2436E2F9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Supplemental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2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eastAsia="微软雅黑"/>
          <w:b/>
          <w:bCs/>
          <w:color w:val="000000"/>
          <w:sz w:val="20"/>
          <w:szCs w:val="20"/>
        </w:rPr>
        <w:t xml:space="preserve">Kaplan–Meier curves of 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  <w:lang w:val="en-US" w:eastAsia="zh-CN"/>
        </w:rPr>
        <w:t>l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</w:rPr>
        <w:t>ocal tumor progression-free survival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  <w:lang w:val="en-US" w:eastAsia="zh-CN"/>
        </w:rPr>
        <w:t>, n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</w:rPr>
        <w:t>ew intrahepatic metastasis-free survival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  <w:lang w:val="en-US" w:eastAsia="zh-CN"/>
        </w:rPr>
        <w:t>, and e</w:t>
      </w:r>
      <w:r>
        <w:rPr>
          <w:rFonts w:hint="eastAsia" w:ascii="Times New Roman" w:hAnsi="Times New Roman" w:eastAsia="微软雅黑"/>
          <w:b/>
          <w:bCs/>
          <w:color w:val="000000"/>
          <w:sz w:val="20"/>
          <w:szCs w:val="20"/>
        </w:rPr>
        <w:t>xtrahepatic recurrence-free survival</w:t>
      </w:r>
      <w:r>
        <w:rPr>
          <w:rFonts w:ascii="Times New Roman" w:hAnsi="Times New Roman" w:eastAsia="微软雅黑"/>
          <w:b/>
          <w:bCs/>
          <w:color w:val="000000"/>
          <w:sz w:val="20"/>
          <w:szCs w:val="20"/>
        </w:rPr>
        <w:t xml:space="preserve"> in propensity score matched patients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</w:p>
    <w:p w14:paraId="290FA098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3980180" cy="7770495"/>
            <wp:effectExtent l="0" t="0" r="12700" b="190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77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C54A">
      <w:pPr>
        <w:widowControl/>
        <w:ind w:right="-76" w:rightChars="-36"/>
        <w:rPr>
          <w:rFonts w:hint="default" w:ascii="Times New Roman" w:hAnsi="Times New Roman" w:eastAsia="微软雅黑"/>
          <w:color w:val="000000"/>
          <w:sz w:val="20"/>
          <w:szCs w:val="20"/>
          <w:lang w:val="en-US" w:eastAsia="zh-CN"/>
        </w:rPr>
      </w:pPr>
      <w:r>
        <w:rPr>
          <w:rFonts w:ascii="Times New Roman" w:hAnsi="Times New Roman" w:eastAsia="微软雅黑"/>
          <w:color w:val="000000"/>
          <w:sz w:val="20"/>
          <w:szCs w:val="20"/>
        </w:rPr>
        <w:t>Shaded regions around curves represent 95% CIs.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ingHei_18030_C-Medium">
    <w:altName w:val="宋体"/>
    <w:panose1 w:val="00000000000000000000"/>
    <w:charset w:val="86"/>
    <w:family w:val="roman"/>
    <w:pitch w:val="default"/>
    <w:sig w:usb0="00000000" w:usb1="00000000" w:usb2="0000001E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57B13"/>
    <w:multiLevelType w:val="multilevel"/>
    <w:tmpl w:val="1BC57B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4E0780C"/>
    <w:multiLevelType w:val="multilevel"/>
    <w:tmpl w:val="44E078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4871F37"/>
    <w:multiLevelType w:val="multilevel"/>
    <w:tmpl w:val="74871F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4FA69E9"/>
    <w:multiLevelType w:val="multilevel"/>
    <w:tmpl w:val="74FA69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0C"/>
    <w:rsid w:val="00001B9A"/>
    <w:rsid w:val="00075415"/>
    <w:rsid w:val="001126BD"/>
    <w:rsid w:val="00194231"/>
    <w:rsid w:val="0021606E"/>
    <w:rsid w:val="00285A69"/>
    <w:rsid w:val="00346317"/>
    <w:rsid w:val="00423DA3"/>
    <w:rsid w:val="00425CD4"/>
    <w:rsid w:val="004843BF"/>
    <w:rsid w:val="004A1E5A"/>
    <w:rsid w:val="0055026B"/>
    <w:rsid w:val="00590A31"/>
    <w:rsid w:val="005E3C39"/>
    <w:rsid w:val="0066026E"/>
    <w:rsid w:val="006C2633"/>
    <w:rsid w:val="006C3C53"/>
    <w:rsid w:val="006F198C"/>
    <w:rsid w:val="007146C6"/>
    <w:rsid w:val="00857264"/>
    <w:rsid w:val="008A3B97"/>
    <w:rsid w:val="008F6C0C"/>
    <w:rsid w:val="00933B6B"/>
    <w:rsid w:val="009E2D6E"/>
    <w:rsid w:val="00A05864"/>
    <w:rsid w:val="00A94FF6"/>
    <w:rsid w:val="00B059A8"/>
    <w:rsid w:val="00B1134B"/>
    <w:rsid w:val="00B148F8"/>
    <w:rsid w:val="00B259B3"/>
    <w:rsid w:val="00B8587F"/>
    <w:rsid w:val="00BE3652"/>
    <w:rsid w:val="00C57C70"/>
    <w:rsid w:val="00CF65D1"/>
    <w:rsid w:val="00CF7018"/>
    <w:rsid w:val="00D31529"/>
    <w:rsid w:val="00D33AFB"/>
    <w:rsid w:val="00DF5F28"/>
    <w:rsid w:val="00E62BD0"/>
    <w:rsid w:val="00E777E9"/>
    <w:rsid w:val="00EB183F"/>
    <w:rsid w:val="00EB49A6"/>
    <w:rsid w:val="00F862EB"/>
    <w:rsid w:val="00FA3441"/>
    <w:rsid w:val="00FE73FA"/>
    <w:rsid w:val="02106E21"/>
    <w:rsid w:val="032C24E6"/>
    <w:rsid w:val="07DE427B"/>
    <w:rsid w:val="0834033F"/>
    <w:rsid w:val="09A432A2"/>
    <w:rsid w:val="0AD656DD"/>
    <w:rsid w:val="0AFB3C30"/>
    <w:rsid w:val="0BCB4B16"/>
    <w:rsid w:val="0DA929A5"/>
    <w:rsid w:val="0DDE102D"/>
    <w:rsid w:val="11511160"/>
    <w:rsid w:val="12902616"/>
    <w:rsid w:val="133363E8"/>
    <w:rsid w:val="1B966EEF"/>
    <w:rsid w:val="1C7134B8"/>
    <w:rsid w:val="1CA05C74"/>
    <w:rsid w:val="1E360515"/>
    <w:rsid w:val="1EC93137"/>
    <w:rsid w:val="232A272E"/>
    <w:rsid w:val="269B7AAF"/>
    <w:rsid w:val="273301F3"/>
    <w:rsid w:val="287F156B"/>
    <w:rsid w:val="29E4351B"/>
    <w:rsid w:val="29F13D9F"/>
    <w:rsid w:val="2C131E7E"/>
    <w:rsid w:val="2C43584E"/>
    <w:rsid w:val="355C3599"/>
    <w:rsid w:val="393F076E"/>
    <w:rsid w:val="39FE4185"/>
    <w:rsid w:val="3CA01012"/>
    <w:rsid w:val="3D8D4C40"/>
    <w:rsid w:val="3E501767"/>
    <w:rsid w:val="3F9A4950"/>
    <w:rsid w:val="413E755D"/>
    <w:rsid w:val="455F7AA2"/>
    <w:rsid w:val="4B256055"/>
    <w:rsid w:val="4BAB4F3A"/>
    <w:rsid w:val="4C02349A"/>
    <w:rsid w:val="4D714816"/>
    <w:rsid w:val="510D4E75"/>
    <w:rsid w:val="560165A7"/>
    <w:rsid w:val="57881163"/>
    <w:rsid w:val="5869221F"/>
    <w:rsid w:val="59FC1E8A"/>
    <w:rsid w:val="5E496EFE"/>
    <w:rsid w:val="6589499B"/>
    <w:rsid w:val="70BD74C7"/>
    <w:rsid w:val="70EE5FFA"/>
    <w:rsid w:val="71633483"/>
    <w:rsid w:val="725A59F9"/>
    <w:rsid w:val="73165F64"/>
    <w:rsid w:val="73DE5640"/>
    <w:rsid w:val="753D4E5A"/>
    <w:rsid w:val="77DF5A8B"/>
    <w:rsid w:val="7D2410B5"/>
    <w:rsid w:val="7F0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  <w14:ligatures w14:val="standardContextual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905</Words>
  <Characters>6134</Characters>
  <Lines>326</Lines>
  <Paragraphs>259</Paragraphs>
  <TotalTime>0</TotalTime>
  <ScaleCrop>false</ScaleCrop>
  <LinksUpToDate>false</LinksUpToDate>
  <CharactersWithSpaces>6995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2025-06-06T06:24:00Z</dcterms:created>
  <dc:creator>jianming li</dc:creator>
  <cp:lastModifiedBy>健明</cp:lastModifiedBy>
  <dcterms:modified xsi:type="dcterms:W3CDTF">2026-02-10T03:55:42Z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eyJoZGlkIjoiMmQwY2MwYjMxNDdiZTk3YjIxNDY3OWVlMWYxODgwMTMiLCJ1c2VySWQiOiIyOTc3NTE0MTIifQ==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46F0ECA39F984F13969F21EE9C6A0758_13</vt:lpwstr>
  </property>
</Properties>
</file>