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121D0">
      <w:pPr>
        <w:spacing w:line="480" w:lineRule="auto"/>
        <w:jc w:val="center"/>
        <w:rPr>
          <w:rFonts w:ascii="Times New Roman" w:hAnsi="Times New Roman" w:cs="Times New Roman"/>
          <w:b/>
          <w:bCs/>
          <w:color w:val="000000" w:themeColor="text1"/>
          <w:sz w:val="36"/>
          <w:szCs w:val="36"/>
          <w14:textFill>
            <w14:solidFill>
              <w14:schemeClr w14:val="tx1"/>
            </w14:solidFill>
          </w14:textFill>
        </w:rPr>
      </w:pPr>
      <w:r>
        <w:rPr>
          <w:rFonts w:ascii="Times New Roman" w:hAnsi="Times New Roman" w:cs="Times New Roman"/>
          <w:b/>
          <w:bCs/>
          <w:color w:val="000000" w:themeColor="text1"/>
          <w:sz w:val="36"/>
          <w:szCs w:val="36"/>
          <w14:textFill>
            <w14:solidFill>
              <w14:schemeClr w14:val="tx1"/>
            </w14:solidFill>
          </w14:textFill>
        </w:rPr>
        <w:t>Supplementary Materials</w:t>
      </w:r>
    </w:p>
    <w:p w14:paraId="292F7C96">
      <w:pPr>
        <w:spacing w:line="480" w:lineRule="auto"/>
        <w:jc w:val="both"/>
        <w:rPr>
          <w:rFonts w:ascii="Times New Roman" w:hAnsi="Times New Roman" w:eastAsia="宋体" w:cs="Times New Roman"/>
          <w:b/>
          <w:bCs/>
          <w:sz w:val="32"/>
          <w:szCs w:val="32"/>
        </w:rPr>
      </w:pPr>
      <w:r>
        <w:rPr>
          <w:rFonts w:hint="eastAsia" w:ascii="Times New Roman" w:hAnsi="Times New Roman" w:eastAsia="宋体" w:cs="Times New Roman"/>
          <w:b/>
          <w:bCs/>
          <w:sz w:val="32"/>
          <w:szCs w:val="32"/>
        </w:rPr>
        <w:t>Down-regulated lysyl oxidase in plasma extracellular vesicles: A biomarker linked to brain metastasis risk in lung adenocarcinoma</w:t>
      </w:r>
    </w:p>
    <w:p w14:paraId="5813CB0B">
      <w:pPr>
        <w:spacing w:line="480" w:lineRule="auto"/>
        <w:jc w:val="both"/>
        <w:rPr>
          <w:rFonts w:ascii="Times New Roman" w:hAnsi="Times New Roman"/>
          <w:sz w:val="28"/>
          <w:szCs w:val="28"/>
          <w:vertAlign w:val="superscript"/>
        </w:rPr>
      </w:pPr>
      <w:r>
        <w:rPr>
          <w:rFonts w:hint="eastAsia" w:ascii="Times New Roman" w:hAnsi="Times New Roman"/>
          <w:sz w:val="28"/>
          <w:szCs w:val="28"/>
        </w:rPr>
        <w:t>Jing Li</w:t>
      </w:r>
      <w:r>
        <w:rPr>
          <w:rFonts w:ascii="Times New Roman" w:hAnsi="Times New Roman"/>
          <w:sz w:val="28"/>
          <w:szCs w:val="28"/>
        </w:rPr>
        <w:t xml:space="preserve"> </w:t>
      </w:r>
      <w:r>
        <w:rPr>
          <w:rFonts w:ascii="Times New Roman" w:hAnsi="Times New Roman"/>
          <w:sz w:val="28"/>
          <w:szCs w:val="28"/>
          <w:vertAlign w:val="superscript"/>
        </w:rPr>
        <w:t xml:space="preserve">a, b, </w:t>
      </w:r>
      <w:r>
        <w:rPr>
          <w:rFonts w:hint="eastAsia" w:ascii="Times New Roman" w:hAnsi="Times New Roman" w:cs="Times New Roman"/>
          <w:sz w:val="28"/>
          <w:szCs w:val="28"/>
          <w:vertAlign w:val="superscript"/>
          <w:lang w:val="en-US" w:eastAsia="zh-CN"/>
        </w:rPr>
        <w:t>#</w:t>
      </w:r>
      <w:r>
        <w:rPr>
          <w:rFonts w:ascii="Times New Roman" w:hAnsi="Times New Roman"/>
          <w:sz w:val="28"/>
          <w:szCs w:val="28"/>
        </w:rPr>
        <w:t xml:space="preserve">, </w:t>
      </w:r>
      <w:r>
        <w:rPr>
          <w:rFonts w:hint="eastAsia" w:ascii="Times New Roman" w:hAnsi="Times New Roman"/>
          <w:sz w:val="28"/>
          <w:szCs w:val="28"/>
        </w:rPr>
        <w:t>Yu Pei</w:t>
      </w:r>
      <w:r>
        <w:rPr>
          <w:rFonts w:ascii="Times New Roman" w:hAnsi="Times New Roman"/>
          <w:sz w:val="28"/>
          <w:szCs w:val="28"/>
        </w:rPr>
        <w:t xml:space="preserve"> </w:t>
      </w:r>
      <w:r>
        <w:rPr>
          <w:rFonts w:ascii="Times New Roman" w:hAnsi="Times New Roman"/>
          <w:sz w:val="28"/>
          <w:szCs w:val="28"/>
          <w:vertAlign w:val="superscript"/>
        </w:rPr>
        <w:t>a, b,</w:t>
      </w:r>
      <w:r>
        <w:rPr>
          <w:rFonts w:hint="eastAsia" w:ascii="Times New Roman" w:hAnsi="Times New Roman"/>
          <w:sz w:val="28"/>
          <w:szCs w:val="28"/>
          <w:vertAlign w:val="superscript"/>
        </w:rPr>
        <w:t xml:space="preserve"> </w:t>
      </w:r>
      <w:r>
        <w:rPr>
          <w:rFonts w:hint="eastAsia" w:ascii="Times New Roman" w:hAnsi="Times New Roman" w:cs="Times New Roman"/>
          <w:sz w:val="28"/>
          <w:szCs w:val="28"/>
          <w:vertAlign w:val="superscript"/>
          <w:lang w:val="en-US" w:eastAsia="zh-CN"/>
        </w:rPr>
        <w:t>#</w:t>
      </w:r>
      <w:r>
        <w:rPr>
          <w:rFonts w:ascii="Times New Roman" w:hAnsi="Times New Roman"/>
          <w:sz w:val="28"/>
          <w:szCs w:val="28"/>
        </w:rPr>
        <w:t>,</w:t>
      </w:r>
      <w:r>
        <w:rPr>
          <w:rFonts w:hint="eastAsia" w:ascii="Times New Roman" w:hAnsi="Times New Roman"/>
          <w:sz w:val="28"/>
          <w:szCs w:val="28"/>
        </w:rPr>
        <w:t xml:space="preserve"> Jia-Li Sun </w:t>
      </w:r>
      <w:r>
        <w:rPr>
          <w:rFonts w:hint="eastAsia" w:ascii="Times New Roman" w:hAnsi="Times New Roman"/>
          <w:sz w:val="28"/>
          <w:szCs w:val="28"/>
          <w:vertAlign w:val="superscript"/>
        </w:rPr>
        <w:t xml:space="preserve">b, </w:t>
      </w:r>
      <w:r>
        <w:rPr>
          <w:rFonts w:hint="eastAsia" w:ascii="Times New Roman" w:hAnsi="Times New Roman"/>
          <w:sz w:val="28"/>
          <w:szCs w:val="28"/>
          <w:vertAlign w:val="superscript"/>
          <w:lang w:val="en-US" w:eastAsia="zh-CN"/>
        </w:rPr>
        <w:t>#</w:t>
      </w:r>
      <w:r>
        <w:rPr>
          <w:rFonts w:hint="eastAsia" w:ascii="Times New Roman" w:hAnsi="Times New Roman"/>
          <w:sz w:val="28"/>
          <w:szCs w:val="28"/>
        </w:rPr>
        <w:t>, Fen Hu</w:t>
      </w:r>
      <w:r>
        <w:rPr>
          <w:rFonts w:ascii="Times New Roman" w:hAnsi="Times New Roman"/>
          <w:sz w:val="28"/>
          <w:szCs w:val="28"/>
          <w:vertAlign w:val="superscript"/>
        </w:rPr>
        <w:t xml:space="preserve"> a, b</w:t>
      </w:r>
      <w:r>
        <w:rPr>
          <w:rFonts w:hint="eastAsia" w:ascii="Times New Roman" w:hAnsi="Times New Roman"/>
          <w:sz w:val="28"/>
          <w:szCs w:val="28"/>
        </w:rPr>
        <w:t>, Han-Xue Yang</w:t>
      </w:r>
      <w:r>
        <w:rPr>
          <w:rFonts w:ascii="Times New Roman" w:hAnsi="Times New Roman"/>
          <w:sz w:val="28"/>
          <w:szCs w:val="28"/>
          <w:vertAlign w:val="superscript"/>
        </w:rPr>
        <w:t xml:space="preserve"> a, b</w:t>
      </w:r>
      <w:r>
        <w:rPr>
          <w:rFonts w:hint="eastAsia" w:ascii="Times New Roman" w:hAnsi="Times New Roman"/>
          <w:sz w:val="28"/>
          <w:szCs w:val="28"/>
        </w:rPr>
        <w:t>, Jun Zhou</w:t>
      </w:r>
      <w:r>
        <w:rPr>
          <w:rFonts w:ascii="Times New Roman" w:hAnsi="Times New Roman"/>
          <w:sz w:val="28"/>
          <w:szCs w:val="28"/>
          <w:vertAlign w:val="superscript"/>
        </w:rPr>
        <w:t xml:space="preserve"> a, b</w:t>
      </w:r>
      <w:r>
        <w:rPr>
          <w:rFonts w:hint="eastAsia" w:ascii="Times New Roman" w:hAnsi="Times New Roman"/>
          <w:sz w:val="28"/>
          <w:szCs w:val="28"/>
        </w:rPr>
        <w:t xml:space="preserve">, Cong-Ting Wu </w:t>
      </w:r>
      <w:r>
        <w:rPr>
          <w:rFonts w:ascii="Times New Roman" w:hAnsi="Times New Roman"/>
          <w:sz w:val="28"/>
          <w:szCs w:val="28"/>
          <w:vertAlign w:val="superscript"/>
        </w:rPr>
        <w:t>b</w:t>
      </w:r>
      <w:r>
        <w:rPr>
          <w:rFonts w:hint="eastAsia" w:ascii="Times New Roman" w:hAnsi="Times New Roman"/>
          <w:sz w:val="28"/>
          <w:szCs w:val="28"/>
        </w:rPr>
        <w:t xml:space="preserve">, Xingjie Hao </w:t>
      </w:r>
      <w:r>
        <w:rPr>
          <w:rFonts w:hint="eastAsia" w:ascii="Times New Roman" w:hAnsi="Times New Roman"/>
          <w:sz w:val="28"/>
          <w:szCs w:val="28"/>
          <w:vertAlign w:val="superscript"/>
        </w:rPr>
        <w:t>b</w:t>
      </w:r>
      <w:r>
        <w:rPr>
          <w:rFonts w:hint="eastAsia" w:ascii="Times New Roman" w:hAnsi="Times New Roman"/>
          <w:sz w:val="28"/>
          <w:szCs w:val="28"/>
        </w:rPr>
        <w:t xml:space="preserve">, </w:t>
      </w:r>
      <w:r>
        <w:rPr>
          <w:rFonts w:ascii="Times New Roman" w:hAnsi="Times New Roman"/>
          <w:sz w:val="28"/>
          <w:szCs w:val="28"/>
        </w:rPr>
        <w:t xml:space="preserve">Wei Gong </w:t>
      </w:r>
      <w:r>
        <w:rPr>
          <w:rFonts w:ascii="Times New Roman" w:hAnsi="Times New Roman"/>
          <w:sz w:val="28"/>
          <w:szCs w:val="28"/>
          <w:vertAlign w:val="superscript"/>
        </w:rPr>
        <w:t>a, b,</w:t>
      </w:r>
      <w:r>
        <w:rPr>
          <w:rFonts w:hint="eastAsia" w:ascii="Times New Roman" w:hAnsi="Times New Roman"/>
          <w:sz w:val="28"/>
          <w:szCs w:val="28"/>
          <w:vertAlign w:val="superscript"/>
        </w:rPr>
        <w:t xml:space="preserve"> </w:t>
      </w:r>
      <w:r>
        <w:rPr>
          <w:rFonts w:ascii="Times New Roman" w:hAnsi="Times New Roman"/>
          <w:sz w:val="28"/>
          <w:szCs w:val="28"/>
          <w:vertAlign w:val="superscript"/>
        </w:rPr>
        <w:t>*</w:t>
      </w:r>
      <w:r>
        <w:rPr>
          <w:rFonts w:hint="eastAsia" w:ascii="Times New Roman" w:hAnsi="Times New Roman"/>
          <w:sz w:val="28"/>
          <w:szCs w:val="28"/>
        </w:rPr>
        <w:t>, Yang Yao</w:t>
      </w:r>
      <w:r>
        <w:rPr>
          <w:rFonts w:hint="eastAsia" w:ascii="Times New Roman" w:hAnsi="Times New Roman"/>
          <w:sz w:val="28"/>
          <w:szCs w:val="28"/>
          <w:vertAlign w:val="superscript"/>
        </w:rPr>
        <w:t xml:space="preserve"> </w:t>
      </w:r>
      <w:r>
        <w:rPr>
          <w:rFonts w:ascii="Times New Roman" w:hAnsi="Times New Roman"/>
          <w:sz w:val="28"/>
          <w:szCs w:val="28"/>
          <w:vertAlign w:val="superscript"/>
        </w:rPr>
        <w:t>a, b,</w:t>
      </w:r>
      <w:r>
        <w:rPr>
          <w:rFonts w:hint="eastAsia" w:ascii="Times New Roman" w:hAnsi="Times New Roman"/>
          <w:sz w:val="28"/>
          <w:szCs w:val="28"/>
          <w:vertAlign w:val="superscript"/>
        </w:rPr>
        <w:t xml:space="preserve"> </w:t>
      </w:r>
      <w:r>
        <w:rPr>
          <w:rFonts w:ascii="Times New Roman" w:hAnsi="Times New Roman"/>
          <w:sz w:val="28"/>
          <w:szCs w:val="28"/>
          <w:vertAlign w:val="superscript"/>
        </w:rPr>
        <w:t>*</w:t>
      </w:r>
      <w:r>
        <w:rPr>
          <w:rFonts w:hint="eastAsia" w:ascii="Times New Roman" w:hAnsi="Times New Roman"/>
          <w:sz w:val="28"/>
          <w:szCs w:val="28"/>
        </w:rPr>
        <w:t xml:space="preserve">, Yi Liu </w:t>
      </w:r>
      <w:r>
        <w:rPr>
          <w:rFonts w:hint="eastAsia" w:ascii="Times New Roman" w:hAnsi="Times New Roman"/>
          <w:sz w:val="28"/>
          <w:szCs w:val="28"/>
          <w:vertAlign w:val="superscript"/>
        </w:rPr>
        <w:t xml:space="preserve">c, </w:t>
      </w:r>
      <w:r>
        <w:rPr>
          <w:rFonts w:ascii="Times New Roman" w:hAnsi="Times New Roman"/>
          <w:sz w:val="28"/>
          <w:szCs w:val="28"/>
          <w:vertAlign w:val="superscript"/>
        </w:rPr>
        <w:t>*</w:t>
      </w:r>
    </w:p>
    <w:p w14:paraId="1D249B19">
      <w:pPr>
        <w:spacing w:line="480" w:lineRule="auto"/>
        <w:jc w:val="both"/>
        <w:rPr>
          <w:rFonts w:ascii="Times New Roman" w:hAnsi="Times New Roman" w:eastAsia="宋体" w:cs="Times New Roman"/>
          <w:sz w:val="24"/>
        </w:rPr>
      </w:pPr>
      <w:r>
        <w:rPr>
          <w:rFonts w:ascii="Times New Roman" w:hAnsi="Times New Roman" w:eastAsia="宋体" w:cs="Times New Roman"/>
          <w:sz w:val="24"/>
          <w:vertAlign w:val="superscript"/>
        </w:rPr>
        <w:t>a</w:t>
      </w:r>
      <w:r>
        <w:rPr>
          <w:rFonts w:ascii="Times New Roman" w:hAnsi="Times New Roman" w:eastAsia="宋体" w:cs="Times New Roman"/>
          <w:sz w:val="24"/>
        </w:rPr>
        <w:t xml:space="preserve"> Department of Oncology, Xiangyang Central Hospital, affiliated hospital of Hubei University of Arts and Science, Xiangyang 441021, China</w:t>
      </w:r>
    </w:p>
    <w:p w14:paraId="205ED138">
      <w:pPr>
        <w:spacing w:line="480" w:lineRule="auto"/>
        <w:jc w:val="both"/>
        <w:rPr>
          <w:rFonts w:ascii="Times New Roman" w:hAnsi="Times New Roman" w:eastAsia="宋体" w:cs="Times New Roman"/>
          <w:sz w:val="24"/>
        </w:rPr>
      </w:pPr>
      <w:r>
        <w:rPr>
          <w:rFonts w:ascii="Times New Roman" w:hAnsi="Times New Roman" w:eastAsia="宋体" w:cs="Times New Roman"/>
          <w:sz w:val="24"/>
          <w:vertAlign w:val="superscript"/>
        </w:rPr>
        <w:t xml:space="preserve">b </w:t>
      </w:r>
      <w:r>
        <w:rPr>
          <w:rFonts w:ascii="Times New Roman" w:hAnsi="Times New Roman" w:eastAsia="宋体" w:cs="Times New Roman"/>
          <w:sz w:val="24"/>
        </w:rPr>
        <w:t>Institute of Oncology, Xiangyang Central Hospital, affiliated hospital of Hubei University of Arts and Science, Xiangyang 441021, China</w:t>
      </w:r>
    </w:p>
    <w:p w14:paraId="708D2197">
      <w:pPr>
        <w:spacing w:line="480" w:lineRule="auto"/>
        <w:jc w:val="both"/>
        <w:rPr>
          <w:rFonts w:ascii="Times New Roman" w:hAnsi="Times New Roman" w:eastAsia="宋体" w:cs="Times New Roman"/>
          <w:sz w:val="24"/>
        </w:rPr>
      </w:pPr>
      <w:r>
        <w:rPr>
          <w:rFonts w:hint="eastAsia" w:ascii="Times New Roman" w:hAnsi="Times New Roman" w:eastAsia="宋体" w:cs="Times New Roman"/>
          <w:sz w:val="24"/>
          <w:vertAlign w:val="superscript"/>
        </w:rPr>
        <w:t>c</w:t>
      </w:r>
      <w:r>
        <w:rPr>
          <w:rFonts w:hint="eastAsia" w:ascii="Times New Roman" w:hAnsi="Times New Roman" w:eastAsia="宋体" w:cs="Times New Roman"/>
          <w:sz w:val="24"/>
        </w:rPr>
        <w:t xml:space="preserve"> </w:t>
      </w:r>
      <w:r>
        <w:rPr>
          <w:rFonts w:ascii="Times New Roman" w:hAnsi="Times New Roman" w:eastAsia="宋体" w:cs="Times New Roman"/>
          <w:sz w:val="24"/>
        </w:rPr>
        <w:t>School of Pharmacy, Hubei University of Chinese Medicine, Wuhan</w:t>
      </w:r>
      <w:r>
        <w:rPr>
          <w:rFonts w:hint="eastAsia" w:ascii="Times New Roman" w:hAnsi="Times New Roman" w:eastAsia="宋体" w:cs="Times New Roman"/>
          <w:sz w:val="24"/>
        </w:rPr>
        <w:t xml:space="preserve"> 430065</w:t>
      </w:r>
      <w:r>
        <w:rPr>
          <w:rFonts w:ascii="Times New Roman" w:hAnsi="Times New Roman" w:eastAsia="宋体" w:cs="Times New Roman"/>
          <w:sz w:val="24"/>
        </w:rPr>
        <w:t>, China</w:t>
      </w:r>
    </w:p>
    <w:p w14:paraId="714E8C4C">
      <w:pPr>
        <w:spacing w:line="480" w:lineRule="auto"/>
        <w:jc w:val="both"/>
        <w:rPr>
          <w:rFonts w:ascii="Times New Roman" w:hAnsi="Times New Roman" w:eastAsia="宋体" w:cs="Times New Roman"/>
          <w:sz w:val="24"/>
        </w:rPr>
      </w:pPr>
      <w:r>
        <w:rPr>
          <w:rFonts w:ascii="Times New Roman" w:hAnsi="Times New Roman" w:eastAsia="宋体" w:cs="Times New Roman"/>
          <w:sz w:val="24"/>
        </w:rPr>
        <w:t xml:space="preserve"> </w:t>
      </w:r>
    </w:p>
    <w:p w14:paraId="6D6935EB">
      <w:pPr>
        <w:spacing w:line="480" w:lineRule="auto"/>
        <w:jc w:val="both"/>
        <w:rPr>
          <w:rFonts w:ascii="Times New Roman" w:hAnsi="Times New Roman" w:eastAsia="宋体" w:cs="Times New Roman"/>
          <w:sz w:val="24"/>
        </w:rPr>
      </w:pPr>
      <w:r>
        <w:rPr>
          <w:rFonts w:hint="eastAsia" w:ascii="Times New Roman" w:hAnsi="Times New Roman" w:eastAsia="宋体" w:cs="Times New Roman"/>
          <w:sz w:val="28"/>
          <w:szCs w:val="28"/>
          <w:vertAlign w:val="superscript"/>
          <w:lang w:val="en-US" w:eastAsia="zh-CN"/>
        </w:rPr>
        <w:t>#</w:t>
      </w:r>
      <w:r>
        <w:rPr>
          <w:rFonts w:ascii="Times New Roman" w:hAnsi="Times New Roman" w:eastAsia="宋体" w:cs="Times New Roman"/>
          <w:sz w:val="24"/>
        </w:rPr>
        <w:t xml:space="preserve"> </w:t>
      </w:r>
      <w:r>
        <w:rPr>
          <w:rFonts w:hint="eastAsia" w:ascii="Times New Roman" w:hAnsi="Times New Roman" w:eastAsia="宋体" w:cs="Times New Roman"/>
          <w:sz w:val="24"/>
        </w:rPr>
        <w:t>These authors</w:t>
      </w:r>
      <w:r>
        <w:rPr>
          <w:rFonts w:ascii="Times New Roman" w:hAnsi="Times New Roman" w:eastAsia="宋体" w:cs="Times New Roman"/>
          <w:sz w:val="24"/>
        </w:rPr>
        <w:t xml:space="preserve"> contributed </w:t>
      </w:r>
      <w:r>
        <w:rPr>
          <w:rFonts w:hint="eastAsia" w:ascii="Times New Roman" w:hAnsi="Times New Roman" w:eastAsia="宋体" w:cs="Times New Roman"/>
          <w:sz w:val="24"/>
        </w:rPr>
        <w:t xml:space="preserve">to </w:t>
      </w:r>
      <w:r>
        <w:rPr>
          <w:rFonts w:ascii="Times New Roman" w:hAnsi="Times New Roman" w:eastAsia="宋体" w:cs="Times New Roman"/>
          <w:sz w:val="24"/>
        </w:rPr>
        <w:t>this work equally.</w:t>
      </w:r>
    </w:p>
    <w:p w14:paraId="78467161">
      <w:pPr>
        <w:spacing w:line="480" w:lineRule="auto"/>
        <w:jc w:val="both"/>
        <w:rPr>
          <w:rFonts w:ascii="Times New Roman" w:hAnsi="Times New Roman" w:eastAsia="宋体" w:cs="Times New Roman"/>
          <w:sz w:val="24"/>
        </w:rPr>
      </w:pPr>
    </w:p>
    <w:p w14:paraId="41787D91">
      <w:pPr>
        <w:spacing w:line="480" w:lineRule="auto"/>
        <w:jc w:val="both"/>
        <w:rPr>
          <w:rFonts w:ascii="Times New Roman" w:hAnsi="Times New Roman" w:eastAsia="宋体" w:cs="Times New Roman"/>
          <w:sz w:val="24"/>
        </w:rPr>
      </w:pPr>
      <w:r>
        <w:rPr>
          <w:rFonts w:ascii="Times New Roman" w:hAnsi="Times New Roman" w:eastAsia="宋体" w:cs="Times New Roman"/>
          <w:sz w:val="24"/>
        </w:rPr>
        <w:t>*Corresponding Authors.</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E-mail addresses: </w:t>
      </w:r>
      <w:r>
        <w:rPr>
          <w:rFonts w:hint="eastAsia" w:ascii="Times New Roman" w:hAnsi="Times New Roman" w:eastAsia="宋体" w:cs="Times New Roman"/>
          <w:sz w:val="24"/>
        </w:rPr>
        <w:t>Gongwei@hbuas.edu.cn</w:t>
      </w:r>
      <w:r>
        <w:rPr>
          <w:rFonts w:ascii="Times New Roman" w:hAnsi="Times New Roman" w:eastAsia="宋体" w:cs="Times New Roman"/>
          <w:sz w:val="24"/>
        </w:rPr>
        <w:t xml:space="preserve"> (Wei Gong)</w:t>
      </w:r>
      <w:r>
        <w:rPr>
          <w:rFonts w:hint="eastAsia" w:ascii="Times New Roman" w:hAnsi="Times New Roman" w:eastAsia="宋体" w:cs="Times New Roman"/>
          <w:sz w:val="24"/>
        </w:rPr>
        <w:t xml:space="preserve">; </w:t>
      </w:r>
      <w:r>
        <w:rPr>
          <w:rFonts w:ascii="Times New Roman" w:hAnsi="Times New Roman" w:cs="Times New Roman"/>
          <w:sz w:val="24"/>
        </w:rPr>
        <w:t>tjyaoyang@163.com</w:t>
      </w:r>
      <w:r>
        <w:rPr>
          <w:rFonts w:ascii="Times New Roman" w:hAnsi="Times New Roman" w:eastAsia="宋体" w:cs="Times New Roman"/>
          <w:sz w:val="24"/>
        </w:rPr>
        <w:t xml:space="preserve"> (Yang Yao); 1069@hbucm.edu.cn (Yi Liu).</w:t>
      </w:r>
    </w:p>
    <w:p w14:paraId="4675E9BC">
      <w:pPr>
        <w:spacing w:line="480" w:lineRule="auto"/>
        <w:rPr>
          <w:rFonts w:ascii="Times New Roman" w:hAnsi="Times New Roman" w:cs="Times New Roman"/>
          <w:b/>
          <w:bCs/>
          <w:color w:val="000000" w:themeColor="text1"/>
          <w:sz w:val="32"/>
          <w:szCs w:val="32"/>
          <w14:textFill>
            <w14:solidFill>
              <w14:schemeClr w14:val="tx1"/>
            </w14:solidFill>
          </w14:textFill>
        </w:rPr>
      </w:pPr>
    </w:p>
    <w:p w14:paraId="067BF4F0">
      <w:pPr>
        <w:spacing w:line="480" w:lineRule="auto"/>
        <w:rPr>
          <w:rFonts w:ascii="Times New Roman" w:hAnsi="Times New Roman" w:cs="Times New Roman"/>
          <w:b/>
          <w:bCs/>
          <w:color w:val="000000" w:themeColor="text1"/>
          <w:sz w:val="32"/>
          <w:szCs w:val="32"/>
          <w14:textFill>
            <w14:solidFill>
              <w14:schemeClr w14:val="tx1"/>
            </w14:solidFill>
          </w14:textFill>
        </w:rPr>
      </w:pPr>
      <w:bookmarkStart w:id="0" w:name="_GoBack"/>
      <w:bookmarkEnd w:id="0"/>
    </w:p>
    <w:p w14:paraId="3494A4C5">
      <w:pPr>
        <w:spacing w:line="480" w:lineRule="auto"/>
        <w:jc w:val="both"/>
        <w:rPr>
          <w:rFonts w:ascii="Times New Roman" w:hAnsi="Times New Roman" w:cs="Times New Roman"/>
          <w:b/>
          <w:bCs/>
          <w:color w:val="000000" w:themeColor="text1"/>
          <w:sz w:val="24"/>
          <w14:textFill>
            <w14:solidFill>
              <w14:schemeClr w14:val="tx1"/>
            </w14:solidFill>
          </w14:textFill>
        </w:rPr>
      </w:pPr>
      <w:r>
        <w:rPr>
          <w:rFonts w:ascii="Times New Roman" w:hAnsi="Times New Roman" w:eastAsia="宋体" w:cs="Times New Roman"/>
          <w:b/>
          <w:bCs/>
          <w:sz w:val="24"/>
          <w:lang w:bidi="ar"/>
        </w:rPr>
        <w:t>Methods</w:t>
      </w:r>
    </w:p>
    <w:p w14:paraId="6381E15C">
      <w:pPr>
        <w:spacing w:beforeAutospacing="1" w:line="480" w:lineRule="auto"/>
        <w:jc w:val="both"/>
        <w:rPr>
          <w:rFonts w:ascii="Times New Roman" w:hAnsi="Times New Roman" w:eastAsia="宋体" w:cs="Times New Roman"/>
          <w:b/>
          <w:bCs/>
          <w:sz w:val="24"/>
        </w:rPr>
      </w:pPr>
      <w:r>
        <w:rPr>
          <w:rFonts w:ascii="Times New Roman" w:hAnsi="Times New Roman" w:eastAsia="宋体" w:cs="Times New Roman"/>
          <w:b/>
          <w:bCs/>
          <w:sz w:val="24"/>
          <w:lang w:bidi="ar"/>
        </w:rPr>
        <w:t>Protein extraction, digestion and peptides desalting</w:t>
      </w:r>
    </w:p>
    <w:p w14:paraId="08AF618A">
      <w:pPr>
        <w:spacing w:beforeAutospacing="1" w:line="480" w:lineRule="auto"/>
        <w:jc w:val="both"/>
        <w:rPr>
          <w:rFonts w:ascii="Times New Roman" w:hAnsi="Times New Roman" w:eastAsia="宋体" w:cs="Times New Roman"/>
          <w:sz w:val="24"/>
          <w:lang w:bidi="ar"/>
        </w:rPr>
      </w:pPr>
      <w:r>
        <w:rPr>
          <w:rFonts w:ascii="Times New Roman" w:hAnsi="Times New Roman" w:eastAsia="宋体" w:cs="Times New Roman"/>
          <w:sz w:val="24"/>
          <w:lang w:bidi="ar"/>
        </w:rPr>
        <w:t>For protein extraction from exosome samples, 200 μL of the obtained plasma-derived exosome samples were treated with isovolumetric BeyoEx Lysis Buffer for Exosome (C3632, Beyotime). The mixture was placed on ice and lysed for 10 minutes. Debris was removed by centrifugation at 14,000×g for 20 minutes at 4°C, after which the supernatant was collected. For protein extraction from FFPE tissue sections, 8-μm sections were first deparaffinized by xylene and rehydrated through a graded ethanol series and finally rinsed with deionized water. The rehydrated sections were incubated in lysis buffer (8 M urea, 1% SDS, 50 mM Tris-HCl pH 8.5, and 1× protease inhibitor cocktail) at 95°C for 20 min to reverse cross-linking and facilitate protein solubilization. After cooling to room temperature, samples were sonicated to disrupt tissue debris, then centrifuged at 14,000×g for 20 min at 4°C to remove insoluble particles, and the supernatant was collected.</w:t>
      </w:r>
    </w:p>
    <w:p w14:paraId="4B3D99D0">
      <w:pPr>
        <w:spacing w:beforeAutospacing="1" w:line="480" w:lineRule="auto"/>
        <w:jc w:val="both"/>
        <w:rPr>
          <w:rFonts w:ascii="Times New Roman" w:hAnsi="Times New Roman" w:eastAsia="宋体" w:cs="Times New Roman"/>
          <w:sz w:val="24"/>
          <w:lang w:bidi="ar"/>
        </w:rPr>
      </w:pPr>
      <w:r>
        <w:rPr>
          <w:rFonts w:ascii="Times New Roman" w:hAnsi="Times New Roman" w:eastAsia="宋体" w:cs="Times New Roman"/>
          <w:sz w:val="24"/>
          <w:lang w:bidi="ar"/>
        </w:rPr>
        <w:t>The protein concentration was determined using the Bradford method. To achieve reduction, 10 μL of 0.5 M tris-(2-carboxyethyl)-phosphine (TCEP) was added and incubated at 37°C for 1 hour. Alkylation was subsequently performed by adding 50 μL of 0.2 M iodoacetamide (IAM) under dark conditions at room temperature for 30 minutes. Following this, dual enzymatic digestion was initiated by sequentially adding Lys-C (EV01-02-01, EVLiXiR; 1:100 enzyme-to-substrate ratio) and incubating for 2 hours at 37°C, followed by trypsin (EV01-01-01, EVLiXiR; 1:50 enzyme-to-substrate ratio) for overnight digestion at 37°C. The enzymatic reaction was terminated by acidification with 50 μL of 0.1% formic acid (FA). Desalting was performed using pre-activated peptide desalting cartridges (EV01-04-01, EVLiXiR). The digested peptide solution was loaded onto the cartridges, and salt was removed with 0.1% FA. Bound peptides were eluted through a two-step elution process, first with 50% acetonitrile (ACN) and then with 80% ACN, both containing 0.1% FA. The eluates were pooled, lyophilized, and stored at -80°C until further analysis. Prior to LC-MS/MS analysis, the peptides were reconstituted in 0.1% FA to a final concentration of approximately 0.5-1.0 µg/μL, with the peptide concentration verified by measuring OD280 using a Nanodrop 2000 spectrophotometer (Thermo-Fisher, USA).</w:t>
      </w:r>
    </w:p>
    <w:p w14:paraId="1542A0A0">
      <w:pPr>
        <w:spacing w:beforeAutospacing="1" w:line="480" w:lineRule="auto"/>
        <w:jc w:val="both"/>
        <w:rPr>
          <w:rFonts w:ascii="Times New Roman" w:hAnsi="Times New Roman" w:eastAsia="宋体" w:cs="Times New Roman"/>
          <w:b/>
          <w:bCs/>
          <w:sz w:val="24"/>
        </w:rPr>
      </w:pPr>
      <w:r>
        <w:rPr>
          <w:rFonts w:ascii="Times New Roman" w:hAnsi="Times New Roman" w:eastAsia="宋体" w:cs="Times New Roman"/>
          <w:b/>
          <w:bCs/>
          <w:sz w:val="24"/>
          <w:lang w:bidi="ar"/>
        </w:rPr>
        <w:t>LC-MS/MS analysis</w:t>
      </w:r>
    </w:p>
    <w:p w14:paraId="3818C85B">
      <w:pPr>
        <w:spacing w:beforeAutospacing="1" w:line="480" w:lineRule="auto"/>
        <w:jc w:val="both"/>
        <w:rPr>
          <w:rFonts w:ascii="Times New Roman" w:hAnsi="Times New Roman" w:eastAsia="宋体" w:cs="Times New Roman"/>
          <w:b/>
          <w:bCs/>
          <w:sz w:val="24"/>
        </w:rPr>
      </w:pPr>
      <w:r>
        <w:rPr>
          <w:rFonts w:ascii="Times New Roman" w:hAnsi="Times New Roman" w:eastAsia="宋体" w:cs="Times New Roman"/>
          <w:sz w:val="24"/>
          <w:lang w:bidi="ar"/>
        </w:rPr>
        <w:t>An EASY nLC 1200 UHPLC system (Thermo-Fisher, USA) coupled with a Q Exactive HF-X Quadrupole-Orbitrap mass spectrometer (Thermo-Fisher, USA) via a nano-electrospray ion source was utilized to identify the obtained peptides. Peptide separation was performed using a C18 capillary column (75 μm × 20 cm, EV01-06-01, EVLiXiR). Mobile phase A consisted of 0.1% formic acid (FA), while mobile phase B comprised 80% acetonitrile (ACN) containing 0.1% FA. The separation was conducted under gradient elution mode at a flow rate of 600 nL/min and a column temperature of 60°C. The gradient program was as follows: 0–0.5 min, 8%–10% B; 0.5–52.5 min, 10%–32% B; 52.5–53 min, 32%–95% B; and 53–60 min, 95% B. The acquisition method involved one MS1 scan with a range of 350–1500 m/z (resolution: 60,000, maximum injection time: 50 ms, automatic gain control (AGC) target: 3×10</w:t>
      </w:r>
      <w:r>
        <w:rPr>
          <w:rFonts w:ascii="Times New Roman" w:hAnsi="Times New Roman" w:eastAsia="宋体" w:cs="Times New Roman"/>
          <w:sz w:val="24"/>
          <w:vertAlign w:val="superscript"/>
          <w:lang w:bidi="ar"/>
        </w:rPr>
        <w:t>6</w:t>
      </w:r>
      <w:r>
        <w:rPr>
          <w:rFonts w:ascii="Times New Roman" w:hAnsi="Times New Roman" w:eastAsia="宋体" w:cs="Times New Roman"/>
          <w:sz w:val="24"/>
          <w:lang w:bidi="ar"/>
        </w:rPr>
        <w:t>) and 42 segments at varying isolation windows ranging from 14–312 m/z (resolution: 30,000, maximum injection time: 54 ms, AGC target of 1×10</w:t>
      </w:r>
      <w:r>
        <w:rPr>
          <w:rFonts w:ascii="Times New Roman" w:hAnsi="Times New Roman" w:eastAsia="宋体" w:cs="Times New Roman"/>
          <w:sz w:val="24"/>
          <w:vertAlign w:val="superscript"/>
          <w:lang w:bidi="ar"/>
        </w:rPr>
        <w:t>6</w:t>
      </w:r>
      <w:r>
        <w:rPr>
          <w:rFonts w:ascii="Times New Roman" w:hAnsi="Times New Roman" w:eastAsia="宋体" w:cs="Times New Roman"/>
          <w:sz w:val="24"/>
          <w:lang w:bidi="ar"/>
        </w:rPr>
        <w:t xml:space="preserve">). The stepped normalized collision energies were set at 25, 27.5, and 30, while the default charge state for MS2 was assigned as 3. The MS data derived from the fractionated pools facilitated the creation of a direct-DIA library, which was subsequently merged into a hybrid library using Spectronaut software (Biognosys, version 15.7.220308.50606). This hybrid spectral library was then employed to analyze the MS data from the single-shot samples within Spectronaut software for the ultimate identification and quantification of proteins. All searches were conducted against the Uniprot Homo sapiens proteome database, which encompasses 26,766 target sequences (downloaded on 2023-12-29), and the identification filter for peptides was set at a false discovery rate (FDR) of &lt; 1%. Protein intensities underwent normalization through the Local Normalization algorithm in Spectronaut software. </w:t>
      </w:r>
    </w:p>
    <w:p w14:paraId="29CB27AC">
      <w:pPr>
        <w:spacing w:beforeAutospacing="1" w:line="480" w:lineRule="auto"/>
        <w:jc w:val="both"/>
        <w:rPr>
          <w:rFonts w:ascii="Times New Roman" w:hAnsi="Times New Roman" w:eastAsia="宋体" w:cs="Times New Roman"/>
          <w:b/>
          <w:bCs/>
          <w:sz w:val="24"/>
          <w:lang w:bidi="ar"/>
        </w:rPr>
      </w:pPr>
      <w:r>
        <w:rPr>
          <w:rFonts w:ascii="Times New Roman" w:hAnsi="Times New Roman" w:eastAsia="宋体" w:cs="Times New Roman"/>
          <w:b/>
          <w:bCs/>
          <w:sz w:val="24"/>
          <w:lang w:bidi="ar"/>
        </w:rPr>
        <w:t>IHC assay</w:t>
      </w:r>
    </w:p>
    <w:p w14:paraId="71BDB870">
      <w:pPr>
        <w:spacing w:beforeAutospacing="1" w:line="480" w:lineRule="auto"/>
        <w:jc w:val="both"/>
        <w:rPr>
          <w:rFonts w:ascii="Times New Roman" w:hAnsi="Times New Roman" w:eastAsia="宋体" w:cs="Times New Roman"/>
          <w:b/>
          <w:bCs/>
          <w:sz w:val="24"/>
          <w:lang w:bidi="ar"/>
        </w:rPr>
      </w:pPr>
      <w:r>
        <w:rPr>
          <w:rFonts w:ascii="Times New Roman" w:hAnsi="Times New Roman" w:eastAsia="宋体" w:cs="Times New Roman"/>
          <w:sz w:val="24"/>
          <w:lang w:bidi="ar"/>
        </w:rPr>
        <w:t xml:space="preserve">FFPE tissue sections were deparaffinized in xylene and rehydrated through graded ethanol. Antigen retrieval was conducted using Tris-EDTA Antigen Retrieval Solution (C1038, Solarbio) at 95°C for 15 minutes, followed by the blockade of endogenous peroxidase with 3% H₂O₂. After blocking with 5% BSA at room temperature for 30 minutes, sections were incubated overnight at 4°C with </w:t>
      </w:r>
      <w:r>
        <w:rPr>
          <w:rFonts w:hint="eastAsia" w:ascii="Times New Roman" w:hAnsi="Times New Roman" w:eastAsia="宋体" w:cs="Times New Roman"/>
          <w:sz w:val="24"/>
          <w:lang w:val="en-US" w:eastAsia="zh-CN" w:bidi="ar"/>
        </w:rPr>
        <w:t>anti-</w:t>
      </w:r>
      <w:r>
        <w:rPr>
          <w:rFonts w:ascii="Times New Roman" w:hAnsi="Times New Roman" w:eastAsia="宋体" w:cs="Times New Roman"/>
          <w:sz w:val="24"/>
          <w:lang w:bidi="ar"/>
        </w:rPr>
        <w:t>LOX antibody (17958-1-AP, Proteintech, 1:400)</w:t>
      </w:r>
      <w:r>
        <w:rPr>
          <w:rFonts w:hint="eastAsia" w:ascii="Times New Roman" w:hAnsi="Times New Roman" w:eastAsia="宋体" w:cs="Times New Roman"/>
          <w:sz w:val="24"/>
          <w:lang w:val="en-US" w:eastAsia="zh-CN" w:bidi="ar"/>
        </w:rPr>
        <w:t>, anti-LOXL1 (26608-1-AP, Proteintech, 1:500), anti-collagen I (67288-1-Ig, Proteintech, 1:5000), and anti-</w:t>
      </w:r>
      <w:r>
        <w:rPr>
          <w:rFonts w:hint="default" w:ascii="Times New Roman" w:hAnsi="Times New Roman" w:eastAsia="宋体" w:cs="Times New Roman"/>
          <w:sz w:val="24"/>
          <w:lang w:val="en-US" w:eastAsia="zh-CN" w:bidi="ar"/>
        </w:rPr>
        <w:t>α</w:t>
      </w:r>
      <w:r>
        <w:rPr>
          <w:rFonts w:hint="eastAsia" w:ascii="Times New Roman" w:hAnsi="Times New Roman" w:eastAsia="宋体" w:cs="Times New Roman"/>
          <w:sz w:val="24"/>
          <w:lang w:val="en-US" w:eastAsia="zh-CN" w:bidi="ar"/>
        </w:rPr>
        <w:t>-SMA</w:t>
      </w:r>
      <w:r>
        <w:rPr>
          <w:rFonts w:ascii="Times New Roman" w:hAnsi="Times New Roman" w:eastAsia="宋体" w:cs="Times New Roman"/>
          <w:sz w:val="24"/>
          <w:lang w:bidi="ar"/>
        </w:rPr>
        <w:t xml:space="preserve"> </w:t>
      </w:r>
      <w:r>
        <w:rPr>
          <w:rFonts w:hint="eastAsia" w:ascii="Times New Roman" w:hAnsi="Times New Roman" w:eastAsia="宋体" w:cs="Times New Roman"/>
          <w:sz w:val="24"/>
          <w:lang w:val="en-US" w:eastAsia="zh-CN" w:bidi="ar"/>
        </w:rPr>
        <w:t xml:space="preserve">(14395-1-AP, Proteintech, 1:10000) antibodies </w:t>
      </w:r>
      <w:r>
        <w:rPr>
          <w:rFonts w:ascii="Times New Roman" w:hAnsi="Times New Roman" w:eastAsia="宋体" w:cs="Times New Roman"/>
          <w:sz w:val="24"/>
          <w:lang w:bidi="ar"/>
        </w:rPr>
        <w:t>in a wet box</w:t>
      </w:r>
      <w:r>
        <w:rPr>
          <w:rFonts w:hint="eastAsia" w:ascii="Times New Roman" w:hAnsi="Times New Roman" w:eastAsia="宋体" w:cs="Times New Roman"/>
          <w:sz w:val="24"/>
          <w:lang w:val="en-US" w:eastAsia="zh-CN" w:bidi="ar"/>
        </w:rPr>
        <w:t>, respectively</w:t>
      </w:r>
      <w:r>
        <w:rPr>
          <w:rFonts w:ascii="Times New Roman" w:hAnsi="Times New Roman" w:eastAsia="宋体" w:cs="Times New Roman"/>
          <w:sz w:val="24"/>
          <w:lang w:bidi="ar"/>
        </w:rPr>
        <w:t xml:space="preserve">. Subsequently, sections were washed with PBS and incubated with HRP-conjugated secondary antibody (SE134, Solarbio, 1:500) for 30 minutes at room temperature. After PBS washes, sections were developed with DAB substrate (for 3-10 minutes) under microscopic monitoring, counterstained with Mayer's hematoxylin (for 3 minutes), and blued in PBS. The stained sections were then dehydrated through a series of ethanol, cleared in xylene, air-dried completely, and finally mounted with neutral balsam for microscopic examination. Positive staining was quantified as the percentage of immunoreactive cells within standardized 100 μm-diameter microscopic fields through ImageJ Software. </w:t>
      </w:r>
    </w:p>
    <w:p w14:paraId="1659A16B">
      <w:pPr>
        <w:spacing w:line="480" w:lineRule="auto"/>
        <w:jc w:val="both"/>
        <w:rPr>
          <w:rFonts w:ascii="Times New Roman" w:hAnsi="Times New Roman" w:cs="Times New Roman"/>
          <w:b/>
          <w:bCs/>
          <w:color w:val="000000" w:themeColor="text1"/>
          <w:sz w:val="24"/>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07923BC0">
      <w:pPr>
        <w:spacing w:line="480" w:lineRule="auto"/>
        <w:jc w:val="both"/>
        <w:rPr>
          <w:rFonts w:ascii="Times New Roman" w:hAnsi="Times New Roman" w:cs="Times New Roman"/>
          <w:b/>
          <w:bCs/>
          <w:sz w:val="24"/>
        </w:rPr>
      </w:pPr>
      <w:r>
        <w:rPr>
          <w:rFonts w:ascii="Times New Roman" w:hAnsi="Times New Roman" w:cs="Times New Roman"/>
          <w:b/>
          <w:bCs/>
          <w:sz w:val="24"/>
          <w14:ligatures w14:val="none"/>
        </w:rPr>
        <w:drawing>
          <wp:inline distT="0" distB="0" distL="0" distR="0">
            <wp:extent cx="5274310" cy="4028440"/>
            <wp:effectExtent l="0" t="0" r="2540" b="0"/>
            <wp:docPr id="1171639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3937" name="图片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274310" cy="4028440"/>
                    </a:xfrm>
                    <a:prstGeom prst="rect">
                      <a:avLst/>
                    </a:prstGeom>
                  </pic:spPr>
                </pic:pic>
              </a:graphicData>
            </a:graphic>
          </wp:inline>
        </w:drawing>
      </w:r>
    </w:p>
    <w:p w14:paraId="100AD8DE">
      <w:pPr>
        <w:spacing w:line="480" w:lineRule="auto"/>
        <w:jc w:val="both"/>
        <w:rPr>
          <w:rFonts w:ascii="Times New Roman" w:hAnsi="Times New Roman" w:eastAsia="宋体" w:cs="Times New Roman"/>
          <w:sz w:val="24"/>
        </w:rPr>
      </w:pPr>
      <w:r>
        <w:rPr>
          <w:rFonts w:hint="eastAsia" w:ascii="Times New Roman" w:hAnsi="Times New Roman" w:cs="Times New Roman"/>
          <w:b/>
          <w:bCs/>
          <w:sz w:val="24"/>
        </w:rPr>
        <w:t xml:space="preserve">Figure S1. </w:t>
      </w:r>
      <w:r>
        <w:rPr>
          <w:rFonts w:hint="eastAsia" w:ascii="Times New Roman" w:hAnsi="Times New Roman" w:cs="Times New Roman"/>
          <w:sz w:val="24"/>
        </w:rPr>
        <w:t xml:space="preserve">Correction of raw quantitative data derived from plasma-exosome proteomics and differences between and within groups. </w:t>
      </w:r>
      <w:r>
        <w:rPr>
          <w:rFonts w:hint="eastAsia" w:ascii="Times New Roman" w:hAnsi="Times New Roman" w:eastAsia="宋体" w:cs="Times New Roman"/>
          <w:sz w:val="24"/>
        </w:rPr>
        <w:t>B</w:t>
      </w:r>
      <w:r>
        <w:rPr>
          <w:rFonts w:ascii="Times New Roman" w:hAnsi="Times New Roman" w:eastAsia="宋体" w:cs="Times New Roman"/>
          <w:sz w:val="24"/>
        </w:rPr>
        <w:t xml:space="preserve">ox plots of protein expression levels before </w:t>
      </w:r>
      <w:r>
        <w:rPr>
          <w:rFonts w:hint="eastAsia" w:ascii="Times New Roman" w:hAnsi="Times New Roman" w:eastAsia="宋体" w:cs="Times New Roman"/>
          <w:sz w:val="24"/>
        </w:rPr>
        <w:t xml:space="preserve">(A) </w:t>
      </w:r>
      <w:r>
        <w:rPr>
          <w:rFonts w:ascii="Times New Roman" w:hAnsi="Times New Roman" w:eastAsia="宋体" w:cs="Times New Roman"/>
          <w:sz w:val="24"/>
        </w:rPr>
        <w:t xml:space="preserve">and after </w:t>
      </w:r>
      <w:r>
        <w:rPr>
          <w:rFonts w:hint="eastAsia" w:ascii="Times New Roman" w:hAnsi="Times New Roman" w:eastAsia="宋体" w:cs="Times New Roman"/>
          <w:sz w:val="24"/>
        </w:rPr>
        <w:t>(B) quantile normalization. (C)</w:t>
      </w:r>
      <w:r>
        <w:rPr>
          <w:rFonts w:ascii="Times New Roman" w:hAnsi="Times New Roman" w:eastAsia="宋体" w:cs="Times New Roman"/>
          <w:sz w:val="24"/>
        </w:rPr>
        <w:t xml:space="preserve"> </w:t>
      </w:r>
      <w:r>
        <w:rPr>
          <w:rFonts w:hint="eastAsia" w:ascii="Times New Roman" w:hAnsi="Times New Roman" w:eastAsia="宋体" w:cs="Times New Roman"/>
          <w:sz w:val="24"/>
        </w:rPr>
        <w:t>C</w:t>
      </w:r>
      <w:r>
        <w:rPr>
          <w:rFonts w:ascii="Times New Roman" w:hAnsi="Times New Roman" w:eastAsia="宋体" w:cs="Times New Roman"/>
          <w:sz w:val="24"/>
        </w:rPr>
        <w:t>lassif</w:t>
      </w:r>
      <w:r>
        <w:rPr>
          <w:rFonts w:hint="eastAsia" w:ascii="Times New Roman" w:hAnsi="Times New Roman" w:eastAsia="宋体" w:cs="Times New Roman"/>
          <w:sz w:val="24"/>
        </w:rPr>
        <w:t>ication of</w:t>
      </w:r>
      <w:r>
        <w:rPr>
          <w:rFonts w:ascii="Times New Roman" w:hAnsi="Times New Roman" w:eastAsia="宋体" w:cs="Times New Roman"/>
          <w:sz w:val="24"/>
        </w:rPr>
        <w:t xml:space="preserve"> the two groups</w:t>
      </w:r>
      <w:r>
        <w:rPr>
          <w:rFonts w:hint="eastAsia" w:ascii="Times New Roman" w:hAnsi="Times New Roman" w:eastAsia="宋体" w:cs="Times New Roman"/>
          <w:sz w:val="24"/>
        </w:rPr>
        <w:t xml:space="preserve"> through </w:t>
      </w:r>
      <w:r>
        <w:rPr>
          <w:rFonts w:ascii="Times New Roman" w:hAnsi="Times New Roman" w:eastAsia="宋体" w:cs="Times New Roman"/>
          <w:sz w:val="24"/>
        </w:rPr>
        <w:t>PLS-DA</w:t>
      </w:r>
      <w:r>
        <w:rPr>
          <w:rFonts w:hint="eastAsia" w:ascii="Times New Roman" w:hAnsi="Times New Roman" w:eastAsia="宋体" w:cs="Times New Roman"/>
          <w:sz w:val="24"/>
        </w:rPr>
        <w:t>.</w:t>
      </w:r>
      <w:r>
        <w:rPr>
          <w:rFonts w:ascii="Times New Roman" w:hAnsi="Times New Roman" w:eastAsia="宋体" w:cs="Times New Roman"/>
          <w:sz w:val="24"/>
        </w:rPr>
        <w:t xml:space="preserve"> </w:t>
      </w:r>
      <w:r>
        <w:rPr>
          <w:rFonts w:hint="eastAsia" w:ascii="Times New Roman" w:hAnsi="Times New Roman" w:eastAsia="宋体" w:cs="Times New Roman"/>
          <w:sz w:val="24"/>
        </w:rPr>
        <w:t>(D)</w:t>
      </w:r>
      <w:r>
        <w:rPr>
          <w:rFonts w:hint="eastAsia"/>
          <w:sz w:val="24"/>
        </w:rPr>
        <w:t xml:space="preserve"> </w:t>
      </w:r>
      <w:r>
        <w:rPr>
          <w:rFonts w:hint="eastAsia" w:ascii="Times New Roman" w:hAnsi="Times New Roman" w:eastAsia="宋体" w:cs="Times New Roman"/>
          <w:sz w:val="24"/>
        </w:rPr>
        <w:t>Violin plots of variation coefficients in protein expression within groups.</w:t>
      </w:r>
    </w:p>
    <w:p w14:paraId="0B2E8542">
      <w:pPr>
        <w:widowControl/>
        <w:spacing w:after="0" w:line="480" w:lineRule="auto"/>
        <w:rPr>
          <w:rFonts w:ascii="Times New Roman" w:hAnsi="Times New Roman" w:eastAsia="宋体" w:cs="Times New Roman"/>
          <w:sz w:val="24"/>
        </w:rPr>
      </w:pPr>
      <w:r>
        <w:rPr>
          <w:rFonts w:ascii="Times New Roman" w:hAnsi="Times New Roman" w:eastAsia="宋体" w:cs="Times New Roman"/>
          <w:sz w:val="24"/>
        </w:rPr>
        <w:br w:type="page"/>
      </w:r>
    </w:p>
    <w:p w14:paraId="12BAE8D4">
      <w:pPr>
        <w:spacing w:line="480" w:lineRule="auto"/>
        <w:jc w:val="both"/>
        <w:rPr>
          <w:rFonts w:ascii="Times New Roman" w:hAnsi="Times New Roman" w:eastAsia="宋体" w:cs="Times New Roman"/>
          <w:sz w:val="24"/>
        </w:rPr>
      </w:pPr>
      <w:r>
        <w:rPr>
          <w:rFonts w:ascii="Times New Roman" w:hAnsi="Times New Roman" w:eastAsia="宋体" w:cs="Times New Roman"/>
          <w:sz w:val="24"/>
          <w14:ligatures w14:val="none"/>
        </w:rPr>
        <w:drawing>
          <wp:inline distT="0" distB="0" distL="0" distR="0">
            <wp:extent cx="5274310" cy="3926205"/>
            <wp:effectExtent l="0" t="0" r="2540" b="0"/>
            <wp:docPr id="14722835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83563" name="图片 1"/>
                    <pic:cNvPicPr>
                      <a:picLocks noChangeAspect="1"/>
                    </pic:cNvPicPr>
                  </pic:nvPicPr>
                  <pic:blipFill>
                    <a:blip r:embed="rId7"/>
                    <a:stretch>
                      <a:fillRect/>
                    </a:stretch>
                  </pic:blipFill>
                  <pic:spPr>
                    <a:xfrm>
                      <a:off x="0" y="0"/>
                      <a:ext cx="5274310" cy="3926205"/>
                    </a:xfrm>
                    <a:prstGeom prst="rect">
                      <a:avLst/>
                    </a:prstGeom>
                  </pic:spPr>
                </pic:pic>
              </a:graphicData>
            </a:graphic>
          </wp:inline>
        </w:drawing>
      </w:r>
    </w:p>
    <w:p w14:paraId="1EA7FC05">
      <w:pPr>
        <w:spacing w:line="480" w:lineRule="auto"/>
        <w:jc w:val="both"/>
        <w:rPr>
          <w:rFonts w:hint="eastAsia" w:ascii="Times New Roman" w:hAnsi="Times New Roman" w:eastAsia="宋体" w:cs="Times New Roman"/>
          <w:sz w:val="24"/>
        </w:rPr>
      </w:pPr>
      <w:r>
        <w:rPr>
          <w:rFonts w:hint="eastAsia" w:ascii="Times New Roman" w:hAnsi="Times New Roman" w:cs="Times New Roman"/>
          <w:b/>
          <w:bCs/>
          <w:sz w:val="24"/>
        </w:rPr>
        <w:t xml:space="preserve">Figure S2. </w:t>
      </w:r>
      <w:r>
        <w:rPr>
          <w:rFonts w:hint="eastAsia" w:ascii="Times New Roman" w:hAnsi="Times New Roman" w:eastAsia="宋体" w:cs="Times New Roman"/>
          <w:sz w:val="24"/>
        </w:rPr>
        <w:t>(A)</w:t>
      </w:r>
      <w:r>
        <w:rPr>
          <w:rFonts w:ascii="Times New Roman" w:hAnsi="Times New Roman" w:eastAsia="宋体" w:cs="Times New Roman"/>
          <w:sz w:val="24"/>
        </w:rPr>
        <w:t xml:space="preserve"> GO enrichment analysis of </w:t>
      </w:r>
      <w:r>
        <w:rPr>
          <w:rFonts w:hint="eastAsia" w:ascii="Times New Roman" w:hAnsi="Times New Roman" w:eastAsia="宋体" w:cs="Times New Roman"/>
          <w:sz w:val="24"/>
        </w:rPr>
        <w:t xml:space="preserve">all the identified </w:t>
      </w:r>
      <w:r>
        <w:rPr>
          <w:rFonts w:ascii="Times New Roman" w:hAnsi="Times New Roman" w:eastAsia="宋体" w:cs="Times New Roman"/>
          <w:sz w:val="24"/>
        </w:rPr>
        <w:t>plasma</w:t>
      </w:r>
      <w:r>
        <w:rPr>
          <w:rFonts w:hint="eastAsia" w:ascii="Times New Roman" w:hAnsi="Times New Roman" w:eastAsia="宋体" w:cs="Times New Roman"/>
          <w:sz w:val="24"/>
        </w:rPr>
        <w:t>-</w:t>
      </w:r>
      <w:r>
        <w:rPr>
          <w:rFonts w:ascii="Times New Roman" w:hAnsi="Times New Roman" w:eastAsia="宋体" w:cs="Times New Roman"/>
          <w:sz w:val="24"/>
        </w:rPr>
        <w:t>exosom</w:t>
      </w:r>
      <w:r>
        <w:rPr>
          <w:rFonts w:hint="eastAsia" w:ascii="Times New Roman" w:hAnsi="Times New Roman" w:eastAsia="宋体" w:cs="Times New Roman"/>
          <w:sz w:val="24"/>
        </w:rPr>
        <w:t>al</w:t>
      </w:r>
      <w:r>
        <w:rPr>
          <w:rFonts w:ascii="Times New Roman" w:hAnsi="Times New Roman" w:eastAsia="宋体" w:cs="Times New Roman"/>
          <w:sz w:val="24"/>
        </w:rPr>
        <w:t xml:space="preserve"> proteins</w:t>
      </w:r>
      <w:r>
        <w:rPr>
          <w:rFonts w:hint="eastAsia" w:ascii="Times New Roman" w:hAnsi="Times New Roman" w:eastAsia="宋体" w:cs="Times New Roman"/>
          <w:sz w:val="24"/>
        </w:rPr>
        <w:t>. (B) Abundance</w:t>
      </w:r>
      <w:r>
        <w:rPr>
          <w:rFonts w:ascii="Times New Roman" w:hAnsi="Times New Roman" w:eastAsia="宋体" w:cs="Times New Roman"/>
          <w:sz w:val="24"/>
        </w:rPr>
        <w:t xml:space="preserve"> of CD9, Alix, and FLOT1 </w:t>
      </w:r>
      <w:r>
        <w:rPr>
          <w:rFonts w:hint="eastAsia" w:ascii="Times New Roman" w:hAnsi="Times New Roman" w:eastAsia="宋体" w:cs="Times New Roman"/>
          <w:sz w:val="24"/>
        </w:rPr>
        <w:t>in the plasma-exosomes across</w:t>
      </w:r>
      <w:r>
        <w:rPr>
          <w:rFonts w:ascii="Times New Roman" w:hAnsi="Times New Roman" w:eastAsia="宋体" w:cs="Times New Roman"/>
          <w:sz w:val="24"/>
        </w:rPr>
        <w:t xml:space="preserve"> the two groups</w:t>
      </w:r>
      <w:r>
        <w:rPr>
          <w:rFonts w:hint="eastAsia" w:ascii="Times New Roman" w:hAnsi="Times New Roman" w:eastAsia="宋体" w:cs="Times New Roman"/>
          <w:sz w:val="24"/>
          <w:lang w:val="en-US" w:eastAsia="zh-CN"/>
        </w:rPr>
        <w:t xml:space="preserve"> (Mann-Whitney test)</w:t>
      </w:r>
      <w:r>
        <w:rPr>
          <w:rFonts w:hint="eastAsia" w:ascii="Times New Roman" w:hAnsi="Times New Roman" w:eastAsia="宋体" w:cs="Times New Roman"/>
          <w:sz w:val="24"/>
        </w:rPr>
        <w:t>. (C-F) GSEA enrichment plots for representative GO terms. (G) GSEA: Enriched KEGG pathways.</w:t>
      </w:r>
    </w:p>
    <w:p w14:paraId="2782DB2B">
      <w:pPr>
        <w:rPr>
          <w:rFonts w:hint="eastAsia" w:ascii="Times New Roman" w:hAnsi="Times New Roman" w:eastAsia="宋体" w:cs="Times New Roman"/>
          <w:sz w:val="24"/>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sz w:val="24"/>
        </w:rPr>
        <w:br w:type="page"/>
      </w:r>
    </w:p>
    <w:p w14:paraId="621EC567">
      <w:pPr>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drawing>
          <wp:inline distT="0" distB="0" distL="114300" distR="114300">
            <wp:extent cx="7108190" cy="4443730"/>
            <wp:effectExtent l="0" t="0" r="6985" b="4445"/>
            <wp:docPr id="2" name="图片 2"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3"/>
                    <pic:cNvPicPr>
                      <a:picLocks noChangeAspect="1"/>
                    </pic:cNvPicPr>
                  </pic:nvPicPr>
                  <pic:blipFill>
                    <a:blip r:embed="rId8"/>
                    <a:stretch>
                      <a:fillRect/>
                    </a:stretch>
                  </pic:blipFill>
                  <pic:spPr>
                    <a:xfrm>
                      <a:off x="0" y="0"/>
                      <a:ext cx="7108190" cy="4443730"/>
                    </a:xfrm>
                    <a:prstGeom prst="rect">
                      <a:avLst/>
                    </a:prstGeom>
                  </pic:spPr>
                </pic:pic>
              </a:graphicData>
            </a:graphic>
          </wp:inline>
        </w:drawing>
      </w:r>
    </w:p>
    <w:p w14:paraId="6250381A">
      <w:pPr>
        <w:rPr>
          <w:rFonts w:hint="eastAsia" w:ascii="Times New Roman" w:hAnsi="Times New Roman" w:cs="Times New Roman" w:eastAsiaTheme="minorEastAsia"/>
          <w:b/>
          <w:bCs/>
          <w:sz w:val="24"/>
          <w:lang w:val="en-US" w:eastAsia="zh-CN"/>
        </w:rPr>
      </w:pPr>
      <w:r>
        <w:rPr>
          <w:rFonts w:hint="eastAsia" w:ascii="Times New Roman" w:hAnsi="Times New Roman" w:eastAsia="宋体" w:cs="Times New Roman"/>
          <w:b/>
          <w:bCs/>
          <w:sz w:val="24"/>
          <w:lang w:val="en-US" w:eastAsia="zh-CN"/>
        </w:rPr>
        <w:t>Figure S3</w:t>
      </w:r>
      <w:r>
        <w:rPr>
          <w:rFonts w:hint="eastAsia" w:ascii="Times New Roman" w:hAnsi="Times New Roman" w:eastAsia="宋体" w:cs="Times New Roman"/>
          <w:sz w:val="24"/>
          <w:lang w:val="en-US" w:eastAsia="zh-CN"/>
        </w:rPr>
        <w:t xml:space="preserve">. Expression of LOX (A and B) and LOXL1 (C and D) in two datasets from </w:t>
      </w:r>
      <w:r>
        <w:rPr>
          <w:rFonts w:ascii="Times New Roman" w:hAnsi="Times New Roman" w:cs="Times New Roman"/>
          <w:b w:val="0"/>
          <w:bCs w:val="0"/>
          <w:sz w:val="24"/>
        </w:rPr>
        <w:t>UALCAN database</w:t>
      </w:r>
      <w:r>
        <w:rPr>
          <w:rFonts w:hint="eastAsia" w:ascii="Times New Roman" w:hAnsi="Times New Roman" w:cs="Times New Roman"/>
          <w:b w:val="0"/>
          <w:bCs w:val="0"/>
          <w:sz w:val="24"/>
          <w:lang w:val="en-US" w:eastAsia="zh-CN"/>
        </w:rPr>
        <w:t>.</w:t>
      </w:r>
    </w:p>
    <w:p w14:paraId="0F3E7B9E">
      <w:pPr>
        <w:rPr>
          <w:rFonts w:hint="default" w:ascii="Times New Roman" w:hAnsi="Times New Roman" w:eastAsia="宋体" w:cs="Times New Roman"/>
          <w:sz w:val="24"/>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59B"/>
    <w:rsid w:val="000A626B"/>
    <w:rsid w:val="00213B69"/>
    <w:rsid w:val="002622C8"/>
    <w:rsid w:val="00463C90"/>
    <w:rsid w:val="005666AE"/>
    <w:rsid w:val="00672838"/>
    <w:rsid w:val="0067359B"/>
    <w:rsid w:val="008B0970"/>
    <w:rsid w:val="00963020"/>
    <w:rsid w:val="00973328"/>
    <w:rsid w:val="00A47879"/>
    <w:rsid w:val="00A74DD3"/>
    <w:rsid w:val="00B4672D"/>
    <w:rsid w:val="00B503E5"/>
    <w:rsid w:val="00C54556"/>
    <w:rsid w:val="00CC3BBE"/>
    <w:rsid w:val="00D209A3"/>
    <w:rsid w:val="09335FFB"/>
    <w:rsid w:val="15394BBB"/>
    <w:rsid w:val="1575506A"/>
    <w:rsid w:val="23C30F26"/>
    <w:rsid w:val="24C90995"/>
    <w:rsid w:val="2A0B1A7C"/>
    <w:rsid w:val="3A8E308E"/>
    <w:rsid w:val="3E1C3F55"/>
    <w:rsid w:val="470C34CA"/>
    <w:rsid w:val="528339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spacing w:line="240" w:lineRule="auto"/>
    </w:pPr>
    <w:rPr>
      <w:sz w:val="18"/>
      <w:szCs w:val="18"/>
    </w:rPr>
  </w:style>
  <w:style w:type="paragraph" w:styleId="3">
    <w:name w:val="header"/>
    <w:basedOn w:val="1"/>
    <w:link w:val="9"/>
    <w:qFormat/>
    <w:uiPriority w:val="0"/>
    <w:pPr>
      <w:tabs>
        <w:tab w:val="center" w:pos="4153"/>
        <w:tab w:val="right" w:pos="8306"/>
      </w:tabs>
      <w:snapToGrid w:val="0"/>
      <w:spacing w:line="240" w:lineRule="auto"/>
      <w:jc w:val="center"/>
    </w:pPr>
    <w:rPr>
      <w:sz w:val="18"/>
      <w:szCs w:val="18"/>
    </w:rPr>
  </w:style>
  <w:style w:type="character" w:styleId="6">
    <w:name w:val="FollowedHyperlink"/>
    <w:basedOn w:val="5"/>
    <w:qFormat/>
    <w:uiPriority w:val="0"/>
    <w:rPr>
      <w:color w:val="7E1FAD"/>
      <w:u w:val="single"/>
    </w:rPr>
  </w:style>
  <w:style w:type="character" w:styleId="7">
    <w:name w:val="Hyperlink"/>
    <w:basedOn w:val="5"/>
    <w:qFormat/>
    <w:uiPriority w:val="0"/>
    <w:rPr>
      <w:color w:val="0026E5"/>
      <w:u w:val="single"/>
    </w:rPr>
  </w:style>
  <w:style w:type="character" w:customStyle="1" w:styleId="8">
    <w:name w:val="未处理的提及1"/>
    <w:basedOn w:val="5"/>
    <w:semiHidden/>
    <w:unhideWhenUsed/>
    <w:qFormat/>
    <w:uiPriority w:val="99"/>
    <w:rPr>
      <w:color w:val="605E5C"/>
      <w:shd w:val="clear" w:color="auto" w:fill="E1DFDD"/>
    </w:rPr>
  </w:style>
  <w:style w:type="character" w:customStyle="1" w:styleId="9">
    <w:name w:val="页眉 字符"/>
    <w:basedOn w:val="5"/>
    <w:link w:val="3"/>
    <w:qFormat/>
    <w:uiPriority w:val="0"/>
    <w:rPr>
      <w:rFonts w:asciiTheme="minorHAnsi" w:hAnsiTheme="minorHAnsi" w:eastAsiaTheme="minorEastAsia" w:cstheme="minorBidi"/>
      <w:kern w:val="2"/>
      <w:sz w:val="18"/>
      <w:szCs w:val="18"/>
      <w14:ligatures w14:val="standardContextual"/>
    </w:rPr>
  </w:style>
  <w:style w:type="character" w:customStyle="1" w:styleId="10">
    <w:name w:val="页脚 字符"/>
    <w:basedOn w:val="5"/>
    <w:link w:val="2"/>
    <w:qFormat/>
    <w:uiPriority w:val="0"/>
    <w:rPr>
      <w:rFonts w:asciiTheme="minorHAnsi" w:hAnsiTheme="minorHAnsi" w:eastAsiaTheme="minorEastAsia" w:cstheme="minorBidi"/>
      <w:kern w:val="2"/>
      <w:sz w:val="18"/>
      <w:szCs w:val="18"/>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1056</Words>
  <Characters>6154</Characters>
  <Lines>138</Lines>
  <Paragraphs>25</Paragraphs>
  <TotalTime>0</TotalTime>
  <ScaleCrop>false</ScaleCrop>
  <LinksUpToDate>false</LinksUpToDate>
  <CharactersWithSpaces>7194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2025-09-16T01:24:00Z</dcterms:created>
  <dc:creator>DELL</dc:creator>
  <cp:lastModifiedBy>柚子</cp:lastModifiedBy>
  <dcterms:modified xsi:type="dcterms:W3CDTF">2026-03-03T03:08:41Z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eyJoZGlkIjoiNTFlYmI4MDMzNTVkZWFiMzI4ZTBkNzgwMGExYjczNzYiLCJ1c2VySWQiOiI3MjE5NjUzOTIifQ==</vt:lpwstr>
  </property>
  <property fmtid="{D5CDD505-2E9C-101B-9397-08002B2CF9AE}" pid="4" name="ICV">
    <vt:lpwstr>8260B0160FA442FFAA6202A932F6429F_12</vt:lpwstr>
  </property>
</Properties>
</file>