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F1C" w:rsidRDefault="00550F1C" w:rsidP="00550F1C">
      <w:pPr>
        <w:pStyle w:val="Heading1"/>
        <w:ind w:left="0"/>
      </w:pPr>
      <w:r>
        <w:t xml:space="preserve">Additional file 3: Table S1. Classification of disease groups for first hospitalization across ICD-8 and ICD-10 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9" w:type="dxa"/>
          <w:right w:w="58" w:type="dxa"/>
        </w:tblCellMar>
        <w:tblLook w:val="04A0" w:firstRow="1" w:lastRow="0" w:firstColumn="1" w:lastColumn="0" w:noHBand="0" w:noVBand="1"/>
      </w:tblPr>
      <w:tblGrid>
        <w:gridCol w:w="5328"/>
        <w:gridCol w:w="2060"/>
        <w:gridCol w:w="2035"/>
      </w:tblGrid>
      <w:tr w:rsidR="00550F1C" w:rsidTr="00220B03">
        <w:trPr>
          <w:trHeight w:val="29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Name of category </w:t>
            </w:r>
          </w:p>
        </w:tc>
        <w:tc>
          <w:tcPr>
            <w:tcW w:w="1093" w:type="pct"/>
          </w:tcPr>
          <w:p w:rsidR="00550F1C" w:rsidRDefault="00550F1C" w:rsidP="00220B0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ICD-8 codes </w:t>
            </w:r>
          </w:p>
        </w:tc>
        <w:tc>
          <w:tcPr>
            <w:tcW w:w="1081" w:type="pct"/>
          </w:tcPr>
          <w:p w:rsidR="00550F1C" w:rsidRDefault="00550F1C" w:rsidP="00220B0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ICD-10 codes </w:t>
            </w:r>
          </w:p>
        </w:tc>
      </w:tr>
      <w:tr w:rsidR="00550F1C" w:rsidTr="00220B03">
        <w:trPr>
          <w:trHeight w:val="447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Malignant neoplasm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1400 - 2099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C000 - C979 </w:t>
            </w:r>
          </w:p>
          <w:p w:rsidR="00550F1C" w:rsidRDefault="00550F1C" w:rsidP="00220B03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D000 - D099 </w:t>
            </w:r>
          </w:p>
        </w:tc>
      </w:tr>
      <w:tr w:rsidR="00550F1C" w:rsidTr="00220B03">
        <w:trPr>
          <w:trHeight w:val="221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Respiratory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4600 - 5190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right="49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J000 - J998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Cardiovascular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4000 - 4580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right="5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I000 - I999 </w:t>
            </w:r>
          </w:p>
        </w:tc>
      </w:tr>
      <w:tr w:rsidR="00550F1C" w:rsidTr="00220B03">
        <w:trPr>
          <w:trHeight w:val="4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Mental and behavioral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2900 - 3099 </w:t>
            </w:r>
          </w:p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3100 - 3150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F000 - F999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Dermatological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6800 - 7090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L000 - L998 </w:t>
            </w:r>
          </w:p>
        </w:tc>
      </w:tr>
      <w:tr w:rsidR="00550F1C" w:rsidTr="00220B03">
        <w:trPr>
          <w:trHeight w:val="221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Anemia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2800 - 2890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D500 - D899 </w:t>
            </w:r>
          </w:p>
        </w:tc>
      </w:tr>
      <w:tr w:rsidR="00550F1C" w:rsidTr="00220B03">
        <w:trPr>
          <w:trHeight w:val="619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Infection, bacterial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49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0 - 469 </w:t>
            </w:r>
          </w:p>
          <w:p w:rsidR="00550F1C" w:rsidRDefault="00550F1C" w:rsidP="00220B03">
            <w:pPr>
              <w:ind w:left="13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600 - 689 </w:t>
            </w:r>
          </w:p>
          <w:p w:rsidR="00550F1C" w:rsidRDefault="00550F1C" w:rsidP="00220B03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800 - 1049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A000 - A999 </w:t>
            </w:r>
          </w:p>
        </w:tc>
      </w:tr>
      <w:tr w:rsidR="00550F1C" w:rsidTr="00220B03">
        <w:trPr>
          <w:trHeight w:val="221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Neurological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3200 - 3580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G000 - G989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Endocrine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2400 - 2799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E000 - E900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Symptoms not elsewhere classified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62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None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R000 - R999 </w:t>
            </w:r>
          </w:p>
        </w:tc>
      </w:tr>
      <w:tr w:rsidR="00550F1C" w:rsidTr="00220B03">
        <w:trPr>
          <w:trHeight w:val="221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Gastro-intestinal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5200 - 5770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K000 - K930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Rheumatic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7100 - 7380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2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M000 - M999 </w:t>
            </w:r>
          </w:p>
        </w:tc>
      </w:tr>
      <w:tr w:rsidR="00550F1C" w:rsidTr="00220B03">
        <w:trPr>
          <w:trHeight w:val="220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Kidney/urinary </w:t>
            </w:r>
          </w:p>
        </w:tc>
        <w:tc>
          <w:tcPr>
            <w:tcW w:w="1093" w:type="pct"/>
          </w:tcPr>
          <w:p w:rsidR="00550F1C" w:rsidRDefault="00550F1C" w:rsidP="00220B03">
            <w:pPr>
              <w:ind w:left="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5800 - 6290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N000 - N999 </w:t>
            </w:r>
          </w:p>
        </w:tc>
      </w:tr>
      <w:tr w:rsidR="00550F1C" w:rsidTr="00220B03">
        <w:trPr>
          <w:trHeight w:val="223"/>
        </w:trPr>
        <w:tc>
          <w:tcPr>
            <w:tcW w:w="2827" w:type="pct"/>
          </w:tcPr>
          <w:p w:rsidR="00550F1C" w:rsidRDefault="00550F1C" w:rsidP="00220B03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Injury </w:t>
            </w:r>
          </w:p>
        </w:tc>
        <w:tc>
          <w:tcPr>
            <w:tcW w:w="1093" w:type="pct"/>
          </w:tcPr>
          <w:p w:rsidR="00550F1C" w:rsidRDefault="00550F1C" w:rsidP="00220B03">
            <w:r>
              <w:rPr>
                <w:rFonts w:ascii="Times New Roman" w:eastAsia="Times New Roman" w:hAnsi="Times New Roman" w:cs="Times New Roman"/>
                <w:sz w:val="20"/>
              </w:rPr>
              <w:t xml:space="preserve">N800 - N999 </w:t>
            </w:r>
          </w:p>
        </w:tc>
        <w:tc>
          <w:tcPr>
            <w:tcW w:w="1081" w:type="pct"/>
          </w:tcPr>
          <w:p w:rsidR="00550F1C" w:rsidRDefault="00550F1C" w:rsidP="00220B03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S000 - T983 </w:t>
            </w:r>
          </w:p>
        </w:tc>
      </w:tr>
    </w:tbl>
    <w:p w:rsidR="00E1643F" w:rsidRDefault="00550F1C" w:rsidP="00550F1C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Disease groups have been named based on Christensen et al. (2020). </w:t>
      </w:r>
      <w:bookmarkStart w:id="0" w:name="_GoBack"/>
      <w:bookmarkEnd w:id="0"/>
    </w:p>
    <w:sectPr w:rsidR="00E164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1C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40EF7"/>
    <w:rsid w:val="0054158E"/>
    <w:rsid w:val="00550967"/>
    <w:rsid w:val="00550F1C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1C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550F1C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F1C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550F1C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1C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550F1C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F1C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550F1C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2026-04-02T12:14:00Z</dcterms:created>
  <dcterms:modified xsi:type="dcterms:W3CDTF">2026-04-02T12:14:00Z</dcterms:modified>
</cp:coreProperties>
</file>