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02E1" w14:textId="45AB0C50" w:rsidR="00E4009B" w:rsidRDefault="002F48C0" w:rsidP="00272DBA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Additional file 2</w:t>
      </w:r>
    </w:p>
    <w:p w14:paraId="09B72C2B" w14:textId="77777777" w:rsidR="00E4009B" w:rsidRPr="00E4009B" w:rsidRDefault="00E4009B" w:rsidP="00272DBA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C82C417" w14:textId="7939BD53" w:rsidR="00272DBA" w:rsidRPr="001965F6" w:rsidRDefault="00272DBA" w:rsidP="00272DBA">
      <w:pPr>
        <w:spacing w:after="0" w:line="48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en-US"/>
        </w:rPr>
      </w:pPr>
      <w:r w:rsidRPr="001965F6">
        <w:rPr>
          <w:rFonts w:ascii="Times New Roman" w:hAnsi="Times New Roman"/>
          <w:bCs/>
          <w:i/>
          <w:iCs/>
          <w:sz w:val="24"/>
          <w:szCs w:val="24"/>
          <w:lang w:val="en-US"/>
        </w:rPr>
        <w:t>DNA extraction</w:t>
      </w:r>
    </w:p>
    <w:p w14:paraId="0FA968D2" w14:textId="77777777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Genomic DNA was extracted from native tissue samples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or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deparaffinated FFPE samples using the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QIAamp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DNA Mini Kit (Qiagen, Hilden, Germany) following the manufacturer´s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instructions.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DNA extraction from venous blood samples was performed according to standard protocols on an 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val="en-US"/>
        </w:rPr>
        <w:t>QIAcube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connect 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val="en-US"/>
        </w:rPr>
        <w:t>MDx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instrument (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Qiagen, Hilden, Germany)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.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DNA concentration was measured using a Qubit 4 fluorometer (Invitrogen, Carlsbad, CA, USA) and adjusted according to the requirements of subsequent experiments.</w:t>
      </w:r>
    </w:p>
    <w:p w14:paraId="7126F82F" w14:textId="77777777" w:rsidR="00272DBA" w:rsidRPr="00325097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highlight w:val="yellow"/>
          <w:lang w:val="en-US"/>
        </w:rPr>
      </w:pPr>
    </w:p>
    <w:p w14:paraId="7F0C103E" w14:textId="77777777" w:rsidR="00272DBA" w:rsidRPr="001965F6" w:rsidRDefault="00272DBA" w:rsidP="00272DBA">
      <w:pPr>
        <w:spacing w:after="0" w:line="48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en-US"/>
        </w:rPr>
      </w:pPr>
      <w:r w:rsidRPr="001965F6">
        <w:rPr>
          <w:rFonts w:ascii="Times New Roman" w:hAnsi="Times New Roman"/>
          <w:bCs/>
          <w:i/>
          <w:iCs/>
          <w:sz w:val="24"/>
          <w:szCs w:val="24"/>
          <w:lang w:val="en-US"/>
        </w:rPr>
        <w:t>Variant screening</w:t>
      </w:r>
    </w:p>
    <w:p w14:paraId="0CD80D64" w14:textId="77777777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Cs/>
          <w:iCs/>
          <w:sz w:val="24"/>
          <w:szCs w:val="24"/>
          <w:lang w:val="en-US"/>
        </w:rPr>
        <w:t>A minority of individuals underwent only germline testing of leukocyte DNA samples via targeted Sanger sequencing</w:t>
      </w:r>
      <w:r w:rsidRPr="00CF5C23">
        <w:rPr>
          <w:lang w:val="en-US"/>
        </w:rPr>
        <w:t xml:space="preserve"> </w:t>
      </w:r>
      <w:r w:rsidRPr="00BE4AD3">
        <w:rPr>
          <w:rFonts w:ascii="Times New Roman" w:hAnsi="Times New Roman"/>
          <w:bCs/>
          <w:iCs/>
          <w:sz w:val="24"/>
          <w:szCs w:val="24"/>
          <w:lang w:val="en-US"/>
        </w:rPr>
        <w:t xml:space="preserve">of </w:t>
      </w:r>
      <w:r w:rsidRPr="005D2199">
        <w:rPr>
          <w:rFonts w:ascii="Times New Roman" w:hAnsi="Times New Roman"/>
          <w:bCs/>
          <w:i/>
          <w:sz w:val="24"/>
          <w:szCs w:val="24"/>
          <w:lang w:val="en-US"/>
        </w:rPr>
        <w:t>RASA1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/</w:t>
      </w:r>
      <w:r w:rsidRPr="005D2199">
        <w:rPr>
          <w:rFonts w:ascii="Times New Roman" w:hAnsi="Times New Roman"/>
          <w:bCs/>
          <w:i/>
          <w:sz w:val="24"/>
          <w:szCs w:val="24"/>
          <w:lang w:val="en-US"/>
        </w:rPr>
        <w:t>EPHB4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and </w:t>
      </w:r>
      <w:r w:rsidRPr="005D2199">
        <w:rPr>
          <w:rFonts w:ascii="Times New Roman" w:hAnsi="Times New Roman"/>
          <w:bCs/>
          <w:i/>
          <w:sz w:val="24"/>
          <w:szCs w:val="24"/>
          <w:lang w:val="en-US"/>
        </w:rPr>
        <w:t>PTEN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due to a strong clinical suspicion of CM-AVM or PTEN hamartoma tumor syndrome (PTHS), respectively (Supplemental Table 1). To this end, e</w:t>
      </w:r>
      <w:r w:rsidRPr="00BE4AD3">
        <w:rPr>
          <w:rFonts w:ascii="Times New Roman" w:hAnsi="Times New Roman"/>
          <w:bCs/>
          <w:iCs/>
          <w:sz w:val="24"/>
          <w:szCs w:val="24"/>
          <w:lang w:val="en-US"/>
        </w:rPr>
        <w:t xml:space="preserve">xons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and</w:t>
      </w:r>
      <w:r w:rsidRPr="00BE4AD3">
        <w:rPr>
          <w:rFonts w:ascii="Times New Roman" w:hAnsi="Times New Roman"/>
          <w:bCs/>
          <w:iCs/>
          <w:sz w:val="24"/>
          <w:szCs w:val="24"/>
          <w:lang w:val="en-US"/>
        </w:rPr>
        <w:t xml:space="preserve"> flanking intron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ic regions</w:t>
      </w:r>
      <w:r w:rsidRPr="00BE4AD3">
        <w:rPr>
          <w:rFonts w:ascii="Times New Roman" w:hAnsi="Times New Roman"/>
          <w:bCs/>
          <w:iCs/>
          <w:sz w:val="24"/>
          <w:szCs w:val="24"/>
          <w:lang w:val="en-US"/>
        </w:rPr>
        <w:t xml:space="preserve"> were amplified by PCR, and bidirectional Sanger sequencing was performed using Big Dye Terminator Cycle Sequencing Kit on a 3500xl Genetic Analyzer (Applied Biosystems, Foster City, CA).</w:t>
      </w:r>
    </w:p>
    <w:p w14:paraId="57867A56" w14:textId="109FA3D2" w:rsidR="00272DBA" w:rsidRPr="00325097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Cs/>
          <w:iCs/>
          <w:sz w:val="24"/>
          <w:szCs w:val="24"/>
          <w:lang w:val="en-US"/>
        </w:rPr>
        <w:t>In two tissue samples the causative mosaic PVs with an estimated VAF of 15-20% were detected by Sanger sequencing of MAP2K1 and BRAF hotspot exons and confirmed by repeated testing and digital PCR (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val="en-US"/>
        </w:rPr>
        <w:t>dPCR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), respectively (Supplemental Table 1: Pat. No. 34 and 56). </w:t>
      </w:r>
    </w:p>
    <w:p w14:paraId="5D101A3E" w14:textId="560FFD96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proofErr w:type="gram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The majority of</w:t>
      </w:r>
      <w:proofErr w:type="gram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samples were investigated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via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massive parallel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sequencing of targeted multi-gene panels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using Illumina short-read technology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(Illumina, San Diego, California, USA)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. Enrichment methods and testing strategies were evolving over time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. 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>Initially, separate multigene panels with complementary gene content were used for somatic and germline testing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(“Somatic panel” and “Germline panel”)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 xml:space="preserve">, either sequentially or simultaneously, depending on 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lastRenderedPageBreak/>
        <w:t xml:space="preserve">the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clinical context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>. A read depth of 100-300x was targeted for the germline panels. The panels for screening for somatic variants, on the other hand, were sequenced at ultra-high depth with the additional use of UMIs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(unique molecular identifiers)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A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 xml:space="preserve"> read depth of at least 2000 consensus reads (after demultiplexing)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was envisaged</w:t>
      </w:r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proofErr w:type="gramStart"/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>in order to</w:t>
      </w:r>
      <w:proofErr w:type="gramEnd"/>
      <w:r w:rsidRPr="00DE3540">
        <w:rPr>
          <w:rFonts w:ascii="Times New Roman" w:hAnsi="Times New Roman"/>
          <w:bCs/>
          <w:iCs/>
          <w:sz w:val="24"/>
          <w:szCs w:val="24"/>
          <w:lang w:val="en-US"/>
        </w:rPr>
        <w:t xml:space="preserve"> achieve a mosaic detection sensitivity of at least 0.5% VAF. These values could not always be achieved with FFPE material.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Subsequently</w:t>
      </w:r>
      <w:r w:rsidRPr="00CF5C23">
        <w:rPr>
          <w:rFonts w:ascii="Times New Roman" w:hAnsi="Times New Roman"/>
          <w:bCs/>
          <w:iCs/>
          <w:sz w:val="24"/>
          <w:szCs w:val="24"/>
          <w:lang w:val="en-US"/>
        </w:rPr>
        <w:t xml:space="preserve">, genes with typically germline variants and those with typically somatic variants were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merged</w:t>
      </w:r>
      <w:r w:rsidRPr="00CF5C23">
        <w:rPr>
          <w:rFonts w:ascii="Times New Roman" w:hAnsi="Times New Roman"/>
          <w:bCs/>
          <w:iCs/>
          <w:sz w:val="24"/>
          <w:szCs w:val="24"/>
          <w:lang w:val="en-US"/>
        </w:rPr>
        <w:t xml:space="preserve"> in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to</w:t>
      </w:r>
      <w:r w:rsidRPr="00CF5C23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one</w:t>
      </w:r>
      <w:r w:rsidRPr="00CF5C23">
        <w:rPr>
          <w:rFonts w:ascii="Times New Roman" w:hAnsi="Times New Roman"/>
          <w:bCs/>
          <w:iCs/>
          <w:sz w:val="24"/>
          <w:szCs w:val="24"/>
          <w:lang w:val="en-US"/>
        </w:rPr>
        <w:t xml:space="preserve"> multigene panel using UMIs and ultra-high-throughput sequencing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(“Combined panel”)</w:t>
      </w:r>
      <w:r w:rsidRPr="00CF5C23">
        <w:rPr>
          <w:rFonts w:ascii="Times New Roman" w:hAnsi="Times New Roman"/>
          <w:bCs/>
          <w:iCs/>
          <w:sz w:val="24"/>
          <w:szCs w:val="24"/>
          <w:lang w:val="en-US"/>
        </w:rPr>
        <w:t xml:space="preserve">.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Different target enrichment kits were used during the course of this project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, including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Illumina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TruSeq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Custom Amplicon Panel (TSCA); Agilent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SureSelect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XT HS2 DNA Custom Panel with UMIs (random 3bp duplex) (Agilent Technologies, Santa Clara, CA, USA); Twist EF Custom Library Prep 2.0 of a Twist Custom Panel with Twist UMI Adapter (fixed 5bp or 6bp duplex) (Twist Bioscience, South San Francisco, CA, USA). The target sequence comprised a panel of genes / gene hotspots that are known to be involved in vascular malformations or regional overgrowth. </w:t>
      </w:r>
    </w:p>
    <w:p w14:paraId="4DCBB708" w14:textId="77777777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Library preparation was performed according to the respective manufacturer’s instructions. Indexed sample libraries were equimolarly pooled for final multiplexed sequencing.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Sequencing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was carried out by paired-end sequencing with 2x151 bp reads on a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MiSeq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,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NextSeq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550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or 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val="en-US"/>
        </w:rPr>
        <w:t>NovaSeq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X Plus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system (Illumina, San Diego, California, USA)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, respectively,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to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achieve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for each sample 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>the desired reading depth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, respectively. </w:t>
      </w:r>
    </w:p>
    <w:p w14:paraId="6B3F364A" w14:textId="375B308F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If samples tested negative using an older method, retesting with the latest version of the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C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ombined panel was attempted. If the result remained negative, the analysis was designated as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“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>unrestricted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”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. If the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C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ombined panel could not be used due to insufficient sample material, the analysis was designated as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“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>restricted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”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>. This also applies to cases in which only leukocyte DNA but no lesion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al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 tissue sample was available, or in cases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with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 only FFPE material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of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 poor DNA quality,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where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 xml:space="preserve"> the analysis remained of limited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quality</w:t>
      </w:r>
      <w:r w:rsidRPr="00704ABF">
        <w:rPr>
          <w:rFonts w:ascii="Times New Roman" w:hAnsi="Times New Roman"/>
          <w:bCs/>
          <w:iCs/>
          <w:sz w:val="24"/>
          <w:szCs w:val="24"/>
          <w:lang w:val="en-US"/>
        </w:rPr>
        <w:t>.</w:t>
      </w:r>
    </w:p>
    <w:p w14:paraId="78F8CBF1" w14:textId="77777777" w:rsidR="00E4009B" w:rsidRDefault="00E4009B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513F6BD2" w14:textId="53262225" w:rsidR="00272DBA" w:rsidRPr="006815E5" w:rsidRDefault="00272DBA" w:rsidP="00272DBA">
      <w:pPr>
        <w:spacing w:after="0" w:line="48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en-US"/>
        </w:rPr>
      </w:pPr>
      <w:r w:rsidRPr="006815E5">
        <w:rPr>
          <w:rFonts w:ascii="Times New Roman" w:hAnsi="Times New Roman"/>
          <w:bCs/>
          <w:i/>
          <w:iCs/>
          <w:sz w:val="24"/>
          <w:szCs w:val="24"/>
          <w:lang w:val="en-US"/>
        </w:rPr>
        <w:lastRenderedPageBreak/>
        <w:t>Genomic data analyses</w:t>
      </w:r>
    </w:p>
    <w:p w14:paraId="09184882" w14:textId="77777777" w:rsidR="00272DBA" w:rsidRDefault="00272DBA" w:rsidP="00272DBA">
      <w:pPr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Raw data (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bcl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-format, binary base call sequence files) were uploaded to the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varvis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® software package (Limbus Medical Technologies GmbH, Rostock, Germany) and processed (demultiplexing, read alignment, error correction) using the GRCh37 reference genome and the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varvis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® bioinformatics pipeline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in its </w:t>
      </w:r>
      <w:r w:rsidRPr="00130B26">
        <w:rPr>
          <w:rFonts w:ascii="Times New Roman" w:hAnsi="Times New Roman"/>
          <w:bCs/>
          <w:iCs/>
          <w:sz w:val="24"/>
          <w:szCs w:val="24"/>
          <w:lang w:val="en-US"/>
        </w:rPr>
        <w:t xml:space="preserve">latest version available at the time, most recently 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version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2.4.1.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T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he manufacturer's standard settings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were applied</w:t>
      </w:r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. For UMI analysis (duplex sequencing data processing), duplex barcode sequences were extracted from the read sequence according to the manufacturer's user manual (Agilent </w:t>
      </w:r>
      <w:proofErr w:type="spellStart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>SureSelect</w:t>
      </w:r>
      <w:proofErr w:type="spellEnd"/>
      <w:r w:rsidRPr="00325097">
        <w:rPr>
          <w:rFonts w:ascii="Times New Roman" w:hAnsi="Times New Roman"/>
          <w:bCs/>
          <w:iCs/>
          <w:sz w:val="24"/>
          <w:szCs w:val="24"/>
          <w:lang w:val="en-US"/>
        </w:rPr>
        <w:t xml:space="preserve"> XT HS2 DNA Kits Protocol or Twist EF Library Preparation Kit, respectively) and reads were aligned to the reference genome. A minimum of two reads were required to define a strand-specific consensus read. Strand-specific consensus reads were then combined to create a final consensus read. Variant consensus reads were called down to a minimum variant allele frequency (VAF) of 0.5% with two aberrant consensus reads minimum, thereby reaching a detection threshold for mosaic variants of at least 0.5% for most samples. The target regions typically had a mean sequencing depth of &gt;2,000x after demultiplexing, except for DNA samples from FFPE tissue which yielded variable but usually lower coverage.</w:t>
      </w:r>
    </w:p>
    <w:p w14:paraId="697F13A9" w14:textId="77777777" w:rsidR="00F61114" w:rsidRDefault="00F61114"/>
    <w:sectPr w:rsidR="00F611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FA"/>
    <w:rsid w:val="0001397C"/>
    <w:rsid w:val="000162BD"/>
    <w:rsid w:val="00050DAE"/>
    <w:rsid w:val="00056CFF"/>
    <w:rsid w:val="000630CA"/>
    <w:rsid w:val="00074E0B"/>
    <w:rsid w:val="00081829"/>
    <w:rsid w:val="00087542"/>
    <w:rsid w:val="000B3C48"/>
    <w:rsid w:val="000C42A2"/>
    <w:rsid w:val="000C7EC8"/>
    <w:rsid w:val="000D45E7"/>
    <w:rsid w:val="000E29CD"/>
    <w:rsid w:val="000F2EEF"/>
    <w:rsid w:val="000F719B"/>
    <w:rsid w:val="00143BB5"/>
    <w:rsid w:val="00154A01"/>
    <w:rsid w:val="00171D75"/>
    <w:rsid w:val="001725F7"/>
    <w:rsid w:val="00174E7F"/>
    <w:rsid w:val="00180719"/>
    <w:rsid w:val="00180CA1"/>
    <w:rsid w:val="00184E9F"/>
    <w:rsid w:val="00187588"/>
    <w:rsid w:val="0019038A"/>
    <w:rsid w:val="001918C0"/>
    <w:rsid w:val="00192C10"/>
    <w:rsid w:val="001937E5"/>
    <w:rsid w:val="001A3B17"/>
    <w:rsid w:val="001B0113"/>
    <w:rsid w:val="001B5D9C"/>
    <w:rsid w:val="001D5DA8"/>
    <w:rsid w:val="001E5A34"/>
    <w:rsid w:val="002047AE"/>
    <w:rsid w:val="00216FFD"/>
    <w:rsid w:val="00220C6A"/>
    <w:rsid w:val="00220F06"/>
    <w:rsid w:val="0022573B"/>
    <w:rsid w:val="00233B55"/>
    <w:rsid w:val="00240C80"/>
    <w:rsid w:val="00241821"/>
    <w:rsid w:val="0024208E"/>
    <w:rsid w:val="00245A8C"/>
    <w:rsid w:val="002646DB"/>
    <w:rsid w:val="002672A2"/>
    <w:rsid w:val="00272DBA"/>
    <w:rsid w:val="002739EB"/>
    <w:rsid w:val="00277FA8"/>
    <w:rsid w:val="002862B8"/>
    <w:rsid w:val="002875E7"/>
    <w:rsid w:val="002A3317"/>
    <w:rsid w:val="002B11D5"/>
    <w:rsid w:val="002B19EE"/>
    <w:rsid w:val="002B2D11"/>
    <w:rsid w:val="002B4B02"/>
    <w:rsid w:val="002C503D"/>
    <w:rsid w:val="002C7C97"/>
    <w:rsid w:val="002D6107"/>
    <w:rsid w:val="002F100A"/>
    <w:rsid w:val="002F48C0"/>
    <w:rsid w:val="003026F0"/>
    <w:rsid w:val="00305FD8"/>
    <w:rsid w:val="00306791"/>
    <w:rsid w:val="003243BA"/>
    <w:rsid w:val="0032632E"/>
    <w:rsid w:val="00345DD2"/>
    <w:rsid w:val="00346152"/>
    <w:rsid w:val="003474D0"/>
    <w:rsid w:val="003512F7"/>
    <w:rsid w:val="00351F94"/>
    <w:rsid w:val="003568F6"/>
    <w:rsid w:val="0035711F"/>
    <w:rsid w:val="003645E5"/>
    <w:rsid w:val="00381114"/>
    <w:rsid w:val="003A1E6B"/>
    <w:rsid w:val="003A6546"/>
    <w:rsid w:val="003B11D2"/>
    <w:rsid w:val="003B2ADD"/>
    <w:rsid w:val="003B65F3"/>
    <w:rsid w:val="003D0E0E"/>
    <w:rsid w:val="003E2550"/>
    <w:rsid w:val="003F0BF6"/>
    <w:rsid w:val="003F1902"/>
    <w:rsid w:val="003F1C66"/>
    <w:rsid w:val="003F42F5"/>
    <w:rsid w:val="003F45B6"/>
    <w:rsid w:val="003F7C8A"/>
    <w:rsid w:val="004053BB"/>
    <w:rsid w:val="004228CD"/>
    <w:rsid w:val="00424988"/>
    <w:rsid w:val="00430EC3"/>
    <w:rsid w:val="0043208D"/>
    <w:rsid w:val="0043276F"/>
    <w:rsid w:val="00443A5E"/>
    <w:rsid w:val="00466078"/>
    <w:rsid w:val="0046691C"/>
    <w:rsid w:val="00472CD5"/>
    <w:rsid w:val="0048308D"/>
    <w:rsid w:val="00487046"/>
    <w:rsid w:val="00493CCC"/>
    <w:rsid w:val="00494F3A"/>
    <w:rsid w:val="00495136"/>
    <w:rsid w:val="00495DC9"/>
    <w:rsid w:val="004A4B4B"/>
    <w:rsid w:val="004B4095"/>
    <w:rsid w:val="004B6740"/>
    <w:rsid w:val="004C7143"/>
    <w:rsid w:val="004E06F2"/>
    <w:rsid w:val="004E7CBD"/>
    <w:rsid w:val="004F0205"/>
    <w:rsid w:val="00500EE2"/>
    <w:rsid w:val="00500FE8"/>
    <w:rsid w:val="00501BDD"/>
    <w:rsid w:val="005046F5"/>
    <w:rsid w:val="00505BFD"/>
    <w:rsid w:val="0051038C"/>
    <w:rsid w:val="0051117F"/>
    <w:rsid w:val="005119C9"/>
    <w:rsid w:val="005129E0"/>
    <w:rsid w:val="00514CB2"/>
    <w:rsid w:val="00523284"/>
    <w:rsid w:val="005311EB"/>
    <w:rsid w:val="00531541"/>
    <w:rsid w:val="00551CFE"/>
    <w:rsid w:val="005544E7"/>
    <w:rsid w:val="00554EA4"/>
    <w:rsid w:val="00562955"/>
    <w:rsid w:val="00577D40"/>
    <w:rsid w:val="00580369"/>
    <w:rsid w:val="00585A2A"/>
    <w:rsid w:val="00595BC9"/>
    <w:rsid w:val="005A4F50"/>
    <w:rsid w:val="005B0586"/>
    <w:rsid w:val="005C26A4"/>
    <w:rsid w:val="005C6967"/>
    <w:rsid w:val="005D2727"/>
    <w:rsid w:val="005D2CA5"/>
    <w:rsid w:val="005D3C09"/>
    <w:rsid w:val="005D58B2"/>
    <w:rsid w:val="005E68F6"/>
    <w:rsid w:val="005F46D6"/>
    <w:rsid w:val="00605509"/>
    <w:rsid w:val="00605BD2"/>
    <w:rsid w:val="006116AE"/>
    <w:rsid w:val="006124A4"/>
    <w:rsid w:val="006267FC"/>
    <w:rsid w:val="006268C1"/>
    <w:rsid w:val="006311FF"/>
    <w:rsid w:val="00631BA5"/>
    <w:rsid w:val="006321E7"/>
    <w:rsid w:val="00651EE5"/>
    <w:rsid w:val="006545C5"/>
    <w:rsid w:val="006546A6"/>
    <w:rsid w:val="006725FB"/>
    <w:rsid w:val="00675681"/>
    <w:rsid w:val="0067613D"/>
    <w:rsid w:val="00681559"/>
    <w:rsid w:val="00684109"/>
    <w:rsid w:val="00687D79"/>
    <w:rsid w:val="006A5C5E"/>
    <w:rsid w:val="006A74C9"/>
    <w:rsid w:val="006E425B"/>
    <w:rsid w:val="006E67F0"/>
    <w:rsid w:val="006F1F66"/>
    <w:rsid w:val="006F3018"/>
    <w:rsid w:val="006F6705"/>
    <w:rsid w:val="00703EBB"/>
    <w:rsid w:val="0070412A"/>
    <w:rsid w:val="0070744B"/>
    <w:rsid w:val="00717081"/>
    <w:rsid w:val="00721835"/>
    <w:rsid w:val="00727A35"/>
    <w:rsid w:val="00731C9F"/>
    <w:rsid w:val="007368DF"/>
    <w:rsid w:val="00741487"/>
    <w:rsid w:val="00744155"/>
    <w:rsid w:val="00750D0F"/>
    <w:rsid w:val="00760F3C"/>
    <w:rsid w:val="007617EE"/>
    <w:rsid w:val="00762331"/>
    <w:rsid w:val="007727E8"/>
    <w:rsid w:val="00774F81"/>
    <w:rsid w:val="0078102B"/>
    <w:rsid w:val="00785BBF"/>
    <w:rsid w:val="007B3E54"/>
    <w:rsid w:val="007B741D"/>
    <w:rsid w:val="007C422A"/>
    <w:rsid w:val="007C4AC7"/>
    <w:rsid w:val="007D13BE"/>
    <w:rsid w:val="007E2455"/>
    <w:rsid w:val="007F20D9"/>
    <w:rsid w:val="007F2C70"/>
    <w:rsid w:val="007F3AD3"/>
    <w:rsid w:val="00801A5B"/>
    <w:rsid w:val="00805254"/>
    <w:rsid w:val="00833647"/>
    <w:rsid w:val="00836C16"/>
    <w:rsid w:val="00845BA3"/>
    <w:rsid w:val="008628A0"/>
    <w:rsid w:val="0086444D"/>
    <w:rsid w:val="00865467"/>
    <w:rsid w:val="008669F5"/>
    <w:rsid w:val="00873812"/>
    <w:rsid w:val="00887423"/>
    <w:rsid w:val="008938D8"/>
    <w:rsid w:val="00895FF0"/>
    <w:rsid w:val="008C52DF"/>
    <w:rsid w:val="008E1404"/>
    <w:rsid w:val="008E2697"/>
    <w:rsid w:val="0091318F"/>
    <w:rsid w:val="009174A3"/>
    <w:rsid w:val="00925725"/>
    <w:rsid w:val="009422D5"/>
    <w:rsid w:val="00950D00"/>
    <w:rsid w:val="00963B95"/>
    <w:rsid w:val="00980891"/>
    <w:rsid w:val="00980DDE"/>
    <w:rsid w:val="00980ECF"/>
    <w:rsid w:val="009905F7"/>
    <w:rsid w:val="0099470D"/>
    <w:rsid w:val="00994E1C"/>
    <w:rsid w:val="009962DE"/>
    <w:rsid w:val="009D354B"/>
    <w:rsid w:val="009E2B38"/>
    <w:rsid w:val="009F226B"/>
    <w:rsid w:val="009F4224"/>
    <w:rsid w:val="00A000FF"/>
    <w:rsid w:val="00A17A38"/>
    <w:rsid w:val="00A22F12"/>
    <w:rsid w:val="00A32CDC"/>
    <w:rsid w:val="00A36F96"/>
    <w:rsid w:val="00A51BDC"/>
    <w:rsid w:val="00A771B8"/>
    <w:rsid w:val="00A80129"/>
    <w:rsid w:val="00A85749"/>
    <w:rsid w:val="00A90383"/>
    <w:rsid w:val="00AA397A"/>
    <w:rsid w:val="00AC6BCE"/>
    <w:rsid w:val="00B01882"/>
    <w:rsid w:val="00B06498"/>
    <w:rsid w:val="00B06CB1"/>
    <w:rsid w:val="00B301C4"/>
    <w:rsid w:val="00B441DE"/>
    <w:rsid w:val="00B60050"/>
    <w:rsid w:val="00B61574"/>
    <w:rsid w:val="00B63FE0"/>
    <w:rsid w:val="00B6521C"/>
    <w:rsid w:val="00B90E6B"/>
    <w:rsid w:val="00B972C5"/>
    <w:rsid w:val="00BA5E8B"/>
    <w:rsid w:val="00BB0767"/>
    <w:rsid w:val="00BB3A91"/>
    <w:rsid w:val="00BC27DD"/>
    <w:rsid w:val="00BC5159"/>
    <w:rsid w:val="00BC5522"/>
    <w:rsid w:val="00BD1264"/>
    <w:rsid w:val="00BD7074"/>
    <w:rsid w:val="00BE44BA"/>
    <w:rsid w:val="00BE5925"/>
    <w:rsid w:val="00BF3AE7"/>
    <w:rsid w:val="00BF5A96"/>
    <w:rsid w:val="00C109AF"/>
    <w:rsid w:val="00C2016E"/>
    <w:rsid w:val="00C224B1"/>
    <w:rsid w:val="00C23F05"/>
    <w:rsid w:val="00C23F67"/>
    <w:rsid w:val="00C25221"/>
    <w:rsid w:val="00C264AB"/>
    <w:rsid w:val="00C30C5F"/>
    <w:rsid w:val="00C34EB0"/>
    <w:rsid w:val="00C3592D"/>
    <w:rsid w:val="00C35D54"/>
    <w:rsid w:val="00C45AB6"/>
    <w:rsid w:val="00C63B7D"/>
    <w:rsid w:val="00C73F83"/>
    <w:rsid w:val="00C7572A"/>
    <w:rsid w:val="00C81C8A"/>
    <w:rsid w:val="00C92006"/>
    <w:rsid w:val="00C94D67"/>
    <w:rsid w:val="00CA368C"/>
    <w:rsid w:val="00CA5039"/>
    <w:rsid w:val="00CB4F99"/>
    <w:rsid w:val="00CB7E0F"/>
    <w:rsid w:val="00CC348F"/>
    <w:rsid w:val="00CC5274"/>
    <w:rsid w:val="00CD4725"/>
    <w:rsid w:val="00CE59A6"/>
    <w:rsid w:val="00CE7CBA"/>
    <w:rsid w:val="00CF5530"/>
    <w:rsid w:val="00CF67F4"/>
    <w:rsid w:val="00D01D25"/>
    <w:rsid w:val="00D15842"/>
    <w:rsid w:val="00D20110"/>
    <w:rsid w:val="00D202DD"/>
    <w:rsid w:val="00D3388D"/>
    <w:rsid w:val="00D34134"/>
    <w:rsid w:val="00D35455"/>
    <w:rsid w:val="00D4072B"/>
    <w:rsid w:val="00D46327"/>
    <w:rsid w:val="00D50FD2"/>
    <w:rsid w:val="00D84929"/>
    <w:rsid w:val="00D90EA9"/>
    <w:rsid w:val="00D911F6"/>
    <w:rsid w:val="00D96848"/>
    <w:rsid w:val="00DA25D8"/>
    <w:rsid w:val="00DA7EB5"/>
    <w:rsid w:val="00DB13C4"/>
    <w:rsid w:val="00DB1696"/>
    <w:rsid w:val="00DB5194"/>
    <w:rsid w:val="00DE5ACE"/>
    <w:rsid w:val="00DF3D0A"/>
    <w:rsid w:val="00E044A6"/>
    <w:rsid w:val="00E10630"/>
    <w:rsid w:val="00E11D6B"/>
    <w:rsid w:val="00E20099"/>
    <w:rsid w:val="00E20840"/>
    <w:rsid w:val="00E22794"/>
    <w:rsid w:val="00E23E1D"/>
    <w:rsid w:val="00E3170B"/>
    <w:rsid w:val="00E31F31"/>
    <w:rsid w:val="00E4009B"/>
    <w:rsid w:val="00E4143B"/>
    <w:rsid w:val="00E504E8"/>
    <w:rsid w:val="00E553E0"/>
    <w:rsid w:val="00E62F2C"/>
    <w:rsid w:val="00E665EA"/>
    <w:rsid w:val="00E7657E"/>
    <w:rsid w:val="00E80BE9"/>
    <w:rsid w:val="00EA045E"/>
    <w:rsid w:val="00EA3137"/>
    <w:rsid w:val="00EA7F98"/>
    <w:rsid w:val="00EB1F42"/>
    <w:rsid w:val="00EC18CD"/>
    <w:rsid w:val="00EC2826"/>
    <w:rsid w:val="00EC2951"/>
    <w:rsid w:val="00ED2387"/>
    <w:rsid w:val="00ED4137"/>
    <w:rsid w:val="00EE2476"/>
    <w:rsid w:val="00EF2F3C"/>
    <w:rsid w:val="00F158F0"/>
    <w:rsid w:val="00F40D8C"/>
    <w:rsid w:val="00F45D4B"/>
    <w:rsid w:val="00F47E03"/>
    <w:rsid w:val="00F540C7"/>
    <w:rsid w:val="00F55AB6"/>
    <w:rsid w:val="00F61114"/>
    <w:rsid w:val="00F74A45"/>
    <w:rsid w:val="00F7675E"/>
    <w:rsid w:val="00F80436"/>
    <w:rsid w:val="00F94EAC"/>
    <w:rsid w:val="00F9675F"/>
    <w:rsid w:val="00FA5ADD"/>
    <w:rsid w:val="00FB6E66"/>
    <w:rsid w:val="00FC0009"/>
    <w:rsid w:val="00FC1242"/>
    <w:rsid w:val="00FC163D"/>
    <w:rsid w:val="00FD09FA"/>
    <w:rsid w:val="00FD39EA"/>
    <w:rsid w:val="00FD5F2E"/>
    <w:rsid w:val="00FD7928"/>
    <w:rsid w:val="00FE0A9A"/>
    <w:rsid w:val="00FE1794"/>
    <w:rsid w:val="00FE3653"/>
    <w:rsid w:val="00FE4D89"/>
    <w:rsid w:val="00FE6F73"/>
    <w:rsid w:val="00FF42FF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1BAB06"/>
  <w15:chartTrackingRefBased/>
  <w15:docId w15:val="{80FFCFF8-C44F-5E4D-83DF-E62B4CD7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DB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D09F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09F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09FA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09FA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09FA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09FA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09FA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09FA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09FA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09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D09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09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09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09FA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09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09FA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09F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09FA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D0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D09F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09FA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09F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D09FA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D09FA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D09FA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D09F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0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09FA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FD09FA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2DB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Vanessa F. Schmidt</cp:lastModifiedBy>
  <cp:revision>6</cp:revision>
  <dcterms:created xsi:type="dcterms:W3CDTF">2025-11-17T11:04:00Z</dcterms:created>
  <dcterms:modified xsi:type="dcterms:W3CDTF">2026-03-21T10:35:00Z</dcterms:modified>
</cp:coreProperties>
</file>