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87216" w14:textId="77777777" w:rsidR="000B0063" w:rsidRDefault="00000000" w:rsidP="00326FE4">
      <w:pPr>
        <w:spacing w:line="480" w:lineRule="auto"/>
        <w:rPr>
          <w:rFonts w:ascii="Times New Roman" w:hAnsi="Times New Roman" w:cs="Times New Roman"/>
          <w:b/>
          <w:bCs/>
          <w:sz w:val="32"/>
          <w:szCs w:val="40"/>
        </w:rPr>
      </w:pPr>
      <w:r>
        <w:rPr>
          <w:rFonts w:ascii="Times New Roman" w:hAnsi="Times New Roman" w:cs="Times New Roman"/>
          <w:b/>
          <w:bCs/>
          <w:sz w:val="32"/>
          <w:szCs w:val="40"/>
        </w:rPr>
        <w:t>Supplementary Methods</w:t>
      </w:r>
    </w:p>
    <w:p w14:paraId="52F34BD6" w14:textId="77777777" w:rsidR="000B0063" w:rsidRDefault="000B0063" w:rsidP="00326FE4">
      <w:pPr>
        <w:spacing w:line="480" w:lineRule="auto"/>
        <w:rPr>
          <w:rFonts w:ascii="Times New Roman" w:hAnsi="Times New Roman" w:cs="Times New Roman"/>
          <w:b/>
          <w:bCs/>
          <w:sz w:val="28"/>
          <w:szCs w:val="36"/>
        </w:rPr>
      </w:pPr>
    </w:p>
    <w:p w14:paraId="2C468ABB" w14:textId="77777777" w:rsidR="000B0063" w:rsidRDefault="00000000" w:rsidP="00326FE4">
      <w:pPr>
        <w:spacing w:line="480" w:lineRule="auto"/>
        <w:rPr>
          <w:rFonts w:ascii="Times New Roman" w:hAnsi="Times New Roman" w:cs="Times New Roman"/>
          <w:b/>
          <w:bCs/>
          <w:sz w:val="28"/>
          <w:szCs w:val="36"/>
        </w:rPr>
      </w:pPr>
      <w:r>
        <w:rPr>
          <w:rFonts w:ascii="Times New Roman" w:hAnsi="Times New Roman" w:cs="Times New Roman" w:hint="eastAsia"/>
          <w:b/>
          <w:bCs/>
          <w:sz w:val="28"/>
          <w:szCs w:val="36"/>
        </w:rPr>
        <w:t>Study</w:t>
      </w:r>
      <w:r>
        <w:rPr>
          <w:rFonts w:ascii="Times New Roman" w:hAnsi="Times New Roman" w:cs="Times New Roman"/>
          <w:b/>
          <w:bCs/>
          <w:sz w:val="28"/>
          <w:szCs w:val="36"/>
        </w:rPr>
        <w:t xml:space="preserve"> Outcomes for MR analysis</w:t>
      </w:r>
    </w:p>
    <w:p w14:paraId="7353FC98" w14:textId="18EC4CE9" w:rsidR="000B0063" w:rsidRDefault="00000000" w:rsidP="00326FE4">
      <w:pPr>
        <w:spacing w:line="480" w:lineRule="auto"/>
        <w:rPr>
          <w:rFonts w:ascii="Times New Roman" w:hAnsi="Times New Roman" w:cs="Times New Roman"/>
          <w:sz w:val="24"/>
          <w:szCs w:val="32"/>
        </w:rPr>
      </w:pPr>
      <w:r>
        <w:rPr>
          <w:rFonts w:ascii="Times New Roman" w:hAnsi="Times New Roman" w:cs="Times New Roman"/>
          <w:sz w:val="24"/>
          <w:szCs w:val="32"/>
        </w:rPr>
        <w:t xml:space="preserve">We chose four sets of CKM related phenotypes as outcomes for this study. First, five kidney function-related phenotypes, including CKD, estimated glomerular filtration rate (eGFR), blood urea nitrogen (BUN), microalbuminuria (MA) and urinary albumin-to-creatinine ratio (UACR) </w:t>
      </w:r>
      <w:r>
        <w:rPr>
          <w:rFonts w:ascii="Times New Roman" w:hAnsi="Times New Roman" w:cs="Times New Roman" w:hint="eastAsia"/>
          <w:sz w:val="24"/>
          <w:szCs w:val="32"/>
        </w:rPr>
        <w:t>were</w:t>
      </w:r>
      <w:r>
        <w:rPr>
          <w:rFonts w:ascii="Times New Roman" w:hAnsi="Times New Roman" w:cs="Times New Roman"/>
          <w:sz w:val="24"/>
          <w:szCs w:val="32"/>
        </w:rPr>
        <w:t xml:space="preserve"> sourced from </w:t>
      </w:r>
      <w:proofErr w:type="spellStart"/>
      <w:r>
        <w:rPr>
          <w:rFonts w:ascii="Times New Roman" w:hAnsi="Times New Roman" w:cs="Times New Roman"/>
          <w:sz w:val="24"/>
          <w:szCs w:val="32"/>
        </w:rPr>
        <w:t>CKDGen</w:t>
      </w:r>
      <w:proofErr w:type="spellEnd"/>
      <w:r>
        <w:rPr>
          <w:rFonts w:ascii="Times New Roman" w:hAnsi="Times New Roman" w:cs="Times New Roman"/>
          <w:sz w:val="24"/>
          <w:szCs w:val="32"/>
        </w:rPr>
        <w:t xml:space="preserve"> Consortium.</w:t>
      </w:r>
      <w:r w:rsidR="000A36FA">
        <w:rPr>
          <w:rFonts w:ascii="Times New Roman" w:hAnsi="Times New Roman" w:cs="Times New Roman"/>
          <w:sz w:val="24"/>
          <w:szCs w:val="32"/>
        </w:rPr>
        <w:t>(24)</w:t>
      </w:r>
      <w:r>
        <w:rPr>
          <w:rFonts w:ascii="Times New Roman" w:hAnsi="Times New Roman" w:cs="Times New Roman"/>
          <w:sz w:val="24"/>
          <w:szCs w:val="32"/>
        </w:rPr>
        <w:t xml:space="preserve"> Genetic associations information for eGFR, BUN and CKD were obtained from a large meta-analysis of </w:t>
      </w:r>
      <w:r>
        <w:rPr>
          <w:rStyle w:val="a3"/>
          <w:rFonts w:ascii="Times New Roman" w:hAnsi="Times New Roman" w:cs="Times New Roman"/>
          <w:color w:val="000000" w:themeColor="text1"/>
          <w:sz w:val="24"/>
          <w:szCs w:val="32"/>
          <w:u w:val="none"/>
        </w:rPr>
        <w:t>genome-wide association studies</w:t>
      </w:r>
      <w:r>
        <w:rPr>
          <w:rFonts w:ascii="Times New Roman" w:hAnsi="Times New Roman" w:cs="Times New Roman"/>
          <w:sz w:val="24"/>
          <w:szCs w:val="32"/>
        </w:rPr>
        <w:t xml:space="preserve"> (GWAS) containing 480,698 cases and controls,</w:t>
      </w:r>
      <w:r w:rsidR="000A36FA">
        <w:rPr>
          <w:rFonts w:ascii="Times New Roman" w:hAnsi="Times New Roman" w:cs="Times New Roman"/>
          <w:sz w:val="24"/>
          <w:szCs w:val="32"/>
        </w:rPr>
        <w:t>(25,26)</w:t>
      </w:r>
      <w:r>
        <w:rPr>
          <w:rFonts w:ascii="Times New Roman" w:hAnsi="Times New Roman" w:cs="Times New Roman"/>
          <w:sz w:val="24"/>
          <w:szCs w:val="32"/>
        </w:rPr>
        <w:t xml:space="preserve"> while MA and UACR data were from a meta-analysis of 564,257 participants.</w:t>
      </w:r>
      <w:r w:rsidR="000A36FA">
        <w:rPr>
          <w:rFonts w:ascii="Times New Roman" w:hAnsi="Times New Roman" w:cs="Times New Roman"/>
          <w:sz w:val="24"/>
          <w:szCs w:val="32"/>
        </w:rPr>
        <w:t>(27,28)</w:t>
      </w:r>
      <w:r>
        <w:rPr>
          <w:rFonts w:ascii="Times New Roman" w:hAnsi="Times New Roman" w:cs="Times New Roman"/>
          <w:sz w:val="24"/>
          <w:szCs w:val="32"/>
        </w:rPr>
        <w:t xml:space="preserve"> Second, HF and coronary artery disease (CAD) was chosen as CVD outcomes. GWAS data for HF (47,309 cases, 930,014 controls) and CAD (181,522 cases, 1,165,690 participants) were obtained from large meta-analyses.</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ZOTERO_ITEM CSL_CITATION {"citationID":"a13injp31u6","properties":{"formattedCitation":"(4,5)","plainCitation":"(4,5)","noteIndex":0},"citationItems":[{"id":1787,"uris":["http://zotero.org/users/11296212/items/NCSE9ZUP"],"itemData":{"id":1787,"type":"article-journal","abstract":"Heart failure (HF) is a leading cause of morbidity and mortality worldwide. A small proportion of HF cases are attributable to monogenic cardiomyopathies and existing genome-wide association studies (GWAS) have yielded only limited insights, leaving the observed heritability of HF largely unexplained. We report results from a GWAS meta-analysis of HF comprising 47,309 cases and 930,014 controls. Twelve independent variants at 11 genomic loci are associated with HF, all of which demonstrate one or more associations with coronary artery disease (CAD), atrial fibrillation, or reduced left ventricular function, suggesting shared genetic aetiology. Functional analysis of non-CAD-associated loci implicate genes involved in cardiac development (MYOZ1, SYNPO2L), protein homoeostasis (BAG3), and cellular senescence (CDKN1A). Mendelian randomisation analysis supports causal roles for several HF risk factors, and demonstrates CAD-independent effects for atrial fibrillation, body mass index, and hypertension. These findings extend our knowledge of the pathways underlying HF and may inform new therapeutic strategies.","call-number":"1","container-title":"Nature Communications","DOI":"10.1038/s41467-019-13690-5","ISSN":"2041-1723","issue":"1","journalAbbreviation":"Nat Commun","language":"eng","note":"PMID: 31919418\nPMCID: PMC6952380","page":"163","source":"16.6","title":"Genome-wide association and Mendelian randomisation analysis provide insights into the pathogenesis of heart failure","volume":"11","author":[{"family":"Shah","given":"Sonia"},{"family":"Henry","given":"Albert"},{"family":"Roselli","given":"Carolina"},{"family":"Lin","given":"Honghuang"},{"family":"Sveinbjörnsson","given":"Garðar"},{"family":"Fatemifar","given":"Ghazaleh"},{"family":"Hedman","given":"Åsa K."},{"family":"Wilk","given":"Jemma B."},{"family":"Morley","given":"Michael P."},{"family":"Chaffin","given":"Mark D."},{"family":"Helgadottir","given":"Anna"},{"family":"Verweij","given":"Niek"},{"family":"Dehghan","given":"Abbas"},{"family":"Almgren","given":"Peter"},{"family":"Andersson","given":"Charlotte"},{"family":"Aragam","given":"Krishna G."},{"family":"Ärnlöv","given":"Johan"},{"family":"Backman","given":"Joshua D."},{"family":"Biggs","given":"Mary L."},{"family":"Bloom","given":"Heather L."},{"family":"Brandimarto","given":"Jeffrey"},{"family":"Brown","given":"Michael R."},{"family":"Buckbinder","given":"Leonard"},{"family":"Carey","given":"David J."},{"family":"Chasman","given":"Daniel I."},{"family":"Chen","given":"Xing"},{"family":"Chen","given":"Xu"},{"family":"Chung","given":"Jonathan"},{"family":"Chutkow","given":"William"},{"family":"Cook","given":"James P."},{"family":"Delgado","given":"Graciela E."},{"family":"Denaxas","given":"Spiros"},{"family":"Doney","given":"Alexander S."},{"family":"Dörr","given":"Marcus"},{"family":"Dudley","given":"Samuel C."},{"family":"Dunn","given":"Michael E."},{"family":"Engström","given":"Gunnar"},{"family":"Esko","given":"Tõnu"},{"family":"Felix","given":"Stephan B."},{"family":"Finan","given":"Chris"},{"family":"Ford","given":"Ian"},{"family":"Ghanbari","given":"Mohsen"},{"family":"Ghasemi","given":"Sahar"},{"family":"Giedraitis","given":"Vilmantas"},{"family":"Giulianini","given":"Franco"},{"family":"Gottdiener","given":"John S."},{"family":"Gross","given":"Stefan"},{"family":"Guðbjartsson","given":"Daníel F."},{"family":"Gutmann","given":"Rebecca"},{"family":"Haggerty","given":"Christopher M."},{"family":"Harst","given":"Pim","non-dropping-particle":"van der"},{"family":"Hyde","given":"Craig L."},{"family":"Ingelsson","given":"Erik"},{"family":"Jukema","given":"J. Wouter"},{"family":"Kavousi","given":"Maryam"},{"family":"Khaw","given":"Kay-Tee"},{"family":"Kleber","given":"Marcus E."},{"family":"Køber","given":"Lars"},{"family":"Koekemoer","given":"Andrea"},{"family":"Langenberg","given":"Claudia"},{"family":"Lind","given":"Lars"},{"family":"Lindgren","given":"Cecilia M."},{"family":"London","given":"Barry"},{"family":"Lotta","given":"Luca A."},{"family":"Lovering","given":"Ruth C."},{"family":"Luan","given":"Jian'an"},{"family":"Magnusson","given":"Patrik"},{"family":"Mahajan","given":"Anubha"},{"family":"Margulies","given":"Kenneth B."},{"family":"März","given":"Winfried"},{"family":"Melander","given":"Olle"},{"family":"Mordi","given":"Ify R."},{"family":"Morgan","given":"Thomas"},{"family":"Morris","given":"Andrew D."},{"family":"Morris","given":"Andrew P."},{"family":"Morrison","given":"Alanna C."},{"family":"Nagle","given":"Michael W."},{"family":"Nelson","given":"Christopher P."},{"family":"Niessner","given":"Alexander"},{"family":"Niiranen","given":"Teemu"},{"family":"O'Donoghue","given":"Michelle L."},{"family":"Owens","given":"Anjali T."},{"family":"Palmer","given":"Colin N. A."},{"family":"Parry","given":"Helen M."},{"family":"Perola","given":"Markus"},{"family":"Portilla-Fernandez","given":"Eliana"},{"family":"Psaty","given":"Bruce M."},{"literal":"Regeneron Genetics Center"},{"family":"Rice","given":"Kenneth M."},{"family":"Ridker","given":"Paul M."},{"family":"Romaine","given":"Simon P. R."},{"family":"Rotter","given":"Jerome I."},{"family":"Salo","given":"Perttu"},{"family":"Salomaa","given":"Veikko"},{"family":"Setten","given":"Jessica","non-dropping-particle":"van"},{"family":"Shalaby","given":"Alaa A."},{"family":"Smelser","given":"Diane T."},{"family":"Smith","given":"Nicholas L."},{"family":"Stender","given":"Steen"},{"family":"Stott","given":"David J."},{"family":"Svensson","given":"Per"},{"family":"Tammesoo","given":"Mari-Liis"},{"family":"Taylor","given":"Kent D."},{"family":"Teder-Laving","given":"Maris"},{"family":"Teumer","given":"Alexander"},{"family":"Thorgeirsson","given":"Guðmundur"},{"family":"Thorsteinsdottir","given":"Unnur"},{"family":"Torp-Pedersen","given":"Christian"},{"family":"Trompet","given":"Stella"},{"family":"Tyl","given":"Benoit"},{"family":"Uitterlinden","given":"Andre G."},{"family":"Veluchamy","given":"Abirami"},{"family":"Völker","given":"Uwe"},{"family":"Voors","given":"Adriaan A."},{"family":"Wang","given":"Xiaosong"},{"family":"Wareham","given":"Nicholas J."},{"family":"Waterworth","given":"Dawn"},{"family":"Weeke","given":"Peter E."},{"family":"Weiss","given":"Raul"},{"family":"Wiggins","given":"Kerri L."},{"family":"Xing","given":"Heming"},{"family":"Yerges-Armstrong","given":"Laura M."},{"family":"Yu","given":"Bing"},{"family":"Zannad","given":"Faiez"},{"family":"Zhao","given":"Jing Hua"},{"family":"Hemingway","given":"Harry"},{"family":"Samani","given":"Nilesh J."},{"family":"McMurray","given":"John J. V."},{"family":"Yang","given":"Jian"},{"family":"Visscher","given":"Peter M."},{"family":"Newton-Cheh","given":"Christopher"},{"family":"Malarstig","given":"Anders"},{"family":"Holm","given":"Hilma"},{"family":"Lubitz","given":"Steven A."},{"family":"Sattar","given":"Naveed"},{"family":"Holmes","given":"Michael V."},{"family":"Cappola","given":"Thomas P."},{"family":"Asselbergs","given":"Folkert W."},{"family":"Hingorani","given":"Aroon D."},{"family":"Kuchenbaecker","given":"Karoline"},{"family":"Ellinor","given":"Patrick T."},{"family":"Lang","given":"Chim C."},{"family":"Stefansson","given":"Kari"},{"family":"Smith","given":"J. Gustav"},{"family":"Vasan","given":"Ramachandran S."},{"family":"Swerdlow","given":"Daniel I."},{"family":"Lumbers","given":"R. Thomas"}],"issued":{"date-parts":[["2020",1,9]]}}},{"id":2427,"uris":["http://zotero.org/users/11296212/items/JYBDXAM9"],"itemData":{"id":2427,"type":"article-journal","abstract":"The discovery of genetic loci associated with complex diseases has outpaced the elucidation of mechanisms of disease pathogenesis. Here we conducted a genome-wide association study (GWAS) for coronary artery disease (CAD) comprising 181,522 cases among 1,165,690 participants of predominantly European ancestry. We detected 241 associations, including 30 new loci. Cross-ancestry meta-analysis with a Japanese GWAS yielded 38 additional new loci. We prioritized likely causal variants using functionally informed fine-mapping, yielding 42 associations with less than five variants in the 95% credible set. Similarity-based clustering suggested roles for early developmental processes, cell cycle signaling and vascular cell migration and proliferation in the pathogenesis of CAD. We prioritized 220 candidate causal genes, combining eight complementary approaches, including 123 supported by three or more approaches. Using CRISPR–Cas9, we experimentally validated the effect of an enhancer in MYO9B, which appears to mediate CAD risk by regulating vascular cell motility. Our analysis identifies and systematically characterizes &gt;250 risk loci for CAD to inform experimental interrogation of putative causal mechanisms for CAD., Genome-wide association analyses, functionally informed fine-mapping and complementary gene prioritization approaches identify new risk loci and candidate effector genes for CAD.","call-number":"1","container-title":"Nature Genetics","DOI":"10.1038/s41588-022-01233-6","ISSN":"1061-4036","issue":"12","journalAbbreviation":"Nat Genet","note":"PMID: 36474045\nPMCID: PMC9729111","page":"1803-1815","source":"30.8","title":"Discovery and systematic characterization of risk variants and genes for coronary artery disease in over a million participants","volume":"54","author":[{"family":"Aragam","given":"Krishna G."},{"family":"Jiang","given":"Tao"},{"family":"Goel","given":"Anuj"},{"family":"Kanoni","given":"Stavroula"},{"family":"Wolford","given":"Brooke N."},{"family":"Atri","given":"Deepak S."},{"family":"Weeks","given":"Elle M."},{"family":"Wang","given":"Minxian"},{"family":"Hindy","given":"George"},{"family":"Zhou","given":"Wei"},{"family":"Grace","given":"Christopher"},{"family":"Roselli","given":"Carolina"},{"family":"Marston","given":"Nicholas A."},{"family":"Kamanu","given":"Frederick K."},{"family":"Surakka","given":"Ida"},{"family":"Venegas","given":"Loreto Muñoz"},{"family":"Sherliker","given":"Paul"},{"family":"Koyama","given":"Satoshi"},{"family":"Ishigaki","given":"Kazuyoshi"},{"family":"Åsvold","given":"Bjørn O."},{"family":"Brown","given":"Michael R."},{"family":"Brumpton","given":"Ben"},{"family":"Vries","given":"Paul S.","non-dropping-particle":"de"},{"family":"Giannakopoulou","given":"Olga"},{"family":"Giardoglou","given":"Panagiota"},{"family":"Gudbjartsson","given":"Daniel F."},{"family":"Güldener","given":"Ulrich"},{"family":"Haider","given":"Syed M. Ijlal"},{"family":"Helgadottir","given":"Anna"},{"family":"Ibrahim","given":"Maysson"},{"family":"Kastrati","given":"Adnan"},{"family":"Kessler","given":"Thorsten"},{"family":"Kyriakou","given":"Theodosios"},{"family":"Konopka","given":"Tomasz"},{"family":"Li","given":"Ling"},{"family":"Ma","given":"Lijiang"},{"family":"Meitinger","given":"Thomas"},{"family":"Mucha","given":"Sören"},{"family":"Munz","given":"Matthias"},{"family":"Murgia","given":"Federico"},{"family":"Nielsen","given":"Jonas B."},{"family":"Nöthen","given":"Markus M."},{"family":"Pang","given":"Shichao"},{"family":"Reinberger","given":"Tobias"},{"family":"Schnitzler","given":"Gavin"},{"family":"Smedley","given":"Damian"},{"family":"Thorleifsson","given":"Gudmar"},{"family":"Scheidt","given":"Moritz","non-dropping-particle":"von"},{"family":"Ulirsch","given":"Jacob C."},{"family":"Arnar","given":"David O."},{"family":"Burtt","given":"Noël P."},{"family":"Costanzo","given":"Maria C."},{"family":"Flannick","given":"Jason"},{"family":"Ito","given":"Kaoru"},{"family":"Jang","given":"Dong-Keun"},{"family":"Kamatani","given":"Yoichiro"},{"family":"Khera","given":"Amit V."},{"family":"Komuro","given":"Issei"},{"family":"Kullo","given":"Iftikhar J."},{"family":"Lotta","given":"Luca A."},{"family":"Nelson","given":"Christopher P."},{"family":"Roberts","given":"Robert"},{"family":"Thorgeirsson","given":"Gudmundur"},{"family":"Thorsteinsdottir","given":"Unnur"},{"family":"Webb","given":"Thomas R."},{"family":"Baras","given":"Aris"},{"family":"Björkegren","given":"Johan L. M."},{"family":"Boerwinkle","given":"Eric"},{"family":"Dedoussis","given":"George"},{"family":"Holm","given":"Hilma"},{"family":"Hveem","given":"Kristian"},{"family":"Melander","given":"Olle"},{"family":"Morrison","given":"Alanna C."},{"family":"Orho-Melander","given":"Marju"},{"family":"Rallidis","given":"Loukianos S."},{"family":"Ruusalepp","given":"Arno"},{"family":"Sabatine","given":"Marc S."},{"family":"Stefansson","given":"Kari"},{"family":"Zalloua","given":"Pierre"},{"family":"Ellinor","given":"Patrick T."},{"family":"Farrall","given":"Martin"},{"family":"Danesh","given":"John"},{"family":"Ruff","given":"Christian T."},{"family":"Finucane","given":"Hilary K."},{"family":"Hopewell","given":"Jemma C."},{"family":"Clarke","given":"Robert"},{"family":"Gupta","given":"Rajat M."},{"family":"Erdmann","given":"Jeanette"},{"family":"Samani","given":"Nilesh J."},{"family":"Schunkert","given":"Heribert"},{"family":"Watkins","given":"Hugh"},{"family":"Willer","given":"Cristen J."},{"family":"Deloukas","given":"Panos"},{"family":"Kathiresan","given":"Sekar"},{"family":"Butterworth","given":"Adam S."}],"issued":{"date-parts":[["2022"]]}}}],"schema":"https://github.com/citation-style-language/schema/raw/master/csl-citation.json"} </w:instrText>
      </w:r>
      <w:r>
        <w:rPr>
          <w:rFonts w:ascii="Times New Roman" w:hAnsi="Times New Roman" w:cs="Times New Roman"/>
          <w:sz w:val="24"/>
          <w:szCs w:val="32"/>
        </w:rPr>
        <w:fldChar w:fldCharType="separate"/>
      </w:r>
      <w:r>
        <w:rPr>
          <w:rFonts w:ascii="Times New Roman" w:hAnsi="Times New Roman" w:cs="Times New Roman"/>
          <w:kern w:val="0"/>
          <w:sz w:val="24"/>
        </w:rPr>
        <w:t>(</w:t>
      </w:r>
      <w:r w:rsidR="000A36FA">
        <w:rPr>
          <w:rFonts w:ascii="Times New Roman" w:hAnsi="Times New Roman" w:cs="Times New Roman"/>
          <w:kern w:val="0"/>
          <w:sz w:val="24"/>
        </w:rPr>
        <w:t>29-32</w:t>
      </w:r>
      <w:r>
        <w:rPr>
          <w:rFonts w:ascii="Times New Roman" w:hAnsi="Times New Roman" w:cs="Times New Roman"/>
          <w:kern w:val="0"/>
          <w:sz w:val="24"/>
        </w:rPr>
        <w:t>)</w:t>
      </w:r>
      <w:r>
        <w:rPr>
          <w:rFonts w:ascii="Times New Roman" w:hAnsi="Times New Roman" w:cs="Times New Roman"/>
          <w:sz w:val="24"/>
          <w:szCs w:val="32"/>
        </w:rPr>
        <w:fldChar w:fldCharType="end"/>
      </w:r>
      <w:r>
        <w:rPr>
          <w:rFonts w:ascii="Times New Roman" w:hAnsi="Times New Roman" w:cs="Times New Roman"/>
          <w:sz w:val="24"/>
          <w:szCs w:val="32"/>
        </w:rPr>
        <w:t xml:space="preserve"> For HF subtypes, </w:t>
      </w:r>
      <w:bookmarkStart w:id="0" w:name="_Hlk225775148"/>
      <w:r w:rsidR="000A36FA">
        <w:rPr>
          <w:rFonts w:ascii="Times New Roman" w:hAnsi="Times New Roman" w:cs="Times New Roman"/>
          <w:sz w:val="24"/>
          <w:szCs w:val="32"/>
        </w:rPr>
        <w:t>non-ischemic</w:t>
      </w:r>
      <w:bookmarkEnd w:id="0"/>
      <w:r w:rsidR="000A36FA">
        <w:rPr>
          <w:rFonts w:ascii="Times New Roman" w:hAnsi="Times New Roman" w:cs="Times New Roman"/>
          <w:sz w:val="24"/>
          <w:szCs w:val="32"/>
        </w:rPr>
        <w:t xml:space="preserve"> </w:t>
      </w:r>
      <w:r>
        <w:rPr>
          <w:rFonts w:ascii="Times New Roman" w:hAnsi="Times New Roman" w:cs="Times New Roman"/>
          <w:sz w:val="24"/>
          <w:szCs w:val="32"/>
        </w:rPr>
        <w:t>heart failure with reduced ejection fraction (</w:t>
      </w:r>
      <w:proofErr w:type="spellStart"/>
      <w:r>
        <w:rPr>
          <w:rFonts w:ascii="Times New Roman" w:hAnsi="Times New Roman" w:cs="Times New Roman"/>
          <w:sz w:val="24"/>
          <w:szCs w:val="32"/>
        </w:rPr>
        <w:t>HFrEF</w:t>
      </w:r>
      <w:proofErr w:type="spellEnd"/>
      <w:r>
        <w:rPr>
          <w:rFonts w:ascii="Times New Roman" w:hAnsi="Times New Roman" w:cs="Times New Roman"/>
          <w:sz w:val="24"/>
          <w:szCs w:val="32"/>
        </w:rPr>
        <w:t xml:space="preserve">) and </w:t>
      </w:r>
      <w:r w:rsidR="000A36FA">
        <w:rPr>
          <w:rFonts w:ascii="Times New Roman" w:hAnsi="Times New Roman" w:cs="Times New Roman"/>
          <w:sz w:val="24"/>
          <w:szCs w:val="32"/>
        </w:rPr>
        <w:t>non-ischemic</w:t>
      </w:r>
      <w:r w:rsidR="000A36FA">
        <w:rPr>
          <w:rFonts w:ascii="Times New Roman" w:hAnsi="Times New Roman" w:cs="Times New Roman"/>
          <w:sz w:val="24"/>
          <w:szCs w:val="32"/>
        </w:rPr>
        <w:t xml:space="preserve"> </w:t>
      </w:r>
      <w:r>
        <w:rPr>
          <w:rFonts w:ascii="Times New Roman" w:hAnsi="Times New Roman" w:cs="Times New Roman"/>
          <w:sz w:val="24"/>
          <w:szCs w:val="32"/>
        </w:rPr>
        <w:t>heart failure with preserved ejection fraction (HFpEF) data were obtained from GWAS</w:t>
      </w:r>
      <w:r w:rsidR="005D0593">
        <w:rPr>
          <w:rFonts w:ascii="Times New Roman" w:hAnsi="Times New Roman" w:cs="Times New Roman"/>
          <w:sz w:val="24"/>
          <w:szCs w:val="32"/>
        </w:rPr>
        <w:t xml:space="preserve"> meta-analyses</w:t>
      </w:r>
      <w:r>
        <w:rPr>
          <w:rFonts w:ascii="Times New Roman" w:hAnsi="Times New Roman" w:cs="Times New Roman"/>
          <w:sz w:val="24"/>
          <w:szCs w:val="32"/>
        </w:rPr>
        <w:t xml:space="preserve"> with </w:t>
      </w:r>
      <w:r w:rsidR="005D0593">
        <w:rPr>
          <w:rFonts w:ascii="Times New Roman" w:hAnsi="Times New Roman" w:cs="Times New Roman"/>
          <w:sz w:val="24"/>
          <w:szCs w:val="32"/>
        </w:rPr>
        <w:t>more than one million individuals.</w:t>
      </w:r>
      <w:r>
        <w:rPr>
          <w:rFonts w:ascii="Times New Roman" w:hAnsi="Times New Roman" w:cs="Times New Roman"/>
          <w:sz w:val="24"/>
          <w:szCs w:val="32"/>
        </w:rPr>
        <w:fldChar w:fldCharType="begin"/>
      </w:r>
      <w:r>
        <w:rPr>
          <w:rFonts w:ascii="Times New Roman" w:hAnsi="Times New Roman" w:cs="Times New Roman"/>
          <w:sz w:val="24"/>
          <w:szCs w:val="32"/>
        </w:rPr>
        <w:instrText xml:space="preserve"> ADDIN ZOTERO_ITEM CSL_CITATION {"citationID":"a1cvg7f7s46","properties":{"formattedCitation":"(6)","plainCitation":"(6)","noteIndex":0},"citationItems":[{"id":1790,"uris":["http://zotero.org/users/11296212/items/JPF5VM25"],"itemData":{"id":1790,"type":"article-journal","abstract":"Pharmacologic clinical trials for heart failure with preserved ejection fraction have been largely unsuccessful as compared to those for heart failure with reduced ejection fraction. Whether differences in the genetic underpinnings of these major heart failure subtypes may provide insights into the disparate outcomes of clinical trials remains unknown. We utilize a large, uniformly phenotyped, single cohort of heart failure sub-classified into heart failure with reduced and with preserved ejection fractions based on current clinical definitions, to conduct detailed genetic analyses of the two heart failure sub-types. We find different genetic architectures and distinct genetic association profiles between heart failure with reduced and with preserved ejection fraction suggesting differences in underlying pathobiology. The modest genetic discovery for heart failure with preserved ejection fraction (one locus) compared to heart failure with reduced ejection fraction (13 loci) despite comparable sample sizes indicates that clinically defined heart failure with preserved ejection fraction likely represents the amalgamation of several, distinct pathobiological entities. Development of consensus sub-phenotyping of heart failure with preserved ejection fraction is paramount to better dissect the underlying genetic signals and contributors to this highly prevalent condition.","call-number":"1","container-title":"Nature Communications","DOI":"10.1038/s41467-022-35323-0","ISSN":"2041-1723","issue":"1","journalAbbreviation":"Nat Commun","language":"en","license":"2022 This is a U.S. Government work and not under copyright protection in the US; foreign copyright protection may apply","note":"publisher: Nature Publishing Group","page":"7753","source":"16.6","title":"Genetic architecture of heart failure with preserved versus reduced ejection fraction","volume":"13","author":[{"family":"Joseph","given":"Jacob"},{"family":"Liu","given":"Chang"},{"family":"Hui","given":"Qin"},{"family":"Aragam","given":"Krishna"},{"family":"Wang","given":"Zeyuan"},{"family":"Charest","given":"Brian"},{"family":"Huffman","given":"Jennifer E."},{"family":"Keaton","given":"Jacob M."},{"family":"Edwards","given":"Todd L."},{"family":"Demissie","given":"Serkalem"},{"family":"Djousse","given":"Luc"},{"family":"Casas","given":"Juan P."},{"family":"Gaziano","given":"J. Michael"},{"family":"Cho","given":"Kelly"},{"family":"Wilson","given":"Peter W. F."},{"family":"Phillips","given":"Lawrence S."},{"family":"Huffman","given":"Jennifer E."},{"family":"O’Donnell","given":"Christopher J."},{"family":"Sun","given":"Yan V."}],"issued":{"date-parts":[["2022",12,14]]}}}],"schema":"https://github.com/citation-style-language/schema/raw/master/csl-citation.json"} </w:instrText>
      </w:r>
      <w:r>
        <w:rPr>
          <w:rFonts w:ascii="Times New Roman" w:hAnsi="Times New Roman" w:cs="Times New Roman"/>
          <w:sz w:val="24"/>
          <w:szCs w:val="32"/>
        </w:rPr>
        <w:fldChar w:fldCharType="separate"/>
      </w:r>
      <w:r>
        <w:rPr>
          <w:rFonts w:ascii="Times New Roman" w:hAnsi="Times New Roman" w:cs="Times New Roman"/>
          <w:kern w:val="0"/>
          <w:sz w:val="24"/>
        </w:rPr>
        <w:t>(</w:t>
      </w:r>
      <w:r w:rsidR="000A36FA">
        <w:rPr>
          <w:rFonts w:ascii="Times New Roman" w:hAnsi="Times New Roman" w:cs="Times New Roman"/>
          <w:kern w:val="0"/>
          <w:sz w:val="24"/>
        </w:rPr>
        <w:t>33,34</w:t>
      </w:r>
      <w:r>
        <w:rPr>
          <w:rFonts w:ascii="Times New Roman" w:hAnsi="Times New Roman" w:cs="Times New Roman"/>
          <w:kern w:val="0"/>
          <w:sz w:val="24"/>
        </w:rPr>
        <w:t>)</w:t>
      </w:r>
      <w:r>
        <w:rPr>
          <w:rFonts w:ascii="Times New Roman" w:hAnsi="Times New Roman" w:cs="Times New Roman"/>
          <w:sz w:val="24"/>
          <w:szCs w:val="32"/>
        </w:rPr>
        <w:fldChar w:fldCharType="end"/>
      </w:r>
      <w:r>
        <w:rPr>
          <w:rFonts w:ascii="Times New Roman" w:hAnsi="Times New Roman" w:cs="Times New Roman"/>
          <w:sz w:val="24"/>
          <w:szCs w:val="32"/>
        </w:rPr>
        <w:t xml:space="preserve"> Third, we have performed a GWAS for MASLD using data from UK Biobank, which was described in the “</w:t>
      </w:r>
      <w:r>
        <w:rPr>
          <w:rFonts w:ascii="Times New Roman" w:hAnsi="Times New Roman" w:cs="Times New Roman" w:hint="eastAsia"/>
          <w:sz w:val="24"/>
          <w:szCs w:val="32"/>
        </w:rPr>
        <w:t>Genome-wide association analysis of Metabolic Dysfunction</w:t>
      </w:r>
      <w:r>
        <w:rPr>
          <w:rFonts w:ascii="Times New Roman" w:hAnsi="Times New Roman" w:cs="Times New Roman" w:hint="eastAsia"/>
          <w:sz w:val="24"/>
          <w:szCs w:val="32"/>
        </w:rPr>
        <w:t>–</w:t>
      </w:r>
      <w:r>
        <w:rPr>
          <w:rFonts w:ascii="Times New Roman" w:hAnsi="Times New Roman" w:cs="Times New Roman" w:hint="eastAsia"/>
          <w:sz w:val="24"/>
          <w:szCs w:val="32"/>
        </w:rPr>
        <w:t xml:space="preserve">Associated </w:t>
      </w:r>
      <w:proofErr w:type="spellStart"/>
      <w:r>
        <w:rPr>
          <w:rFonts w:ascii="Times New Roman" w:hAnsi="Times New Roman" w:cs="Times New Roman" w:hint="eastAsia"/>
          <w:sz w:val="24"/>
          <w:szCs w:val="32"/>
        </w:rPr>
        <w:t>Steatotic</w:t>
      </w:r>
      <w:proofErr w:type="spellEnd"/>
      <w:r>
        <w:rPr>
          <w:rFonts w:ascii="Times New Roman" w:hAnsi="Times New Roman" w:cs="Times New Roman" w:hint="eastAsia"/>
          <w:sz w:val="24"/>
          <w:szCs w:val="32"/>
        </w:rPr>
        <w:t xml:space="preserve"> Liver Disease</w:t>
      </w:r>
      <w:r>
        <w:rPr>
          <w:rFonts w:ascii="Times New Roman" w:hAnsi="Times New Roman" w:cs="Times New Roman"/>
          <w:sz w:val="24"/>
          <w:szCs w:val="32"/>
        </w:rPr>
        <w:t xml:space="preserve">” section. Fourth, several metabolic phenotypes were selected. Genetic associations with glycated </w:t>
      </w:r>
      <w:proofErr w:type="spellStart"/>
      <w:r>
        <w:rPr>
          <w:rFonts w:ascii="Times New Roman" w:hAnsi="Times New Roman" w:cs="Times New Roman"/>
          <w:sz w:val="24"/>
          <w:szCs w:val="32"/>
        </w:rPr>
        <w:t>haemoglobin</w:t>
      </w:r>
      <w:proofErr w:type="spellEnd"/>
      <w:r>
        <w:rPr>
          <w:rFonts w:ascii="Times New Roman" w:hAnsi="Times New Roman" w:cs="Times New Roman"/>
          <w:sz w:val="24"/>
          <w:szCs w:val="32"/>
        </w:rPr>
        <w:t xml:space="preserve"> (HbA1c) were extracted from MAGIC consortium (N = 146,806).</w:t>
      </w:r>
      <w:r w:rsidR="000A36FA">
        <w:rPr>
          <w:rFonts w:ascii="Times New Roman" w:hAnsi="Times New Roman" w:cs="Times New Roman"/>
          <w:sz w:val="24"/>
          <w:szCs w:val="32"/>
        </w:rPr>
        <w:t>(35,36)</w:t>
      </w:r>
      <w:r>
        <w:rPr>
          <w:rFonts w:ascii="Times New Roman" w:hAnsi="Times New Roman" w:cs="Times New Roman"/>
          <w:sz w:val="24"/>
          <w:szCs w:val="32"/>
        </w:rPr>
        <w:t xml:space="preserve"> GWAS performed by Ken Suzuki, including more than one million European ancestry individuals, was used as the source of </w:t>
      </w:r>
      <w:r>
        <w:rPr>
          <w:rFonts w:ascii="Times New Roman" w:hAnsi="Times New Roman" w:cs="Times New Roman"/>
          <w:sz w:val="24"/>
          <w:szCs w:val="32"/>
        </w:rPr>
        <w:lastRenderedPageBreak/>
        <w:t>summary statistics for T2DM.</w:t>
      </w:r>
      <w:r w:rsidR="000A36FA">
        <w:rPr>
          <w:rFonts w:ascii="Times New Roman" w:hAnsi="Times New Roman" w:cs="Times New Roman"/>
          <w:sz w:val="24"/>
          <w:szCs w:val="32"/>
        </w:rPr>
        <w:t>(37,38)</w:t>
      </w:r>
      <w:r>
        <w:rPr>
          <w:rFonts w:ascii="Times New Roman" w:hAnsi="Times New Roman" w:cs="Times New Roman"/>
          <w:sz w:val="24"/>
          <w:szCs w:val="32"/>
        </w:rPr>
        <w:t xml:space="preserve"> The genetic association information of BMI and body weight, were obtained from a GWAS meta-analysis (N = 806,834)</w:t>
      </w:r>
      <w:r w:rsidR="000A36FA">
        <w:rPr>
          <w:rFonts w:ascii="Times New Roman" w:hAnsi="Times New Roman" w:cs="Times New Roman"/>
          <w:sz w:val="24"/>
          <w:szCs w:val="32"/>
        </w:rPr>
        <w:t>(39,40)</w:t>
      </w:r>
      <w:r>
        <w:rPr>
          <w:rFonts w:ascii="Times New Roman" w:hAnsi="Times New Roman" w:cs="Times New Roman"/>
          <w:sz w:val="24"/>
          <w:szCs w:val="32"/>
        </w:rPr>
        <w:t xml:space="preserve"> and UK Biobank (N = 461,632)</w:t>
      </w:r>
      <w:r w:rsidR="00824165">
        <w:rPr>
          <w:rFonts w:ascii="Times New Roman" w:hAnsi="Times New Roman" w:cs="Times New Roman"/>
          <w:sz w:val="24"/>
          <w:szCs w:val="32"/>
        </w:rPr>
        <w:t>(41,42)</w:t>
      </w:r>
      <w:r>
        <w:rPr>
          <w:rFonts w:ascii="Times New Roman" w:hAnsi="Times New Roman" w:cs="Times New Roman"/>
          <w:sz w:val="24"/>
          <w:szCs w:val="32"/>
        </w:rPr>
        <w:t>, respectively.</w:t>
      </w:r>
    </w:p>
    <w:p w14:paraId="6A7E0DB2" w14:textId="77777777" w:rsidR="000B0063" w:rsidRDefault="000B0063" w:rsidP="00326FE4">
      <w:pPr>
        <w:spacing w:line="480" w:lineRule="auto"/>
        <w:rPr>
          <w:rFonts w:ascii="Times New Roman" w:hAnsi="Times New Roman" w:cs="Times New Roman"/>
          <w:b/>
          <w:bCs/>
          <w:sz w:val="28"/>
          <w:szCs w:val="28"/>
        </w:rPr>
      </w:pPr>
    </w:p>
    <w:p w14:paraId="5DA1487D" w14:textId="77777777" w:rsidR="000B0063" w:rsidRDefault="00000000" w:rsidP="00326FE4">
      <w:pPr>
        <w:spacing w:line="480" w:lineRule="auto"/>
        <w:rPr>
          <w:rFonts w:ascii="Times New Roman" w:hAnsi="Times New Roman" w:cs="Times New Roman"/>
          <w:b/>
          <w:bCs/>
          <w:sz w:val="28"/>
          <w:szCs w:val="28"/>
        </w:rPr>
      </w:pPr>
      <w:r>
        <w:rPr>
          <w:rFonts w:ascii="Times New Roman" w:hAnsi="Times New Roman" w:cs="Times New Roman"/>
          <w:b/>
          <w:bCs/>
          <w:sz w:val="28"/>
          <w:szCs w:val="28"/>
        </w:rPr>
        <w:t>UK Biobank and Proteomics data in the UK Biobank</w:t>
      </w:r>
    </w:p>
    <w:p w14:paraId="6352F733" w14:textId="77777777" w:rsidR="000B0063" w:rsidRPr="00492867" w:rsidRDefault="00000000" w:rsidP="00326FE4">
      <w:pPr>
        <w:spacing w:line="480" w:lineRule="auto"/>
        <w:rPr>
          <w:rFonts w:ascii="Times New Roman" w:hAnsi="Times New Roman" w:cs="Times New Roman"/>
          <w:sz w:val="22"/>
          <w:szCs w:val="28"/>
        </w:rPr>
      </w:pPr>
      <w:r>
        <w:rPr>
          <w:rFonts w:ascii="Times New Roman" w:hAnsi="Times New Roman" w:cs="Times New Roman"/>
          <w:b/>
          <w:bCs/>
          <w:sz w:val="24"/>
        </w:rPr>
        <w:t>UK Biobank</w:t>
      </w:r>
    </w:p>
    <w:p w14:paraId="08D7A86E" w14:textId="3C672875" w:rsidR="000B0063" w:rsidRDefault="00000000" w:rsidP="00326FE4">
      <w:pPr>
        <w:spacing w:line="480" w:lineRule="auto"/>
        <w:rPr>
          <w:rFonts w:ascii="Times New Roman" w:hAnsi="Times New Roman" w:cs="Times New Roman"/>
          <w:sz w:val="24"/>
          <w:szCs w:val="32"/>
        </w:rPr>
      </w:pPr>
      <w:r>
        <w:rPr>
          <w:rFonts w:ascii="Times New Roman" w:hAnsi="Times New Roman" w:cs="Times New Roman"/>
          <w:sz w:val="24"/>
          <w:szCs w:val="32"/>
        </w:rPr>
        <w:t>The UK Biobank is a large population-based cohort and all people in the UK National Health Service registry aged between 40-69 years and living within a 25-mile radius from one of the 22 study centers were invited to participate between 2006-</w:t>
      </w:r>
      <w:proofErr w:type="gramStart"/>
      <w:r>
        <w:rPr>
          <w:rFonts w:ascii="Times New Roman" w:hAnsi="Times New Roman" w:cs="Times New Roman"/>
          <w:sz w:val="24"/>
          <w:szCs w:val="32"/>
        </w:rPr>
        <w:t>2010.</w:t>
      </w:r>
      <w:r w:rsidR="001C41D3">
        <w:rPr>
          <w:rFonts w:ascii="Times New Roman" w:hAnsi="Times New Roman" w:cs="Times New Roman"/>
          <w:sz w:val="24"/>
          <w:szCs w:val="32"/>
        </w:rPr>
        <w:t>(</w:t>
      </w:r>
      <w:proofErr w:type="gramEnd"/>
      <w:r w:rsidR="001C41D3">
        <w:rPr>
          <w:rFonts w:ascii="Times New Roman" w:hAnsi="Times New Roman" w:cs="Times New Roman"/>
          <w:sz w:val="24"/>
          <w:szCs w:val="32"/>
        </w:rPr>
        <w:t>20)</w:t>
      </w:r>
      <w:r>
        <w:rPr>
          <w:rFonts w:ascii="Times New Roman" w:hAnsi="Times New Roman" w:cs="Times New Roman"/>
          <w:sz w:val="24"/>
          <w:szCs w:val="32"/>
        </w:rPr>
        <w:t xml:space="preserve"> In total, 503,325 adults (5.5% of the ~9.2 million invited) were recruited into UK Biobank.</w:t>
      </w:r>
    </w:p>
    <w:p w14:paraId="62D16CB3" w14:textId="77777777" w:rsidR="000B0063" w:rsidRDefault="000B0063" w:rsidP="00326FE4">
      <w:pPr>
        <w:spacing w:line="480" w:lineRule="auto"/>
        <w:rPr>
          <w:rFonts w:ascii="Times New Roman" w:hAnsi="Times New Roman" w:cs="Times New Roman"/>
          <w:sz w:val="24"/>
          <w:szCs w:val="32"/>
        </w:rPr>
      </w:pPr>
    </w:p>
    <w:p w14:paraId="423146EF" w14:textId="77777777" w:rsidR="000B0063" w:rsidRDefault="00000000" w:rsidP="00326FE4">
      <w:pPr>
        <w:spacing w:line="480" w:lineRule="auto"/>
        <w:rPr>
          <w:rFonts w:ascii="Times New Roman" w:hAnsi="Times New Roman" w:cs="Times New Roman"/>
          <w:sz w:val="22"/>
          <w:szCs w:val="28"/>
        </w:rPr>
      </w:pPr>
      <w:r>
        <w:rPr>
          <w:rFonts w:ascii="Times New Roman" w:hAnsi="Times New Roman" w:cs="Times New Roman"/>
          <w:b/>
          <w:bCs/>
          <w:sz w:val="24"/>
        </w:rPr>
        <w:t>Proteomics data in the UK Biobank</w:t>
      </w:r>
    </w:p>
    <w:p w14:paraId="332206D9" w14:textId="0F793FA4" w:rsidR="000B0063" w:rsidRDefault="00000000" w:rsidP="00326FE4">
      <w:pPr>
        <w:spacing w:line="480" w:lineRule="auto"/>
        <w:rPr>
          <w:rFonts w:ascii="Times New Roman" w:hAnsi="Times New Roman" w:cs="Times New Roman"/>
          <w:sz w:val="24"/>
          <w:szCs w:val="32"/>
        </w:rPr>
      </w:pPr>
      <w:r>
        <w:rPr>
          <w:rFonts w:ascii="Times New Roman" w:hAnsi="Times New Roman" w:cs="Times New Roman"/>
          <w:sz w:val="24"/>
          <w:szCs w:val="32"/>
        </w:rPr>
        <w:t xml:space="preserve">The UK Biobank Pharma Proteomics Project (UKB-PPP) is a precompetitive consortium of 13 biopharmaceutical companies funding the generation of blood-based proteomic data from UK Biobank volunteer samples. The UKB-PPP sample includes 54,219 UK Biobank participants and a total of 2,923 unique proteins measured across eight antibody-based </w:t>
      </w:r>
      <w:proofErr w:type="spellStart"/>
      <w:r>
        <w:rPr>
          <w:rFonts w:ascii="Times New Roman" w:hAnsi="Times New Roman" w:cs="Times New Roman"/>
          <w:sz w:val="24"/>
          <w:szCs w:val="32"/>
        </w:rPr>
        <w:t>Olink</w:t>
      </w:r>
      <w:proofErr w:type="spellEnd"/>
      <w:r>
        <w:rPr>
          <w:rFonts w:ascii="Times New Roman" w:hAnsi="Times New Roman" w:cs="Times New Roman"/>
          <w:sz w:val="24"/>
          <w:szCs w:val="32"/>
        </w:rPr>
        <w:t xml:space="preserve"> Explore 3072 platform (cardiometabolic, cardiometabolic II, inflammation, inflammation II, neurology, neurology II, oncology and oncology II). The UK Biobank-representative sample includes a randomly selected subset of 46,595 individuals from the baseline cohort, alongside 6,376 individuals selected by UKB-PPP consortium and 1,268 individuals involved in the COVID-19 imaging study. Across the whole study, there were six ancestry groups, with the majority being of European </w:t>
      </w:r>
      <w:r>
        <w:rPr>
          <w:rFonts w:ascii="Times New Roman" w:hAnsi="Times New Roman" w:cs="Times New Roman"/>
          <w:sz w:val="24"/>
          <w:szCs w:val="32"/>
        </w:rPr>
        <w:lastRenderedPageBreak/>
        <w:t xml:space="preserve">descent. Measurements were reported as normalized protein expression values after being transformed using a log-base-2 scale. Protein levels below the limit of detection (LOD) were substituted by the LOD divided by the square root of 2. Additionally, each protein was standardized to achieve a mean of 0 and a standard deviation of 1. Detailed information on sample selection, quality control and data processing for the UKB-PPP was provided in the original </w:t>
      </w:r>
      <w:proofErr w:type="gramStart"/>
      <w:r>
        <w:rPr>
          <w:rFonts w:ascii="Times New Roman" w:hAnsi="Times New Roman" w:cs="Times New Roman"/>
          <w:sz w:val="24"/>
          <w:szCs w:val="32"/>
        </w:rPr>
        <w:t>article.</w:t>
      </w:r>
      <w:r w:rsidR="001C41D3">
        <w:rPr>
          <w:rFonts w:ascii="Times New Roman" w:hAnsi="Times New Roman" w:cs="Times New Roman"/>
          <w:sz w:val="24"/>
          <w:szCs w:val="32"/>
        </w:rPr>
        <w:t>(</w:t>
      </w:r>
      <w:proofErr w:type="gramEnd"/>
      <w:r w:rsidR="001C41D3">
        <w:rPr>
          <w:rFonts w:ascii="Times New Roman" w:hAnsi="Times New Roman" w:cs="Times New Roman"/>
          <w:sz w:val="24"/>
          <w:szCs w:val="32"/>
        </w:rPr>
        <w:t xml:space="preserve">21) </w:t>
      </w:r>
    </w:p>
    <w:p w14:paraId="67E04303" w14:textId="77777777" w:rsidR="004A78E0" w:rsidRDefault="004A78E0" w:rsidP="00326FE4">
      <w:pPr>
        <w:widowControl/>
        <w:spacing w:line="480" w:lineRule="auto"/>
        <w:jc w:val="left"/>
        <w:rPr>
          <w:rFonts w:ascii="Times New Roman" w:hAnsi="Times New Roman" w:cs="Times New Roman"/>
          <w:sz w:val="24"/>
          <w:szCs w:val="32"/>
        </w:rPr>
      </w:pPr>
    </w:p>
    <w:p w14:paraId="488F0AF3" w14:textId="5577D64B" w:rsidR="004A78E0" w:rsidRPr="004A78E0" w:rsidRDefault="004A78E0" w:rsidP="00326FE4">
      <w:pPr>
        <w:spacing w:line="480" w:lineRule="auto"/>
        <w:rPr>
          <w:rFonts w:ascii="Times New Roman" w:hAnsi="Times New Roman" w:cs="Times New Roman"/>
          <w:b/>
          <w:bCs/>
          <w:sz w:val="32"/>
          <w:szCs w:val="32"/>
        </w:rPr>
      </w:pPr>
      <w:r>
        <w:rPr>
          <w:rFonts w:ascii="Times New Roman" w:hAnsi="Times New Roman" w:cs="Times New Roman"/>
          <w:b/>
          <w:bCs/>
          <w:sz w:val="32"/>
          <w:szCs w:val="32"/>
        </w:rPr>
        <w:t xml:space="preserve">Genome-wide association analysis of Metabolic Dysfunction–Associated </w:t>
      </w:r>
      <w:proofErr w:type="spellStart"/>
      <w:r>
        <w:rPr>
          <w:rFonts w:ascii="Times New Roman" w:hAnsi="Times New Roman" w:cs="Times New Roman"/>
          <w:b/>
          <w:bCs/>
          <w:sz w:val="32"/>
          <w:szCs w:val="32"/>
        </w:rPr>
        <w:t>Steatotic</w:t>
      </w:r>
      <w:proofErr w:type="spellEnd"/>
      <w:r>
        <w:rPr>
          <w:rFonts w:ascii="Times New Roman" w:hAnsi="Times New Roman" w:cs="Times New Roman"/>
          <w:b/>
          <w:bCs/>
          <w:sz w:val="32"/>
          <w:szCs w:val="32"/>
        </w:rPr>
        <w:t xml:space="preserve"> Liver Disease</w:t>
      </w:r>
    </w:p>
    <w:p w14:paraId="0B14BCAF" w14:textId="77777777" w:rsidR="004A78E0" w:rsidRDefault="004A78E0" w:rsidP="00326FE4">
      <w:pPr>
        <w:spacing w:line="480" w:lineRule="auto"/>
        <w:rPr>
          <w:rFonts w:ascii="Times New Roman" w:hAnsi="Times New Roman" w:cs="Times New Roman"/>
          <w:b/>
          <w:bCs/>
          <w:sz w:val="28"/>
          <w:szCs w:val="28"/>
        </w:rPr>
      </w:pPr>
      <w:r>
        <w:rPr>
          <w:rFonts w:ascii="Times New Roman" w:hAnsi="Times New Roman" w:cs="Times New Roman"/>
          <w:b/>
          <w:bCs/>
          <w:sz w:val="28"/>
          <w:szCs w:val="28"/>
        </w:rPr>
        <w:t>Phenotype definition</w:t>
      </w:r>
    </w:p>
    <w:p w14:paraId="35972F03" w14:textId="54EDD61B" w:rsidR="004A78E0" w:rsidRDefault="004A78E0" w:rsidP="00326FE4">
      <w:pPr>
        <w:spacing w:line="480" w:lineRule="auto"/>
        <w:rPr>
          <w:rFonts w:ascii="Times New Roman" w:hAnsi="Times New Roman" w:cs="Times New Roman"/>
          <w:sz w:val="24"/>
          <w:szCs w:val="32"/>
        </w:rPr>
      </w:pPr>
      <w:r>
        <w:rPr>
          <w:rFonts w:ascii="Times New Roman" w:hAnsi="Times New Roman" w:cs="Times New Roman"/>
          <w:sz w:val="24"/>
          <w:szCs w:val="32"/>
        </w:rPr>
        <w:t xml:space="preserve">MASLD cases were defined based on UK Biobank primary care and hospital inpatient records using Read version 2 (Read v2) and Clinical Terms Version 3 (CTV3) codes and ICD-10 and ICD-9 codes (ICD-10: K76.0, K75.8, K74.6 and K76.9; ICD-9: 571.8, 571.9 and 571.5), respectively. In addition, </w:t>
      </w:r>
      <w:r>
        <w:rPr>
          <w:rFonts w:ascii="Times New Roman" w:hAnsi="Times New Roman" w:cs="Times New Roman" w:hint="eastAsia"/>
          <w:sz w:val="24"/>
          <w:szCs w:val="32"/>
        </w:rPr>
        <w:t>to address the limitations of relying solely on coding systems for the identification of</w:t>
      </w:r>
      <w:r>
        <w:rPr>
          <w:rFonts w:ascii="Times New Roman" w:hAnsi="Times New Roman" w:cs="Times New Roman"/>
          <w:sz w:val="24"/>
          <w:szCs w:val="32"/>
        </w:rPr>
        <w:t xml:space="preserve"> MASLD, we supplemented the above </w:t>
      </w:r>
      <w:r>
        <w:rPr>
          <w:rFonts w:ascii="Times New Roman" w:hAnsi="Times New Roman" w:cs="Times New Roman" w:hint="eastAsia"/>
          <w:sz w:val="24"/>
          <w:szCs w:val="32"/>
        </w:rPr>
        <w:t xml:space="preserve">selection </w:t>
      </w:r>
      <w:r>
        <w:rPr>
          <w:rFonts w:ascii="Times New Roman" w:hAnsi="Times New Roman" w:cs="Times New Roman"/>
          <w:sz w:val="24"/>
          <w:szCs w:val="32"/>
        </w:rPr>
        <w:t xml:space="preserve">criteria with fatty liver index (FLI), a </w:t>
      </w:r>
      <w:r>
        <w:rPr>
          <w:rFonts w:ascii="Times New Roman" w:hAnsi="Times New Roman" w:cs="Times New Roman" w:hint="eastAsia"/>
          <w:sz w:val="24"/>
          <w:szCs w:val="32"/>
        </w:rPr>
        <w:t>validated</w:t>
      </w:r>
      <w:r>
        <w:rPr>
          <w:rFonts w:ascii="Times New Roman" w:hAnsi="Times New Roman" w:cs="Times New Roman"/>
          <w:sz w:val="24"/>
          <w:szCs w:val="32"/>
        </w:rPr>
        <w:t xml:space="preserve"> marker (accuracy &gt; 0.8) of hepatic steatosis calculated from waist circumference, body mass index, and levels of triglyceride and γ-</w:t>
      </w:r>
      <w:proofErr w:type="spellStart"/>
      <w:proofErr w:type="gramStart"/>
      <w:r>
        <w:rPr>
          <w:rFonts w:ascii="Times New Roman" w:hAnsi="Times New Roman" w:cs="Times New Roman"/>
          <w:sz w:val="24"/>
          <w:szCs w:val="32"/>
        </w:rPr>
        <w:t>glutamyltransferase</w:t>
      </w:r>
      <w:proofErr w:type="spellEnd"/>
      <w:r>
        <w:rPr>
          <w:rFonts w:ascii="Times New Roman" w:hAnsi="Times New Roman" w:cs="Times New Roman"/>
          <w:sz w:val="24"/>
          <w:szCs w:val="32"/>
        </w:rPr>
        <w:t>.</w:t>
      </w:r>
      <w:r w:rsidR="001C41D3">
        <w:rPr>
          <w:rFonts w:ascii="Times New Roman" w:hAnsi="Times New Roman" w:cs="Times New Roman"/>
          <w:sz w:val="24"/>
          <w:szCs w:val="32"/>
        </w:rPr>
        <w:t>(</w:t>
      </w:r>
      <w:proofErr w:type="gramEnd"/>
      <w:r w:rsidR="001C41D3">
        <w:rPr>
          <w:rFonts w:ascii="Times New Roman" w:hAnsi="Times New Roman" w:cs="Times New Roman"/>
          <w:sz w:val="24"/>
          <w:szCs w:val="32"/>
        </w:rPr>
        <w:t>53,54)</w:t>
      </w:r>
      <w:r>
        <w:rPr>
          <w:rFonts w:ascii="Times New Roman" w:hAnsi="Times New Roman" w:cs="Times New Roman"/>
          <w:sz w:val="24"/>
          <w:szCs w:val="32"/>
        </w:rPr>
        <w:t xml:space="preserve"> Participants with FLI ≥ 60 were classified having hepatic steatosis. </w:t>
      </w:r>
      <w:r>
        <w:rPr>
          <w:rFonts w:ascii="Times New Roman" w:hAnsi="Times New Roman" w:cs="Times New Roman" w:hint="eastAsia"/>
          <w:sz w:val="24"/>
          <w:szCs w:val="32"/>
        </w:rPr>
        <w:t xml:space="preserve">In contrast to prior definitions that did not uniformly mandate the co-existence of metabolic dysfunction for diagnosis, the latest consensus now </w:t>
      </w:r>
      <w:r>
        <w:rPr>
          <w:rFonts w:ascii="Times New Roman" w:hAnsi="Times New Roman" w:cs="Times New Roman"/>
          <w:sz w:val="24"/>
          <w:szCs w:val="32"/>
        </w:rPr>
        <w:t xml:space="preserve">defines </w:t>
      </w:r>
      <w:r>
        <w:rPr>
          <w:rFonts w:ascii="Times New Roman" w:hAnsi="Times New Roman" w:cs="Times New Roman" w:hint="eastAsia"/>
          <w:sz w:val="24"/>
          <w:szCs w:val="32"/>
        </w:rPr>
        <w:t xml:space="preserve">MASLD by the presence of hepatic steatosis </w:t>
      </w:r>
      <w:r>
        <w:rPr>
          <w:rFonts w:ascii="Times New Roman" w:hAnsi="Times New Roman" w:cs="Times New Roman"/>
          <w:sz w:val="24"/>
          <w:szCs w:val="32"/>
        </w:rPr>
        <w:t>with</w:t>
      </w:r>
      <w:r>
        <w:rPr>
          <w:rFonts w:ascii="Times New Roman" w:hAnsi="Times New Roman" w:cs="Times New Roman" w:hint="eastAsia"/>
          <w:sz w:val="24"/>
          <w:szCs w:val="32"/>
        </w:rPr>
        <w:t xml:space="preserve"> at least one of five cardiometabolic risk </w:t>
      </w:r>
      <w:proofErr w:type="gramStart"/>
      <w:r>
        <w:rPr>
          <w:rFonts w:ascii="Times New Roman" w:hAnsi="Times New Roman" w:cs="Times New Roman" w:hint="eastAsia"/>
          <w:sz w:val="24"/>
          <w:szCs w:val="32"/>
        </w:rPr>
        <w:t>factors.</w:t>
      </w:r>
      <w:r w:rsidR="001C41D3">
        <w:rPr>
          <w:rFonts w:ascii="Times New Roman" w:hAnsi="Times New Roman" w:cs="Times New Roman"/>
          <w:sz w:val="24"/>
          <w:szCs w:val="32"/>
        </w:rPr>
        <w:t>(</w:t>
      </w:r>
      <w:proofErr w:type="gramEnd"/>
      <w:r w:rsidR="001C41D3">
        <w:rPr>
          <w:rFonts w:ascii="Times New Roman" w:hAnsi="Times New Roman" w:cs="Times New Roman"/>
          <w:sz w:val="24"/>
          <w:szCs w:val="32"/>
        </w:rPr>
        <w:t xml:space="preserve">5) </w:t>
      </w:r>
      <w:r>
        <w:rPr>
          <w:rFonts w:ascii="Times New Roman" w:hAnsi="Times New Roman" w:cs="Times New Roman"/>
          <w:sz w:val="24"/>
          <w:szCs w:val="32"/>
        </w:rPr>
        <w:t xml:space="preserve">Thus, participants with either electronic health records </w:t>
      </w:r>
      <w:r>
        <w:rPr>
          <w:rFonts w:ascii="Times New Roman" w:hAnsi="Times New Roman" w:cs="Times New Roman"/>
          <w:sz w:val="24"/>
          <w:szCs w:val="32"/>
        </w:rPr>
        <w:lastRenderedPageBreak/>
        <w:t>or a FLI ≥ 60 and with any of the five cardiometabolic risk factors, were defined as MASLD</w:t>
      </w:r>
      <w:r>
        <w:rPr>
          <w:rFonts w:ascii="Times New Roman" w:hAnsi="Times New Roman" w:cs="Times New Roman" w:hint="eastAsia"/>
          <w:sz w:val="24"/>
          <w:szCs w:val="32"/>
        </w:rPr>
        <w:t xml:space="preserve"> cases</w:t>
      </w:r>
      <w:r>
        <w:rPr>
          <w:rFonts w:ascii="Times New Roman" w:hAnsi="Times New Roman" w:cs="Times New Roman"/>
          <w:sz w:val="24"/>
          <w:szCs w:val="32"/>
        </w:rPr>
        <w:t>.</w:t>
      </w:r>
    </w:p>
    <w:p w14:paraId="03F34ABA" w14:textId="3DD4C36E" w:rsidR="004A78E0" w:rsidRDefault="004A78E0" w:rsidP="00326FE4">
      <w:pPr>
        <w:spacing w:line="480" w:lineRule="auto"/>
        <w:rPr>
          <w:rFonts w:ascii="Times New Roman" w:hAnsi="Times New Roman" w:cs="Times New Roman"/>
          <w:sz w:val="24"/>
          <w:szCs w:val="32"/>
        </w:rPr>
      </w:pPr>
      <w:r>
        <w:rPr>
          <w:rFonts w:ascii="Times New Roman" w:hAnsi="Times New Roman" w:cs="Times New Roman"/>
          <w:sz w:val="24"/>
          <w:szCs w:val="32"/>
        </w:rPr>
        <w:t xml:space="preserve">We excluded participants with excessive alcohol consumption (≥ 30g daily for males and ≥ 20g daily for females), alcohol use disorder, other liver diseases such as viral hepatitis, autoimmune hepatitis, alcoholic liver disease, secondary malignant neoplasm of liver and intrahepatic bile duct, secondary biliary cirrhosis and Wilson’s </w:t>
      </w:r>
      <w:proofErr w:type="gramStart"/>
      <w:r>
        <w:rPr>
          <w:rFonts w:ascii="Times New Roman" w:hAnsi="Times New Roman" w:cs="Times New Roman"/>
          <w:sz w:val="24"/>
          <w:szCs w:val="32"/>
        </w:rPr>
        <w:t>disease.</w:t>
      </w:r>
      <w:r w:rsidR="001C41D3">
        <w:rPr>
          <w:rFonts w:ascii="Times New Roman" w:hAnsi="Times New Roman" w:cs="Times New Roman"/>
          <w:sz w:val="24"/>
          <w:szCs w:val="32"/>
        </w:rPr>
        <w:t>(</w:t>
      </w:r>
      <w:proofErr w:type="gramEnd"/>
      <w:r w:rsidR="001C41D3">
        <w:rPr>
          <w:rFonts w:ascii="Times New Roman" w:hAnsi="Times New Roman" w:cs="Times New Roman"/>
          <w:sz w:val="24"/>
          <w:szCs w:val="32"/>
        </w:rPr>
        <w:t xml:space="preserve">55) </w:t>
      </w:r>
    </w:p>
    <w:p w14:paraId="13148D22" w14:textId="77777777" w:rsidR="004A78E0" w:rsidRDefault="004A78E0" w:rsidP="00326FE4">
      <w:pPr>
        <w:spacing w:line="480" w:lineRule="auto"/>
        <w:rPr>
          <w:rFonts w:ascii="Times New Roman" w:hAnsi="Times New Roman" w:cs="Times New Roman"/>
          <w:b/>
          <w:bCs/>
          <w:sz w:val="32"/>
          <w:szCs w:val="32"/>
        </w:rPr>
      </w:pPr>
    </w:p>
    <w:p w14:paraId="6E7885AE" w14:textId="77777777" w:rsidR="004A78E0" w:rsidRDefault="004A78E0" w:rsidP="00326FE4">
      <w:pPr>
        <w:spacing w:line="480" w:lineRule="auto"/>
        <w:rPr>
          <w:rFonts w:ascii="Times New Roman" w:hAnsi="Times New Roman" w:cs="Times New Roman"/>
          <w:b/>
          <w:bCs/>
          <w:sz w:val="28"/>
          <w:szCs w:val="28"/>
        </w:rPr>
      </w:pPr>
      <w:r>
        <w:rPr>
          <w:rFonts w:ascii="Times New Roman" w:hAnsi="Times New Roman" w:cs="Times New Roman"/>
          <w:b/>
          <w:bCs/>
          <w:sz w:val="28"/>
          <w:szCs w:val="28"/>
        </w:rPr>
        <w:t>Genome-wide association analysis</w:t>
      </w:r>
    </w:p>
    <w:p w14:paraId="2B3E2B6D" w14:textId="1F0CC69A" w:rsidR="004A78E0" w:rsidRDefault="004A78E0" w:rsidP="00326FE4">
      <w:pPr>
        <w:spacing w:line="480" w:lineRule="auto"/>
        <w:rPr>
          <w:rFonts w:ascii="Times New Roman" w:hAnsi="Times New Roman" w:cs="Times New Roman"/>
          <w:sz w:val="24"/>
          <w:szCs w:val="32"/>
        </w:rPr>
      </w:pPr>
      <w:r>
        <w:rPr>
          <w:rFonts w:ascii="Times New Roman" w:hAnsi="Times New Roman" w:cs="Times New Roman"/>
          <w:sz w:val="24"/>
          <w:szCs w:val="32"/>
        </w:rPr>
        <w:t xml:space="preserve">After excluding individuals without genotype data, with sex mismatch or meeting exclusion criteria, a total of 362,322 </w:t>
      </w:r>
      <w:r>
        <w:rPr>
          <w:rFonts w:ascii="Times New Roman" w:hAnsi="Times New Roman" w:cs="Times New Roman" w:hint="eastAsia"/>
          <w:sz w:val="24"/>
          <w:szCs w:val="32"/>
        </w:rPr>
        <w:t>general</w:t>
      </w:r>
      <w:r>
        <w:rPr>
          <w:rFonts w:ascii="Times New Roman" w:hAnsi="Times New Roman" w:cs="Times New Roman"/>
          <w:sz w:val="24"/>
          <w:szCs w:val="32"/>
        </w:rPr>
        <w:t xml:space="preserve"> European individuals (14,231 cases and 348,091 controls) were </w:t>
      </w:r>
      <w:r>
        <w:rPr>
          <w:rFonts w:ascii="Times New Roman" w:hAnsi="Times New Roman" w:cs="Times New Roman" w:hint="eastAsia"/>
          <w:sz w:val="24"/>
          <w:szCs w:val="32"/>
        </w:rPr>
        <w:t>included in</w:t>
      </w:r>
      <w:r>
        <w:rPr>
          <w:rFonts w:ascii="Times New Roman" w:hAnsi="Times New Roman" w:cs="Times New Roman"/>
          <w:sz w:val="24"/>
          <w:szCs w:val="32"/>
        </w:rPr>
        <w:t xml:space="preserve"> this analysis. </w:t>
      </w:r>
      <w:r w:rsidR="00925C36" w:rsidRPr="00925C36">
        <w:rPr>
          <w:rFonts w:ascii="Times New Roman" w:hAnsi="Times New Roman" w:cs="Times New Roman"/>
          <w:sz w:val="24"/>
          <w:szCs w:val="32"/>
        </w:rPr>
        <w:t xml:space="preserve">A total of 10,214,272 autosomal genetic variants were included in the final analysis. Initial filtering criteria included a </w:t>
      </w:r>
      <w:r w:rsidR="008D3C7A">
        <w:rPr>
          <w:rFonts w:ascii="Times New Roman" w:hAnsi="Times New Roman" w:cs="Times New Roman"/>
          <w:sz w:val="24"/>
          <w:szCs w:val="32"/>
        </w:rPr>
        <w:t xml:space="preserve">MAF &gt; 0.1%, </w:t>
      </w:r>
      <w:r w:rsidR="00925C36" w:rsidRPr="00925C36">
        <w:rPr>
          <w:rFonts w:ascii="Times New Roman" w:hAnsi="Times New Roman" w:cs="Times New Roman"/>
          <w:sz w:val="24"/>
          <w:szCs w:val="32"/>
        </w:rPr>
        <w:t>minor allele count (MAC) &gt; 100, a genotype hard call rate &gt; 0.9</w:t>
      </w:r>
      <w:r w:rsidR="008D3C7A">
        <w:rPr>
          <w:rFonts w:ascii="Times New Roman" w:hAnsi="Times New Roman" w:cs="Times New Roman"/>
          <w:sz w:val="24"/>
          <w:szCs w:val="32"/>
        </w:rPr>
        <w:t>8</w:t>
      </w:r>
      <w:r w:rsidR="00925C36" w:rsidRPr="00925C36">
        <w:rPr>
          <w:rFonts w:ascii="Times New Roman" w:hAnsi="Times New Roman" w:cs="Times New Roman"/>
          <w:sz w:val="24"/>
          <w:szCs w:val="32"/>
        </w:rPr>
        <w:t xml:space="preserve">, and a Hardy–Weinberg equilibrium </w:t>
      </w:r>
      <w:r w:rsidR="00925C36">
        <w:rPr>
          <w:rFonts w:ascii="Times New Roman" w:hAnsi="Times New Roman" w:cs="Times New Roman"/>
          <w:sz w:val="24"/>
          <w:szCs w:val="32"/>
        </w:rPr>
        <w:t>P &gt; 1× 10</w:t>
      </w:r>
      <w:r w:rsidR="00925C36" w:rsidRPr="00925C36">
        <w:rPr>
          <w:rFonts w:ascii="Times New Roman" w:hAnsi="Times New Roman" w:cs="Times New Roman"/>
          <w:sz w:val="24"/>
          <w:szCs w:val="32"/>
          <w:vertAlign w:val="superscript"/>
        </w:rPr>
        <w:t>-6</w:t>
      </w:r>
      <w:r w:rsidR="00925C36">
        <w:rPr>
          <w:rFonts w:ascii="Times New Roman" w:hAnsi="Times New Roman" w:cs="Times New Roman"/>
          <w:sz w:val="24"/>
          <w:szCs w:val="32"/>
        </w:rPr>
        <w:t>.</w:t>
      </w:r>
      <w:r w:rsidR="007643F1">
        <w:rPr>
          <w:rFonts w:ascii="Times New Roman" w:hAnsi="Times New Roman" w:cs="Times New Roman"/>
          <w:sz w:val="24"/>
          <w:szCs w:val="32"/>
        </w:rPr>
        <w:t xml:space="preserve"> </w:t>
      </w:r>
      <w:r w:rsidR="00925C36" w:rsidRPr="00925C36">
        <w:rPr>
          <w:rFonts w:ascii="Times New Roman" w:hAnsi="Times New Roman" w:cs="Times New Roman"/>
          <w:sz w:val="24"/>
          <w:szCs w:val="32"/>
        </w:rPr>
        <w:t xml:space="preserve">To ensure the reliability of the association signals, particularly for lower-frequency variants, we did not rely on a simple MAF cut-off. Instead, we implemented a stratified quality control strategy that </w:t>
      </w:r>
      <w:r w:rsidR="00161F61" w:rsidRPr="00161F61">
        <w:rPr>
          <w:rFonts w:ascii="Times New Roman" w:hAnsi="Times New Roman" w:cs="Times New Roman"/>
          <w:sz w:val="24"/>
          <w:szCs w:val="32"/>
        </w:rPr>
        <w:t>balances allele frequency with imputation accuracy (INFO score)</w:t>
      </w:r>
      <w:r w:rsidR="00925C36" w:rsidRPr="00925C36">
        <w:rPr>
          <w:rFonts w:ascii="Times New Roman" w:hAnsi="Times New Roman" w:cs="Times New Roman"/>
          <w:sz w:val="24"/>
          <w:szCs w:val="32"/>
        </w:rPr>
        <w:t>. The specific thresholds applied were as follows:</w:t>
      </w:r>
      <w:r w:rsidR="007643F1">
        <w:rPr>
          <w:rFonts w:ascii="Times New Roman" w:hAnsi="Times New Roman" w:cs="Times New Roman"/>
          <w:sz w:val="24"/>
          <w:szCs w:val="32"/>
        </w:rPr>
        <w:t xml:space="preserve"> </w:t>
      </w:r>
      <w:r w:rsidR="00925C36" w:rsidRPr="00925C36">
        <w:rPr>
          <w:rFonts w:ascii="Times New Roman" w:hAnsi="Times New Roman" w:cs="Times New Roman"/>
          <w:sz w:val="24"/>
          <w:szCs w:val="32"/>
        </w:rPr>
        <w:t>MAF 0.1% – 0.5%: Required INFO &gt; 0.9</w:t>
      </w:r>
      <w:r w:rsidR="007643F1">
        <w:rPr>
          <w:rFonts w:ascii="Times New Roman" w:hAnsi="Times New Roman" w:cs="Times New Roman"/>
          <w:sz w:val="24"/>
          <w:szCs w:val="32"/>
        </w:rPr>
        <w:t xml:space="preserve">; </w:t>
      </w:r>
      <w:r w:rsidR="00925C36" w:rsidRPr="00925C36">
        <w:rPr>
          <w:rFonts w:ascii="Times New Roman" w:hAnsi="Times New Roman" w:cs="Times New Roman"/>
          <w:sz w:val="24"/>
          <w:szCs w:val="32"/>
        </w:rPr>
        <w:t>MAF 0.5% – 1.0%: Required INFO &gt; 0.8</w:t>
      </w:r>
      <w:r w:rsidR="007643F1">
        <w:rPr>
          <w:rFonts w:ascii="Times New Roman" w:hAnsi="Times New Roman" w:cs="Times New Roman"/>
          <w:sz w:val="24"/>
          <w:szCs w:val="32"/>
        </w:rPr>
        <w:t xml:space="preserve">; </w:t>
      </w:r>
      <w:r w:rsidR="00925C36" w:rsidRPr="00925C36">
        <w:rPr>
          <w:rFonts w:ascii="Times New Roman" w:hAnsi="Times New Roman" w:cs="Times New Roman"/>
          <w:sz w:val="24"/>
          <w:szCs w:val="32"/>
        </w:rPr>
        <w:t>MAF 1.0% – 3.0%: Required INFO &gt; 0.6</w:t>
      </w:r>
      <w:r w:rsidR="007643F1">
        <w:rPr>
          <w:rFonts w:ascii="Times New Roman" w:hAnsi="Times New Roman" w:cs="Times New Roman"/>
          <w:sz w:val="24"/>
          <w:szCs w:val="32"/>
        </w:rPr>
        <w:t xml:space="preserve">; </w:t>
      </w:r>
      <w:r w:rsidR="00925C36" w:rsidRPr="00925C36">
        <w:rPr>
          <w:rFonts w:ascii="Times New Roman" w:hAnsi="Times New Roman" w:cs="Times New Roman"/>
          <w:sz w:val="24"/>
          <w:szCs w:val="32"/>
        </w:rPr>
        <w:t>MAF &gt; 3.0%: Required INFO &gt; 0.3</w:t>
      </w:r>
      <w:r w:rsidR="007643F1">
        <w:rPr>
          <w:rFonts w:ascii="Times New Roman" w:hAnsi="Times New Roman" w:cs="Times New Roman"/>
          <w:sz w:val="24"/>
          <w:szCs w:val="32"/>
        </w:rPr>
        <w:t xml:space="preserve">. </w:t>
      </w:r>
      <w:r w:rsidR="00161F61" w:rsidRPr="00161F61">
        <w:rPr>
          <w:rFonts w:ascii="Times New Roman" w:hAnsi="Times New Roman" w:cs="Times New Roman"/>
          <w:sz w:val="24"/>
          <w:szCs w:val="32"/>
        </w:rPr>
        <w:t>By applying this, we are able to capture genuine low-frequency signals without sacrificing genotyping fidelity.</w:t>
      </w:r>
    </w:p>
    <w:p w14:paraId="56DEF1AC" w14:textId="77777777" w:rsidR="00397D6D" w:rsidRDefault="00397D6D" w:rsidP="00326FE4">
      <w:pPr>
        <w:spacing w:line="480" w:lineRule="auto"/>
        <w:rPr>
          <w:rFonts w:ascii="Times New Roman" w:hAnsi="Times New Roman" w:cs="Times New Roman"/>
          <w:sz w:val="24"/>
          <w:szCs w:val="32"/>
        </w:rPr>
      </w:pPr>
    </w:p>
    <w:p w14:paraId="46774C62" w14:textId="050B7C26" w:rsidR="00492867" w:rsidRPr="001C41D3" w:rsidRDefault="00492867" w:rsidP="00326FE4">
      <w:pPr>
        <w:spacing w:line="480" w:lineRule="auto"/>
        <w:rPr>
          <w:rFonts w:ascii="Times New Roman" w:hAnsi="Times New Roman" w:cs="Times New Roman"/>
          <w:sz w:val="24"/>
          <w:szCs w:val="32"/>
        </w:rPr>
      </w:pPr>
      <w:r w:rsidRPr="00492867">
        <w:rPr>
          <w:rFonts w:ascii="Times New Roman" w:hAnsi="Times New Roman" w:cs="Times New Roman"/>
          <w:b/>
          <w:bCs/>
          <w:sz w:val="28"/>
          <w:szCs w:val="36"/>
        </w:rPr>
        <w:lastRenderedPageBreak/>
        <w:t>Genotype-Specific Proteomic Analysis</w:t>
      </w:r>
      <w:r w:rsidRPr="00492867">
        <w:rPr>
          <w:rFonts w:ascii="Times New Roman" w:hAnsi="Times New Roman" w:cs="Times New Roman"/>
          <w:sz w:val="24"/>
          <w:szCs w:val="32"/>
        </w:rPr>
        <w:br/>
        <w:t xml:space="preserve">To investigate the downstream molecular mechanisms and systemic effects associated with the </w:t>
      </w:r>
      <w:r>
        <w:rPr>
          <w:rFonts w:ascii="Times New Roman" w:hAnsi="Times New Roman" w:cs="Times New Roman" w:hint="eastAsia"/>
          <w:sz w:val="24"/>
          <w:szCs w:val="32"/>
        </w:rPr>
        <w:t>novel</w:t>
      </w:r>
      <w:r>
        <w:rPr>
          <w:rFonts w:ascii="Times New Roman" w:hAnsi="Times New Roman" w:cs="Times New Roman"/>
          <w:sz w:val="24"/>
          <w:szCs w:val="32"/>
        </w:rPr>
        <w:t xml:space="preserve"> locus (</w:t>
      </w:r>
      <w:r w:rsidRPr="00492867">
        <w:rPr>
          <w:rFonts w:ascii="Times New Roman" w:hAnsi="Times New Roman" w:cs="Times New Roman"/>
          <w:sz w:val="24"/>
          <w:szCs w:val="32"/>
        </w:rPr>
        <w:t>rs563199662</w:t>
      </w:r>
      <w:r>
        <w:rPr>
          <w:rFonts w:ascii="Times New Roman" w:hAnsi="Times New Roman" w:cs="Times New Roman"/>
          <w:sz w:val="24"/>
          <w:szCs w:val="32"/>
        </w:rPr>
        <w:t>)</w:t>
      </w:r>
      <w:r w:rsidRPr="00492867">
        <w:rPr>
          <w:rFonts w:ascii="Times New Roman" w:hAnsi="Times New Roman" w:cs="Times New Roman"/>
          <w:sz w:val="24"/>
          <w:szCs w:val="32"/>
        </w:rPr>
        <w:t>, we leveraged individual-level</w:t>
      </w:r>
      <w:r>
        <w:rPr>
          <w:rFonts w:ascii="Times New Roman" w:hAnsi="Times New Roman" w:cs="Times New Roman"/>
          <w:sz w:val="24"/>
          <w:szCs w:val="32"/>
        </w:rPr>
        <w:t xml:space="preserve"> both genotype and</w:t>
      </w:r>
      <w:r w:rsidRPr="00492867">
        <w:rPr>
          <w:rFonts w:ascii="Times New Roman" w:hAnsi="Times New Roman" w:cs="Times New Roman"/>
          <w:sz w:val="24"/>
          <w:szCs w:val="32"/>
        </w:rPr>
        <w:t xml:space="preserve"> plasma proteomics data from the UK Biobank. The study population was stratified based on the carrier status of the risk allele. Given the low minor allele frequency, participants were categorized into two groups: heterozygous carriers (C/G) and homozygous non-carriers (C/C, reference group).</w:t>
      </w:r>
      <w:r w:rsidR="00DB4B91">
        <w:rPr>
          <w:rFonts w:ascii="Times New Roman" w:hAnsi="Times New Roman" w:cs="Times New Roman"/>
          <w:sz w:val="24"/>
          <w:szCs w:val="32"/>
        </w:rPr>
        <w:t xml:space="preserve"> </w:t>
      </w:r>
      <w:r w:rsidR="00E85819">
        <w:rPr>
          <w:rFonts w:ascii="Times New Roman" w:hAnsi="Times New Roman" w:cs="Times New Roman" w:hint="eastAsia"/>
          <w:sz w:val="24"/>
          <w:szCs w:val="32"/>
        </w:rPr>
        <w:t>D</w:t>
      </w:r>
      <w:r w:rsidR="00E85819" w:rsidRPr="00E85819">
        <w:rPr>
          <w:rFonts w:ascii="Times New Roman" w:hAnsi="Times New Roman" w:cs="Times New Roman" w:hint="eastAsia"/>
          <w:sz w:val="24"/>
          <w:szCs w:val="32"/>
        </w:rPr>
        <w:t>i</w:t>
      </w:r>
      <w:r w:rsidR="00E85819" w:rsidRPr="00E85819">
        <w:rPr>
          <w:rFonts w:ascii="Times New Roman" w:hAnsi="Times New Roman" w:cs="Times New Roman"/>
          <w:sz w:val="24"/>
          <w:szCs w:val="32"/>
        </w:rPr>
        <w:t xml:space="preserve">fferential </w:t>
      </w:r>
      <w:r w:rsidR="006C4326">
        <w:rPr>
          <w:rFonts w:ascii="Times New Roman" w:hAnsi="Times New Roman" w:cs="Times New Roman"/>
          <w:sz w:val="24"/>
          <w:szCs w:val="32"/>
        </w:rPr>
        <w:t xml:space="preserve">protein </w:t>
      </w:r>
      <w:r w:rsidR="00E85819" w:rsidRPr="00E85819">
        <w:rPr>
          <w:rFonts w:ascii="Times New Roman" w:hAnsi="Times New Roman" w:cs="Times New Roman"/>
          <w:sz w:val="24"/>
          <w:szCs w:val="32"/>
        </w:rPr>
        <w:t>expression analysis was conducted using the </w:t>
      </w:r>
      <w:proofErr w:type="spellStart"/>
      <w:proofErr w:type="gramStart"/>
      <w:r w:rsidR="00E85819" w:rsidRPr="006C4326">
        <w:rPr>
          <w:rFonts w:ascii="Times New Roman" w:hAnsi="Times New Roman" w:cs="Times New Roman"/>
          <w:sz w:val="24"/>
          <w:szCs w:val="32"/>
        </w:rPr>
        <w:t>limma</w:t>
      </w:r>
      <w:proofErr w:type="spellEnd"/>
      <w:r w:rsidR="001C41D3">
        <w:rPr>
          <w:rFonts w:ascii="Times New Roman" w:hAnsi="Times New Roman" w:cs="Times New Roman"/>
          <w:sz w:val="24"/>
          <w:szCs w:val="32"/>
        </w:rPr>
        <w:t>(</w:t>
      </w:r>
      <w:proofErr w:type="gramEnd"/>
      <w:r w:rsidR="001C41D3">
        <w:rPr>
          <w:rFonts w:ascii="Times New Roman" w:hAnsi="Times New Roman" w:cs="Times New Roman"/>
          <w:sz w:val="24"/>
          <w:szCs w:val="32"/>
        </w:rPr>
        <w:t>62)</w:t>
      </w:r>
      <w:r w:rsidR="00E85819" w:rsidRPr="00E85819">
        <w:rPr>
          <w:rFonts w:ascii="Times New Roman" w:hAnsi="Times New Roman" w:cs="Times New Roman"/>
          <w:sz w:val="24"/>
          <w:szCs w:val="32"/>
        </w:rPr>
        <w:t xml:space="preserve"> package</w:t>
      </w:r>
      <w:r w:rsidR="006C4326">
        <w:rPr>
          <w:rFonts w:ascii="Times New Roman" w:hAnsi="Times New Roman" w:cs="Times New Roman"/>
          <w:sz w:val="24"/>
          <w:szCs w:val="32"/>
        </w:rPr>
        <w:t xml:space="preserve"> (v3.64.3).</w:t>
      </w:r>
      <w:r w:rsidR="003742A6" w:rsidRPr="003742A6">
        <w:rPr>
          <w:rFonts w:ascii="Times New Roman" w:hAnsi="Times New Roman" w:cs="Times New Roman"/>
          <w:sz w:val="24"/>
          <w:szCs w:val="32"/>
        </w:rPr>
        <w:t xml:space="preserve"> </w:t>
      </w:r>
      <w:r w:rsidR="006C4326" w:rsidRPr="006C4326">
        <w:rPr>
          <w:rFonts w:ascii="Times New Roman" w:hAnsi="Times New Roman" w:cs="Times New Roman"/>
          <w:sz w:val="24"/>
          <w:szCs w:val="32"/>
        </w:rPr>
        <w:t>A multivariate linear model was constructed to evaluate the group effect while adjusting for potential confounders</w:t>
      </w:r>
      <w:r w:rsidR="006C4326">
        <w:rPr>
          <w:rFonts w:ascii="Times New Roman" w:hAnsi="Times New Roman" w:cs="Times New Roman"/>
          <w:sz w:val="24"/>
          <w:szCs w:val="32"/>
        </w:rPr>
        <w:t>, including age and sex.</w:t>
      </w:r>
      <w:r w:rsidR="003742A6" w:rsidRPr="003742A6">
        <w:rPr>
          <w:rFonts w:ascii="Times New Roman" w:hAnsi="Times New Roman" w:cs="Times New Roman"/>
          <w:sz w:val="24"/>
          <w:szCs w:val="32"/>
        </w:rPr>
        <w:t xml:space="preserve"> To translate the proteomic associations into biological insights, we performed pathway enrichment analysis. </w:t>
      </w:r>
      <w:r w:rsidR="006C4326">
        <w:rPr>
          <w:rFonts w:ascii="Times New Roman" w:hAnsi="Times New Roman" w:cs="Times New Roman"/>
          <w:sz w:val="24"/>
          <w:szCs w:val="32"/>
        </w:rPr>
        <w:t>Differentiated p</w:t>
      </w:r>
      <w:r w:rsidR="003742A6" w:rsidRPr="003742A6">
        <w:rPr>
          <w:rFonts w:ascii="Times New Roman" w:hAnsi="Times New Roman" w:cs="Times New Roman"/>
          <w:sz w:val="24"/>
          <w:szCs w:val="32"/>
        </w:rPr>
        <w:t>roteins (</w:t>
      </w:r>
      <w:r w:rsidR="003742A6">
        <w:rPr>
          <w:rFonts w:ascii="Times New Roman" w:hAnsi="Times New Roman" w:cs="Times New Roman"/>
          <w:sz w:val="24"/>
          <w:szCs w:val="32"/>
        </w:rPr>
        <w:t>p &lt; 0.05</w:t>
      </w:r>
      <w:r w:rsidR="003742A6" w:rsidRPr="003742A6">
        <w:rPr>
          <w:rFonts w:ascii="Times New Roman" w:hAnsi="Times New Roman" w:cs="Times New Roman"/>
          <w:sz w:val="24"/>
          <w:szCs w:val="32"/>
        </w:rPr>
        <w:t>) were selected as the input list.</w:t>
      </w:r>
      <w:r w:rsidR="00A31A34" w:rsidRPr="00A31A34">
        <w:rPr>
          <w:rFonts w:ascii="Times New Roman" w:hAnsi="Times New Roman" w:cs="Times New Roman"/>
          <w:sz w:val="24"/>
          <w:szCs w:val="32"/>
        </w:rPr>
        <w:t xml:space="preserve"> </w:t>
      </w:r>
      <w:r w:rsidR="00957BFB">
        <w:rPr>
          <w:rFonts w:ascii="Times New Roman" w:hAnsi="Times New Roman" w:cs="Times New Roman"/>
          <w:sz w:val="24"/>
          <w:szCs w:val="32"/>
        </w:rPr>
        <w:t>KEGG</w:t>
      </w:r>
      <w:r w:rsidR="00957BFB" w:rsidRPr="00A31A34">
        <w:rPr>
          <w:rFonts w:ascii="Times New Roman" w:hAnsi="Times New Roman" w:cs="Times New Roman"/>
          <w:sz w:val="24"/>
          <w:szCs w:val="32"/>
        </w:rPr>
        <w:t xml:space="preserve"> pathway enrichment analysis</w:t>
      </w:r>
      <w:r w:rsidR="00A31A34" w:rsidRPr="00A31A34">
        <w:rPr>
          <w:rFonts w:ascii="Times New Roman" w:hAnsi="Times New Roman" w:cs="Times New Roman"/>
          <w:sz w:val="24"/>
          <w:szCs w:val="32"/>
        </w:rPr>
        <w:t xml:space="preserve"> </w:t>
      </w:r>
      <w:r w:rsidR="00957BFB" w:rsidRPr="00A31A34">
        <w:rPr>
          <w:rFonts w:ascii="Times New Roman" w:hAnsi="Times New Roman" w:cs="Times New Roman"/>
          <w:sz w:val="24"/>
          <w:szCs w:val="32"/>
        </w:rPr>
        <w:t>was performed</w:t>
      </w:r>
      <w:r w:rsidR="00957BFB">
        <w:rPr>
          <w:rFonts w:ascii="Times New Roman" w:hAnsi="Times New Roman" w:cs="Times New Roman"/>
          <w:sz w:val="24"/>
          <w:szCs w:val="32"/>
        </w:rPr>
        <w:t xml:space="preserve"> </w:t>
      </w:r>
      <w:r w:rsidR="006C4326">
        <w:rPr>
          <w:rFonts w:ascii="Times New Roman" w:hAnsi="Times New Roman" w:cs="Times New Roman"/>
          <w:sz w:val="24"/>
          <w:szCs w:val="32"/>
        </w:rPr>
        <w:t xml:space="preserve">separately for </w:t>
      </w:r>
      <w:r w:rsidR="006C4326" w:rsidRPr="006C4326">
        <w:rPr>
          <w:rFonts w:ascii="Times New Roman" w:hAnsi="Times New Roman" w:cs="Times New Roman"/>
          <w:sz w:val="24"/>
          <w:szCs w:val="32"/>
        </w:rPr>
        <w:t>upregulated</w:t>
      </w:r>
      <w:r w:rsidR="006C4326">
        <w:rPr>
          <w:rFonts w:ascii="Times New Roman" w:hAnsi="Times New Roman" w:cs="Times New Roman"/>
          <w:sz w:val="24"/>
          <w:szCs w:val="32"/>
        </w:rPr>
        <w:t xml:space="preserve"> </w:t>
      </w:r>
      <w:r w:rsidR="006C4326" w:rsidRPr="006C4326">
        <w:rPr>
          <w:rFonts w:ascii="Times New Roman" w:hAnsi="Times New Roman" w:cs="Times New Roman"/>
          <w:sz w:val="24"/>
          <w:szCs w:val="32"/>
        </w:rPr>
        <w:t>and</w:t>
      </w:r>
      <w:r w:rsidR="006C4326">
        <w:rPr>
          <w:rFonts w:ascii="Times New Roman" w:hAnsi="Times New Roman" w:cs="Times New Roman"/>
          <w:sz w:val="24"/>
          <w:szCs w:val="32"/>
        </w:rPr>
        <w:t xml:space="preserve"> </w:t>
      </w:r>
      <w:r w:rsidR="006C4326" w:rsidRPr="006C4326">
        <w:rPr>
          <w:rFonts w:ascii="Times New Roman" w:hAnsi="Times New Roman" w:cs="Times New Roman"/>
          <w:sz w:val="24"/>
          <w:szCs w:val="32"/>
        </w:rPr>
        <w:t>downregulated</w:t>
      </w:r>
      <w:r w:rsidR="006C4326">
        <w:rPr>
          <w:rFonts w:ascii="Times New Roman" w:hAnsi="Times New Roman" w:cs="Times New Roman"/>
          <w:sz w:val="24"/>
          <w:szCs w:val="32"/>
        </w:rPr>
        <w:t xml:space="preserve"> </w:t>
      </w:r>
      <w:r w:rsidR="006C4326" w:rsidRPr="006C4326">
        <w:rPr>
          <w:rFonts w:ascii="Times New Roman" w:hAnsi="Times New Roman" w:cs="Times New Roman"/>
          <w:sz w:val="24"/>
          <w:szCs w:val="32"/>
        </w:rPr>
        <w:t>subsets</w:t>
      </w:r>
      <w:r w:rsidR="006C4326">
        <w:rPr>
          <w:rFonts w:ascii="Times New Roman" w:hAnsi="Times New Roman" w:cs="Times New Roman"/>
          <w:sz w:val="24"/>
          <w:szCs w:val="32"/>
        </w:rPr>
        <w:t xml:space="preserve"> </w:t>
      </w:r>
      <w:r w:rsidR="00957BFB" w:rsidRPr="006C4326">
        <w:rPr>
          <w:rFonts w:ascii="Times New Roman" w:hAnsi="Times New Roman" w:cs="Times New Roman"/>
          <w:sz w:val="24"/>
          <w:szCs w:val="32"/>
        </w:rPr>
        <w:t>usin</w:t>
      </w:r>
      <w:r w:rsidR="00957BFB" w:rsidRPr="00A31A34">
        <w:rPr>
          <w:rFonts w:ascii="Times New Roman" w:hAnsi="Times New Roman" w:cs="Times New Roman"/>
          <w:sz w:val="24"/>
          <w:szCs w:val="32"/>
        </w:rPr>
        <w:t>g</w:t>
      </w:r>
      <w:r w:rsidR="006C4326">
        <w:rPr>
          <w:rFonts w:ascii="Times New Roman" w:hAnsi="Times New Roman" w:cs="Times New Roman"/>
          <w:sz w:val="24"/>
          <w:szCs w:val="32"/>
        </w:rPr>
        <w:t xml:space="preserve"> </w:t>
      </w:r>
      <w:proofErr w:type="spellStart"/>
      <w:proofErr w:type="gramStart"/>
      <w:r w:rsidR="00A31A34" w:rsidRPr="00A31A34">
        <w:rPr>
          <w:rFonts w:ascii="Times New Roman" w:hAnsi="Times New Roman" w:cs="Times New Roman"/>
          <w:sz w:val="24"/>
          <w:szCs w:val="32"/>
        </w:rPr>
        <w:t>ClusterProfiler</w:t>
      </w:r>
      <w:proofErr w:type="spellEnd"/>
      <w:r w:rsidR="001C41D3">
        <w:rPr>
          <w:rFonts w:ascii="Times New Roman" w:hAnsi="Times New Roman" w:cs="Times New Roman"/>
          <w:sz w:val="24"/>
          <w:szCs w:val="32"/>
        </w:rPr>
        <w:t>(</w:t>
      </w:r>
      <w:proofErr w:type="gramEnd"/>
      <w:r w:rsidR="001C41D3">
        <w:rPr>
          <w:rFonts w:ascii="Times New Roman" w:hAnsi="Times New Roman" w:cs="Times New Roman"/>
          <w:sz w:val="24"/>
          <w:szCs w:val="32"/>
        </w:rPr>
        <w:t>63)</w:t>
      </w:r>
      <w:r w:rsidR="00A31A34" w:rsidRPr="00A31A34">
        <w:rPr>
          <w:rFonts w:ascii="Times New Roman" w:hAnsi="Times New Roman" w:cs="Times New Roman"/>
          <w:sz w:val="24"/>
          <w:szCs w:val="32"/>
        </w:rPr>
        <w:t xml:space="preserve"> R package (v4.1</w:t>
      </w:r>
      <w:r w:rsidR="00A31A34">
        <w:rPr>
          <w:rFonts w:ascii="Times New Roman" w:hAnsi="Times New Roman" w:cs="Times New Roman"/>
          <w:sz w:val="24"/>
          <w:szCs w:val="32"/>
        </w:rPr>
        <w:t>6</w:t>
      </w:r>
      <w:r w:rsidR="00A31A34" w:rsidRPr="00A31A34">
        <w:rPr>
          <w:rFonts w:ascii="Times New Roman" w:hAnsi="Times New Roman" w:cs="Times New Roman"/>
          <w:sz w:val="24"/>
          <w:szCs w:val="32"/>
        </w:rPr>
        <w:t>.0)</w:t>
      </w:r>
      <w:r w:rsidR="00957BFB">
        <w:rPr>
          <w:rFonts w:ascii="Times New Roman" w:hAnsi="Times New Roman" w:cs="Times New Roman"/>
          <w:sz w:val="24"/>
          <w:szCs w:val="32"/>
        </w:rPr>
        <w:t>.</w:t>
      </w:r>
    </w:p>
    <w:p w14:paraId="6CF32091" w14:textId="24A67D0C" w:rsidR="000B0063" w:rsidRDefault="000B0063" w:rsidP="001C41D3">
      <w:pPr>
        <w:widowControl/>
        <w:spacing w:line="480" w:lineRule="auto"/>
        <w:jc w:val="left"/>
        <w:rPr>
          <w:rFonts w:ascii="Times New Roman" w:hAnsi="Times New Roman" w:cs="Times New Roman"/>
        </w:rPr>
      </w:pPr>
    </w:p>
    <w:sectPr w:rsidR="000B006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63E6"/>
    <w:rsid w:val="0000075B"/>
    <w:rsid w:val="00003E91"/>
    <w:rsid w:val="000252A3"/>
    <w:rsid w:val="00040B1A"/>
    <w:rsid w:val="00053B81"/>
    <w:rsid w:val="00057F62"/>
    <w:rsid w:val="00066866"/>
    <w:rsid w:val="00082B40"/>
    <w:rsid w:val="00091A2F"/>
    <w:rsid w:val="000A36FA"/>
    <w:rsid w:val="000B0063"/>
    <w:rsid w:val="000B4682"/>
    <w:rsid w:val="000C3BAA"/>
    <w:rsid w:val="0010489F"/>
    <w:rsid w:val="00161F61"/>
    <w:rsid w:val="001C41D3"/>
    <w:rsid w:val="001D7FAE"/>
    <w:rsid w:val="001E01D5"/>
    <w:rsid w:val="001E0C55"/>
    <w:rsid w:val="001F3367"/>
    <w:rsid w:val="002063E6"/>
    <w:rsid w:val="00212D57"/>
    <w:rsid w:val="00255198"/>
    <w:rsid w:val="0029260D"/>
    <w:rsid w:val="0032056D"/>
    <w:rsid w:val="00326FE4"/>
    <w:rsid w:val="003742A6"/>
    <w:rsid w:val="003765CD"/>
    <w:rsid w:val="00395BCA"/>
    <w:rsid w:val="00397D6D"/>
    <w:rsid w:val="003F16EE"/>
    <w:rsid w:val="004354E7"/>
    <w:rsid w:val="004504F3"/>
    <w:rsid w:val="00455912"/>
    <w:rsid w:val="00492867"/>
    <w:rsid w:val="004A78E0"/>
    <w:rsid w:val="00506775"/>
    <w:rsid w:val="00532C65"/>
    <w:rsid w:val="005B7BBD"/>
    <w:rsid w:val="005D0593"/>
    <w:rsid w:val="005E6951"/>
    <w:rsid w:val="00626214"/>
    <w:rsid w:val="006A42BB"/>
    <w:rsid w:val="006C4326"/>
    <w:rsid w:val="006E5625"/>
    <w:rsid w:val="00700275"/>
    <w:rsid w:val="007438CD"/>
    <w:rsid w:val="007643F1"/>
    <w:rsid w:val="00824165"/>
    <w:rsid w:val="00884261"/>
    <w:rsid w:val="008C62C5"/>
    <w:rsid w:val="008D3C7A"/>
    <w:rsid w:val="00925C36"/>
    <w:rsid w:val="00937AAC"/>
    <w:rsid w:val="00955C04"/>
    <w:rsid w:val="00957BFB"/>
    <w:rsid w:val="009735DD"/>
    <w:rsid w:val="0099556B"/>
    <w:rsid w:val="009F021F"/>
    <w:rsid w:val="00A31A34"/>
    <w:rsid w:val="00A50ABD"/>
    <w:rsid w:val="00A67B73"/>
    <w:rsid w:val="00A73D18"/>
    <w:rsid w:val="00AC1670"/>
    <w:rsid w:val="00AD2698"/>
    <w:rsid w:val="00AF05B1"/>
    <w:rsid w:val="00B12920"/>
    <w:rsid w:val="00BE0A0C"/>
    <w:rsid w:val="00BE0A41"/>
    <w:rsid w:val="00C16F99"/>
    <w:rsid w:val="00C43709"/>
    <w:rsid w:val="00C43865"/>
    <w:rsid w:val="00C66643"/>
    <w:rsid w:val="00C910D8"/>
    <w:rsid w:val="00CB56C5"/>
    <w:rsid w:val="00CC119E"/>
    <w:rsid w:val="00CC1830"/>
    <w:rsid w:val="00CD178F"/>
    <w:rsid w:val="00CE23A7"/>
    <w:rsid w:val="00CE590D"/>
    <w:rsid w:val="00D476B4"/>
    <w:rsid w:val="00D813DB"/>
    <w:rsid w:val="00DB4B91"/>
    <w:rsid w:val="00E85819"/>
    <w:rsid w:val="00E92C40"/>
    <w:rsid w:val="00E94F10"/>
    <w:rsid w:val="00F85A14"/>
    <w:rsid w:val="7B8FD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42AF628"/>
  <w15:docId w15:val="{2D541C98-6002-C843-B9D6-A0BF59FE66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DengXian" w:eastAsia="DengXian" w:hAnsi="DengXian" w:cs="DengXi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5C36"/>
    <w:pPr>
      <w:widowControl w:val="0"/>
      <w:jc w:val="both"/>
    </w:pPr>
    <w:rPr>
      <w:rFonts w:asciiTheme="minorHAnsi" w:eastAsiaTheme="minorEastAsia" w:hAnsiTheme="minorHAnsi" w:cstheme="minorBidi"/>
      <w:kern w:val="2"/>
      <w:sz w:val="21"/>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Pr>
      <w:color w:val="0563C1" w:themeColor="hyperlink"/>
      <w:u w:val="single"/>
    </w:rPr>
  </w:style>
  <w:style w:type="character" w:customStyle="1" w:styleId="1">
    <w:name w:val="未处理的提及1"/>
    <w:basedOn w:val="a0"/>
    <w:uiPriority w:val="99"/>
    <w:semiHidden/>
    <w:unhideWhenUsed/>
    <w:rPr>
      <w:color w:val="605E5C"/>
      <w:shd w:val="clear" w:color="auto" w:fill="E1DFDD"/>
    </w:rPr>
  </w:style>
  <w:style w:type="paragraph" w:customStyle="1" w:styleId="10">
    <w:name w:val="书目1"/>
    <w:basedOn w:val="a"/>
    <w:link w:val="Bibliography"/>
    <w:pPr>
      <w:tabs>
        <w:tab w:val="left" w:pos="260"/>
        <w:tab w:val="left" w:pos="380"/>
      </w:tabs>
      <w:spacing w:after="240"/>
      <w:ind w:left="384" w:hanging="384"/>
    </w:pPr>
    <w:rPr>
      <w:rFonts w:ascii="Times New Roman" w:hAnsi="Times New Roman" w:cs="Times New Roman"/>
    </w:rPr>
  </w:style>
  <w:style w:type="character" w:customStyle="1" w:styleId="Bibliography">
    <w:name w:val="Bibliography 字符"/>
    <w:basedOn w:val="a0"/>
    <w:link w:val="10"/>
    <w:rPr>
      <w:rFonts w:ascii="Times New Roman" w:hAnsi="Times New Roman" w:cs="Times New Roman"/>
    </w:rPr>
  </w:style>
  <w:style w:type="paragraph" w:customStyle="1" w:styleId="2">
    <w:name w:val="书目2"/>
    <w:basedOn w:val="a"/>
    <w:link w:val="Bibliography1"/>
    <w:pPr>
      <w:tabs>
        <w:tab w:val="left" w:pos="260"/>
      </w:tabs>
      <w:spacing w:after="240"/>
      <w:ind w:left="264" w:hanging="264"/>
    </w:pPr>
    <w:rPr>
      <w:rFonts w:ascii="Times New Roman" w:hAnsi="Times New Roman" w:cs="Times New Roman"/>
    </w:rPr>
  </w:style>
  <w:style w:type="character" w:customStyle="1" w:styleId="Bibliography1">
    <w:name w:val="Bibliography 字符1"/>
    <w:basedOn w:val="a0"/>
    <w:link w:val="2"/>
    <w:rPr>
      <w:rFonts w:ascii="Times New Roman" w:hAnsi="Times New Roman" w:cs="Times New Roman"/>
    </w:rPr>
  </w:style>
  <w:style w:type="paragraph" w:customStyle="1" w:styleId="3">
    <w:name w:val="书目3"/>
    <w:basedOn w:val="a"/>
    <w:link w:val="Bibliography2"/>
    <w:pPr>
      <w:tabs>
        <w:tab w:val="left" w:pos="500"/>
      </w:tabs>
      <w:spacing w:after="240"/>
      <w:ind w:left="504" w:hanging="504"/>
    </w:pPr>
    <w:rPr>
      <w:rFonts w:ascii="Times New Roman" w:hAnsi="Times New Roman" w:cs="Times New Roman"/>
      <w:sz w:val="24"/>
      <w:szCs w:val="32"/>
    </w:rPr>
  </w:style>
  <w:style w:type="character" w:customStyle="1" w:styleId="Bibliography2">
    <w:name w:val="Bibliography 字符2"/>
    <w:basedOn w:val="a0"/>
    <w:link w:val="3"/>
    <w:rPr>
      <w:rFonts w:ascii="Times New Roman" w:hAnsi="Times New Roman" w:cs="Times New Roman"/>
      <w:sz w:val="24"/>
      <w:szCs w:val="32"/>
    </w:rPr>
  </w:style>
  <w:style w:type="paragraph" w:customStyle="1" w:styleId="4">
    <w:name w:val="书目4"/>
    <w:basedOn w:val="a"/>
    <w:link w:val="Bibliography3"/>
    <w:pPr>
      <w:tabs>
        <w:tab w:val="left" w:pos="380"/>
      </w:tabs>
      <w:spacing w:after="240"/>
      <w:ind w:left="384" w:hanging="384"/>
    </w:pPr>
    <w:rPr>
      <w:rFonts w:ascii="Times New Roman" w:hAnsi="Times New Roman" w:cs="Times New Roman"/>
      <w:sz w:val="24"/>
      <w:szCs w:val="32"/>
    </w:rPr>
  </w:style>
  <w:style w:type="character" w:customStyle="1" w:styleId="Bibliography3">
    <w:name w:val="Bibliography 字符3"/>
    <w:basedOn w:val="a0"/>
    <w:link w:val="4"/>
    <w:rPr>
      <w:rFonts w:ascii="Times New Roman" w:hAnsi="Times New Roman" w:cs="Times New Roman"/>
      <w:sz w:val="24"/>
      <w:szCs w:val="32"/>
    </w:rPr>
  </w:style>
  <w:style w:type="paragraph" w:styleId="a4">
    <w:name w:val="Revision"/>
    <w:hidden/>
    <w:uiPriority w:val="99"/>
    <w:unhideWhenUsed/>
    <w:rsid w:val="004504F3"/>
    <w:rPr>
      <w:rFonts w:asciiTheme="minorHAnsi" w:eastAsiaTheme="minorEastAsia" w:hAnsiTheme="minorHAnsi" w:cstheme="minorBidi"/>
      <w:kern w:val="2"/>
      <w:sz w:val="21"/>
      <w:szCs w:val="24"/>
      <w14:ligatures w14:val="standardContextual"/>
    </w:rPr>
  </w:style>
  <w:style w:type="paragraph" w:styleId="a5">
    <w:name w:val="Bibliography"/>
    <w:basedOn w:val="a"/>
    <w:next w:val="a"/>
    <w:uiPriority w:val="37"/>
    <w:unhideWhenUsed/>
    <w:rsid w:val="004A78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5</Pages>
  <Words>3556</Words>
  <Characters>20272</Characters>
  <Application>Microsoft Office Word</Application>
  <DocSecurity>0</DocSecurity>
  <Lines>168</Lines>
  <Paragraphs>47</Paragraphs>
  <ScaleCrop>false</ScaleCrop>
  <Company/>
  <LinksUpToDate>false</LinksUpToDate>
  <CharactersWithSpaces>23781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指和 陈</dc:creator>
  <cp:lastModifiedBy>指和 陈</cp:lastModifiedBy>
  <cp:revision>29</cp:revision>
  <dcterms:created xsi:type="dcterms:W3CDTF">2025-02-18T15:47:00Z</dcterms:created>
  <dcterms:modified xsi:type="dcterms:W3CDTF">2026-03-30T07:17:00Z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id="1TRUskji"/&gt;&lt;style id="http://www.zotero.org/styles/vancouver" locale="en-GB" hasBibliography="1" bibliographyStyleHasBeenSet="1"/&gt;&lt;prefs&gt;&lt;pref name="fieldType" value="Field"/&gt;&lt;pref name="delayCit</vt:lpwstr>
  </property>
  <property fmtid="{D5CDD505-2E9C-101B-9397-08002B2CF9AE}" pid="3" name="ZOTERO_PREF_2">
    <vt:lpwstr>ationUpdates" value="true"/&gt;&lt;pref name="automaticJournalAbbreviations" value="true"/&gt;&lt;/prefs&gt;&lt;/data&gt;</vt:lpwstr>
  </property>
  <property fmtid="{D5CDD505-2E9C-101B-9397-08002B2CF9AE}" pid="4" name="KSOProductBuildVer">
    <vt:lpwstr>2052-7.2.2.8955</vt:lpwstr>
  </property>
  <property fmtid="{D5CDD505-2E9C-101B-9397-08002B2CF9AE}" pid="5" name="ICV">
    <vt:lpwstr>9398CD8946A807903C906B684E08BD2F_42</vt:lpwstr>
  </property>
</Properties>
</file>