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3E504" w14:textId="5BB8C5F7" w:rsidR="00004E44" w:rsidRPr="009E731E" w:rsidRDefault="00004E44" w:rsidP="00004E44">
      <w:pPr>
        <w:pStyle w:val="ListParagraph"/>
        <w:ind w:left="0"/>
        <w:rPr>
          <w:rFonts w:ascii="Times New Roman" w:hAnsi="Times New Roman" w:cs="Times New Roman"/>
          <w:b/>
          <w:bCs/>
        </w:rPr>
      </w:pPr>
      <w:r w:rsidRPr="009E731E">
        <w:rPr>
          <w:rFonts w:ascii="Times New Roman" w:hAnsi="Times New Roman" w:cs="Times New Roman"/>
          <w:b/>
          <w:bCs/>
        </w:rPr>
        <w:t>Supplementa</w:t>
      </w:r>
      <w:r w:rsidR="00563B38" w:rsidRPr="009E731E">
        <w:rPr>
          <w:rFonts w:ascii="Times New Roman" w:hAnsi="Times New Roman" w:cs="Times New Roman"/>
          <w:b/>
          <w:bCs/>
        </w:rPr>
        <w:t>ry</w:t>
      </w:r>
      <w:r w:rsidRPr="009E731E">
        <w:rPr>
          <w:rFonts w:ascii="Times New Roman" w:hAnsi="Times New Roman" w:cs="Times New Roman"/>
          <w:b/>
          <w:bCs/>
        </w:rPr>
        <w:t xml:space="preserve"> Methods</w:t>
      </w:r>
    </w:p>
    <w:p w14:paraId="00B72CB7" w14:textId="77777777" w:rsidR="001703EB" w:rsidRPr="009E731E" w:rsidRDefault="001703EB" w:rsidP="00004E44">
      <w:pPr>
        <w:pStyle w:val="ListParagraph"/>
        <w:ind w:left="0"/>
        <w:rPr>
          <w:rFonts w:ascii="Times New Roman" w:hAnsi="Times New Roman" w:cs="Times New Roman"/>
          <w:b/>
          <w:bCs/>
        </w:rPr>
      </w:pPr>
    </w:p>
    <w:p w14:paraId="0C0B5EEC" w14:textId="7BE0E5DD" w:rsidR="001703EB" w:rsidRPr="009E731E" w:rsidRDefault="001703EB" w:rsidP="00004E44">
      <w:pPr>
        <w:pStyle w:val="ListParagraph"/>
        <w:ind w:left="0"/>
        <w:rPr>
          <w:rFonts w:ascii="Times New Roman" w:hAnsi="Times New Roman" w:cs="Times New Roman"/>
          <w:b/>
          <w:bCs/>
        </w:rPr>
      </w:pPr>
      <w:proofErr w:type="spellStart"/>
      <w:r w:rsidRPr="009E731E">
        <w:rPr>
          <w:rFonts w:ascii="Times New Roman" w:hAnsi="Times New Roman" w:cs="Times New Roman"/>
          <w:b/>
          <w:bCs/>
        </w:rPr>
        <w:t>Lipidomics</w:t>
      </w:r>
      <w:proofErr w:type="spellEnd"/>
    </w:p>
    <w:p w14:paraId="7CC58E8F" w14:textId="482D3E16" w:rsidR="00004E44" w:rsidRPr="009E731E" w:rsidRDefault="00004E44" w:rsidP="00004E44">
      <w:pPr>
        <w:snapToGrid w:val="0"/>
        <w:jc w:val="both"/>
        <w:outlineLvl w:val="2"/>
        <w:rPr>
          <w:rFonts w:ascii="Times New Roman" w:hAnsi="Times New Roman" w:cs="Times New Roman"/>
        </w:rPr>
      </w:pPr>
      <w:r w:rsidRPr="009E731E">
        <w:rPr>
          <w:rFonts w:ascii="Times New Roman" w:hAnsi="Times New Roman" w:cs="Times New Roman"/>
        </w:rPr>
        <w:t xml:space="preserve">Samples were randomized and extracted using a modified version of the previously published Folch procedure. In short, 10 µL of 0.9% NaCl and 120 µL of CHCl3: MeOH (2:1, v/v) containing the internal standards (c = 2.5 </w:t>
      </w:r>
      <w:proofErr w:type="gramStart"/>
      <w:r w:rsidRPr="009E731E">
        <w:rPr>
          <w:rFonts w:ascii="Times New Roman" w:hAnsi="Times New Roman" w:cs="Times New Roman"/>
        </w:rPr>
        <w:t>µg</w:t>
      </w:r>
      <w:proofErr w:type="gramEnd"/>
      <w:r w:rsidRPr="009E731E">
        <w:rPr>
          <w:rFonts w:ascii="Times New Roman" w:hAnsi="Times New Roman" w:cs="Times New Roman"/>
        </w:rPr>
        <w:t xml:space="preserve">/mL) </w:t>
      </w:r>
      <w:proofErr w:type="gramStart"/>
      <w:r w:rsidRPr="009E731E">
        <w:rPr>
          <w:rFonts w:ascii="Times New Roman" w:hAnsi="Times New Roman" w:cs="Times New Roman"/>
        </w:rPr>
        <w:t>was</w:t>
      </w:r>
      <w:proofErr w:type="gramEnd"/>
      <w:r w:rsidRPr="009E731E">
        <w:rPr>
          <w:rFonts w:ascii="Times New Roman" w:hAnsi="Times New Roman" w:cs="Times New Roman"/>
        </w:rPr>
        <w:t xml:space="preserve"> added to 10 µL of each plasma sample. The standard solution contained the following compounds: 1,2-diheptadecanoyl-sn-glycero-3-phosphoethanolamine (PE(17:0/17:0)), N-heptadecanoyl-D-erythro-</w:t>
      </w:r>
      <w:proofErr w:type="spellStart"/>
      <w:r w:rsidRPr="009E731E">
        <w:rPr>
          <w:rFonts w:ascii="Times New Roman" w:hAnsi="Times New Roman" w:cs="Times New Roman"/>
        </w:rPr>
        <w:t>sphingosylphosphorylcholine</w:t>
      </w:r>
      <w:proofErr w:type="spellEnd"/>
      <w:r w:rsidRPr="009E731E">
        <w:rPr>
          <w:rFonts w:ascii="Times New Roman" w:hAnsi="Times New Roman" w:cs="Times New Roman"/>
        </w:rPr>
        <w:t xml:space="preserve"> (SM(d18:1/17:0)), N-heptadecanoyl-D-erythro-sphingosine (Cer(d18:1/17:0)), 1,2-diheptadecanoyl-sn-glycero-3-phosphocholine (PC(17:0/17:0)), 1-heptadecanoyl-2-hydroxy-sn-glycero-3-phosphocholine (LPC(17:0)) and 1-palmitoyl-d31-2-oleoyl-sn-glycero-3-phosphocholine (PC(16:0/d31/18:1)), (Avanti Polar Lipids, Inc., Alabaster, AL, USA), and also cholesteryl heptadecanoate (CE(17:0) and </w:t>
      </w:r>
      <w:proofErr w:type="spellStart"/>
      <w:r w:rsidRPr="009E731E">
        <w:rPr>
          <w:rFonts w:ascii="Times New Roman" w:hAnsi="Times New Roman" w:cs="Times New Roman"/>
        </w:rPr>
        <w:t>triheptadecanoylglycerol</w:t>
      </w:r>
      <w:proofErr w:type="spellEnd"/>
      <w:r w:rsidRPr="009E731E">
        <w:rPr>
          <w:rFonts w:ascii="Times New Roman" w:hAnsi="Times New Roman" w:cs="Times New Roman"/>
        </w:rPr>
        <w:t xml:space="preserve"> (TG(17:0/17:0/17:0)) (</w:t>
      </w:r>
      <w:proofErr w:type="spellStart"/>
      <w:r w:rsidRPr="009E731E">
        <w:rPr>
          <w:rFonts w:ascii="Times New Roman" w:hAnsi="Times New Roman" w:cs="Times New Roman"/>
        </w:rPr>
        <w:t>Larodan</w:t>
      </w:r>
      <w:proofErr w:type="spellEnd"/>
      <w:r w:rsidRPr="009E731E">
        <w:rPr>
          <w:rFonts w:ascii="Times New Roman" w:hAnsi="Times New Roman" w:cs="Times New Roman"/>
        </w:rPr>
        <w:t xml:space="preserve"> AB, Solna, Sweden). The samples were </w:t>
      </w:r>
      <w:proofErr w:type="gramStart"/>
      <w:r w:rsidRPr="009E731E">
        <w:rPr>
          <w:rFonts w:ascii="Times New Roman" w:hAnsi="Times New Roman" w:cs="Times New Roman"/>
        </w:rPr>
        <w:t>vortex mixed</w:t>
      </w:r>
      <w:proofErr w:type="gramEnd"/>
      <w:r w:rsidRPr="009E731E">
        <w:rPr>
          <w:rFonts w:ascii="Times New Roman" w:hAnsi="Times New Roman" w:cs="Times New Roman"/>
        </w:rPr>
        <w:t xml:space="preserve"> and incubated on ice for 30 min, after which they were centrifuged (9400 × g, 3 min). 60 µL from the lower layer of each sample was then transferred to a glass vial with an insert, and 60 µL of CHCl3: MeOH (2:1, v/v) was added to each sample. The samples were stored at -80 °C until analysis.</w:t>
      </w:r>
    </w:p>
    <w:p w14:paraId="41FB086C" w14:textId="77777777" w:rsidR="00004E44" w:rsidRPr="009E731E" w:rsidRDefault="00004E44" w:rsidP="00004E44">
      <w:pPr>
        <w:snapToGrid w:val="0"/>
        <w:jc w:val="both"/>
        <w:outlineLvl w:val="2"/>
        <w:rPr>
          <w:rFonts w:ascii="Times New Roman" w:hAnsi="Times New Roman" w:cs="Times New Roman"/>
        </w:rPr>
      </w:pPr>
      <w:r w:rsidRPr="009E731E">
        <w:rPr>
          <w:rFonts w:ascii="Times New Roman" w:hAnsi="Times New Roman" w:cs="Times New Roman"/>
        </w:rPr>
        <w:t>Calibration curves using 1-hexadecyl-2-(9Z-octadecenoyl)-sn-glycero-3-phosphocholine (PC(16:0e/18:1(9Z))), 1-(1Z-octadecenyl)-2-(9Z-octadecenoyl)-sn-glycero-3-phosphocholine (PC(18:0p/18:1(9Z))), 1-stearoyl-2-hydroxy-sn-glycero-3-phosphocholine (LPC(18:0)), 1-oleoyl-2-hydroxy-sn-glycero-3-phosphocholine (LPC(18:1)), 1-palmitoyl-2-oleoyl-sn-glycero-3-phosphoethanolamine (PE(16:0/18:1)), 1-(1Z-octadecenyl)-2-docosahexaenoyl-sn-glycero-3-phosphocholine (PC(18:0p/22:6)) and 1-stearoyl-2-linoleoyl-sn-glycerol (DG(18:0/18:2)), 1-(9Z-octadecenoyl)-sn-glycero-3-phosphoethanolamine (LPE(18:1)), N-(9Z-octadecenoyl)-</w:t>
      </w:r>
      <w:proofErr w:type="spellStart"/>
      <w:r w:rsidRPr="009E731E">
        <w:rPr>
          <w:rFonts w:ascii="Times New Roman" w:hAnsi="Times New Roman" w:cs="Times New Roman"/>
        </w:rPr>
        <w:t>sphinganine</w:t>
      </w:r>
      <w:proofErr w:type="spellEnd"/>
      <w:r w:rsidRPr="009E731E">
        <w:rPr>
          <w:rFonts w:ascii="Times New Roman" w:hAnsi="Times New Roman" w:cs="Times New Roman"/>
        </w:rPr>
        <w:t xml:space="preserve"> (Cer(d18:0/18:1(9Z))), 1-hexadecyl-2-(9Z-octadecenoyl)-sn-glycero-3-phosphoethanolamine (PE(16:0/18:1)) (Avanti Polar Lipids), 1-Palmitoyl-2-Hydroxy-sn-Glycero-3-Phosphatidylcholine (LPC(16:0)), 1,2,3 </w:t>
      </w:r>
      <w:proofErr w:type="spellStart"/>
      <w:r w:rsidRPr="009E731E">
        <w:rPr>
          <w:rFonts w:ascii="Times New Roman" w:hAnsi="Times New Roman" w:cs="Times New Roman"/>
        </w:rPr>
        <w:t>trihexadecanoalglycerol</w:t>
      </w:r>
      <w:proofErr w:type="spellEnd"/>
      <w:r w:rsidRPr="009E731E">
        <w:rPr>
          <w:rFonts w:ascii="Times New Roman" w:hAnsi="Times New Roman" w:cs="Times New Roman"/>
        </w:rPr>
        <w:t xml:space="preserve"> (TG(16:0/16:0/16:0)), 1,2,3-trioctadecanoylglycerol (TG(18:0/18:0/18:)) and 3β-hydroxy-5-cholestene-3-stearate (CE(18:0)), 3β-Hydroxy-5-cholestene-3-linoleate (CE(18:2)) (</w:t>
      </w:r>
      <w:proofErr w:type="spellStart"/>
      <w:r w:rsidRPr="009E731E">
        <w:rPr>
          <w:rFonts w:ascii="Times New Roman" w:hAnsi="Times New Roman" w:cs="Times New Roman"/>
        </w:rPr>
        <w:t>Larodan</w:t>
      </w:r>
      <w:proofErr w:type="spellEnd"/>
      <w:r w:rsidRPr="009E731E">
        <w:rPr>
          <w:rFonts w:ascii="Times New Roman" w:hAnsi="Times New Roman" w:cs="Times New Roman"/>
        </w:rPr>
        <w:t>), were prepared to the following concentration levels: 100, 500, 1000, 1500, 2000 and 2500 ng/mL (in CHCl3:MeOH, 2:1, v/v) including 1250 ng/mL of each internal standard.</w:t>
      </w:r>
    </w:p>
    <w:p w14:paraId="567EF678" w14:textId="77777777" w:rsidR="00004E44" w:rsidRPr="009E731E" w:rsidRDefault="00004E44" w:rsidP="00004E44">
      <w:pPr>
        <w:snapToGrid w:val="0"/>
        <w:jc w:val="both"/>
        <w:outlineLvl w:val="2"/>
        <w:rPr>
          <w:rFonts w:ascii="Times New Roman" w:hAnsi="Times New Roman" w:cs="Times New Roman"/>
        </w:rPr>
      </w:pPr>
      <w:r w:rsidRPr="009E731E">
        <w:rPr>
          <w:rFonts w:ascii="Times New Roman" w:hAnsi="Times New Roman" w:cs="Times New Roman"/>
        </w:rPr>
        <w:t>The samples were analyzed using ultra-high-performance liquid chromatography quadrupole time-of-flight mass spectrometry (UHPLC-QTOFMS). Briefly, the UHPLC system used in this work was a 1290 Infinity II system (Agilent Technologies, Santa Clara, CA, USA). The system was equipped with a multi sampler (maintained at 10°C), a quaternary solvent manager and a column thermostat (maintained at 50 °C). The injection volume was 1 µL, and the separations were performed on an ACQUITY UPLC® BEH C18 column (2.1 mm × 100 mm, particle size 1.7 µm) (Waters, Milford, MA, USA). The mass spectrometer coupled to the UHPLC was a 6545 QTOF (Agilent Technologies) interfaced with a dual jet stream electrospray (</w:t>
      </w:r>
      <w:proofErr w:type="spellStart"/>
      <w:r w:rsidRPr="009E731E">
        <w:rPr>
          <w:rFonts w:ascii="Times New Roman" w:hAnsi="Times New Roman" w:cs="Times New Roman"/>
        </w:rPr>
        <w:t>Ddual</w:t>
      </w:r>
      <w:proofErr w:type="spellEnd"/>
      <w:r w:rsidRPr="009E731E">
        <w:rPr>
          <w:rFonts w:ascii="Times New Roman" w:hAnsi="Times New Roman" w:cs="Times New Roman"/>
        </w:rPr>
        <w:t xml:space="preserve"> ESI) ion source. All analyses were performed in positive ion mode, and </w:t>
      </w:r>
      <w:proofErr w:type="spellStart"/>
      <w:r w:rsidRPr="009E731E">
        <w:rPr>
          <w:rFonts w:ascii="Times New Roman" w:hAnsi="Times New Roman" w:cs="Times New Roman"/>
        </w:rPr>
        <w:t>MassHunter</w:t>
      </w:r>
      <w:proofErr w:type="spellEnd"/>
      <w:r w:rsidRPr="009E731E">
        <w:rPr>
          <w:rFonts w:ascii="Times New Roman" w:hAnsi="Times New Roman" w:cs="Times New Roman"/>
        </w:rPr>
        <w:t xml:space="preserve"> B.06.01 (Agilent Technologies) was used for all data acquisition. Quality control was performed throughout the dataset by including blanks, pure standard samples, extracted standard samples, and control plasma samples.</w:t>
      </w:r>
    </w:p>
    <w:p w14:paraId="5FC22E43" w14:textId="7BCE858D" w:rsidR="00004E44" w:rsidRPr="009E731E" w:rsidRDefault="00004E44" w:rsidP="00004E44">
      <w:pPr>
        <w:snapToGrid w:val="0"/>
        <w:jc w:val="both"/>
        <w:outlineLvl w:val="2"/>
        <w:rPr>
          <w:rFonts w:ascii="Times New Roman" w:hAnsi="Times New Roman" w:cs="Times New Roman"/>
        </w:rPr>
      </w:pPr>
      <w:r w:rsidRPr="009E731E">
        <w:rPr>
          <w:rFonts w:ascii="Times New Roman" w:hAnsi="Times New Roman" w:cs="Times New Roman"/>
        </w:rPr>
        <w:t xml:space="preserve">Mass spectrometry data processing was performed using the open-source software package </w:t>
      </w:r>
      <w:proofErr w:type="spellStart"/>
      <w:r w:rsidRPr="009E731E">
        <w:rPr>
          <w:rFonts w:ascii="Times New Roman" w:hAnsi="Times New Roman" w:cs="Times New Roman"/>
        </w:rPr>
        <w:t>MZmine</w:t>
      </w:r>
      <w:proofErr w:type="spellEnd"/>
      <w:r w:rsidRPr="009E731E">
        <w:rPr>
          <w:rFonts w:ascii="Times New Roman" w:hAnsi="Times New Roman" w:cs="Times New Roman"/>
        </w:rPr>
        <w:t xml:space="preserve"> 2.53 </w:t>
      </w:r>
      <w:r w:rsidRPr="009E731E">
        <w:rPr>
          <w:rFonts w:ascii="Times New Roman" w:hAnsi="Times New Roman" w:cs="Times New Roman"/>
        </w:rPr>
        <w:fldChar w:fldCharType="begin"/>
      </w:r>
      <w:r w:rsidRPr="009E731E">
        <w:rPr>
          <w:rFonts w:ascii="Times New Roman" w:hAnsi="Times New Roman" w:cs="Times New Roman"/>
        </w:rPr>
        <w:instrText xml:space="preserve"> ADDIN ZOTERO_ITEM CSL_CITATION {"citationID":"ztAYP1IF","properties":{"formattedCitation":"\\super 53\\nosupersub{}","plainCitation":"53","noteIndex":0},"citationItems":[{"id":8410,"uris":["http://zotero.org/users/11013934/items/LY4GLGYV"],"itemData":{"id":8410,"type":"article-journal","abstract":"BACKGROUND: Mass spectrometry (MS) coupled with online separation methods is commonly applied for differential and quantitative profiling of biological samples in metabolomic as well as proteomic research. Such approaches are used for systems biology, functional genomics, and biomarker discovery, among others. An ongoing challenge of these molecular profiling approaches, however, is the development of better data processing methods. Here we introduce a new generation of a popular open-source data processing toolbox, MZmine 2.\nRESULTS: A key concept of the MZmine 2 software design is the strict separation of core functionality and data processing modules, with emphasis on easy usability and support for high-resolution spectra processing. Data processing modules take advantage of embedded visualization tools, allowing for immediate previews of parameter settings. Newly introduced functionality includes the identification of peaks using online databases, MSn data support, improved isotope pattern support, scatter plot visualization, and a new method for peak list alignment based on the random sample consensus (RANSAC) algorithm. The performance of the RANSAC alignment was evaluated using synthetic datasets as well as actual experimental data, and the results were compared to those obtained using other alignment algorithms.\nCONCLUSIONS: MZmine 2 is freely available under a GNU GPL license and can be obtained from the project website at: http://mzmine.sourceforge.net/. The current version of MZmine 2 is suitable for processing large batches of data and has been applied to both targeted and non-targeted metabolomic analyses.","container-title":"BMC bioinformatics","DOI":"10.1186/1471-2105-11-395","ISSN":"1471-2105","journalAbbreviation":"BMC Bioinformatics","language":"eng","note":"PMID: 20650010\nPMCID: PMC2918584","page":"395","source":"PubMed","title":"MZmine 2: modular framework for processing, visualizing, and analyzing mass spectrometry-based molecular profile data","title-short":"MZmine 2","volume":"11","author":[{"family":"Pluskal","given":"Tomás"},{"family":"Castillo","given":"Sandra"},{"family":"Villar-Briones","given":"Alejandro"},{"family":"Oresic","given":"Matej"}],"issued":{"date-parts":[["2010",7,23]]}}}],"schema":"https://github.com/citation-style-language/schema/raw/master/csl-citation.json"} </w:instrText>
      </w:r>
      <w:r w:rsidRPr="009E731E">
        <w:rPr>
          <w:rFonts w:ascii="Times New Roman" w:hAnsi="Times New Roman" w:cs="Times New Roman"/>
        </w:rPr>
        <w:fldChar w:fldCharType="separate"/>
      </w:r>
      <w:r w:rsidRPr="009E731E">
        <w:rPr>
          <w:rFonts w:ascii="Times New Roman" w:hAnsi="Times New Roman" w:cs="Times New Roman"/>
          <w:kern w:val="0"/>
          <w:vertAlign w:val="superscript"/>
        </w:rPr>
        <w:t>53</w:t>
      </w:r>
      <w:r w:rsidRPr="009E731E">
        <w:rPr>
          <w:rFonts w:ascii="Times New Roman" w:hAnsi="Times New Roman" w:cs="Times New Roman"/>
        </w:rPr>
        <w:fldChar w:fldCharType="end"/>
      </w:r>
      <w:r w:rsidRPr="009E731E">
        <w:rPr>
          <w:rFonts w:ascii="Times New Roman" w:hAnsi="Times New Roman" w:cs="Times New Roman"/>
        </w:rPr>
        <w:t>. The following steps were applied in this processing: (</w:t>
      </w:r>
      <w:proofErr w:type="spellStart"/>
      <w:r w:rsidRPr="009E731E">
        <w:rPr>
          <w:rFonts w:ascii="Times New Roman" w:hAnsi="Times New Roman" w:cs="Times New Roman"/>
        </w:rPr>
        <w:t>i</w:t>
      </w:r>
      <w:proofErr w:type="spellEnd"/>
      <w:r w:rsidRPr="009E731E">
        <w:rPr>
          <w:rFonts w:ascii="Times New Roman" w:hAnsi="Times New Roman" w:cs="Times New Roman"/>
        </w:rPr>
        <w:t xml:space="preserve">) Crop filtering with a m/z range of 350 – 1200 m/z and an RT range of 0.5 to 12 minutes, (ii) Mass detection with a noise level of 1000, (iii) Chromatogram builder with a minimum time span of 0.08 min, minimum height of 1000 and a m/z tolerance of 0.006 m/z or 10.0 ppm, (iv) Chromatogram deconvolution using the local minimum search algorithm with a 70% chromatographic threshold, 0.05 min minimum RT range, 5% minimum relative height, 1200 minimum absolute height, a minimum ration of peak top/edge of 1.05 and a peak duration </w:t>
      </w:r>
      <w:r w:rsidRPr="009E731E">
        <w:rPr>
          <w:rFonts w:ascii="Times New Roman" w:hAnsi="Times New Roman" w:cs="Times New Roman"/>
        </w:rPr>
        <w:lastRenderedPageBreak/>
        <w:t>range of 0.08 - 5.0, (v)</w:t>
      </w:r>
      <w:r w:rsidRPr="009E731E">
        <w:rPr>
          <w:rFonts w:ascii="Times New Roman" w:hAnsi="Times New Roman" w:cs="Times New Roman"/>
          <w:strike/>
        </w:rPr>
        <w:t>,</w:t>
      </w:r>
      <w:r w:rsidRPr="009E731E">
        <w:rPr>
          <w:rFonts w:ascii="Times New Roman" w:hAnsi="Times New Roman" w:cs="Times New Roman"/>
        </w:rPr>
        <w:t xml:space="preserve"> Isotopic peak grouper with a m/z tolerance of 5.0 ppm, RT tolerance of 0.07 min, maximum charge of 2 and with the most intense isotope set as the representative isotope, (vi) Join aligner with a m/z tolerance of 0.009 or 10.0 ppm and a weight for of 2, a RT tolerance of 0.1 min and a weight of 1 and with no requirement of charge state or ID and no comparison of isotope pattern, (viii) Peak list row filter with a minimum of 10% of the samples (vii) Gap filling using the same RT and m/z range gap filler algorithm with an m/z tolerance of 0.009 m/z or 11.0 ppm, (ix) Identification of lipids using a custom database search with an m/z tolerance of 0.009 m/z or 10.0 ppm and a RT tolerance of 0.1 min, and (xii) Normalization using internal standards PE(17:0/17:0), SM(d18:1/17:0), Cer(d18:1/17:0), LPC(17:0), TG(17:0/17:0/17:0) and PC(16:0/d30/18:1)) for identified lipids and closest ISTD for the unknown lipids followed by calculation of the concentrations based on lipid-class concentration curves.</w:t>
      </w:r>
      <w:r w:rsidR="007767C7">
        <w:rPr>
          <w:rFonts w:ascii="Times New Roman" w:hAnsi="Times New Roman" w:cs="Times New Roman"/>
        </w:rPr>
        <w:t xml:space="preserve"> </w:t>
      </w:r>
      <w:r w:rsidR="007767C7" w:rsidRPr="006549B9">
        <w:rPr>
          <w:rFonts w:ascii="Times New Roman" w:hAnsi="Times New Roman" w:cs="Times New Roman"/>
          <w:color w:val="000000" w:themeColor="text1"/>
        </w:rPr>
        <w:t xml:space="preserve">Lipids were identified by using an internal spectral library, based on retention times and MS/MS data, and data from authentic lipid standards for large number of lipids. The pooled samples have been run in </w:t>
      </w:r>
      <w:proofErr w:type="spellStart"/>
      <w:r w:rsidR="007767C7" w:rsidRPr="006549B9">
        <w:rPr>
          <w:rFonts w:ascii="Times New Roman" w:hAnsi="Times New Roman" w:cs="Times New Roman"/>
          <w:color w:val="000000" w:themeColor="text1"/>
        </w:rPr>
        <w:t>autoMSMS</w:t>
      </w:r>
      <w:proofErr w:type="spellEnd"/>
      <w:r w:rsidR="007767C7" w:rsidRPr="006549B9">
        <w:rPr>
          <w:rFonts w:ascii="Times New Roman" w:hAnsi="Times New Roman" w:cs="Times New Roman"/>
          <w:color w:val="000000" w:themeColor="text1"/>
        </w:rPr>
        <w:t xml:space="preserve"> mode, and that has been used for identification.</w:t>
      </w:r>
    </w:p>
    <w:p w14:paraId="0B0DDAEB" w14:textId="384E7C32" w:rsidR="000E2910" w:rsidRPr="006549B9" w:rsidRDefault="000E2910" w:rsidP="000E2910">
      <w:pPr>
        <w:snapToGrid w:val="0"/>
        <w:jc w:val="both"/>
        <w:outlineLvl w:val="2"/>
        <w:rPr>
          <w:rFonts w:ascii="Times New Roman" w:hAnsi="Times New Roman" w:cs="Times New Roman"/>
          <w:color w:val="000000" w:themeColor="text1"/>
        </w:rPr>
      </w:pPr>
      <w:r w:rsidRPr="006549B9">
        <w:rPr>
          <w:rFonts w:ascii="Times New Roman" w:hAnsi="Times New Roman" w:cs="Times New Roman"/>
          <w:color w:val="000000" w:themeColor="text1"/>
        </w:rPr>
        <w:t xml:space="preserve">We have taken an aliquot of each sample and divided this </w:t>
      </w:r>
      <w:proofErr w:type="gramStart"/>
      <w:r w:rsidRPr="006549B9">
        <w:rPr>
          <w:rFonts w:ascii="Times New Roman" w:hAnsi="Times New Roman" w:cs="Times New Roman"/>
          <w:color w:val="000000" w:themeColor="text1"/>
        </w:rPr>
        <w:t>to</w:t>
      </w:r>
      <w:proofErr w:type="gramEnd"/>
      <w:r w:rsidRPr="006549B9">
        <w:rPr>
          <w:rFonts w:ascii="Times New Roman" w:hAnsi="Times New Roman" w:cs="Times New Roman"/>
          <w:color w:val="000000" w:themeColor="text1"/>
        </w:rPr>
        <w:t xml:space="preserve"> multiple aliquots for QC. Pooled samples have been </w:t>
      </w:r>
      <w:proofErr w:type="spellStart"/>
      <w:r w:rsidRPr="006549B9">
        <w:rPr>
          <w:rFonts w:ascii="Times New Roman" w:hAnsi="Times New Roman" w:cs="Times New Roman"/>
          <w:color w:val="000000" w:themeColor="text1"/>
        </w:rPr>
        <w:t>analysed</w:t>
      </w:r>
      <w:proofErr w:type="spellEnd"/>
      <w:r w:rsidRPr="006549B9">
        <w:rPr>
          <w:rFonts w:ascii="Times New Roman" w:hAnsi="Times New Roman" w:cs="Times New Roman"/>
          <w:color w:val="000000" w:themeColor="text1"/>
        </w:rPr>
        <w:t xml:space="preserve"> together with the samples and extraction blanks, instrument blanks, standard samples, in-house QC and NIST SRM1950 reference sample. Calibration curves have been run in the beginning and end of the sample batch. </w:t>
      </w:r>
      <w:r w:rsidR="0099097D" w:rsidRPr="006D0D29">
        <w:rPr>
          <w:rFonts w:ascii="Times New Roman" w:hAnsi="Times New Roman" w:cs="Times New Roman"/>
          <w:color w:val="000000" w:themeColor="text1"/>
        </w:rPr>
        <w:t xml:space="preserve">On total </w:t>
      </w:r>
      <w:r w:rsidR="00C31080" w:rsidRPr="006D0D29">
        <w:rPr>
          <w:rFonts w:ascii="Times New Roman" w:hAnsi="Times New Roman" w:cs="Times New Roman"/>
          <w:color w:val="000000" w:themeColor="text1"/>
        </w:rPr>
        <w:t>5 p</w:t>
      </w:r>
      <w:r w:rsidRPr="006549B9">
        <w:rPr>
          <w:rFonts w:ascii="Times New Roman" w:hAnsi="Times New Roman" w:cs="Times New Roman"/>
          <w:color w:val="000000" w:themeColor="text1"/>
        </w:rPr>
        <w:t xml:space="preserve">ooled samples and extraction blanks, instrument blanks and standard sample </w:t>
      </w:r>
      <w:r w:rsidR="00B5279D" w:rsidRPr="006D0D29">
        <w:rPr>
          <w:rFonts w:ascii="Times New Roman" w:hAnsi="Times New Roman" w:cs="Times New Roman"/>
          <w:color w:val="000000" w:themeColor="text1"/>
        </w:rPr>
        <w:t>were</w:t>
      </w:r>
      <w:r w:rsidRPr="006549B9">
        <w:rPr>
          <w:rFonts w:ascii="Times New Roman" w:hAnsi="Times New Roman" w:cs="Times New Roman"/>
          <w:color w:val="000000" w:themeColor="text1"/>
        </w:rPr>
        <w:t xml:space="preserve"> </w:t>
      </w:r>
      <w:proofErr w:type="spellStart"/>
      <w:r w:rsidRPr="006549B9">
        <w:rPr>
          <w:rFonts w:ascii="Times New Roman" w:hAnsi="Times New Roman" w:cs="Times New Roman"/>
          <w:color w:val="000000" w:themeColor="text1"/>
        </w:rPr>
        <w:t>analysed</w:t>
      </w:r>
      <w:proofErr w:type="spellEnd"/>
      <w:r w:rsidRPr="006549B9">
        <w:rPr>
          <w:rFonts w:ascii="Times New Roman" w:hAnsi="Times New Roman" w:cs="Times New Roman"/>
          <w:color w:val="000000" w:themeColor="text1"/>
        </w:rPr>
        <w:t xml:space="preserve"> as every 20th sample. </w:t>
      </w:r>
      <w:r w:rsidR="006D0D29" w:rsidRPr="006D0D29">
        <w:rPr>
          <w:rFonts w:ascii="Times New Roman" w:hAnsi="Times New Roman" w:cs="Times New Roman"/>
          <w:color w:val="000000" w:themeColor="text1"/>
        </w:rPr>
        <w:t>The extraction blanks have been used for data filtration: the peak area in blanks was compared to the areas in real samples, and sample to blank peak area lower than three were removed from the data</w:t>
      </w:r>
    </w:p>
    <w:p w14:paraId="19F9131A" w14:textId="77777777" w:rsidR="000E2910" w:rsidRDefault="000E2910" w:rsidP="00004E44">
      <w:pPr>
        <w:snapToGrid w:val="0"/>
        <w:jc w:val="both"/>
        <w:outlineLvl w:val="2"/>
        <w:rPr>
          <w:rFonts w:ascii="Times New Roman" w:hAnsi="Times New Roman" w:cs="Times New Roman"/>
        </w:rPr>
      </w:pPr>
    </w:p>
    <w:p w14:paraId="096EEF85" w14:textId="74E923C5" w:rsidR="00E55C9D" w:rsidRPr="009E731E" w:rsidRDefault="001703EB">
      <w:pPr>
        <w:rPr>
          <w:rFonts w:ascii="Times New Roman" w:hAnsi="Times New Roman" w:cs="Times New Roman"/>
          <w:b/>
          <w:bCs/>
        </w:rPr>
      </w:pPr>
      <w:r w:rsidRPr="009E731E">
        <w:rPr>
          <w:rFonts w:ascii="Times New Roman" w:hAnsi="Times New Roman" w:cs="Times New Roman"/>
          <w:b/>
          <w:bCs/>
        </w:rPr>
        <w:t>Proteomics</w:t>
      </w:r>
    </w:p>
    <w:p w14:paraId="53C4CCDC" w14:textId="77777777" w:rsidR="0092654C" w:rsidRPr="009E731E" w:rsidRDefault="0092654C" w:rsidP="0092654C">
      <w:pPr>
        <w:jc w:val="both"/>
        <w:rPr>
          <w:rFonts w:ascii="Times New Roman" w:hAnsi="Times New Roman" w:cs="Times New Roman"/>
        </w:rPr>
      </w:pPr>
      <w:r w:rsidRPr="009E731E">
        <w:rPr>
          <w:rFonts w:ascii="Times New Roman" w:hAnsi="Times New Roman" w:cs="Times New Roman"/>
        </w:rPr>
        <w:t>Plasma protein digests were prepared in a 96-well plate format. Briefly, serum aliquots were diluted and denatured with urea, reduced with dithiothreitol, alkylated with iodoacetamide and digested with trypsin. The digests were desalted and concentrated using C18 solid-phase extraction (</w:t>
      </w:r>
      <w:proofErr w:type="spellStart"/>
      <w:r w:rsidRPr="009E731E">
        <w:rPr>
          <w:rFonts w:ascii="Times New Roman" w:hAnsi="Times New Roman" w:cs="Times New Roman"/>
        </w:rPr>
        <w:t>SepPak</w:t>
      </w:r>
      <w:proofErr w:type="spellEnd"/>
      <w:r w:rsidRPr="009E731E">
        <w:rPr>
          <w:rFonts w:ascii="Times New Roman" w:hAnsi="Times New Roman" w:cs="Times New Roman"/>
        </w:rPr>
        <w:t xml:space="preserve"> C18, Waters). Aliquots of the samples (800 ng) were </w:t>
      </w:r>
      <w:proofErr w:type="spellStart"/>
      <w:r w:rsidRPr="009E731E">
        <w:rPr>
          <w:rFonts w:ascii="Times New Roman" w:hAnsi="Times New Roman" w:cs="Times New Roman"/>
        </w:rPr>
        <w:t>analysed</w:t>
      </w:r>
      <w:proofErr w:type="spellEnd"/>
      <w:r w:rsidRPr="009E731E">
        <w:rPr>
          <w:rFonts w:ascii="Times New Roman" w:hAnsi="Times New Roman" w:cs="Times New Roman"/>
        </w:rPr>
        <w:t xml:space="preserve"> using liquid chromatography-tandem mass spectrometry with an </w:t>
      </w:r>
      <w:proofErr w:type="spellStart"/>
      <w:r w:rsidRPr="009E731E">
        <w:rPr>
          <w:rFonts w:ascii="Times New Roman" w:hAnsi="Times New Roman" w:cs="Times New Roman"/>
        </w:rPr>
        <w:t>Evosep</w:t>
      </w:r>
      <w:proofErr w:type="spellEnd"/>
      <w:r w:rsidRPr="009E731E">
        <w:rPr>
          <w:rFonts w:ascii="Times New Roman" w:hAnsi="Times New Roman" w:cs="Times New Roman"/>
        </w:rPr>
        <w:t xml:space="preserve"> One liquid chromatograph (</w:t>
      </w:r>
      <w:proofErr w:type="spellStart"/>
      <w:r w:rsidRPr="009E731E">
        <w:rPr>
          <w:rFonts w:ascii="Times New Roman" w:hAnsi="Times New Roman" w:cs="Times New Roman"/>
        </w:rPr>
        <w:t>Evosep</w:t>
      </w:r>
      <w:proofErr w:type="spellEnd"/>
      <w:r w:rsidRPr="009E731E">
        <w:rPr>
          <w:rFonts w:ascii="Times New Roman" w:hAnsi="Times New Roman" w:cs="Times New Roman"/>
        </w:rPr>
        <w:t xml:space="preserve">) coupled to a Q </w:t>
      </w:r>
      <w:proofErr w:type="spellStart"/>
      <w:r w:rsidRPr="009E731E">
        <w:rPr>
          <w:rFonts w:ascii="Times New Roman" w:hAnsi="Times New Roman" w:cs="Times New Roman"/>
        </w:rPr>
        <w:t>Exactive</w:t>
      </w:r>
      <w:proofErr w:type="spellEnd"/>
      <w:r w:rsidRPr="009E731E">
        <w:rPr>
          <w:rFonts w:ascii="Times New Roman" w:hAnsi="Times New Roman" w:cs="Times New Roman"/>
        </w:rPr>
        <w:t xml:space="preserve"> HF Orbitrap (</w:t>
      </w:r>
      <w:proofErr w:type="spellStart"/>
      <w:r w:rsidRPr="009E731E">
        <w:rPr>
          <w:rFonts w:ascii="Times New Roman" w:hAnsi="Times New Roman" w:cs="Times New Roman"/>
        </w:rPr>
        <w:t>Thermo</w:t>
      </w:r>
      <w:proofErr w:type="spellEnd"/>
      <w:r w:rsidRPr="009E731E">
        <w:rPr>
          <w:rFonts w:ascii="Times New Roman" w:hAnsi="Times New Roman" w:cs="Times New Roman"/>
        </w:rPr>
        <w:t xml:space="preserve"> Scientific). A C</w:t>
      </w:r>
      <w:r w:rsidRPr="009E731E">
        <w:rPr>
          <w:rFonts w:ascii="Times New Roman" w:hAnsi="Times New Roman" w:cs="Times New Roman"/>
          <w:vertAlign w:val="subscript"/>
        </w:rPr>
        <w:t>18</w:t>
      </w:r>
      <w:r w:rsidRPr="009E731E">
        <w:rPr>
          <w:rFonts w:ascii="Times New Roman" w:hAnsi="Times New Roman" w:cs="Times New Roman"/>
        </w:rPr>
        <w:t xml:space="preserve"> reversed-phase column (15 cm x 150 µm, 1.9 µm EV-1106, </w:t>
      </w:r>
      <w:proofErr w:type="spellStart"/>
      <w:r w:rsidRPr="009E731E">
        <w:rPr>
          <w:rFonts w:ascii="Times New Roman" w:hAnsi="Times New Roman" w:cs="Times New Roman"/>
        </w:rPr>
        <w:t>Evosep</w:t>
      </w:r>
      <w:proofErr w:type="spellEnd"/>
      <w:r w:rsidRPr="009E731E">
        <w:rPr>
          <w:rFonts w:ascii="Times New Roman" w:hAnsi="Times New Roman" w:cs="Times New Roman"/>
        </w:rPr>
        <w:t xml:space="preserve"> Endurance) was used for the 30 sample/day method. Data were acquired using a data independent acquisition (DIA) strategy with 33 variable windows from 365 to 1005 Da. The MS1 and MS2 </w:t>
      </w:r>
      <w:proofErr w:type="gramStart"/>
      <w:r w:rsidRPr="009E731E">
        <w:rPr>
          <w:rFonts w:ascii="Times New Roman" w:hAnsi="Times New Roman" w:cs="Times New Roman"/>
        </w:rPr>
        <w:t>resolution</w:t>
      </w:r>
      <w:proofErr w:type="gramEnd"/>
      <w:r w:rsidRPr="009E731E">
        <w:rPr>
          <w:rFonts w:ascii="Times New Roman" w:hAnsi="Times New Roman" w:cs="Times New Roman"/>
        </w:rPr>
        <w:t xml:space="preserve"> were 120 k and 30 k, with AGCs of 3 x 10</w:t>
      </w:r>
      <w:r w:rsidRPr="009E731E">
        <w:rPr>
          <w:rFonts w:ascii="Times New Roman" w:hAnsi="Times New Roman" w:cs="Times New Roman"/>
          <w:vertAlign w:val="superscript"/>
        </w:rPr>
        <w:t>-6</w:t>
      </w:r>
      <w:r w:rsidRPr="009E731E">
        <w:rPr>
          <w:rFonts w:ascii="Times New Roman" w:hAnsi="Times New Roman" w:cs="Times New Roman"/>
        </w:rPr>
        <w:t> and 1 x 10</w:t>
      </w:r>
      <w:r w:rsidRPr="009E731E">
        <w:rPr>
          <w:rFonts w:ascii="Times New Roman" w:hAnsi="Times New Roman" w:cs="Times New Roman"/>
          <w:vertAlign w:val="superscript"/>
        </w:rPr>
        <w:t>-6</w:t>
      </w:r>
      <w:r w:rsidRPr="009E731E">
        <w:rPr>
          <w:rFonts w:ascii="Times New Roman" w:hAnsi="Times New Roman" w:cs="Times New Roman"/>
        </w:rPr>
        <w:t>, respectively.</w:t>
      </w:r>
    </w:p>
    <w:p w14:paraId="44F3F5B3" w14:textId="77777777" w:rsidR="00A86FAB" w:rsidRPr="006549B9" w:rsidRDefault="00A86FAB" w:rsidP="006549B9">
      <w:pPr>
        <w:jc w:val="both"/>
        <w:rPr>
          <w:rFonts w:ascii="Times New Roman" w:hAnsi="Times New Roman" w:cs="Times New Roman"/>
          <w:b/>
          <w:bCs/>
        </w:rPr>
      </w:pPr>
      <w:r w:rsidRPr="006549B9">
        <w:rPr>
          <w:rFonts w:ascii="Times New Roman" w:hAnsi="Times New Roman" w:cs="Times New Roman"/>
          <w:b/>
          <w:bCs/>
        </w:rPr>
        <w:t>Multi omics integration analysis</w:t>
      </w:r>
    </w:p>
    <w:p w14:paraId="5E25BC40" w14:textId="77777777" w:rsidR="00A86FAB" w:rsidRPr="006549B9" w:rsidRDefault="00A86FAB" w:rsidP="006549B9">
      <w:pPr>
        <w:jc w:val="both"/>
        <w:rPr>
          <w:rFonts w:ascii="Times New Roman" w:hAnsi="Times New Roman" w:cs="Times New Roman"/>
        </w:rPr>
      </w:pPr>
      <w:r w:rsidRPr="006549B9">
        <w:rPr>
          <w:rFonts w:ascii="Times New Roman" w:hAnsi="Times New Roman" w:cs="Times New Roman"/>
        </w:rPr>
        <w:t>DNA methylation β-values were obtained from normalized EPIC array data (GSE319777). Probes located on sex chromosomes or mitochondrial DNA, as well as probes lacking gene annotation, were excluded. To reduce dimensionality while retaining biologically informative loci, CpG sites were filtered based on inter-sample variance, retaining the top 10% most variable sites. Probes with more than 20% missing values were removed. β-values were subsequently transformed to M-values using a logit transformation after bounding extreme values to prevent infinite estimates. The resulting M-value matrix was used for integrative multi-omics modeling.</w:t>
      </w:r>
    </w:p>
    <w:p w14:paraId="68B3D67D" w14:textId="42245A27" w:rsidR="00A86FAB" w:rsidRPr="006549B9" w:rsidRDefault="00A86FAB" w:rsidP="006549B9">
      <w:pPr>
        <w:jc w:val="both"/>
        <w:rPr>
          <w:rFonts w:ascii="Times New Roman" w:hAnsi="Times New Roman" w:cs="Times New Roman"/>
        </w:rPr>
      </w:pPr>
      <w:r w:rsidRPr="006549B9">
        <w:rPr>
          <w:rFonts w:ascii="Times New Roman" w:hAnsi="Times New Roman" w:cs="Times New Roman"/>
        </w:rPr>
        <w:t xml:space="preserve">Following quality control and variance-based filtering, 31,067 CpG sites were retained. These </w:t>
      </w:r>
      <w:proofErr w:type="gramStart"/>
      <w:r w:rsidRPr="006549B9">
        <w:rPr>
          <w:rFonts w:ascii="Times New Roman" w:hAnsi="Times New Roman" w:cs="Times New Roman"/>
        </w:rPr>
        <w:t>were jointly</w:t>
      </w:r>
      <w:proofErr w:type="gramEnd"/>
      <w:r w:rsidRPr="006549B9">
        <w:rPr>
          <w:rFonts w:ascii="Times New Roman" w:hAnsi="Times New Roman" w:cs="Times New Roman"/>
        </w:rPr>
        <w:t xml:space="preserve"> analyzed with 308 lipid species and 521 protein features in the integrative multi-omics framework. Integration was conducted using matched multi-omics data from individual patients. A total of 71 </w:t>
      </w:r>
      <w:r w:rsidR="00397A55">
        <w:rPr>
          <w:rFonts w:ascii="Times New Roman" w:hAnsi="Times New Roman" w:cs="Times New Roman"/>
        </w:rPr>
        <w:t>samples</w:t>
      </w:r>
      <w:r w:rsidRPr="006549B9">
        <w:rPr>
          <w:rFonts w:ascii="Times New Roman" w:hAnsi="Times New Roman" w:cs="Times New Roman"/>
        </w:rPr>
        <w:t xml:space="preserve"> were included in the final analysis, as methylation data was not available for all participants.</w:t>
      </w:r>
    </w:p>
    <w:p w14:paraId="5638612F" w14:textId="3C5C7013" w:rsidR="00A86FAB" w:rsidRPr="006549B9" w:rsidRDefault="00A86FAB" w:rsidP="006549B9">
      <w:pPr>
        <w:jc w:val="both"/>
        <w:rPr>
          <w:rFonts w:ascii="Times New Roman" w:hAnsi="Times New Roman" w:cs="Times New Roman"/>
        </w:rPr>
      </w:pPr>
      <w:r w:rsidRPr="006549B9">
        <w:rPr>
          <w:rFonts w:ascii="Times New Roman" w:hAnsi="Times New Roman" w:cs="Times New Roman"/>
        </w:rPr>
        <w:t xml:space="preserve">Multi-omics integration was performed using DIABLO implemented in the </w:t>
      </w:r>
      <w:proofErr w:type="spellStart"/>
      <w:r w:rsidRPr="006549B9">
        <w:rPr>
          <w:rFonts w:ascii="Times New Roman" w:hAnsi="Times New Roman" w:cs="Times New Roman"/>
          <w:i/>
          <w:iCs/>
        </w:rPr>
        <w:t>mixOmics</w:t>
      </w:r>
      <w:proofErr w:type="spellEnd"/>
      <w:r w:rsidRPr="006549B9">
        <w:rPr>
          <w:rFonts w:ascii="Times New Roman" w:hAnsi="Times New Roman" w:cs="Times New Roman"/>
        </w:rPr>
        <w:t xml:space="preserve"> R package (v6.34.0)</w:t>
      </w:r>
      <w:r w:rsidR="00B60711" w:rsidRPr="006549B9">
        <w:rPr>
          <w:rFonts w:ascii="Times New Roman" w:hAnsi="Times New Roman" w:cs="Times New Roman"/>
        </w:rPr>
        <w:t xml:space="preserve">. </w:t>
      </w:r>
      <w:r w:rsidRPr="006549B9">
        <w:rPr>
          <w:rFonts w:ascii="Times New Roman" w:hAnsi="Times New Roman" w:cs="Times New Roman"/>
        </w:rPr>
        <w:t xml:space="preserve">After sample alignment and scaling to unit variance, the three omics datasets were analyzed </w:t>
      </w:r>
      <w:r w:rsidRPr="006549B9">
        <w:rPr>
          <w:rFonts w:ascii="Times New Roman" w:hAnsi="Times New Roman" w:cs="Times New Roman"/>
        </w:rPr>
        <w:lastRenderedPageBreak/>
        <w:t xml:space="preserve">using a block sparse Partial Least Squares Discriminant Analysis (block </w:t>
      </w:r>
      <w:proofErr w:type="spellStart"/>
      <w:r w:rsidRPr="006549B9">
        <w:rPr>
          <w:rFonts w:ascii="Times New Roman" w:hAnsi="Times New Roman" w:cs="Times New Roman"/>
        </w:rPr>
        <w:t>sPLS</w:t>
      </w:r>
      <w:proofErr w:type="spellEnd"/>
      <w:r w:rsidRPr="006549B9">
        <w:rPr>
          <w:rFonts w:ascii="Times New Roman" w:hAnsi="Times New Roman" w:cs="Times New Roman"/>
        </w:rPr>
        <w:t xml:space="preserve">-DA) model with a weak design matrix (correlation weight = 0.1 between blocks). Model performance was evaluated using repeated 10-fold cross-validation. The optimal number of latent components was determined based on the cross-validated balanced error rate (BER), and the final sparse block </w:t>
      </w:r>
      <w:proofErr w:type="spellStart"/>
      <w:r w:rsidRPr="006549B9">
        <w:rPr>
          <w:rFonts w:ascii="Times New Roman" w:hAnsi="Times New Roman" w:cs="Times New Roman"/>
        </w:rPr>
        <w:t>sPLS</w:t>
      </w:r>
      <w:proofErr w:type="spellEnd"/>
      <w:r w:rsidRPr="006549B9">
        <w:rPr>
          <w:rFonts w:ascii="Times New Roman" w:hAnsi="Times New Roman" w:cs="Times New Roman"/>
        </w:rPr>
        <w:t xml:space="preserve">-DA model included two components. Feature selection was performed using tuned </w:t>
      </w:r>
      <w:proofErr w:type="spellStart"/>
      <w:r w:rsidRPr="006549B9">
        <w:rPr>
          <w:rFonts w:ascii="Times New Roman" w:hAnsi="Times New Roman" w:cs="Times New Roman"/>
        </w:rPr>
        <w:t>keepX</w:t>
      </w:r>
      <w:proofErr w:type="spellEnd"/>
      <w:r w:rsidRPr="006549B9">
        <w:rPr>
          <w:rFonts w:ascii="Times New Roman" w:hAnsi="Times New Roman" w:cs="Times New Roman"/>
        </w:rPr>
        <w:t xml:space="preserve"> parameters to identify discriminative multi-omics signatures.</w:t>
      </w:r>
    </w:p>
    <w:p w14:paraId="03CECF93" w14:textId="77777777" w:rsidR="00A70B3C" w:rsidRPr="009E731E" w:rsidRDefault="00A70B3C">
      <w:pPr>
        <w:rPr>
          <w:rFonts w:ascii="Times New Roman" w:hAnsi="Times New Roman" w:cs="Times New Roman"/>
        </w:rPr>
      </w:pPr>
    </w:p>
    <w:sectPr w:rsidR="00A70B3C" w:rsidRPr="009E731E" w:rsidSect="00553248">
      <w:headerReference w:type="even" r:id="rId6"/>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00046" w14:textId="77777777" w:rsidR="00833AE9" w:rsidRDefault="00833AE9" w:rsidP="00004E44">
      <w:pPr>
        <w:spacing w:after="0" w:line="240" w:lineRule="auto"/>
      </w:pPr>
      <w:r>
        <w:separator/>
      </w:r>
    </w:p>
  </w:endnote>
  <w:endnote w:type="continuationSeparator" w:id="0">
    <w:p w14:paraId="73852631" w14:textId="77777777" w:rsidR="00833AE9" w:rsidRDefault="00833AE9" w:rsidP="00004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99376" w14:textId="77777777" w:rsidR="00833AE9" w:rsidRDefault="00833AE9" w:rsidP="00004E44">
      <w:pPr>
        <w:spacing w:after="0" w:line="240" w:lineRule="auto"/>
      </w:pPr>
      <w:r>
        <w:separator/>
      </w:r>
    </w:p>
  </w:footnote>
  <w:footnote w:type="continuationSeparator" w:id="0">
    <w:p w14:paraId="2A6ABA06" w14:textId="77777777" w:rsidR="00833AE9" w:rsidRDefault="00833AE9" w:rsidP="00004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1F80E" w14:textId="00CD3EEC" w:rsidR="00004E44" w:rsidRDefault="00004E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C7214" w14:textId="07C85B0B" w:rsidR="00004E44" w:rsidRDefault="00004E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07A6" w14:textId="7C794544" w:rsidR="00004E44" w:rsidRDefault="00004E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E44"/>
    <w:rsid w:val="00004E44"/>
    <w:rsid w:val="0003701A"/>
    <w:rsid w:val="000D28F6"/>
    <w:rsid w:val="000E2910"/>
    <w:rsid w:val="001703EB"/>
    <w:rsid w:val="001E3B3A"/>
    <w:rsid w:val="00216B15"/>
    <w:rsid w:val="0027548D"/>
    <w:rsid w:val="00397A55"/>
    <w:rsid w:val="00430A2B"/>
    <w:rsid w:val="00440B6F"/>
    <w:rsid w:val="00526E70"/>
    <w:rsid w:val="00553248"/>
    <w:rsid w:val="00563B38"/>
    <w:rsid w:val="005D1614"/>
    <w:rsid w:val="006549B9"/>
    <w:rsid w:val="006D0D29"/>
    <w:rsid w:val="007767C7"/>
    <w:rsid w:val="00833AE9"/>
    <w:rsid w:val="00877A47"/>
    <w:rsid w:val="008B7054"/>
    <w:rsid w:val="00911A70"/>
    <w:rsid w:val="0092654C"/>
    <w:rsid w:val="0099097D"/>
    <w:rsid w:val="009E731E"/>
    <w:rsid w:val="00A70B3C"/>
    <w:rsid w:val="00A759DE"/>
    <w:rsid w:val="00A86A1D"/>
    <w:rsid w:val="00A86FAB"/>
    <w:rsid w:val="00B5279D"/>
    <w:rsid w:val="00B60711"/>
    <w:rsid w:val="00BA1840"/>
    <w:rsid w:val="00C31080"/>
    <w:rsid w:val="00CB6EB8"/>
    <w:rsid w:val="00E55C9D"/>
    <w:rsid w:val="00F06B1A"/>
    <w:rsid w:val="00F20A8E"/>
    <w:rsid w:val="00F51B60"/>
    <w:rsid w:val="00F7482E"/>
    <w:rsid w:val="00F85382"/>
    <w:rsid w:val="00FE51F2"/>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3E2E7"/>
  <w15:chartTrackingRefBased/>
  <w15:docId w15:val="{DD050416-0176-433E-B8FA-B79352355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E44"/>
    <w:rPr>
      <w:kern w:val="2"/>
      <w:lang w:val="en-US"/>
      <w14:ligatures w14:val="standardContextual"/>
    </w:rPr>
  </w:style>
  <w:style w:type="paragraph" w:styleId="Heading1">
    <w:name w:val="heading 1"/>
    <w:basedOn w:val="Normal"/>
    <w:next w:val="Normal"/>
    <w:link w:val="Heading1Char"/>
    <w:uiPriority w:val="9"/>
    <w:qFormat/>
    <w:rsid w:val="00004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4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4E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4E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4E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4E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4E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4E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4E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E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4E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4E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4E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4E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4E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E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E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E44"/>
    <w:rPr>
      <w:rFonts w:eastAsiaTheme="majorEastAsia" w:cstheme="majorBidi"/>
      <w:color w:val="272727" w:themeColor="text1" w:themeTint="D8"/>
    </w:rPr>
  </w:style>
  <w:style w:type="paragraph" w:styleId="Title">
    <w:name w:val="Title"/>
    <w:basedOn w:val="Normal"/>
    <w:next w:val="Normal"/>
    <w:link w:val="TitleChar"/>
    <w:uiPriority w:val="10"/>
    <w:qFormat/>
    <w:rsid w:val="00004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E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E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4E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E44"/>
    <w:pPr>
      <w:spacing w:before="160"/>
      <w:jc w:val="center"/>
    </w:pPr>
    <w:rPr>
      <w:i/>
      <w:iCs/>
      <w:color w:val="404040" w:themeColor="text1" w:themeTint="BF"/>
    </w:rPr>
  </w:style>
  <w:style w:type="character" w:customStyle="1" w:styleId="QuoteChar">
    <w:name w:val="Quote Char"/>
    <w:basedOn w:val="DefaultParagraphFont"/>
    <w:link w:val="Quote"/>
    <w:uiPriority w:val="29"/>
    <w:rsid w:val="00004E44"/>
    <w:rPr>
      <w:i/>
      <w:iCs/>
      <w:color w:val="404040" w:themeColor="text1" w:themeTint="BF"/>
    </w:rPr>
  </w:style>
  <w:style w:type="paragraph" w:styleId="ListParagraph">
    <w:name w:val="List Paragraph"/>
    <w:basedOn w:val="Normal"/>
    <w:uiPriority w:val="34"/>
    <w:qFormat/>
    <w:rsid w:val="00004E44"/>
    <w:pPr>
      <w:ind w:left="720"/>
      <w:contextualSpacing/>
    </w:pPr>
  </w:style>
  <w:style w:type="character" w:styleId="IntenseEmphasis">
    <w:name w:val="Intense Emphasis"/>
    <w:basedOn w:val="DefaultParagraphFont"/>
    <w:uiPriority w:val="21"/>
    <w:qFormat/>
    <w:rsid w:val="00004E44"/>
    <w:rPr>
      <w:i/>
      <w:iCs/>
      <w:color w:val="0F4761" w:themeColor="accent1" w:themeShade="BF"/>
    </w:rPr>
  </w:style>
  <w:style w:type="paragraph" w:styleId="IntenseQuote">
    <w:name w:val="Intense Quote"/>
    <w:basedOn w:val="Normal"/>
    <w:next w:val="Normal"/>
    <w:link w:val="IntenseQuoteChar"/>
    <w:uiPriority w:val="30"/>
    <w:qFormat/>
    <w:rsid w:val="00004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4E44"/>
    <w:rPr>
      <w:i/>
      <w:iCs/>
      <w:color w:val="0F4761" w:themeColor="accent1" w:themeShade="BF"/>
    </w:rPr>
  </w:style>
  <w:style w:type="character" w:styleId="IntenseReference">
    <w:name w:val="Intense Reference"/>
    <w:basedOn w:val="DefaultParagraphFont"/>
    <w:uiPriority w:val="32"/>
    <w:qFormat/>
    <w:rsid w:val="00004E44"/>
    <w:rPr>
      <w:b/>
      <w:bCs/>
      <w:smallCaps/>
      <w:color w:val="0F4761" w:themeColor="accent1" w:themeShade="BF"/>
      <w:spacing w:val="5"/>
    </w:rPr>
  </w:style>
  <w:style w:type="paragraph" w:styleId="Header">
    <w:name w:val="header"/>
    <w:basedOn w:val="Normal"/>
    <w:link w:val="HeaderChar"/>
    <w:uiPriority w:val="99"/>
    <w:unhideWhenUsed/>
    <w:rsid w:val="00004E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4E44"/>
    <w:rPr>
      <w:kern w:val="2"/>
      <w:lang w:val="en-US"/>
      <w14:ligatures w14:val="standardContextual"/>
    </w:rPr>
  </w:style>
  <w:style w:type="paragraph" w:styleId="Footer">
    <w:name w:val="footer"/>
    <w:basedOn w:val="Normal"/>
    <w:link w:val="FooterChar"/>
    <w:uiPriority w:val="99"/>
    <w:semiHidden/>
    <w:unhideWhenUsed/>
    <w:rsid w:val="00526E7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26E70"/>
    <w:rPr>
      <w:kern w:val="2"/>
      <w:lang w:val="en-US"/>
      <w14:ligatures w14:val="standardContextual"/>
    </w:rPr>
  </w:style>
  <w:style w:type="paragraph" w:styleId="Revision">
    <w:name w:val="Revision"/>
    <w:hidden/>
    <w:uiPriority w:val="99"/>
    <w:semiHidden/>
    <w:rsid w:val="00877A47"/>
    <w:pPr>
      <w:spacing w:after="0" w:line="240" w:lineRule="auto"/>
    </w:pPr>
    <w:rPr>
      <w:kern w:val="2"/>
      <w:lang w:val="en-US"/>
      <w14:ligatures w14:val="standardContextual"/>
    </w:rPr>
  </w:style>
  <w:style w:type="character" w:styleId="PlaceholderText">
    <w:name w:val="Placeholder Text"/>
    <w:basedOn w:val="DefaultParagraphFont"/>
    <w:uiPriority w:val="99"/>
    <w:semiHidden/>
    <w:rsid w:val="00A86FA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dc41d9b-b010-4340-bce3-e554a9fc2bef}" enabled="1" method="Privileged" siteId="{fa6944af-cc7c-4cd8-9154-c0113279891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3</Pages>
  <Words>1702</Words>
  <Characters>9707</Characters>
  <Application>Microsoft Office Word</Application>
  <DocSecurity>0</DocSecurity>
  <Lines>80</Lines>
  <Paragraphs>22</Paragraphs>
  <ScaleCrop>false</ScaleCrop>
  <Company>Tampere University</Company>
  <LinksUpToDate>false</LinksUpToDate>
  <CharactersWithSpaces>11387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Keijo Viiri (TAU)</dc:creator>
  <cp:keywords/>
  <dc:description/>
  <cp:lastModifiedBy>Keijo Viiri (TAU)</cp:lastModifiedBy>
  <cp:revision>6</cp:revision>
  <dcterms:created xsi:type="dcterms:W3CDTF">2026-03-05T07:54:00Z</dcterms:created>
  <dcterms:modified xsi:type="dcterms:W3CDTF">2026-04-18T13:39:00Z</dcterms:modified>
</cp:coreProperties>
</file>