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8749C" w14:textId="25A86D7B" w:rsidR="00797F66" w:rsidRPr="002D3565" w:rsidRDefault="00855616" w:rsidP="00855616">
      <w:pPr>
        <w:pStyle w:val="Heading1"/>
        <w:rPr>
          <w:lang w:val="en-US"/>
        </w:rPr>
      </w:pPr>
      <w:r w:rsidRPr="002D3565">
        <w:rPr>
          <w:lang w:val="en-US"/>
        </w:rPr>
        <w:t xml:space="preserve">Supplementary </w:t>
      </w:r>
      <w:r w:rsidR="00F35D00" w:rsidRPr="002D3565">
        <w:rPr>
          <w:lang w:val="en-US"/>
        </w:rPr>
        <w:t>information</w:t>
      </w:r>
    </w:p>
    <w:p w14:paraId="55E1FA7E" w14:textId="64DF5746" w:rsidR="00F35D00" w:rsidRPr="002D3565" w:rsidRDefault="00F35D00" w:rsidP="00617AD5">
      <w:pPr>
        <w:spacing w:line="240" w:lineRule="auto"/>
        <w:jc w:val="both"/>
        <w:rPr>
          <w:b/>
          <w:bCs/>
          <w:lang w:val="en-US"/>
        </w:rPr>
      </w:pPr>
      <w:r w:rsidRPr="002D3565">
        <w:rPr>
          <w:b/>
          <w:bCs/>
          <w:lang w:val="en-US"/>
        </w:rPr>
        <w:t>Supplementary information S1. Description of the Avon Longitudinal Study of Parents and Children (ALSAPC), Born in Bradford (</w:t>
      </w:r>
      <w:proofErr w:type="spellStart"/>
      <w:r w:rsidRPr="002D3565">
        <w:rPr>
          <w:b/>
          <w:bCs/>
          <w:lang w:val="en-US"/>
        </w:rPr>
        <w:t>BiB</w:t>
      </w:r>
      <w:proofErr w:type="spellEnd"/>
      <w:r w:rsidRPr="002D3565">
        <w:rPr>
          <w:b/>
          <w:bCs/>
          <w:lang w:val="en-US"/>
        </w:rPr>
        <w:t>)</w:t>
      </w:r>
      <w:r w:rsidR="001C076B" w:rsidRPr="002D3565">
        <w:rPr>
          <w:b/>
          <w:bCs/>
          <w:lang w:val="en-US"/>
        </w:rPr>
        <w:t xml:space="preserve">, </w:t>
      </w:r>
      <w:r w:rsidRPr="002D3565">
        <w:rPr>
          <w:b/>
          <w:bCs/>
          <w:lang w:val="en-US"/>
        </w:rPr>
        <w:t>Norwegian Mother, Father and Child Cohort Study (</w:t>
      </w:r>
      <w:proofErr w:type="spellStart"/>
      <w:r w:rsidRPr="002D3565">
        <w:rPr>
          <w:b/>
          <w:bCs/>
          <w:lang w:val="en-US"/>
        </w:rPr>
        <w:t>MoBa</w:t>
      </w:r>
      <w:proofErr w:type="spellEnd"/>
      <w:r w:rsidRPr="002D3565">
        <w:rPr>
          <w:b/>
          <w:bCs/>
          <w:lang w:val="en-US"/>
        </w:rPr>
        <w:t>)</w:t>
      </w:r>
      <w:r w:rsidR="001C076B" w:rsidRPr="002D3565">
        <w:rPr>
          <w:b/>
          <w:bCs/>
          <w:lang w:val="en-US"/>
        </w:rPr>
        <w:t xml:space="preserve"> and UK Biobank (UKB). </w:t>
      </w:r>
    </w:p>
    <w:p w14:paraId="2AC767F1" w14:textId="009E4FE1" w:rsidR="009A3544" w:rsidRPr="002D3565" w:rsidRDefault="00F84A8E" w:rsidP="009A3544">
      <w:pPr>
        <w:spacing w:line="360" w:lineRule="auto"/>
        <w:jc w:val="both"/>
        <w:rPr>
          <w:lang w:val="en-US"/>
        </w:rPr>
      </w:pPr>
      <w:r w:rsidRPr="002D3565">
        <w:rPr>
          <w:lang w:val="en-US"/>
        </w:rPr>
        <w:t>We analy</w:t>
      </w:r>
      <w:r w:rsidR="00C64E34" w:rsidRPr="002D3565">
        <w:rPr>
          <w:lang w:val="en-US"/>
        </w:rPr>
        <w:t>z</w:t>
      </w:r>
      <w:r w:rsidRPr="002D3565">
        <w:rPr>
          <w:lang w:val="en-US"/>
        </w:rPr>
        <w:t>e</w:t>
      </w:r>
      <w:r w:rsidR="00BC4636" w:rsidRPr="002D3565">
        <w:rPr>
          <w:lang w:val="en-US"/>
        </w:rPr>
        <w:t>d</w:t>
      </w:r>
      <w:r w:rsidRPr="002D3565">
        <w:rPr>
          <w:lang w:val="en-US"/>
        </w:rPr>
        <w:t xml:space="preserve"> data from four European population based prospective studies</w:t>
      </w:r>
      <w:r w:rsidR="00EA354C" w:rsidRPr="002D3565">
        <w:rPr>
          <w:lang w:val="en-US"/>
        </w:rPr>
        <w:t>, the Avon Longitudinal Study of Parents and Children (ALSPAC), the Born in Bradford (</w:t>
      </w:r>
      <w:proofErr w:type="spellStart"/>
      <w:r w:rsidR="00EA354C" w:rsidRPr="002D3565">
        <w:rPr>
          <w:lang w:val="en-US"/>
        </w:rPr>
        <w:t>BiB</w:t>
      </w:r>
      <w:proofErr w:type="spellEnd"/>
      <w:r w:rsidR="00EA354C" w:rsidRPr="002D3565">
        <w:rPr>
          <w:lang w:val="en-US"/>
        </w:rPr>
        <w:t>) cohort, the Norwegian Mother, Father and Child Cohort study (</w:t>
      </w:r>
      <w:proofErr w:type="spellStart"/>
      <w:r w:rsidR="00EA354C" w:rsidRPr="002D3565">
        <w:rPr>
          <w:lang w:val="en-US"/>
        </w:rPr>
        <w:t>MoBa</w:t>
      </w:r>
      <w:proofErr w:type="spellEnd"/>
      <w:r w:rsidR="00EA354C" w:rsidRPr="002D3565">
        <w:rPr>
          <w:lang w:val="en-US"/>
        </w:rPr>
        <w:t xml:space="preserve">), and the UK Biobank (UKB). </w:t>
      </w:r>
      <w:r w:rsidR="00746DED" w:rsidRPr="002D3565">
        <w:rPr>
          <w:lang w:val="en-US"/>
        </w:rPr>
        <w:t>Each of these cohorts will be described below.</w:t>
      </w:r>
    </w:p>
    <w:p w14:paraId="3A42B855" w14:textId="63545E05" w:rsidR="009A3544" w:rsidRPr="002D3565" w:rsidRDefault="00C909ED" w:rsidP="009A3544">
      <w:pPr>
        <w:spacing w:line="360" w:lineRule="auto"/>
        <w:jc w:val="both"/>
        <w:rPr>
          <w:lang w:val="en-US"/>
        </w:rPr>
      </w:pPr>
      <w:r w:rsidRPr="002D3565">
        <w:rPr>
          <w:lang w:val="en-US"/>
        </w:rPr>
        <w:t xml:space="preserve">ALSPAC is a prospective cohort study that invited pregnant women from the Avon district in the United Kingdom (UK) with an expected delivery date between 1st April 1991 and </w:t>
      </w:r>
      <w:r w:rsidR="001E0DC7" w:rsidRPr="002D3565">
        <w:rPr>
          <w:lang w:val="en-US"/>
        </w:rPr>
        <w:t xml:space="preserve">31st </w:t>
      </w:r>
      <w:r w:rsidRPr="002D3565">
        <w:rPr>
          <w:lang w:val="en-US"/>
        </w:rPr>
        <w:t>December 1992 to participate. Further enrolments after 1998 resulted in 15,447 pregnancies enrolled in the cohort, with 14,901 children who were alive at one year of age.</w:t>
      </w:r>
      <w:r w:rsidR="004D467D" w:rsidRPr="002D3565">
        <w:rPr>
          <w:lang w:val="en-US"/>
        </w:rPr>
        <w:t xml:space="preserve"> </w:t>
      </w:r>
      <w:r w:rsidR="00F64C9E" w:rsidRPr="002D3565">
        <w:rPr>
          <w:lang w:val="en-US"/>
        </w:rPr>
        <w:t xml:space="preserve">Partners of recruited mothers were also invited to participate in the study and there </w:t>
      </w:r>
      <w:r w:rsidR="00374193" w:rsidRPr="002D3565">
        <w:rPr>
          <w:lang w:val="en-US"/>
        </w:rPr>
        <w:t xml:space="preserve">are </w:t>
      </w:r>
      <w:r w:rsidR="00F64C9E" w:rsidRPr="002D3565">
        <w:rPr>
          <w:lang w:val="en-US"/>
        </w:rPr>
        <w:t>current</w:t>
      </w:r>
      <w:r w:rsidR="00374193" w:rsidRPr="002D3565">
        <w:rPr>
          <w:lang w:val="en-US"/>
        </w:rPr>
        <w:t>ly</w:t>
      </w:r>
      <w:r w:rsidR="00F64C9E" w:rsidRPr="002D3565">
        <w:rPr>
          <w:lang w:val="en-US"/>
        </w:rPr>
        <w:t xml:space="preserve"> 3,807 partners enrolled in the study. </w:t>
      </w:r>
      <w:r w:rsidR="00790713" w:rsidRPr="002D3565">
        <w:rPr>
          <w:lang w:val="en-US"/>
        </w:rPr>
        <w:t>Please note that the study website contains details of all the data that is available through a fully searchable data dictionary and variable search tool (</w:t>
      </w:r>
      <w:hyperlink r:id="rId4" w:history="1">
        <w:r w:rsidR="00462F13" w:rsidRPr="002D3565">
          <w:rPr>
            <w:rStyle w:val="Hyperlink"/>
            <w:lang w:val="en-US"/>
          </w:rPr>
          <w:t>http://www.bristol.ac.uk/alspac/researchers/our-data/</w:t>
        </w:r>
      </w:hyperlink>
      <w:r w:rsidR="00790713" w:rsidRPr="002D3565">
        <w:rPr>
          <w:lang w:val="en-US"/>
        </w:rPr>
        <w:t>).</w:t>
      </w:r>
    </w:p>
    <w:p w14:paraId="4222DBC5" w14:textId="3AB2209B" w:rsidR="000C5402" w:rsidRPr="002D3565" w:rsidRDefault="004D467D" w:rsidP="009A3544">
      <w:pPr>
        <w:spacing w:line="360" w:lineRule="auto"/>
        <w:jc w:val="both"/>
        <w:rPr>
          <w:lang w:val="en-US"/>
        </w:rPr>
      </w:pPr>
      <w:proofErr w:type="spellStart"/>
      <w:r w:rsidRPr="002D3565">
        <w:rPr>
          <w:lang w:val="en-US"/>
        </w:rPr>
        <w:t>BiB</w:t>
      </w:r>
      <w:proofErr w:type="spellEnd"/>
      <w:r w:rsidRPr="002D3565">
        <w:rPr>
          <w:lang w:val="en-US"/>
        </w:rPr>
        <w:t xml:space="preserve"> is a multiethnic family cohort that recruited pregnant women (12,253 women and 13,776 pregnancies) and their partners (n</w:t>
      </w:r>
      <w:r w:rsidR="001A5CCE" w:rsidRPr="002D3565">
        <w:rPr>
          <w:lang w:val="en-US"/>
        </w:rPr>
        <w:t xml:space="preserve"> </w:t>
      </w:r>
      <w:r w:rsidRPr="002D3565">
        <w:rPr>
          <w:lang w:val="en-US"/>
        </w:rPr>
        <w:t>=</w:t>
      </w:r>
      <w:r w:rsidR="001A5CCE" w:rsidRPr="002D3565">
        <w:rPr>
          <w:lang w:val="en-US"/>
        </w:rPr>
        <w:t xml:space="preserve"> </w:t>
      </w:r>
      <w:r w:rsidRPr="002D3565">
        <w:rPr>
          <w:lang w:val="en-US"/>
        </w:rPr>
        <w:t>3,448) from 2007</w:t>
      </w:r>
      <w:r w:rsidR="00231603" w:rsidRPr="002D3565">
        <w:rPr>
          <w:lang w:val="en-US"/>
        </w:rPr>
        <w:t xml:space="preserve"> – </w:t>
      </w:r>
      <w:r w:rsidRPr="002D3565">
        <w:rPr>
          <w:lang w:val="en-US"/>
        </w:rPr>
        <w:t xml:space="preserve">2011 in the city of Bradford in the UK. </w:t>
      </w:r>
      <w:bookmarkStart w:id="0" w:name="_Hlk204330078"/>
    </w:p>
    <w:bookmarkEnd w:id="0"/>
    <w:p w14:paraId="7F8BA96D" w14:textId="2D98D027" w:rsidR="00AC3CD2" w:rsidRPr="002D3565" w:rsidRDefault="00553D54" w:rsidP="00742674">
      <w:pPr>
        <w:spacing w:line="360" w:lineRule="auto"/>
        <w:jc w:val="both"/>
        <w:rPr>
          <w:lang w:val="en-US"/>
        </w:rPr>
      </w:pPr>
      <w:proofErr w:type="spellStart"/>
      <w:r w:rsidRPr="002D3565">
        <w:rPr>
          <w:lang w:val="en-US"/>
        </w:rPr>
        <w:t>MoBa</w:t>
      </w:r>
      <w:proofErr w:type="spellEnd"/>
      <w:r w:rsidRPr="002D3565">
        <w:rPr>
          <w:lang w:val="en-US"/>
        </w:rPr>
        <w:t xml:space="preserve"> </w:t>
      </w:r>
      <w:r w:rsidR="00286BF7" w:rsidRPr="002D3565">
        <w:rPr>
          <w:lang w:val="en-US"/>
        </w:rPr>
        <w:t>is a population</w:t>
      </w:r>
      <w:r w:rsidR="00472989" w:rsidRPr="002D3565">
        <w:rPr>
          <w:lang w:val="en-US"/>
        </w:rPr>
        <w:t>-</w:t>
      </w:r>
      <w:r w:rsidR="00286BF7" w:rsidRPr="002D3565">
        <w:rPr>
          <w:lang w:val="en-US"/>
        </w:rPr>
        <w:t>based pregnancy cohort study conducted by the Norwegian Institute of Public Health</w:t>
      </w:r>
      <w:r w:rsidR="000E1586" w:rsidRPr="002D3565">
        <w:rPr>
          <w:lang w:val="en-US"/>
        </w:rPr>
        <w:t xml:space="preserve"> </w:t>
      </w:r>
      <w:r w:rsidRPr="002D3565">
        <w:rPr>
          <w:lang w:val="en-US"/>
        </w:rPr>
        <w:t>that recruited over 95,000 pregnant women from 50 hospitals across Norway between 1999 and 2008. The study includes approximately 114,500 children, 95,200 mothers, and 75,000 fathers.</w:t>
      </w:r>
      <w:r w:rsidR="00AC3CD2" w:rsidRPr="002D3565">
        <w:rPr>
          <w:lang w:val="en-US"/>
        </w:rPr>
        <w:t xml:space="preserve"> </w:t>
      </w:r>
    </w:p>
    <w:p w14:paraId="4508E549" w14:textId="74F9C100" w:rsidR="00856BB6" w:rsidRPr="002D3565" w:rsidRDefault="00DA39EF" w:rsidP="00742674">
      <w:pPr>
        <w:spacing w:line="360" w:lineRule="auto"/>
        <w:jc w:val="both"/>
        <w:rPr>
          <w:lang w:val="en-US"/>
        </w:rPr>
      </w:pPr>
      <w:r w:rsidRPr="002D3565">
        <w:rPr>
          <w:lang w:val="en-US"/>
        </w:rPr>
        <w:t xml:space="preserve">The UKB is a large prospective study, including approximately 500,000 individuals from across the UK who have had extensive genotypic and phenotypic data collected. </w:t>
      </w:r>
    </w:p>
    <w:p w14:paraId="59F5F659" w14:textId="5360AD35" w:rsidR="00635EA5" w:rsidRPr="002D3565" w:rsidRDefault="00635EA5" w:rsidP="00303DB3">
      <w:pPr>
        <w:spacing w:line="360" w:lineRule="auto"/>
        <w:jc w:val="both"/>
        <w:rPr>
          <w:b/>
          <w:bCs/>
          <w:lang w:val="en-US"/>
        </w:rPr>
      </w:pPr>
      <w:r w:rsidRPr="002D3565">
        <w:rPr>
          <w:b/>
          <w:bCs/>
          <w:lang w:val="en-US"/>
        </w:rPr>
        <w:t xml:space="preserve">Supplementary information S2. </w:t>
      </w:r>
      <w:r w:rsidR="00E2774E" w:rsidRPr="002D3565">
        <w:rPr>
          <w:b/>
          <w:bCs/>
          <w:lang w:val="en-US"/>
        </w:rPr>
        <w:t>Selection of study participants</w:t>
      </w:r>
      <w:r w:rsidR="004E4E33" w:rsidRPr="002D3565">
        <w:rPr>
          <w:b/>
          <w:bCs/>
          <w:lang w:val="en-US"/>
        </w:rPr>
        <w:t>.</w:t>
      </w:r>
    </w:p>
    <w:p w14:paraId="44135BC3" w14:textId="2BE00986" w:rsidR="001941F5" w:rsidRPr="002D3565" w:rsidRDefault="00AB44E1" w:rsidP="00303DB3">
      <w:pPr>
        <w:spacing w:line="360" w:lineRule="auto"/>
        <w:jc w:val="both"/>
        <w:rPr>
          <w:lang w:val="en-US"/>
        </w:rPr>
      </w:pPr>
      <w:r w:rsidRPr="002D3565">
        <w:rPr>
          <w:lang w:val="en-US"/>
        </w:rPr>
        <w:t xml:space="preserve">ALSPAC: </w:t>
      </w:r>
      <w:r w:rsidR="00856BB6" w:rsidRPr="002D3565">
        <w:rPr>
          <w:lang w:val="en-US"/>
        </w:rPr>
        <w:t>From the ages of 7</w:t>
      </w:r>
      <w:r w:rsidR="003F1B5E" w:rsidRPr="002D3565">
        <w:rPr>
          <w:lang w:val="en-US"/>
        </w:rPr>
        <w:t xml:space="preserve"> </w:t>
      </w:r>
      <w:r w:rsidR="00856BB6" w:rsidRPr="002D3565">
        <w:rPr>
          <w:lang w:val="en-US"/>
        </w:rPr>
        <w:t>–</w:t>
      </w:r>
      <w:r w:rsidR="003F1B5E" w:rsidRPr="002D3565">
        <w:rPr>
          <w:lang w:val="en-US"/>
        </w:rPr>
        <w:t xml:space="preserve"> </w:t>
      </w:r>
      <w:r w:rsidR="00856BB6" w:rsidRPr="002D3565">
        <w:rPr>
          <w:lang w:val="en-US"/>
        </w:rPr>
        <w:t xml:space="preserve">24, </w:t>
      </w:r>
      <w:r w:rsidR="006B3286" w:rsidRPr="002D3565">
        <w:rPr>
          <w:lang w:val="en-US"/>
        </w:rPr>
        <w:t xml:space="preserve">ALSPAC </w:t>
      </w:r>
      <w:r w:rsidR="00856BB6" w:rsidRPr="002D3565">
        <w:rPr>
          <w:lang w:val="en-US"/>
        </w:rPr>
        <w:t>offspring</w:t>
      </w:r>
      <w:r w:rsidR="006B3286" w:rsidRPr="002D3565">
        <w:rPr>
          <w:lang w:val="en-US"/>
        </w:rPr>
        <w:t xml:space="preserve"> participants</w:t>
      </w:r>
      <w:r w:rsidR="00856BB6" w:rsidRPr="002D3565">
        <w:rPr>
          <w:lang w:val="en-US"/>
        </w:rPr>
        <w:t xml:space="preserve"> were invited to the clinic as part of the ‘Focus’ clinic sessions to collect a wide range of physical measurements, including anthropometric measurements. For this study, we used </w:t>
      </w:r>
      <w:r w:rsidR="00303DB3" w:rsidRPr="002D3565">
        <w:rPr>
          <w:lang w:val="en-US"/>
        </w:rPr>
        <w:t>body mass index (</w:t>
      </w:r>
      <w:r w:rsidR="00856BB6" w:rsidRPr="002D3565">
        <w:rPr>
          <w:lang w:val="en-US"/>
        </w:rPr>
        <w:t>BMI</w:t>
      </w:r>
      <w:r w:rsidR="00303DB3" w:rsidRPr="002D3565">
        <w:rPr>
          <w:lang w:val="en-US"/>
        </w:rPr>
        <w:t>)</w:t>
      </w:r>
      <w:r w:rsidR="00856BB6" w:rsidRPr="002D3565">
        <w:rPr>
          <w:lang w:val="en-US"/>
        </w:rPr>
        <w:t xml:space="preserve"> and height measurements from the Focus 10+ Clinic assessment (n</w:t>
      </w:r>
      <w:r w:rsidR="00672EA5" w:rsidRPr="002D3565">
        <w:rPr>
          <w:lang w:val="en-US"/>
        </w:rPr>
        <w:t xml:space="preserve"> </w:t>
      </w:r>
      <w:r w:rsidR="00856BB6" w:rsidRPr="002D3565">
        <w:rPr>
          <w:lang w:val="en-US"/>
        </w:rPr>
        <w:t>=</w:t>
      </w:r>
      <w:r w:rsidR="00672EA5" w:rsidRPr="002D3565">
        <w:rPr>
          <w:lang w:val="en-US"/>
        </w:rPr>
        <w:t xml:space="preserve"> </w:t>
      </w:r>
      <w:r w:rsidR="00856BB6" w:rsidRPr="002D3565">
        <w:rPr>
          <w:lang w:val="en-US"/>
        </w:rPr>
        <w:t>7,557), which comprised of individuals at approximately 10 years of age (mean age</w:t>
      </w:r>
      <w:r w:rsidR="00672EA5" w:rsidRPr="002D3565">
        <w:rPr>
          <w:lang w:val="en-US"/>
        </w:rPr>
        <w:t xml:space="preserve"> </w:t>
      </w:r>
      <w:r w:rsidR="00856BB6" w:rsidRPr="002D3565">
        <w:rPr>
          <w:lang w:val="en-US"/>
        </w:rPr>
        <w:t>=</w:t>
      </w:r>
      <w:r w:rsidR="00672EA5" w:rsidRPr="002D3565">
        <w:rPr>
          <w:lang w:val="en-US"/>
        </w:rPr>
        <w:t xml:space="preserve"> </w:t>
      </w:r>
      <w:r w:rsidR="00856BB6" w:rsidRPr="002D3565">
        <w:rPr>
          <w:lang w:val="en-US"/>
        </w:rPr>
        <w:t>10.7 years</w:t>
      </w:r>
      <w:r w:rsidR="00D56282" w:rsidRPr="002D3565">
        <w:rPr>
          <w:lang w:val="en-US"/>
        </w:rPr>
        <w:t xml:space="preserve">). </w:t>
      </w:r>
      <w:r w:rsidR="004751CB" w:rsidRPr="002D3565">
        <w:rPr>
          <w:lang w:val="en-US"/>
        </w:rPr>
        <w:t xml:space="preserve">Familial relationships </w:t>
      </w:r>
      <w:r w:rsidR="004E6A69" w:rsidRPr="002D3565">
        <w:rPr>
          <w:lang w:val="en-US"/>
        </w:rPr>
        <w:t xml:space="preserve">were </w:t>
      </w:r>
      <w:r w:rsidR="00E622EB" w:rsidRPr="002D3565">
        <w:rPr>
          <w:lang w:val="en-US"/>
        </w:rPr>
        <w:t>identified</w:t>
      </w:r>
      <w:r w:rsidR="004E6A69" w:rsidRPr="002D3565">
        <w:rPr>
          <w:lang w:val="en-US"/>
        </w:rPr>
        <w:t xml:space="preserve"> based on reported relationships</w:t>
      </w:r>
      <w:r w:rsidR="00894B89" w:rsidRPr="002D3565">
        <w:rPr>
          <w:lang w:val="en-US"/>
        </w:rPr>
        <w:t xml:space="preserve"> through the questionnaire for</w:t>
      </w:r>
      <w:r w:rsidR="004E6A69" w:rsidRPr="002D3565">
        <w:rPr>
          <w:lang w:val="en-US"/>
        </w:rPr>
        <w:t xml:space="preserve"> mothers, their partners (assumed to </w:t>
      </w:r>
      <w:r w:rsidR="00895E1D" w:rsidRPr="002D3565">
        <w:rPr>
          <w:lang w:val="en-US"/>
        </w:rPr>
        <w:t>be the</w:t>
      </w:r>
      <w:r w:rsidR="004E6A69" w:rsidRPr="002D3565">
        <w:rPr>
          <w:lang w:val="en-US"/>
        </w:rPr>
        <w:t xml:space="preserve"> offspring’s father) and the</w:t>
      </w:r>
      <w:r w:rsidR="005469A2" w:rsidRPr="002D3565">
        <w:rPr>
          <w:lang w:val="en-US"/>
        </w:rPr>
        <w:t>ir</w:t>
      </w:r>
      <w:r w:rsidR="004E6A69" w:rsidRPr="002D3565">
        <w:rPr>
          <w:lang w:val="en-US"/>
        </w:rPr>
        <w:t xml:space="preserve"> offspring. </w:t>
      </w:r>
    </w:p>
    <w:p w14:paraId="4BA81337" w14:textId="47CBBABE" w:rsidR="00320DB9" w:rsidRPr="002D3565" w:rsidRDefault="00D56282" w:rsidP="00303DB3">
      <w:pPr>
        <w:spacing w:line="360" w:lineRule="auto"/>
        <w:jc w:val="both"/>
        <w:rPr>
          <w:lang w:val="en-US"/>
        </w:rPr>
      </w:pPr>
      <w:proofErr w:type="spellStart"/>
      <w:r w:rsidRPr="002D3565">
        <w:rPr>
          <w:lang w:val="en-US"/>
        </w:rPr>
        <w:lastRenderedPageBreak/>
        <w:t>BiB</w:t>
      </w:r>
      <w:proofErr w:type="spellEnd"/>
      <w:r w:rsidR="001941F5" w:rsidRPr="002D3565">
        <w:rPr>
          <w:lang w:val="en-US"/>
        </w:rPr>
        <w:t>:</w:t>
      </w:r>
      <w:r w:rsidRPr="002D3565">
        <w:rPr>
          <w:lang w:val="en-US"/>
        </w:rPr>
        <w:t xml:space="preserve"> </w:t>
      </w:r>
      <w:r w:rsidR="00EA3F8A" w:rsidRPr="002D3565">
        <w:rPr>
          <w:lang w:val="en-US"/>
        </w:rPr>
        <w:t>T</w:t>
      </w:r>
      <w:r w:rsidRPr="002D3565">
        <w:rPr>
          <w:lang w:val="en-US"/>
        </w:rPr>
        <w:t xml:space="preserve">here </w:t>
      </w:r>
      <w:r w:rsidR="006A7135" w:rsidRPr="002D3565">
        <w:rPr>
          <w:lang w:val="en-US"/>
        </w:rPr>
        <w:t>were</w:t>
      </w:r>
      <w:r w:rsidRPr="002D3565">
        <w:rPr>
          <w:lang w:val="en-US"/>
        </w:rPr>
        <w:t xml:space="preserve"> no targeted measurements of offspring at age 10</w:t>
      </w:r>
      <w:r w:rsidR="00EA3F8A" w:rsidRPr="002D3565">
        <w:rPr>
          <w:lang w:val="en-US"/>
        </w:rPr>
        <w:t xml:space="preserve"> in </w:t>
      </w:r>
      <w:proofErr w:type="spellStart"/>
      <w:r w:rsidR="00EA3F8A" w:rsidRPr="002D3565">
        <w:rPr>
          <w:lang w:val="en-US"/>
        </w:rPr>
        <w:t>BiB</w:t>
      </w:r>
      <w:r w:rsidRPr="002D3565">
        <w:rPr>
          <w:lang w:val="en-US"/>
        </w:rPr>
        <w:t>.</w:t>
      </w:r>
      <w:proofErr w:type="spellEnd"/>
      <w:r w:rsidRPr="002D3565">
        <w:rPr>
          <w:lang w:val="en-US"/>
        </w:rPr>
        <w:t xml:space="preserve"> Therefore, we selected children with BMI and height measurements between age 9 – 11 (mean age</w:t>
      </w:r>
      <w:r w:rsidR="00F537FB" w:rsidRPr="002D3565">
        <w:rPr>
          <w:lang w:val="en-US"/>
        </w:rPr>
        <w:t xml:space="preserve"> </w:t>
      </w:r>
      <w:r w:rsidRPr="002D3565">
        <w:rPr>
          <w:lang w:val="en-US"/>
        </w:rPr>
        <w:t>=</w:t>
      </w:r>
      <w:r w:rsidR="00F537FB" w:rsidRPr="002D3565">
        <w:rPr>
          <w:lang w:val="en-US"/>
        </w:rPr>
        <w:t xml:space="preserve"> </w:t>
      </w:r>
      <w:r w:rsidRPr="002D3565">
        <w:rPr>
          <w:lang w:val="en-US"/>
        </w:rPr>
        <w:t>10.3 years).</w:t>
      </w:r>
      <w:r w:rsidR="0013531A" w:rsidRPr="002D3565">
        <w:rPr>
          <w:lang w:val="en-US"/>
        </w:rPr>
        <w:t xml:space="preserve"> For offspring with multiple measurements during this period, we selected the measurement closest to 120 months of age. </w:t>
      </w:r>
      <w:r w:rsidR="001536D4" w:rsidRPr="002D3565">
        <w:rPr>
          <w:lang w:val="en-US"/>
        </w:rPr>
        <w:t xml:space="preserve">Familial relationships were </w:t>
      </w:r>
      <w:r w:rsidR="00FE7204" w:rsidRPr="002D3565">
        <w:rPr>
          <w:lang w:val="en-US"/>
        </w:rPr>
        <w:t>identified</w:t>
      </w:r>
      <w:r w:rsidR="001536D4" w:rsidRPr="002D3565">
        <w:rPr>
          <w:lang w:val="en-US"/>
        </w:rPr>
        <w:t xml:space="preserve"> based on reported relationships</w:t>
      </w:r>
      <w:r w:rsidR="00517D2D" w:rsidRPr="002D3565">
        <w:rPr>
          <w:lang w:val="en-US"/>
        </w:rPr>
        <w:t xml:space="preserve"> through the questionnaire for</w:t>
      </w:r>
      <w:r w:rsidR="001536D4" w:rsidRPr="002D3565">
        <w:rPr>
          <w:lang w:val="en-US"/>
        </w:rPr>
        <w:t xml:space="preserve"> mothers, </w:t>
      </w:r>
      <w:r w:rsidR="00892F63" w:rsidRPr="002D3565">
        <w:rPr>
          <w:lang w:val="en-US"/>
        </w:rPr>
        <w:t>fathers</w:t>
      </w:r>
      <w:r w:rsidR="001536D4" w:rsidRPr="002D3565">
        <w:rPr>
          <w:lang w:val="en-US"/>
        </w:rPr>
        <w:t xml:space="preserve"> and the</w:t>
      </w:r>
      <w:r w:rsidR="006D1750" w:rsidRPr="002D3565">
        <w:rPr>
          <w:lang w:val="en-US"/>
        </w:rPr>
        <w:t>ir</w:t>
      </w:r>
      <w:r w:rsidR="001536D4" w:rsidRPr="002D3565">
        <w:rPr>
          <w:lang w:val="en-US"/>
        </w:rPr>
        <w:t xml:space="preserve"> offspring.</w:t>
      </w:r>
    </w:p>
    <w:p w14:paraId="1846712D" w14:textId="153EFB1C" w:rsidR="00D65081" w:rsidRPr="002D3565" w:rsidRDefault="003238C3" w:rsidP="00303DB3">
      <w:pPr>
        <w:spacing w:line="360" w:lineRule="auto"/>
        <w:jc w:val="both"/>
        <w:rPr>
          <w:lang w:val="en-US"/>
        </w:rPr>
      </w:pPr>
      <w:proofErr w:type="spellStart"/>
      <w:r w:rsidRPr="002D3565">
        <w:rPr>
          <w:lang w:val="en-US"/>
        </w:rPr>
        <w:t>MoBa</w:t>
      </w:r>
      <w:proofErr w:type="spellEnd"/>
      <w:r w:rsidR="00320DB9" w:rsidRPr="002D3565">
        <w:rPr>
          <w:lang w:val="en-US"/>
        </w:rPr>
        <w:t>: This study</w:t>
      </w:r>
      <w:r w:rsidRPr="002D3565">
        <w:rPr>
          <w:lang w:val="en-US"/>
        </w:rPr>
        <w:t xml:space="preserve"> used a subset of randomly selected children whose mothers were classified as unrelated based on their genetic data </w:t>
      </w:r>
      <w:r w:rsidR="00D4430C" w:rsidRPr="002D3565">
        <w:rPr>
          <w:lang w:val="en-US"/>
        </w:rPr>
        <w:t>and then selected children with height and weight measurements at approximately 8 years of age (96 months).</w:t>
      </w:r>
      <w:r w:rsidR="00E96F54" w:rsidRPr="002D3565">
        <w:rPr>
          <w:lang w:val="en-US"/>
        </w:rPr>
        <w:t xml:space="preserve"> </w:t>
      </w:r>
      <w:r w:rsidR="007F2F75" w:rsidRPr="002D3565">
        <w:rPr>
          <w:lang w:val="en-US"/>
        </w:rPr>
        <w:t xml:space="preserve">Familial relationships were </w:t>
      </w:r>
      <w:r w:rsidR="009D20EF" w:rsidRPr="002D3565">
        <w:rPr>
          <w:lang w:val="en-US"/>
        </w:rPr>
        <w:t>identified</w:t>
      </w:r>
      <w:r w:rsidR="007F2F75" w:rsidRPr="002D3565">
        <w:rPr>
          <w:lang w:val="en-US"/>
        </w:rPr>
        <w:t xml:space="preserve"> through a combination of reported </w:t>
      </w:r>
      <w:r w:rsidR="0044121C" w:rsidRPr="002D3565">
        <w:rPr>
          <w:lang w:val="en-US"/>
        </w:rPr>
        <w:t>relationships</w:t>
      </w:r>
      <w:r w:rsidR="00894B89" w:rsidRPr="002D3565">
        <w:rPr>
          <w:lang w:val="en-US"/>
        </w:rPr>
        <w:t xml:space="preserve"> through the questionnaire</w:t>
      </w:r>
      <w:r w:rsidR="00280903" w:rsidRPr="002D3565">
        <w:rPr>
          <w:lang w:val="en-US"/>
        </w:rPr>
        <w:t xml:space="preserve">, </w:t>
      </w:r>
      <w:r w:rsidR="00300ECC" w:rsidRPr="002D3565">
        <w:rPr>
          <w:lang w:val="en-US"/>
        </w:rPr>
        <w:t>the Medical Birth Registry of Norway (MBRN)</w:t>
      </w:r>
      <w:r w:rsidR="00485B85" w:rsidRPr="002D3565">
        <w:rPr>
          <w:lang w:val="en-US"/>
        </w:rPr>
        <w:t xml:space="preserve"> and genetic data using KING v2.2.5.</w:t>
      </w:r>
    </w:p>
    <w:p w14:paraId="64CB2D4F" w14:textId="00BD86F0" w:rsidR="00052658" w:rsidRPr="002D3565" w:rsidRDefault="00052658" w:rsidP="00303DB3">
      <w:pPr>
        <w:spacing w:line="360" w:lineRule="auto"/>
        <w:jc w:val="both"/>
        <w:rPr>
          <w:lang w:val="en-US"/>
        </w:rPr>
      </w:pPr>
      <w:r w:rsidRPr="002D3565">
        <w:rPr>
          <w:lang w:val="en-US"/>
        </w:rPr>
        <w:t>UKB</w:t>
      </w:r>
      <w:r w:rsidR="00D65081" w:rsidRPr="002D3565">
        <w:rPr>
          <w:lang w:val="en-US"/>
        </w:rPr>
        <w:t>:</w:t>
      </w:r>
      <w:r w:rsidRPr="002D3565">
        <w:rPr>
          <w:lang w:val="en-US"/>
        </w:rPr>
        <w:t xml:space="preserve"> </w:t>
      </w:r>
      <w:r w:rsidR="00D65081" w:rsidRPr="002D3565">
        <w:rPr>
          <w:lang w:val="en-US"/>
        </w:rPr>
        <w:t>P</w:t>
      </w:r>
      <w:r w:rsidRPr="002D3565">
        <w:rPr>
          <w:lang w:val="en-US"/>
        </w:rPr>
        <w:t xml:space="preserve">articipants with information </w:t>
      </w:r>
      <w:r w:rsidR="00496B3B" w:rsidRPr="002D3565">
        <w:rPr>
          <w:lang w:val="en-US"/>
        </w:rPr>
        <w:t>on the</w:t>
      </w:r>
      <w:r w:rsidRPr="002D3565">
        <w:rPr>
          <w:lang w:val="en-US"/>
        </w:rPr>
        <w:t xml:space="preserve"> body size (proxy for child BMI) and</w:t>
      </w:r>
      <w:r w:rsidR="00496B3B" w:rsidRPr="002D3565">
        <w:rPr>
          <w:lang w:val="en-US"/>
        </w:rPr>
        <w:t>/or</w:t>
      </w:r>
      <w:r w:rsidRPr="002D3565">
        <w:rPr>
          <w:lang w:val="en-US"/>
        </w:rPr>
        <w:t xml:space="preserve"> height (proxy for child height)</w:t>
      </w:r>
      <w:r w:rsidR="00496B3B" w:rsidRPr="002D3565">
        <w:rPr>
          <w:lang w:val="en-US"/>
        </w:rPr>
        <w:t xml:space="preserve"> categorical variables</w:t>
      </w:r>
      <w:r w:rsidR="0044063B" w:rsidRPr="002D3565">
        <w:rPr>
          <w:lang w:val="en-US"/>
        </w:rPr>
        <w:t xml:space="preserve">, as well as a genotyped mother in the cohort were selected. </w:t>
      </w:r>
      <w:r w:rsidR="00793529" w:rsidRPr="002D3565">
        <w:rPr>
          <w:lang w:val="en-US"/>
        </w:rPr>
        <w:t xml:space="preserve">To ensure that the pairs were unrelated from one another, kinship information generated centrally by UKB was used. </w:t>
      </w:r>
      <w:r w:rsidR="00C52147" w:rsidRPr="002D3565">
        <w:rPr>
          <w:lang w:val="en-US"/>
        </w:rPr>
        <w:t>In brief, the KING software</w:t>
      </w:r>
      <w:r w:rsidR="00753722" w:rsidRPr="002D3565">
        <w:rPr>
          <w:lang w:val="en-US"/>
        </w:rPr>
        <w:t xml:space="preserve"> </w:t>
      </w:r>
      <w:r w:rsidR="00C52147" w:rsidRPr="002D3565">
        <w:rPr>
          <w:lang w:val="en-US"/>
        </w:rPr>
        <w:t xml:space="preserve">was used to estimate kinship coefficients and the proportion of </w:t>
      </w:r>
      <w:r w:rsidR="003C3220" w:rsidRPr="002D3565">
        <w:rPr>
          <w:lang w:val="en-US"/>
        </w:rPr>
        <w:t>single nucleotide polymorphisms (</w:t>
      </w:r>
      <w:r w:rsidR="00C52147" w:rsidRPr="002D3565">
        <w:rPr>
          <w:lang w:val="en-US"/>
        </w:rPr>
        <w:t>SNPs</w:t>
      </w:r>
      <w:r w:rsidR="003C3220" w:rsidRPr="002D3565">
        <w:rPr>
          <w:lang w:val="en-US"/>
        </w:rPr>
        <w:t>)</w:t>
      </w:r>
      <w:r w:rsidR="00C52147" w:rsidRPr="002D3565">
        <w:rPr>
          <w:lang w:val="en-US"/>
        </w:rPr>
        <w:t xml:space="preserve"> with zero identity-by-state (IBS0) between participants based on their genotype data. Parent-child relationships were defined by having an estimated kinship coefficient between 0.18 – 0.35 and IBS0 of less than 0.0012. Full sibling relationships were defined by having an estimated kinship coefficient between 0.18 – 0.35 and IBS0 greater than or equal to 0.0012. Sibling relationships were used to exclude one of every pair of mothers who were classified as siblings, resulting in a subset of unrelated mothers (paired with their offspring). </w:t>
      </w:r>
    </w:p>
    <w:p w14:paraId="089B6A06" w14:textId="17F452EA" w:rsidR="00C20DF1" w:rsidRPr="002D3565" w:rsidRDefault="00C20DF1" w:rsidP="00E365CD">
      <w:pPr>
        <w:spacing w:line="360" w:lineRule="auto"/>
        <w:jc w:val="both"/>
        <w:rPr>
          <w:b/>
          <w:bCs/>
          <w:lang w:val="en-US"/>
        </w:rPr>
      </w:pPr>
      <w:r w:rsidRPr="002D3565">
        <w:rPr>
          <w:b/>
          <w:bCs/>
          <w:lang w:val="en-US"/>
        </w:rPr>
        <w:t xml:space="preserve">Supplementary information S3. </w:t>
      </w:r>
      <w:r w:rsidR="0092121D" w:rsidRPr="002D3565">
        <w:rPr>
          <w:b/>
          <w:bCs/>
          <w:lang w:val="en-US"/>
        </w:rPr>
        <w:t>Genotyping, quality control and imputation</w:t>
      </w:r>
      <w:r w:rsidR="004E4E33" w:rsidRPr="002D3565">
        <w:rPr>
          <w:b/>
          <w:bCs/>
          <w:lang w:val="en-US"/>
        </w:rPr>
        <w:t>.</w:t>
      </w:r>
    </w:p>
    <w:p w14:paraId="4E44E9A4" w14:textId="0CF8FC47" w:rsidR="004B22B3" w:rsidRPr="002D3565" w:rsidRDefault="00D65081" w:rsidP="00C5710B">
      <w:pPr>
        <w:spacing w:line="360" w:lineRule="auto"/>
        <w:jc w:val="both"/>
        <w:rPr>
          <w:lang w:val="en-US"/>
        </w:rPr>
      </w:pPr>
      <w:r w:rsidRPr="002D3565">
        <w:rPr>
          <w:lang w:val="en-US"/>
        </w:rPr>
        <w:t xml:space="preserve">ALSPAC: </w:t>
      </w:r>
      <w:r w:rsidR="004B22B3" w:rsidRPr="002D3565">
        <w:rPr>
          <w:lang w:val="en-US"/>
        </w:rPr>
        <w:t>Genotyping, quality control (QC) and imputation procedures were performed centrally by ALSPAC and described elsewhere (</w:t>
      </w:r>
      <w:hyperlink r:id="rId5" w:history="1">
        <w:r w:rsidR="004B22B3" w:rsidRPr="002D3565">
          <w:rPr>
            <w:rStyle w:val="Link"/>
            <w:rFonts w:cs="Times New Roman"/>
            <w:lang w:val="en-US"/>
          </w:rPr>
          <w:t>https://proposals.epi.bristol.ac.uk/alspac_omics_data_catalogue.html#</w:t>
        </w:r>
      </w:hyperlink>
      <w:r w:rsidR="004B22B3" w:rsidRPr="002D3565">
        <w:rPr>
          <w:lang w:val="en-US"/>
        </w:rPr>
        <w:t xml:space="preserve">). Briefly, ALSPAC mothers, fathers and children were genotyped using Illumina human660W-quad, Illumina </w:t>
      </w:r>
      <w:proofErr w:type="spellStart"/>
      <w:r w:rsidR="004B22B3" w:rsidRPr="002D3565">
        <w:rPr>
          <w:lang w:val="en-US"/>
        </w:rPr>
        <w:t>HumanCoreExome</w:t>
      </w:r>
      <w:proofErr w:type="spellEnd"/>
      <w:r w:rsidR="004B22B3" w:rsidRPr="002D3565">
        <w:rPr>
          <w:lang w:val="en-US"/>
        </w:rPr>
        <w:t xml:space="preserve"> array and Illumina HumanHap550 quad chips respectively. Standard QC processes were applied to the genotype data; sample exclusions were made based on incorrect gender assignment, minimal or excessive heterozygosity, disproportionate levels of individual missingness, or insufficient sample replication and SNPs were removed if the minor allele frequency (MAF) was &lt;1%, the call rate was &lt;95% or had evidence of violations in Hardy-Weinberg equilibrium (HWE)</w:t>
      </w:r>
      <w:r w:rsidR="00E30120" w:rsidRPr="002D3565">
        <w:rPr>
          <w:lang w:val="en-US"/>
        </w:rPr>
        <w:t xml:space="preserve"> </w:t>
      </w:r>
      <w:r w:rsidR="004B22B3" w:rsidRPr="002D3565">
        <w:rPr>
          <w:lang w:val="en-US"/>
        </w:rPr>
        <w:t>(P&lt;5.7</w:t>
      </w:r>
      <w:r w:rsidR="00144A0D" w:rsidRPr="002D3565">
        <w:rPr>
          <w:lang w:val="en-US"/>
        </w:rPr>
        <w:t>×</w:t>
      </w:r>
      <w:r w:rsidR="004B22B3" w:rsidRPr="002D3565">
        <w:rPr>
          <w:lang w:val="en-US"/>
        </w:rPr>
        <w:t>10</w:t>
      </w:r>
      <w:r w:rsidR="004B22B3" w:rsidRPr="002D3565">
        <w:rPr>
          <w:vertAlign w:val="superscript"/>
          <w:lang w:val="en-US"/>
        </w:rPr>
        <w:t>-7</w:t>
      </w:r>
      <w:r w:rsidR="004B22B3" w:rsidRPr="002D3565">
        <w:rPr>
          <w:lang w:val="en-US"/>
        </w:rPr>
        <w:t xml:space="preserve">). Population stratification was evaluated using multidimensional scaling analysis, and the children were then compared to HapMap II (release 22) reference </w:t>
      </w:r>
      <w:r w:rsidR="00317CD7" w:rsidRPr="002D3565">
        <w:rPr>
          <w:lang w:val="en-US"/>
        </w:rPr>
        <w:t>populations,</w:t>
      </w:r>
      <w:r w:rsidR="004B22B3" w:rsidRPr="002D3565">
        <w:rPr>
          <w:lang w:val="en-US"/>
        </w:rPr>
        <w:t xml:space="preserve"> and the parents were compared to 1000 Genomes phase 3 reference populations. All participants with non-European ancestry were removed </w:t>
      </w:r>
      <w:r w:rsidR="004B22B3" w:rsidRPr="002D3565">
        <w:rPr>
          <w:lang w:val="en-US"/>
        </w:rPr>
        <w:lastRenderedPageBreak/>
        <w:t>centrally. For our primary analy</w:t>
      </w:r>
      <w:r w:rsidR="003A7CBD">
        <w:rPr>
          <w:lang w:val="en-US"/>
        </w:rPr>
        <w:t>s</w:t>
      </w:r>
      <w:r w:rsidR="004B22B3" w:rsidRPr="002D3565">
        <w:rPr>
          <w:lang w:val="en-US"/>
        </w:rPr>
        <w:t xml:space="preserve">es, we used genotype data for both the mother and child that were imputed to the Haplotype Reference Consortium (HRC) </w:t>
      </w:r>
      <w:r w:rsidR="00C86E63" w:rsidRPr="002D3565">
        <w:rPr>
          <w:lang w:val="en-US"/>
        </w:rPr>
        <w:t>v</w:t>
      </w:r>
      <w:r w:rsidR="004B22B3" w:rsidRPr="002D3565">
        <w:rPr>
          <w:lang w:val="en-US"/>
        </w:rPr>
        <w:t xml:space="preserve">1.1 imputation reference panel. The paternal genotype data has only been imputed using the 1000 Genomes reference panel. Therefore, for the secondary analysis using </w:t>
      </w:r>
      <w:r w:rsidR="009F75BC" w:rsidRPr="002D3565">
        <w:rPr>
          <w:lang w:val="en-US"/>
        </w:rPr>
        <w:t>genotyped</w:t>
      </w:r>
      <w:r w:rsidR="007F7018" w:rsidRPr="002D3565">
        <w:rPr>
          <w:lang w:val="en-US"/>
        </w:rPr>
        <w:t xml:space="preserve"> trios</w:t>
      </w:r>
      <w:r w:rsidR="004B22B3" w:rsidRPr="002D3565">
        <w:rPr>
          <w:lang w:val="en-US"/>
        </w:rPr>
        <w:t xml:space="preserve">, we used paternal, maternal and offspring genotype data that was imputed to the 1000 Genomes reference panel for consistency. </w:t>
      </w:r>
    </w:p>
    <w:p w14:paraId="353D47AB" w14:textId="42022EC4" w:rsidR="009E324F" w:rsidRPr="002D3565" w:rsidRDefault="00016EE8" w:rsidP="00C5710B">
      <w:pPr>
        <w:spacing w:line="360" w:lineRule="auto"/>
        <w:jc w:val="both"/>
        <w:rPr>
          <w:lang w:val="en-US"/>
        </w:rPr>
      </w:pPr>
      <w:proofErr w:type="spellStart"/>
      <w:r w:rsidRPr="002D3565">
        <w:rPr>
          <w:lang w:val="en-US"/>
        </w:rPr>
        <w:t>BiB</w:t>
      </w:r>
      <w:proofErr w:type="spellEnd"/>
      <w:r w:rsidRPr="002D3565">
        <w:rPr>
          <w:lang w:val="en-US"/>
        </w:rPr>
        <w:t xml:space="preserve">: </w:t>
      </w:r>
      <w:r w:rsidR="00556D91" w:rsidRPr="002D3565">
        <w:rPr>
          <w:lang w:val="en-US"/>
        </w:rPr>
        <w:t xml:space="preserve">This study used </w:t>
      </w:r>
      <w:proofErr w:type="spellStart"/>
      <w:r w:rsidR="00556D91" w:rsidRPr="002D3565">
        <w:rPr>
          <w:lang w:val="en-US"/>
        </w:rPr>
        <w:t>BiB</w:t>
      </w:r>
      <w:proofErr w:type="spellEnd"/>
      <w:r w:rsidR="00556D91" w:rsidRPr="002D3565">
        <w:rPr>
          <w:lang w:val="en-US"/>
        </w:rPr>
        <w:t xml:space="preserve"> genotype data that had g</w:t>
      </w:r>
      <w:r w:rsidR="009E324F" w:rsidRPr="002D3565">
        <w:rPr>
          <w:lang w:val="en-US"/>
        </w:rPr>
        <w:t>enotyping, QC and imputation procedures were performed centrally. Approximately half of the participants</w:t>
      </w:r>
      <w:r w:rsidR="00B83C5B" w:rsidRPr="002D3565">
        <w:rPr>
          <w:lang w:val="en-US"/>
        </w:rPr>
        <w:t xml:space="preserve"> (~45% of the offspring)</w:t>
      </w:r>
      <w:r w:rsidR="009E324F" w:rsidRPr="002D3565">
        <w:rPr>
          <w:lang w:val="en-US"/>
        </w:rPr>
        <w:t xml:space="preserve"> within </w:t>
      </w:r>
      <w:proofErr w:type="spellStart"/>
      <w:r w:rsidR="009E324F" w:rsidRPr="002D3565">
        <w:rPr>
          <w:lang w:val="en-US"/>
        </w:rPr>
        <w:t>BiB</w:t>
      </w:r>
      <w:proofErr w:type="spellEnd"/>
      <w:r w:rsidR="009E324F" w:rsidRPr="002D3565">
        <w:rPr>
          <w:lang w:val="en-US"/>
        </w:rPr>
        <w:t xml:space="preserve"> are of South Asian (predominately Pakistani) descent (~45% of the offspring), </w:t>
      </w:r>
      <w:r w:rsidR="00385D08" w:rsidRPr="002D3565">
        <w:rPr>
          <w:lang w:val="en-US"/>
        </w:rPr>
        <w:t xml:space="preserve">and </w:t>
      </w:r>
      <w:r w:rsidR="009E324F" w:rsidRPr="002D3565">
        <w:rPr>
          <w:lang w:val="en-US"/>
        </w:rPr>
        <w:t xml:space="preserve">the other half </w:t>
      </w:r>
      <w:r w:rsidR="00D05439" w:rsidRPr="002D3565">
        <w:rPr>
          <w:lang w:val="en-US"/>
        </w:rPr>
        <w:t xml:space="preserve">are </w:t>
      </w:r>
      <w:r w:rsidR="009E324F" w:rsidRPr="002D3565">
        <w:rPr>
          <w:lang w:val="en-US"/>
        </w:rPr>
        <w:t xml:space="preserve">of European descent based on self-report information and confirmed by genetic PCs performed centrally by </w:t>
      </w:r>
      <w:proofErr w:type="spellStart"/>
      <w:r w:rsidR="009E324F" w:rsidRPr="002D3565">
        <w:rPr>
          <w:lang w:val="en-US"/>
        </w:rPr>
        <w:t>BiB.</w:t>
      </w:r>
      <w:proofErr w:type="spellEnd"/>
      <w:r w:rsidR="009E324F" w:rsidRPr="002D3565">
        <w:rPr>
          <w:lang w:val="en-US"/>
        </w:rPr>
        <w:t xml:space="preserve"> </w:t>
      </w:r>
      <w:r w:rsidR="009555F3" w:rsidRPr="002D3565">
        <w:rPr>
          <w:lang w:val="en-US"/>
        </w:rPr>
        <w:t>Genotyping was performed</w:t>
      </w:r>
      <w:r w:rsidR="009E324F" w:rsidRPr="002D3565">
        <w:rPr>
          <w:lang w:val="en-US"/>
        </w:rPr>
        <w:t xml:space="preserve"> in two different batches based on ethnicity (European and South Asian) using two different arrays; the Illumina </w:t>
      </w:r>
      <w:proofErr w:type="spellStart"/>
      <w:r w:rsidR="009E324F" w:rsidRPr="002D3565">
        <w:rPr>
          <w:lang w:val="en-US"/>
        </w:rPr>
        <w:t>HumanCoreExome</w:t>
      </w:r>
      <w:proofErr w:type="spellEnd"/>
      <w:r w:rsidR="009E324F" w:rsidRPr="002D3565">
        <w:rPr>
          <w:lang w:val="en-US"/>
        </w:rPr>
        <w:t xml:space="preserve"> microarray and Infinium Global Screening Array (GSA). The QC procedure involved excluding SNPs based on call rate&lt;95%, MAF&lt;1%, having evidence for violations of HWE (P&gt;1</w:t>
      </w:r>
      <w:r w:rsidR="00E80AF8" w:rsidRPr="002D3565">
        <w:rPr>
          <w:lang w:val="en-US"/>
        </w:rPr>
        <w:t>×</w:t>
      </w:r>
      <w:r w:rsidR="009E324F" w:rsidRPr="002D3565">
        <w:rPr>
          <w:lang w:val="en-US"/>
        </w:rPr>
        <w:t>10</w:t>
      </w:r>
      <w:r w:rsidR="009E324F" w:rsidRPr="002D3565">
        <w:rPr>
          <w:vertAlign w:val="superscript"/>
          <w:lang w:val="en-US"/>
        </w:rPr>
        <w:t>-6</w:t>
      </w:r>
      <w:r w:rsidR="009E324F" w:rsidRPr="002D3565">
        <w:rPr>
          <w:lang w:val="en-US"/>
        </w:rPr>
        <w:t xml:space="preserve">) or were palindromic. Genotype data was imputed to the HRC </w:t>
      </w:r>
      <w:r w:rsidR="006A79E4" w:rsidRPr="002D3565">
        <w:rPr>
          <w:lang w:val="en-US"/>
        </w:rPr>
        <w:t>v</w:t>
      </w:r>
      <w:r w:rsidR="009E324F" w:rsidRPr="002D3565">
        <w:rPr>
          <w:lang w:val="en-US"/>
        </w:rPr>
        <w:t xml:space="preserve">1.1 reference panel. For this study we </w:t>
      </w:r>
      <w:r w:rsidR="00BF496A" w:rsidRPr="002D3565">
        <w:rPr>
          <w:lang w:val="en-US"/>
        </w:rPr>
        <w:t xml:space="preserve">only </w:t>
      </w:r>
      <w:r w:rsidR="009E324F" w:rsidRPr="002D3565">
        <w:rPr>
          <w:lang w:val="en-US"/>
        </w:rPr>
        <w:t xml:space="preserve">included individuals of European descent. Mothers, fathers and offspring genetic data were all processed in the same way. </w:t>
      </w:r>
    </w:p>
    <w:p w14:paraId="7A0F7F31" w14:textId="4416B478" w:rsidR="00422831" w:rsidRPr="002D3565" w:rsidRDefault="002E49B5" w:rsidP="00422831">
      <w:pPr>
        <w:spacing w:after="0" w:line="360" w:lineRule="auto"/>
        <w:jc w:val="both"/>
        <w:rPr>
          <w:lang w:val="en-US"/>
        </w:rPr>
      </w:pPr>
      <w:proofErr w:type="spellStart"/>
      <w:r w:rsidRPr="002D3565">
        <w:rPr>
          <w:lang w:val="en-US"/>
        </w:rPr>
        <w:t>MoBa</w:t>
      </w:r>
      <w:proofErr w:type="spellEnd"/>
      <w:r w:rsidRPr="002D3565">
        <w:rPr>
          <w:lang w:val="en-US"/>
        </w:rPr>
        <w:t xml:space="preserve">: </w:t>
      </w:r>
      <w:r w:rsidR="00422831" w:rsidRPr="002D3565">
        <w:rPr>
          <w:lang w:val="en-US"/>
        </w:rPr>
        <w:t xml:space="preserve">Genotyping was conducted through multiple research initiatives and managed by the Norwegian Institute of Public Health (NIPH). </w:t>
      </w:r>
      <w:proofErr w:type="spellStart"/>
      <w:r w:rsidR="00422831" w:rsidRPr="002D3565">
        <w:rPr>
          <w:lang w:val="en-US"/>
        </w:rPr>
        <w:t>MoBa</w:t>
      </w:r>
      <w:proofErr w:type="spellEnd"/>
      <w:r w:rsidR="00422831" w:rsidRPr="002D3565">
        <w:rPr>
          <w:lang w:val="en-US"/>
        </w:rPr>
        <w:t xml:space="preserve"> genetic data used in this study was </w:t>
      </w:r>
      <w:proofErr w:type="spellStart"/>
      <w:r w:rsidR="00422831" w:rsidRPr="002D3565">
        <w:rPr>
          <w:lang w:val="en-US"/>
        </w:rPr>
        <w:t>QCed</w:t>
      </w:r>
      <w:proofErr w:type="spellEnd"/>
      <w:r w:rsidR="00422831" w:rsidRPr="002D3565">
        <w:rPr>
          <w:lang w:val="en-US"/>
        </w:rPr>
        <w:t xml:space="preserve"> and imputed following the </w:t>
      </w:r>
      <w:proofErr w:type="spellStart"/>
      <w:r w:rsidR="00422831" w:rsidRPr="002D3565">
        <w:rPr>
          <w:lang w:val="en-US"/>
        </w:rPr>
        <w:t>MoBaPsychGen</w:t>
      </w:r>
      <w:proofErr w:type="spellEnd"/>
      <w:r w:rsidR="00422831" w:rsidRPr="002D3565">
        <w:rPr>
          <w:lang w:val="en-US"/>
        </w:rPr>
        <w:t xml:space="preserve"> pipeline. In summary, genotype data from various research projects were used to generate this dataset; a summary of the different genotyping batches along with their chips is available in the </w:t>
      </w:r>
      <w:proofErr w:type="spellStart"/>
      <w:r w:rsidR="00422831" w:rsidRPr="002D3565">
        <w:rPr>
          <w:lang w:val="en-US"/>
        </w:rPr>
        <w:t>mobagen</w:t>
      </w:r>
      <w:proofErr w:type="spellEnd"/>
      <w:r w:rsidR="00422831" w:rsidRPr="002D3565">
        <w:rPr>
          <w:lang w:val="en-US"/>
        </w:rPr>
        <w:t xml:space="preserve"> repository maintained by NIPH (</w:t>
      </w:r>
      <w:hyperlink r:id="rId6" w:anchor="individual-datasets" w:history="1">
        <w:r w:rsidR="00422831" w:rsidRPr="002D3565">
          <w:rPr>
            <w:rStyle w:val="Hyperlink"/>
            <w:lang w:val="en-US"/>
          </w:rPr>
          <w:t>https://github.com/folkehelseinstituttet/mobagen/wiki/MoBaGenetics1.5#individual-datasets</w:t>
        </w:r>
      </w:hyperlink>
      <w:r w:rsidR="00422831" w:rsidRPr="002D3565">
        <w:rPr>
          <w:lang w:val="en-US"/>
        </w:rPr>
        <w:t xml:space="preserve">). </w:t>
      </w:r>
    </w:p>
    <w:p w14:paraId="042382E0" w14:textId="071A4742" w:rsidR="00E66361" w:rsidRPr="002D3565" w:rsidRDefault="00E66361" w:rsidP="005233BF">
      <w:pPr>
        <w:spacing w:line="360" w:lineRule="auto"/>
        <w:jc w:val="both"/>
        <w:rPr>
          <w:lang w:val="en-US"/>
        </w:rPr>
      </w:pPr>
      <w:r w:rsidRPr="002D3565">
        <w:rPr>
          <w:lang w:val="en-US"/>
        </w:rPr>
        <w:t>QC procedures included harmonizing genotype data, identifying core subpopulations (European, Asian, African), QC of genotype data within each subpopulation, merging of batches by genotyping array and then performing a second QC on the merged genotype array datasets (see Corfield et al for further details). Standard QC exclusions were applied, including removing SNPs or individuals with genotype call rate (&lt;98%), MAF (&lt;0.5%), HWE violations (P&lt;1×10</w:t>
      </w:r>
      <w:r w:rsidR="00F93B3F" w:rsidRPr="002D3565">
        <w:rPr>
          <w:vertAlign w:val="superscript"/>
          <w:lang w:val="en-US"/>
        </w:rPr>
        <w:t>-6</w:t>
      </w:r>
      <w:r w:rsidRPr="002D3565">
        <w:rPr>
          <w:lang w:val="en-US"/>
        </w:rPr>
        <w:t>), heterozygosity &gt;</w:t>
      </w:r>
      <w:r w:rsidR="0098588C" w:rsidRPr="002D3565">
        <w:rPr>
          <w:lang w:val="en-US"/>
        </w:rPr>
        <w:t xml:space="preserve">three </w:t>
      </w:r>
      <w:r w:rsidRPr="002D3565">
        <w:rPr>
          <w:lang w:val="en-US"/>
        </w:rPr>
        <w:t xml:space="preserve">standard deviations from the mean of all individuals or discordant sex. Principal component analysis (PCA) was performed with 1000 Genomes reference populations to identify individuals belonging to the three subpopulations; only individuals clustering with the </w:t>
      </w:r>
      <w:r w:rsidR="00513CDE" w:rsidRPr="002D3565">
        <w:rPr>
          <w:lang w:val="en-US"/>
        </w:rPr>
        <w:t>Northern Europeans from Utah (</w:t>
      </w:r>
      <w:r w:rsidRPr="002D3565">
        <w:rPr>
          <w:lang w:val="en-US"/>
        </w:rPr>
        <w:t>CEU</w:t>
      </w:r>
      <w:r w:rsidR="00513CDE" w:rsidRPr="002D3565">
        <w:rPr>
          <w:lang w:val="en-US"/>
        </w:rPr>
        <w:t>)</w:t>
      </w:r>
      <w:r w:rsidRPr="002D3565">
        <w:rPr>
          <w:lang w:val="en-US"/>
        </w:rPr>
        <w:t xml:space="preserve"> population of the 1000 </w:t>
      </w:r>
      <w:r w:rsidR="0065025B" w:rsidRPr="002D3565">
        <w:rPr>
          <w:lang w:val="en-US"/>
        </w:rPr>
        <w:t xml:space="preserve">Genomes </w:t>
      </w:r>
      <w:r w:rsidRPr="002D3565">
        <w:rPr>
          <w:lang w:val="en-US"/>
        </w:rPr>
        <w:t>reference panel were included in the current analy</w:t>
      </w:r>
      <w:r w:rsidR="0018675A">
        <w:rPr>
          <w:lang w:val="en-US"/>
        </w:rPr>
        <w:t>s</w:t>
      </w:r>
      <w:r w:rsidRPr="002D3565">
        <w:rPr>
          <w:lang w:val="en-US"/>
        </w:rPr>
        <w:t xml:space="preserve">es. Relatedness checks were performed using KING v2.2.5, whereby the genetic data was used to confirm reported relationships from the </w:t>
      </w:r>
      <w:proofErr w:type="spellStart"/>
      <w:r w:rsidRPr="002D3565">
        <w:rPr>
          <w:lang w:val="en-US"/>
        </w:rPr>
        <w:t>MoBa</w:t>
      </w:r>
      <w:proofErr w:type="spellEnd"/>
      <w:r w:rsidRPr="002D3565">
        <w:rPr>
          <w:lang w:val="en-US"/>
        </w:rPr>
        <w:t xml:space="preserve"> questionnaires and the MBRN, and infer unreported relationships. Genotype data was subsequently phased with SHAPEIT2</w:t>
      </w:r>
      <w:r w:rsidR="00DC225C" w:rsidRPr="002D3565">
        <w:rPr>
          <w:lang w:val="en-US"/>
        </w:rPr>
        <w:t xml:space="preserve"> </w:t>
      </w:r>
      <w:r w:rsidRPr="002D3565">
        <w:rPr>
          <w:lang w:val="en-US"/>
        </w:rPr>
        <w:t xml:space="preserve">and </w:t>
      </w:r>
      <w:proofErr w:type="spellStart"/>
      <w:r w:rsidRPr="002D3565">
        <w:rPr>
          <w:lang w:val="en-US"/>
        </w:rPr>
        <w:t>duoHMM</w:t>
      </w:r>
      <w:proofErr w:type="spellEnd"/>
      <w:r w:rsidRPr="002D3565">
        <w:rPr>
          <w:lang w:val="en-US"/>
        </w:rPr>
        <w:t xml:space="preserve"> using the HRC</w:t>
      </w:r>
      <w:r w:rsidR="006A79E4" w:rsidRPr="002D3565">
        <w:rPr>
          <w:lang w:val="en-US"/>
        </w:rPr>
        <w:t xml:space="preserve"> v1.1</w:t>
      </w:r>
      <w:r w:rsidRPr="002D3565">
        <w:rPr>
          <w:lang w:val="en-US"/>
        </w:rPr>
        <w:t xml:space="preserve"> reference panel, and imputed with IMPUTE4. Imputed dosage data was converted to best-guess, hard-call genotype data using a </w:t>
      </w:r>
      <w:r w:rsidRPr="002D3565">
        <w:rPr>
          <w:lang w:val="en-US"/>
        </w:rPr>
        <w:lastRenderedPageBreak/>
        <w:t xml:space="preserve">certainty threshold 0.7 and data was </w:t>
      </w:r>
      <w:proofErr w:type="spellStart"/>
      <w:r w:rsidRPr="002D3565">
        <w:rPr>
          <w:lang w:val="en-US"/>
        </w:rPr>
        <w:t>QCed</w:t>
      </w:r>
      <w:proofErr w:type="spellEnd"/>
      <w:r w:rsidRPr="002D3565">
        <w:rPr>
          <w:lang w:val="en-US"/>
        </w:rPr>
        <w:t xml:space="preserve"> again removing SNPs with imputation quality score≤0.8 amongst other criteria. The imputation batches were merged keeping only overlapping SNPs passing post-imputation QC in all imputation batches. SNP extraction and allelic score calculations were performed using PLINK-based workflows. </w:t>
      </w:r>
    </w:p>
    <w:p w14:paraId="59087E82" w14:textId="3950C533" w:rsidR="004C6779" w:rsidRPr="002D3565" w:rsidRDefault="006A3A4E" w:rsidP="003A7F54">
      <w:pPr>
        <w:spacing w:line="360" w:lineRule="auto"/>
        <w:jc w:val="both"/>
        <w:rPr>
          <w:lang w:val="en-US"/>
        </w:rPr>
      </w:pPr>
      <w:r w:rsidRPr="002D3565">
        <w:rPr>
          <w:lang w:val="en-US"/>
        </w:rPr>
        <w:t>UKB</w:t>
      </w:r>
      <w:r w:rsidR="00C84A27" w:rsidRPr="002D3565">
        <w:rPr>
          <w:lang w:val="en-US"/>
        </w:rPr>
        <w:t>: Genetic</w:t>
      </w:r>
      <w:r w:rsidRPr="002D3565">
        <w:rPr>
          <w:lang w:val="en-US"/>
        </w:rPr>
        <w:t xml:space="preserve"> data was genotyped using the Applied Biosystems UK </w:t>
      </w:r>
      <w:proofErr w:type="spellStart"/>
      <w:r w:rsidRPr="002D3565">
        <w:rPr>
          <w:lang w:val="en-US"/>
        </w:rPr>
        <w:t>BiLEVE</w:t>
      </w:r>
      <w:proofErr w:type="spellEnd"/>
      <w:r w:rsidRPr="002D3565">
        <w:rPr>
          <w:lang w:val="en-US"/>
        </w:rPr>
        <w:t xml:space="preserve"> Axiom Array by Affymetrix (now </w:t>
      </w:r>
      <w:proofErr w:type="spellStart"/>
      <w:r w:rsidRPr="002D3565">
        <w:rPr>
          <w:lang w:val="en-US"/>
        </w:rPr>
        <w:t>Thermo</w:t>
      </w:r>
      <w:proofErr w:type="spellEnd"/>
      <w:r w:rsidRPr="002D3565">
        <w:rPr>
          <w:lang w:val="en-US"/>
        </w:rPr>
        <w:t xml:space="preserve"> Fisher Scientific). QC was performed centrally by the UKB</w:t>
      </w:r>
      <w:r w:rsidRPr="002D3565">
        <w:rPr>
          <w:lang w:val="en-US"/>
        </w:rPr>
        <w:fldChar w:fldCharType="begin"/>
      </w:r>
      <w:r w:rsidRPr="002D3565">
        <w:rPr>
          <w:lang w:val="en-US"/>
        </w:rPr>
        <w:instrText xml:space="preserve"> ADDIN EN.CITE &lt;EndNote&gt;&lt;Cite&gt;&lt;Author&gt;Bycroft&lt;/Author&gt;&lt;Year&gt;2018&lt;/Year&gt;&lt;RecNum&gt;302&lt;/RecNum&gt;&lt;DisplayText&gt;(Bycroft et al., 2018)&lt;/DisplayText&gt;&lt;record&gt;&lt;rec-number&gt;302&lt;/rec-number&gt;&lt;foreign-keys&gt;&lt;key app="EN" db-id="r9e902srorep2aexfp7p2zwte5vw2se0r55f" timestamp="1713229496"&gt;302&lt;/key&gt;&lt;/foreign-keys&gt;&lt;ref-type name="Journal Article"&gt;17&lt;/ref-type&gt;&lt;contributors&gt;&lt;authors&gt;&lt;author&gt;Bycroft, Clare&lt;/author&gt;&lt;author&gt;Freeman, Colin&lt;/author&gt;&lt;author&gt;Petkova, Desislava&lt;/author&gt;&lt;author&gt;Band, Gavin&lt;/author&gt;&lt;author&gt;Elliott, Lloyd T.&lt;/author&gt;&lt;author&gt;Sharp, Kevin&lt;/author&gt;&lt;author&gt;Motyer, Allan&lt;/author&gt;&lt;author&gt;Vukcevic, Damjan&lt;/author&gt;&lt;author&gt;Delaneau, Olivier&lt;/author&gt;&lt;author&gt;O’Connell, Jared&lt;/author&gt;&lt;author&gt;Cortes, Adrian&lt;/author&gt;&lt;author&gt;Welsh, Samantha&lt;/author&gt;&lt;author&gt;Young, Alan&lt;/author&gt;&lt;author&gt;Effingham, Mark&lt;/author&gt;&lt;author&gt;McVean, Gil&lt;/author&gt;&lt;author&gt;Leslie, Stephen&lt;/author&gt;&lt;author&gt;Allen, Naomi&lt;/author&gt;&lt;author&gt;Donnelly, Peter&lt;/author&gt;&lt;author&gt;Marchini, Jonathan&lt;/author&gt;&lt;/authors&gt;&lt;/contributors&gt;&lt;titles&gt;&lt;title&gt;The UK Biobank resource with deep phenotyping and genomic data&lt;/title&gt;&lt;secondary-title&gt;Nature&lt;/secondary-title&gt;&lt;/titles&gt;&lt;periodical&gt;&lt;full-title&gt;Nature&lt;/full-title&gt;&lt;/periodical&gt;&lt;pages&gt;203-209&lt;/pages&gt;&lt;volume&gt;562&lt;/volume&gt;&lt;number&gt;7726&lt;/number&gt;&lt;dates&gt;&lt;year&gt;2018&lt;/year&gt;&lt;pub-dates&gt;&lt;date&gt;2018/10/01&lt;/date&gt;&lt;/pub-dates&gt;&lt;/dates&gt;&lt;isbn&gt;1476-4687&lt;/isbn&gt;&lt;urls&gt;&lt;related-urls&gt;&lt;url&gt;https://doi.org/10.1038/s41586-018-0579-z&lt;/url&gt;&lt;/related-urls&gt;&lt;/urls&gt;&lt;electronic-resource-num&gt;10.1038/s41586-018-0579-z&lt;/electronic-resource-num&gt;&lt;/record&gt;&lt;/Cite&gt;&lt;/EndNote&gt;</w:instrText>
      </w:r>
      <w:r w:rsidRPr="002D3565">
        <w:rPr>
          <w:lang w:val="en-US"/>
        </w:rPr>
        <w:fldChar w:fldCharType="separate"/>
      </w:r>
      <w:r w:rsidRPr="002D3565">
        <w:rPr>
          <w:lang w:val="en-US"/>
        </w:rPr>
        <w:fldChar w:fldCharType="end"/>
      </w:r>
      <w:r w:rsidRPr="002D3565">
        <w:rPr>
          <w:lang w:val="en-US"/>
        </w:rPr>
        <w:t xml:space="preserve"> and included the removal of variants that failed QC in more than one batch, had a greater than 5% overall missing rate, and had a MAF of less than 0.0001. Samples were removed if they were outliers based on missingness rate or heterozygosity. Genotype data was imputed to a combination of the HRC v1.1 and 1000 Genomes reference panel.</w:t>
      </w:r>
    </w:p>
    <w:p w14:paraId="668F2F63" w14:textId="55A10120" w:rsidR="004C6779" w:rsidRPr="002D3565" w:rsidRDefault="004C6779" w:rsidP="00AE0C0F">
      <w:pPr>
        <w:spacing w:line="360" w:lineRule="auto"/>
        <w:jc w:val="both"/>
        <w:rPr>
          <w:b/>
          <w:bCs/>
          <w:lang w:val="en-US"/>
        </w:rPr>
      </w:pPr>
      <w:r w:rsidRPr="002D3565">
        <w:rPr>
          <w:b/>
          <w:bCs/>
          <w:lang w:val="en-US"/>
        </w:rPr>
        <w:t>Supplementary information S</w:t>
      </w:r>
      <w:r w:rsidR="006933A9" w:rsidRPr="002D3565">
        <w:rPr>
          <w:b/>
          <w:bCs/>
          <w:lang w:val="en-US"/>
        </w:rPr>
        <w:t>4</w:t>
      </w:r>
      <w:r w:rsidRPr="002D3565">
        <w:rPr>
          <w:b/>
          <w:bCs/>
          <w:lang w:val="en-US"/>
        </w:rPr>
        <w:t xml:space="preserve">. </w:t>
      </w:r>
      <w:r w:rsidR="004A5F1C" w:rsidRPr="002D3565">
        <w:rPr>
          <w:b/>
          <w:bCs/>
          <w:lang w:val="en-US"/>
        </w:rPr>
        <w:t xml:space="preserve">Description of anthropometric trait measurement. </w:t>
      </w:r>
    </w:p>
    <w:p w14:paraId="61C5A8BB" w14:textId="1E459FD5" w:rsidR="002C67FC" w:rsidRPr="002D3565" w:rsidRDefault="00337B0D" w:rsidP="00AE0C0F">
      <w:pPr>
        <w:spacing w:line="360" w:lineRule="auto"/>
        <w:jc w:val="both"/>
        <w:rPr>
          <w:lang w:val="en-US"/>
        </w:rPr>
      </w:pPr>
      <w:r w:rsidRPr="002D3565">
        <w:rPr>
          <w:lang w:val="en-US"/>
        </w:rPr>
        <w:t>ALSPAC</w:t>
      </w:r>
      <w:r w:rsidR="00943816" w:rsidRPr="002D3565">
        <w:rPr>
          <w:lang w:val="en-US"/>
        </w:rPr>
        <w:t>:</w:t>
      </w:r>
      <w:r w:rsidRPr="002D3565">
        <w:rPr>
          <w:lang w:val="en-US"/>
        </w:rPr>
        <w:t xml:space="preserve"> </w:t>
      </w:r>
      <w:r w:rsidR="00943816" w:rsidRPr="002D3565">
        <w:rPr>
          <w:lang w:val="en-US"/>
        </w:rPr>
        <w:t>S</w:t>
      </w:r>
      <w:r w:rsidRPr="002D3565">
        <w:rPr>
          <w:lang w:val="en-US"/>
        </w:rPr>
        <w:t>tanding height (without shoes) was measured to the last complete mm using the Harpenden Stadiometer (</w:t>
      </w:r>
      <w:proofErr w:type="spellStart"/>
      <w:r w:rsidRPr="002D3565">
        <w:rPr>
          <w:lang w:val="en-US"/>
        </w:rPr>
        <w:t>Holtain</w:t>
      </w:r>
      <w:proofErr w:type="spellEnd"/>
      <w:r w:rsidRPr="002D3565">
        <w:rPr>
          <w:lang w:val="en-US"/>
        </w:rPr>
        <w:t xml:space="preserve"> Ltd.). Weight was measured to the nearest 0.1kg using the Tanita Body Fat </w:t>
      </w:r>
      <w:proofErr w:type="spellStart"/>
      <w:r w:rsidRPr="002D3565">
        <w:rPr>
          <w:lang w:val="en-US"/>
        </w:rPr>
        <w:t>Analyser</w:t>
      </w:r>
      <w:proofErr w:type="spellEnd"/>
      <w:r w:rsidRPr="002D3565">
        <w:rPr>
          <w:lang w:val="en-US"/>
        </w:rPr>
        <w:t xml:space="preserve"> (Model TBF 305). </w:t>
      </w:r>
    </w:p>
    <w:p w14:paraId="6C30EBE7" w14:textId="3A6ED90C" w:rsidR="00182A61" w:rsidRPr="002D3565" w:rsidRDefault="00337B0D" w:rsidP="00AE0C0F">
      <w:pPr>
        <w:spacing w:line="360" w:lineRule="auto"/>
        <w:jc w:val="both"/>
        <w:rPr>
          <w:lang w:val="en-US"/>
        </w:rPr>
      </w:pPr>
      <w:proofErr w:type="spellStart"/>
      <w:r w:rsidRPr="002D3565">
        <w:rPr>
          <w:lang w:val="en-US"/>
        </w:rPr>
        <w:t>BiB</w:t>
      </w:r>
      <w:proofErr w:type="spellEnd"/>
      <w:r w:rsidR="002C67FC" w:rsidRPr="002D3565">
        <w:rPr>
          <w:lang w:val="en-US"/>
        </w:rPr>
        <w:t>:</w:t>
      </w:r>
      <w:r w:rsidRPr="002D3565">
        <w:rPr>
          <w:lang w:val="en-US"/>
        </w:rPr>
        <w:t xml:space="preserve"> </w:t>
      </w:r>
      <w:r w:rsidR="002C67FC" w:rsidRPr="002D3565">
        <w:rPr>
          <w:lang w:val="en-US"/>
        </w:rPr>
        <w:t>S</w:t>
      </w:r>
      <w:r w:rsidR="00AF29F3" w:rsidRPr="002D3565">
        <w:rPr>
          <w:lang w:val="en-US"/>
        </w:rPr>
        <w:t>tanding height (without shoes) was measured to the last complete mm using a portable stadiometer (</w:t>
      </w:r>
      <w:proofErr w:type="spellStart"/>
      <w:r w:rsidR="00AF29F3" w:rsidRPr="002D3565">
        <w:rPr>
          <w:lang w:val="en-US"/>
        </w:rPr>
        <w:t>Holtain</w:t>
      </w:r>
      <w:proofErr w:type="spellEnd"/>
      <w:r w:rsidR="00AF29F3" w:rsidRPr="002D3565">
        <w:rPr>
          <w:lang w:val="en-US"/>
        </w:rPr>
        <w:t xml:space="preserve"> Ltd, Crosswell, UK). Weight (free from heavy clothing) was measured to the nearest 0.1 kg on a Tanita weighing scale (Tanita, model BC 418 MA, Tokyo, Japan).</w:t>
      </w:r>
    </w:p>
    <w:p w14:paraId="50469048" w14:textId="77777777" w:rsidR="006F1062" w:rsidRPr="002D3565" w:rsidRDefault="00EE42E0" w:rsidP="004F4801">
      <w:pPr>
        <w:spacing w:line="360" w:lineRule="auto"/>
        <w:jc w:val="both"/>
        <w:rPr>
          <w:lang w:val="en-US"/>
        </w:rPr>
      </w:pPr>
      <w:proofErr w:type="spellStart"/>
      <w:r w:rsidRPr="002D3565">
        <w:rPr>
          <w:lang w:val="en-US"/>
        </w:rPr>
        <w:t>MoBa</w:t>
      </w:r>
      <w:proofErr w:type="spellEnd"/>
      <w:r w:rsidRPr="002D3565">
        <w:rPr>
          <w:lang w:val="en-US"/>
        </w:rPr>
        <w:t>: Anthropometric measurements of the children were carried out by hospitals at birth and during routine visits in the primary health care system by trained nurses at 6 weeks, at 3, 6 and 8 months, and at 1, 1.5, 2, 3, 5, 7 and 8 years of age. Parents later transcribed these measurements to questionnaires.</w:t>
      </w:r>
    </w:p>
    <w:p w14:paraId="7CBF47B0" w14:textId="6721992C" w:rsidR="00C909ED" w:rsidRPr="002D3565" w:rsidRDefault="008904E5" w:rsidP="008A61E2">
      <w:pPr>
        <w:spacing w:line="360" w:lineRule="auto"/>
        <w:jc w:val="both"/>
        <w:rPr>
          <w:lang w:val="en-US"/>
        </w:rPr>
      </w:pPr>
      <w:r w:rsidRPr="002D3565">
        <w:rPr>
          <w:lang w:val="en-US"/>
        </w:rPr>
        <w:t xml:space="preserve">UKB: </w:t>
      </w:r>
      <w:r w:rsidR="00964E86" w:rsidRPr="002D3565">
        <w:rPr>
          <w:lang w:val="en-US"/>
        </w:rPr>
        <w:t xml:space="preserve">At the baseline questionnaire, participants were asked “When you were 10 years old, compared to average would you describe yourself as thinner, plumper, or about average?” and “When you were 10 years old, compared to average would you describe yourself as shorter, taller, or about average?". </w:t>
      </w:r>
      <w:r w:rsidR="008B328D" w:rsidRPr="002D3565">
        <w:rPr>
          <w:lang w:val="en-US"/>
        </w:rPr>
        <w:t xml:space="preserve">The responses </w:t>
      </w:r>
      <w:r w:rsidR="00482EE3" w:rsidRPr="002D3565">
        <w:rPr>
          <w:lang w:val="en-US"/>
        </w:rPr>
        <w:t xml:space="preserve">were used as categorical variable proxies for mid-childhood BMI and height respectively. </w:t>
      </w:r>
    </w:p>
    <w:p w14:paraId="6F463B46" w14:textId="2E1E35E1" w:rsidR="0035163F" w:rsidRPr="002D3565" w:rsidRDefault="0035163F" w:rsidP="008A61E2">
      <w:pPr>
        <w:spacing w:line="360" w:lineRule="auto"/>
        <w:jc w:val="both"/>
        <w:rPr>
          <w:color w:val="EE0000"/>
          <w:lang w:val="en-US"/>
        </w:rPr>
      </w:pPr>
    </w:p>
    <w:sectPr w:rsidR="0035163F" w:rsidRPr="002D3565" w:rsidSect="00617AD5">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616"/>
    <w:rsid w:val="000040EC"/>
    <w:rsid w:val="00016EE8"/>
    <w:rsid w:val="00020AA0"/>
    <w:rsid w:val="00033E56"/>
    <w:rsid w:val="00050876"/>
    <w:rsid w:val="00052658"/>
    <w:rsid w:val="00093367"/>
    <w:rsid w:val="000B1640"/>
    <w:rsid w:val="000B2700"/>
    <w:rsid w:val="000B474D"/>
    <w:rsid w:val="000B7624"/>
    <w:rsid w:val="000C0C3F"/>
    <w:rsid w:val="000C5402"/>
    <w:rsid w:val="000E1586"/>
    <w:rsid w:val="000E7676"/>
    <w:rsid w:val="00123BBD"/>
    <w:rsid w:val="00123F8D"/>
    <w:rsid w:val="00130972"/>
    <w:rsid w:val="0013531A"/>
    <w:rsid w:val="0014177F"/>
    <w:rsid w:val="00144A0D"/>
    <w:rsid w:val="001536D4"/>
    <w:rsid w:val="00182A61"/>
    <w:rsid w:val="0018675A"/>
    <w:rsid w:val="001940EE"/>
    <w:rsid w:val="001941F5"/>
    <w:rsid w:val="001A4122"/>
    <w:rsid w:val="001A5CCE"/>
    <w:rsid w:val="001A5D05"/>
    <w:rsid w:val="001C076B"/>
    <w:rsid w:val="001C6F05"/>
    <w:rsid w:val="001E0DC7"/>
    <w:rsid w:val="001F5A10"/>
    <w:rsid w:val="00205CB6"/>
    <w:rsid w:val="00231603"/>
    <w:rsid w:val="002342DC"/>
    <w:rsid w:val="0023686F"/>
    <w:rsid w:val="0025457F"/>
    <w:rsid w:val="00280903"/>
    <w:rsid w:val="00286BF7"/>
    <w:rsid w:val="002A5745"/>
    <w:rsid w:val="002C67FC"/>
    <w:rsid w:val="002D2600"/>
    <w:rsid w:val="002D3565"/>
    <w:rsid w:val="002E49B5"/>
    <w:rsid w:val="002F79D8"/>
    <w:rsid w:val="00300ECC"/>
    <w:rsid w:val="00303DB3"/>
    <w:rsid w:val="00304D0B"/>
    <w:rsid w:val="0030528A"/>
    <w:rsid w:val="00311C1E"/>
    <w:rsid w:val="00317CD7"/>
    <w:rsid w:val="00320DB9"/>
    <w:rsid w:val="003238C3"/>
    <w:rsid w:val="00337B0D"/>
    <w:rsid w:val="00342FEF"/>
    <w:rsid w:val="0035163F"/>
    <w:rsid w:val="003736BF"/>
    <w:rsid w:val="00374193"/>
    <w:rsid w:val="00385D08"/>
    <w:rsid w:val="003A29A0"/>
    <w:rsid w:val="003A7CBD"/>
    <w:rsid w:val="003A7F54"/>
    <w:rsid w:val="003B2A80"/>
    <w:rsid w:val="003C3220"/>
    <w:rsid w:val="003C5908"/>
    <w:rsid w:val="003E19EE"/>
    <w:rsid w:val="003E3662"/>
    <w:rsid w:val="003F1B5E"/>
    <w:rsid w:val="00422831"/>
    <w:rsid w:val="0043770F"/>
    <w:rsid w:val="0044063B"/>
    <w:rsid w:val="0044121C"/>
    <w:rsid w:val="00462F13"/>
    <w:rsid w:val="00470A5C"/>
    <w:rsid w:val="00472989"/>
    <w:rsid w:val="004751CB"/>
    <w:rsid w:val="00482EE3"/>
    <w:rsid w:val="00483677"/>
    <w:rsid w:val="00485B85"/>
    <w:rsid w:val="00496B3B"/>
    <w:rsid w:val="004A3821"/>
    <w:rsid w:val="004A5F1C"/>
    <w:rsid w:val="004A72FE"/>
    <w:rsid w:val="004B22B3"/>
    <w:rsid w:val="004C6779"/>
    <w:rsid w:val="004D26AF"/>
    <w:rsid w:val="004D467D"/>
    <w:rsid w:val="004E4E33"/>
    <w:rsid w:val="004E6A69"/>
    <w:rsid w:val="004F4801"/>
    <w:rsid w:val="004F4A0E"/>
    <w:rsid w:val="00502D3C"/>
    <w:rsid w:val="00513CDE"/>
    <w:rsid w:val="00517D2D"/>
    <w:rsid w:val="005233BF"/>
    <w:rsid w:val="005469A2"/>
    <w:rsid w:val="00547E08"/>
    <w:rsid w:val="00553D54"/>
    <w:rsid w:val="00556D91"/>
    <w:rsid w:val="00573FA7"/>
    <w:rsid w:val="0058305F"/>
    <w:rsid w:val="005D184F"/>
    <w:rsid w:val="005D213F"/>
    <w:rsid w:val="00617AD5"/>
    <w:rsid w:val="00635EA5"/>
    <w:rsid w:val="00643299"/>
    <w:rsid w:val="0065025B"/>
    <w:rsid w:val="00651F67"/>
    <w:rsid w:val="00672EA5"/>
    <w:rsid w:val="006933A9"/>
    <w:rsid w:val="006A3A4E"/>
    <w:rsid w:val="006A7135"/>
    <w:rsid w:val="006A79E4"/>
    <w:rsid w:val="006B3286"/>
    <w:rsid w:val="006D1750"/>
    <w:rsid w:val="006E0EA0"/>
    <w:rsid w:val="006E1243"/>
    <w:rsid w:val="006E1989"/>
    <w:rsid w:val="006F1062"/>
    <w:rsid w:val="0072736E"/>
    <w:rsid w:val="00742674"/>
    <w:rsid w:val="00746DED"/>
    <w:rsid w:val="00753722"/>
    <w:rsid w:val="007562D8"/>
    <w:rsid w:val="00790713"/>
    <w:rsid w:val="00793529"/>
    <w:rsid w:val="00797F66"/>
    <w:rsid w:val="007C146D"/>
    <w:rsid w:val="007C6618"/>
    <w:rsid w:val="007D23D0"/>
    <w:rsid w:val="007F2F75"/>
    <w:rsid w:val="007F7018"/>
    <w:rsid w:val="00841BD4"/>
    <w:rsid w:val="008437D6"/>
    <w:rsid w:val="00846484"/>
    <w:rsid w:val="00855616"/>
    <w:rsid w:val="00856BB6"/>
    <w:rsid w:val="0087179B"/>
    <w:rsid w:val="0088515B"/>
    <w:rsid w:val="008904E5"/>
    <w:rsid w:val="00892F63"/>
    <w:rsid w:val="0089425C"/>
    <w:rsid w:val="00894B89"/>
    <w:rsid w:val="00895E1D"/>
    <w:rsid w:val="008A61E2"/>
    <w:rsid w:val="008B328D"/>
    <w:rsid w:val="008D45E5"/>
    <w:rsid w:val="008D6C1C"/>
    <w:rsid w:val="008F22B6"/>
    <w:rsid w:val="008F6C92"/>
    <w:rsid w:val="00902D95"/>
    <w:rsid w:val="0092121D"/>
    <w:rsid w:val="00943816"/>
    <w:rsid w:val="00954DB0"/>
    <w:rsid w:val="009555F3"/>
    <w:rsid w:val="00960FDF"/>
    <w:rsid w:val="009618B5"/>
    <w:rsid w:val="00964E86"/>
    <w:rsid w:val="00974B6C"/>
    <w:rsid w:val="0098588C"/>
    <w:rsid w:val="009A09AE"/>
    <w:rsid w:val="009A3489"/>
    <w:rsid w:val="009A3544"/>
    <w:rsid w:val="009D20EF"/>
    <w:rsid w:val="009E2949"/>
    <w:rsid w:val="009E324F"/>
    <w:rsid w:val="009F75BC"/>
    <w:rsid w:val="00A10D9D"/>
    <w:rsid w:val="00A421AF"/>
    <w:rsid w:val="00A47474"/>
    <w:rsid w:val="00A9399A"/>
    <w:rsid w:val="00AB44E1"/>
    <w:rsid w:val="00AC3CD2"/>
    <w:rsid w:val="00AE0C0F"/>
    <w:rsid w:val="00AF29F3"/>
    <w:rsid w:val="00AF2BEE"/>
    <w:rsid w:val="00B0325A"/>
    <w:rsid w:val="00B30FFF"/>
    <w:rsid w:val="00B83C5B"/>
    <w:rsid w:val="00B93247"/>
    <w:rsid w:val="00BC4636"/>
    <w:rsid w:val="00BC50D5"/>
    <w:rsid w:val="00BC5EB4"/>
    <w:rsid w:val="00BC785C"/>
    <w:rsid w:val="00BE7E02"/>
    <w:rsid w:val="00BF0F3E"/>
    <w:rsid w:val="00BF496A"/>
    <w:rsid w:val="00BF74E5"/>
    <w:rsid w:val="00C07B1A"/>
    <w:rsid w:val="00C20DF1"/>
    <w:rsid w:val="00C31778"/>
    <w:rsid w:val="00C32339"/>
    <w:rsid w:val="00C52147"/>
    <w:rsid w:val="00C5710B"/>
    <w:rsid w:val="00C64E34"/>
    <w:rsid w:val="00C72540"/>
    <w:rsid w:val="00C75895"/>
    <w:rsid w:val="00C84A27"/>
    <w:rsid w:val="00C86E63"/>
    <w:rsid w:val="00C909ED"/>
    <w:rsid w:val="00CB4EB3"/>
    <w:rsid w:val="00CB52E1"/>
    <w:rsid w:val="00CC59BE"/>
    <w:rsid w:val="00CC6BD2"/>
    <w:rsid w:val="00CD58CC"/>
    <w:rsid w:val="00D02552"/>
    <w:rsid w:val="00D05439"/>
    <w:rsid w:val="00D276C3"/>
    <w:rsid w:val="00D356B0"/>
    <w:rsid w:val="00D4430C"/>
    <w:rsid w:val="00D53F17"/>
    <w:rsid w:val="00D56282"/>
    <w:rsid w:val="00D65081"/>
    <w:rsid w:val="00D704D0"/>
    <w:rsid w:val="00D72610"/>
    <w:rsid w:val="00D9604F"/>
    <w:rsid w:val="00DA39EF"/>
    <w:rsid w:val="00DC225C"/>
    <w:rsid w:val="00DD46F5"/>
    <w:rsid w:val="00E2774E"/>
    <w:rsid w:val="00E30120"/>
    <w:rsid w:val="00E341B4"/>
    <w:rsid w:val="00E365CD"/>
    <w:rsid w:val="00E41096"/>
    <w:rsid w:val="00E622EB"/>
    <w:rsid w:val="00E66361"/>
    <w:rsid w:val="00E669E1"/>
    <w:rsid w:val="00E70FD7"/>
    <w:rsid w:val="00E80AF8"/>
    <w:rsid w:val="00E91C5D"/>
    <w:rsid w:val="00E96F54"/>
    <w:rsid w:val="00E9736A"/>
    <w:rsid w:val="00EA354C"/>
    <w:rsid w:val="00EA3F8A"/>
    <w:rsid w:val="00ED1E39"/>
    <w:rsid w:val="00ED26B8"/>
    <w:rsid w:val="00EE2BBA"/>
    <w:rsid w:val="00EE42E0"/>
    <w:rsid w:val="00EF3C9B"/>
    <w:rsid w:val="00EF4408"/>
    <w:rsid w:val="00F14B20"/>
    <w:rsid w:val="00F35D00"/>
    <w:rsid w:val="00F40358"/>
    <w:rsid w:val="00F4292F"/>
    <w:rsid w:val="00F43F75"/>
    <w:rsid w:val="00F506CD"/>
    <w:rsid w:val="00F537FB"/>
    <w:rsid w:val="00F64C9E"/>
    <w:rsid w:val="00F7684D"/>
    <w:rsid w:val="00F84A8E"/>
    <w:rsid w:val="00F86B65"/>
    <w:rsid w:val="00F93B3F"/>
    <w:rsid w:val="00FB5FBD"/>
    <w:rsid w:val="00FE72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50251"/>
  <w15:chartTrackingRefBased/>
  <w15:docId w15:val="{68E297C1-5A75-4326-B46D-245BE9923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6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56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561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561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5561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5561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5561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5561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5561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6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56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561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561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5561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556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556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556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556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55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61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6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55616"/>
    <w:pPr>
      <w:spacing w:before="160"/>
      <w:jc w:val="center"/>
    </w:pPr>
    <w:rPr>
      <w:i/>
      <w:iCs/>
      <w:color w:val="404040" w:themeColor="text1" w:themeTint="BF"/>
    </w:rPr>
  </w:style>
  <w:style w:type="character" w:customStyle="1" w:styleId="QuoteChar">
    <w:name w:val="Quote Char"/>
    <w:basedOn w:val="DefaultParagraphFont"/>
    <w:link w:val="Quote"/>
    <w:uiPriority w:val="29"/>
    <w:rsid w:val="00855616"/>
    <w:rPr>
      <w:i/>
      <w:iCs/>
      <w:color w:val="404040" w:themeColor="text1" w:themeTint="BF"/>
    </w:rPr>
  </w:style>
  <w:style w:type="paragraph" w:styleId="ListParagraph">
    <w:name w:val="List Paragraph"/>
    <w:basedOn w:val="Normal"/>
    <w:uiPriority w:val="34"/>
    <w:qFormat/>
    <w:rsid w:val="00855616"/>
    <w:pPr>
      <w:ind w:left="720"/>
      <w:contextualSpacing/>
    </w:pPr>
  </w:style>
  <w:style w:type="character" w:styleId="IntenseEmphasis">
    <w:name w:val="Intense Emphasis"/>
    <w:basedOn w:val="DefaultParagraphFont"/>
    <w:uiPriority w:val="21"/>
    <w:qFormat/>
    <w:rsid w:val="00855616"/>
    <w:rPr>
      <w:i/>
      <w:iCs/>
      <w:color w:val="2F5496" w:themeColor="accent1" w:themeShade="BF"/>
    </w:rPr>
  </w:style>
  <w:style w:type="paragraph" w:styleId="IntenseQuote">
    <w:name w:val="Intense Quote"/>
    <w:basedOn w:val="Normal"/>
    <w:next w:val="Normal"/>
    <w:link w:val="IntenseQuoteChar"/>
    <w:uiPriority w:val="30"/>
    <w:qFormat/>
    <w:rsid w:val="008556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5616"/>
    <w:rPr>
      <w:i/>
      <w:iCs/>
      <w:color w:val="2F5496" w:themeColor="accent1" w:themeShade="BF"/>
    </w:rPr>
  </w:style>
  <w:style w:type="character" w:styleId="IntenseReference">
    <w:name w:val="Intense Reference"/>
    <w:basedOn w:val="DefaultParagraphFont"/>
    <w:uiPriority w:val="32"/>
    <w:qFormat/>
    <w:rsid w:val="00855616"/>
    <w:rPr>
      <w:b/>
      <w:bCs/>
      <w:smallCaps/>
      <w:color w:val="2F5496" w:themeColor="accent1" w:themeShade="BF"/>
      <w:spacing w:val="5"/>
    </w:rPr>
  </w:style>
  <w:style w:type="paragraph" w:styleId="Bibliography">
    <w:name w:val="Bibliography"/>
    <w:basedOn w:val="Normal"/>
    <w:next w:val="Normal"/>
    <w:uiPriority w:val="37"/>
    <w:unhideWhenUsed/>
    <w:rsid w:val="00123F8D"/>
    <w:pPr>
      <w:tabs>
        <w:tab w:val="left" w:pos="384"/>
      </w:tabs>
      <w:spacing w:after="240" w:line="240" w:lineRule="auto"/>
      <w:ind w:left="384" w:hanging="384"/>
    </w:pPr>
  </w:style>
  <w:style w:type="character" w:styleId="Hyperlink">
    <w:name w:val="Hyperlink"/>
    <w:basedOn w:val="DefaultParagraphFont"/>
    <w:uiPriority w:val="99"/>
    <w:unhideWhenUsed/>
    <w:rsid w:val="004D467D"/>
    <w:rPr>
      <w:color w:val="0563C1" w:themeColor="hyperlink"/>
      <w:u w:val="single"/>
    </w:rPr>
  </w:style>
  <w:style w:type="character" w:customStyle="1" w:styleId="Link">
    <w:name w:val="Link"/>
    <w:rsid w:val="004B22B3"/>
    <w:rPr>
      <w:outline w:val="0"/>
      <w:color w:val="0563C1"/>
      <w:u w:val="single" w:color="0563C1"/>
    </w:rPr>
  </w:style>
  <w:style w:type="character" w:styleId="LineNumber">
    <w:name w:val="line number"/>
    <w:basedOn w:val="DefaultParagraphFont"/>
    <w:uiPriority w:val="99"/>
    <w:semiHidden/>
    <w:unhideWhenUsed/>
    <w:rsid w:val="00617AD5"/>
  </w:style>
  <w:style w:type="paragraph" w:styleId="Revision">
    <w:name w:val="Revision"/>
    <w:hidden/>
    <w:uiPriority w:val="99"/>
    <w:semiHidden/>
    <w:rsid w:val="00746DED"/>
    <w:pPr>
      <w:spacing w:after="0" w:line="240" w:lineRule="auto"/>
    </w:pPr>
  </w:style>
  <w:style w:type="character" w:styleId="CommentReference">
    <w:name w:val="annotation reference"/>
    <w:basedOn w:val="DefaultParagraphFont"/>
    <w:uiPriority w:val="99"/>
    <w:semiHidden/>
    <w:unhideWhenUsed/>
    <w:rsid w:val="00E66361"/>
    <w:rPr>
      <w:sz w:val="16"/>
      <w:szCs w:val="16"/>
    </w:rPr>
  </w:style>
  <w:style w:type="paragraph" w:styleId="CommentText">
    <w:name w:val="annotation text"/>
    <w:basedOn w:val="Normal"/>
    <w:link w:val="CommentTextChar"/>
    <w:uiPriority w:val="99"/>
    <w:unhideWhenUsed/>
    <w:rsid w:val="00E66361"/>
    <w:pPr>
      <w:spacing w:line="240" w:lineRule="auto"/>
    </w:pPr>
    <w:rPr>
      <w:sz w:val="20"/>
      <w:szCs w:val="20"/>
    </w:rPr>
  </w:style>
  <w:style w:type="character" w:customStyle="1" w:styleId="CommentTextChar">
    <w:name w:val="Comment Text Char"/>
    <w:basedOn w:val="DefaultParagraphFont"/>
    <w:link w:val="CommentText"/>
    <w:uiPriority w:val="99"/>
    <w:rsid w:val="00E66361"/>
    <w:rPr>
      <w:sz w:val="20"/>
      <w:szCs w:val="20"/>
    </w:rPr>
  </w:style>
  <w:style w:type="character" w:styleId="UnresolvedMention">
    <w:name w:val="Unresolved Mention"/>
    <w:basedOn w:val="DefaultParagraphFont"/>
    <w:uiPriority w:val="99"/>
    <w:semiHidden/>
    <w:unhideWhenUsed/>
    <w:rsid w:val="00462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ithub.com/folkehelseinstituttet/mobagen/wiki/MoBaGenetics1.5" TargetMode="External"/><Relationship Id="rId5" Type="http://schemas.openxmlformats.org/officeDocument/2006/relationships/hyperlink" Target="https://proposals.epi.bristol.ac.uk/alspac_omics_data_catalogue.html" TargetMode="External"/><Relationship Id="rId4" Type="http://schemas.openxmlformats.org/officeDocument/2006/relationships/hyperlink" Target="http://www.bristol.ac.uk/alspac/researchers/our-data/" TargetMode="Externa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4</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Kym-Mai Nguyen</dc:creator>
  <cp:keywords/>
  <dc:description/>
  <cp:lastModifiedBy>Kym-Mai Nguyen</cp:lastModifiedBy>
  <cp:revision>228</cp:revision>
  <dcterms:created xsi:type="dcterms:W3CDTF">2025-07-17T23:32:00Z</dcterms:created>
  <dcterms:modified xsi:type="dcterms:W3CDTF">2026-05-01T04:35:00Z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2025-07-17T23:32:53Z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2713e066-5997-4208-90f6-9c89d6afb894</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y fmtid="{D5CDD505-2E9C-101B-9397-08002B2CF9AE}" pid="10" name="ZOTERO_PREF_1">
    <vt:lpwstr>&lt;data data-version="3" zotero-version="7.0.8"&gt;&lt;session id="MFQlsFH4"/&gt;&lt;style id="http://www.zotero.org/styles/american-medical-association-parentheses" hasBibliography="1" bibliographyStyleHasBeenSet="1"/&gt;&lt;prefs&gt;&lt;pref name="fieldType" value="Field"/&gt;&lt;/pre</vt:lpwstr>
  </property>
  <property fmtid="{D5CDD505-2E9C-101B-9397-08002B2CF9AE}" pid="11" name="ZOTERO_PREF_2">
    <vt:lpwstr>fs&gt;&lt;/data&gt;</vt:lpwstr>
  </property>
</Properties>
</file>