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052DC" w14:textId="77777777" w:rsidR="00B24FB4" w:rsidRDefault="00B24FB4" w:rsidP="00B25677">
      <w:pPr>
        <w:rPr>
          <w:rFonts w:ascii="Calibri" w:hAnsi="Calibri" w:cs="Arial"/>
          <w:lang w:val="en-US"/>
        </w:rPr>
      </w:pPr>
      <w:r>
        <w:rPr>
          <w:rFonts w:ascii="Calibri" w:hAnsi="Calibri" w:cs="Arial"/>
          <w:b/>
          <w:lang w:val="en-US"/>
        </w:rPr>
        <w:t>Additional file 2</w:t>
      </w:r>
      <w:r w:rsidRPr="003F02AC">
        <w:rPr>
          <w:rFonts w:ascii="Calibri" w:hAnsi="Calibri" w:cs="Arial"/>
          <w:b/>
          <w:lang w:val="en-US"/>
        </w:rPr>
        <w:t xml:space="preserve">. </w:t>
      </w:r>
      <w:r w:rsidRPr="003F02AC">
        <w:rPr>
          <w:rFonts w:ascii="Calibri" w:hAnsi="Calibri" w:cs="Arial"/>
          <w:lang w:val="en-US"/>
        </w:rPr>
        <w:t xml:space="preserve">Overview of the </w:t>
      </w:r>
      <w:r>
        <w:rPr>
          <w:rFonts w:ascii="Calibri" w:hAnsi="Calibri" w:cs="Arial"/>
          <w:lang w:val="en-US"/>
        </w:rPr>
        <w:t>WISE</w:t>
      </w:r>
      <w:r w:rsidRPr="003F02AC">
        <w:rPr>
          <w:rFonts w:ascii="Calibri" w:hAnsi="Calibri" w:cs="Arial"/>
          <w:lang w:val="en-US"/>
        </w:rPr>
        <w:t>-T sessions</w:t>
      </w:r>
    </w:p>
    <w:tbl>
      <w:tblPr>
        <w:tblW w:w="14827" w:type="dxa"/>
        <w:tblInd w:w="54" w:type="dxa"/>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CellMar>
          <w:top w:w="55" w:type="dxa"/>
          <w:left w:w="54" w:type="dxa"/>
          <w:bottom w:w="55" w:type="dxa"/>
          <w:right w:w="55" w:type="dxa"/>
        </w:tblCellMar>
        <w:tblLook w:val="07E0" w:firstRow="1" w:lastRow="1" w:firstColumn="1" w:lastColumn="1" w:noHBand="1" w:noVBand="1"/>
      </w:tblPr>
      <w:tblGrid>
        <w:gridCol w:w="876"/>
        <w:gridCol w:w="2630"/>
        <w:gridCol w:w="1257"/>
        <w:gridCol w:w="1134"/>
        <w:gridCol w:w="8930"/>
      </w:tblGrid>
      <w:tr w:rsidR="00B24FB4" w:rsidRPr="00B769CB" w14:paraId="76E9DA08" w14:textId="77777777" w:rsidTr="00EB693C">
        <w:tc>
          <w:tcPr>
            <w:tcW w:w="0" w:type="auto"/>
          </w:tcPr>
          <w:p w14:paraId="22879026" w14:textId="77777777" w:rsidR="00B24FB4" w:rsidRPr="003F02AC" w:rsidRDefault="00B24FB4" w:rsidP="00743A5F">
            <w:pPr>
              <w:spacing w:after="0"/>
              <w:rPr>
                <w:rFonts w:ascii="Calibri" w:hAnsi="Calibri" w:cstheme="majorHAnsi"/>
                <w:b/>
                <w:sz w:val="20"/>
                <w:szCs w:val="20"/>
              </w:rPr>
            </w:pPr>
            <w:r w:rsidRPr="003F02AC">
              <w:rPr>
                <w:rFonts w:ascii="Calibri" w:hAnsi="Calibri" w:cstheme="majorHAnsi"/>
                <w:b/>
                <w:sz w:val="20"/>
                <w:szCs w:val="20"/>
              </w:rPr>
              <w:t>Session</w:t>
            </w:r>
          </w:p>
        </w:tc>
        <w:tc>
          <w:tcPr>
            <w:tcW w:w="2630" w:type="dxa"/>
          </w:tcPr>
          <w:p w14:paraId="45B1CD8F" w14:textId="77777777" w:rsidR="00B24FB4" w:rsidRPr="003F02AC" w:rsidRDefault="00B24FB4" w:rsidP="00743A5F">
            <w:pPr>
              <w:spacing w:after="0"/>
              <w:rPr>
                <w:rFonts w:ascii="Calibri" w:hAnsi="Calibri" w:cstheme="majorHAnsi"/>
                <w:b/>
                <w:sz w:val="20"/>
                <w:szCs w:val="20"/>
              </w:rPr>
            </w:pPr>
            <w:r w:rsidRPr="003F02AC">
              <w:rPr>
                <w:rFonts w:ascii="Calibri" w:hAnsi="Calibri" w:cstheme="majorHAnsi"/>
                <w:b/>
                <w:sz w:val="20"/>
                <w:szCs w:val="20"/>
              </w:rPr>
              <w:t>Topic</w:t>
            </w:r>
          </w:p>
        </w:tc>
        <w:tc>
          <w:tcPr>
            <w:tcW w:w="1257" w:type="dxa"/>
          </w:tcPr>
          <w:p w14:paraId="5127B2ED" w14:textId="77777777" w:rsidR="00B24FB4" w:rsidRPr="003F02AC" w:rsidRDefault="00B24FB4" w:rsidP="00743A5F">
            <w:pPr>
              <w:spacing w:after="0"/>
              <w:rPr>
                <w:rFonts w:ascii="Calibri" w:hAnsi="Calibri" w:cstheme="majorHAnsi"/>
                <w:b/>
                <w:sz w:val="20"/>
                <w:szCs w:val="20"/>
              </w:rPr>
            </w:pPr>
            <w:proofErr w:type="spellStart"/>
            <w:r w:rsidRPr="003F02AC">
              <w:rPr>
                <w:rFonts w:ascii="Calibri" w:hAnsi="Calibri" w:cstheme="majorHAnsi"/>
                <w:b/>
                <w:sz w:val="20"/>
                <w:szCs w:val="20"/>
              </w:rPr>
              <w:t>Suggested</w:t>
            </w:r>
            <w:proofErr w:type="spellEnd"/>
            <w:r w:rsidRPr="003F02AC">
              <w:rPr>
                <w:rFonts w:ascii="Calibri" w:hAnsi="Calibri" w:cstheme="majorHAnsi"/>
                <w:b/>
                <w:sz w:val="20"/>
                <w:szCs w:val="20"/>
              </w:rPr>
              <w:t xml:space="preserve"> Reading</w:t>
            </w:r>
          </w:p>
        </w:tc>
        <w:tc>
          <w:tcPr>
            <w:tcW w:w="1134" w:type="dxa"/>
          </w:tcPr>
          <w:p w14:paraId="7B080EFA" w14:textId="77777777" w:rsidR="00B24FB4" w:rsidRPr="003F02AC" w:rsidRDefault="00B24FB4" w:rsidP="00743A5F">
            <w:pPr>
              <w:spacing w:after="0"/>
              <w:rPr>
                <w:rFonts w:ascii="Calibri" w:hAnsi="Calibri" w:cstheme="majorHAnsi"/>
                <w:b/>
                <w:sz w:val="20"/>
                <w:szCs w:val="20"/>
              </w:rPr>
            </w:pPr>
            <w:proofErr w:type="spellStart"/>
            <w:r w:rsidRPr="003F02AC">
              <w:rPr>
                <w:rFonts w:ascii="Calibri" w:hAnsi="Calibri" w:cstheme="majorHAnsi"/>
                <w:b/>
                <w:sz w:val="20"/>
                <w:szCs w:val="20"/>
              </w:rPr>
              <w:t>Category</w:t>
            </w:r>
            <w:proofErr w:type="spellEnd"/>
          </w:p>
        </w:tc>
        <w:tc>
          <w:tcPr>
            <w:tcW w:w="8930" w:type="dxa"/>
          </w:tcPr>
          <w:p w14:paraId="7F3387B3" w14:textId="77777777" w:rsidR="00B24FB4" w:rsidRPr="00B769CB" w:rsidRDefault="00B24FB4" w:rsidP="00743A5F">
            <w:pPr>
              <w:spacing w:after="0"/>
              <w:rPr>
                <w:rFonts w:ascii="Calibri" w:hAnsi="Calibri" w:cstheme="majorHAnsi"/>
                <w:b/>
                <w:sz w:val="20"/>
                <w:szCs w:val="20"/>
                <w:lang w:val="en-GB"/>
              </w:rPr>
            </w:pPr>
            <w:r w:rsidRPr="00B769CB">
              <w:rPr>
                <w:rFonts w:ascii="Calibri" w:hAnsi="Calibri" w:cstheme="majorHAnsi"/>
                <w:b/>
                <w:sz w:val="20"/>
                <w:szCs w:val="20"/>
                <w:lang w:val="en-GB"/>
              </w:rPr>
              <w:t>How It Promotes Focus on What Is Important</w:t>
            </w:r>
          </w:p>
        </w:tc>
      </w:tr>
      <w:tr w:rsidR="00B24FB4" w:rsidRPr="00B769CB" w14:paraId="285DD4A3" w14:textId="77777777" w:rsidTr="00EB693C">
        <w:tc>
          <w:tcPr>
            <w:tcW w:w="0" w:type="auto"/>
          </w:tcPr>
          <w:p w14:paraId="045E566D"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1</w:t>
            </w:r>
          </w:p>
        </w:tc>
        <w:tc>
          <w:tcPr>
            <w:tcW w:w="2630" w:type="dxa"/>
          </w:tcPr>
          <w:p w14:paraId="32264E45"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Eisenhower Matrix</w:t>
            </w:r>
          </w:p>
        </w:tc>
        <w:tc>
          <w:tcPr>
            <w:tcW w:w="1257" w:type="dxa"/>
          </w:tcPr>
          <w:p w14:paraId="0295692A" w14:textId="4B5867EA" w:rsidR="00B24FB4" w:rsidRPr="003F02AC" w:rsidRDefault="00B24FB4" w:rsidP="00D2668E">
            <w:pPr>
              <w:spacing w:after="0"/>
              <w:rPr>
                <w:rFonts w:ascii="Calibri" w:hAnsi="Calibri" w:cstheme="majorHAnsi"/>
                <w:sz w:val="20"/>
                <w:szCs w:val="20"/>
                <w:lang w:val="en-US"/>
              </w:rPr>
            </w:pPr>
            <w:r>
              <w:rPr>
                <w:rFonts w:ascii="Calibri" w:hAnsi="Calibri" w:cstheme="majorHAnsi"/>
                <w:noProof/>
                <w:sz w:val="20"/>
                <w:szCs w:val="20"/>
                <w:lang w:val="en-US"/>
              </w:rPr>
              <w:t>1, 2</w:t>
            </w:r>
          </w:p>
        </w:tc>
        <w:tc>
          <w:tcPr>
            <w:tcW w:w="1134" w:type="dxa"/>
          </w:tcPr>
          <w:p w14:paraId="38F0174C"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C</w:t>
            </w:r>
          </w:p>
        </w:tc>
        <w:tc>
          <w:tcPr>
            <w:tcW w:w="8930" w:type="dxa"/>
          </w:tcPr>
          <w:p w14:paraId="6DBA8A70"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Helps patients identify and prioritize important but non-urgent activities</w:t>
            </w:r>
          </w:p>
        </w:tc>
      </w:tr>
      <w:tr w:rsidR="00B24FB4" w:rsidRPr="00B769CB" w14:paraId="6A05D073" w14:textId="77777777" w:rsidTr="00EB693C">
        <w:tc>
          <w:tcPr>
            <w:tcW w:w="0" w:type="auto"/>
          </w:tcPr>
          <w:p w14:paraId="32B34510" w14:textId="77777777" w:rsidR="00B24FB4" w:rsidRPr="003F02AC" w:rsidRDefault="00B24FB4" w:rsidP="00D2668E">
            <w:pPr>
              <w:spacing w:after="0"/>
              <w:rPr>
                <w:rFonts w:ascii="Calibri" w:hAnsi="Calibri" w:cstheme="majorHAnsi"/>
                <w:sz w:val="20"/>
                <w:szCs w:val="20"/>
                <w:lang w:val="en-US"/>
              </w:rPr>
            </w:pPr>
          </w:p>
        </w:tc>
        <w:tc>
          <w:tcPr>
            <w:tcW w:w="2630" w:type="dxa"/>
          </w:tcPr>
          <w:p w14:paraId="226D341B"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 xml:space="preserve">Value </w:t>
            </w:r>
            <w:proofErr w:type="spellStart"/>
            <w:r w:rsidRPr="003F02AC">
              <w:rPr>
                <w:rFonts w:ascii="Calibri" w:hAnsi="Calibri" w:cstheme="majorHAnsi"/>
                <w:sz w:val="20"/>
                <w:szCs w:val="20"/>
              </w:rPr>
              <w:t>Clarification</w:t>
            </w:r>
            <w:proofErr w:type="spellEnd"/>
          </w:p>
        </w:tc>
        <w:tc>
          <w:tcPr>
            <w:tcW w:w="1257" w:type="dxa"/>
          </w:tcPr>
          <w:p w14:paraId="5274B99D" w14:textId="1CBADD2B" w:rsidR="00B24FB4" w:rsidRPr="003F02AC" w:rsidRDefault="00B24FB4" w:rsidP="00D2668E">
            <w:pPr>
              <w:spacing w:after="0"/>
              <w:rPr>
                <w:rFonts w:ascii="Calibri" w:hAnsi="Calibri" w:cstheme="majorHAnsi"/>
                <w:sz w:val="20"/>
                <w:szCs w:val="20"/>
                <w:lang w:val="en-US"/>
              </w:rPr>
            </w:pPr>
            <w:r>
              <w:rPr>
                <w:rFonts w:ascii="Calibri" w:hAnsi="Calibri" w:cstheme="majorHAnsi"/>
                <w:noProof/>
                <w:sz w:val="20"/>
                <w:szCs w:val="20"/>
                <w:lang w:val="en-US"/>
              </w:rPr>
              <w:t>3</w:t>
            </w:r>
          </w:p>
        </w:tc>
        <w:tc>
          <w:tcPr>
            <w:tcW w:w="1134" w:type="dxa"/>
          </w:tcPr>
          <w:p w14:paraId="630192A7"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V</w:t>
            </w:r>
          </w:p>
        </w:tc>
        <w:tc>
          <w:tcPr>
            <w:tcW w:w="8930" w:type="dxa"/>
          </w:tcPr>
          <w:p w14:paraId="4E63E99B"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Aligns important activities with personal core values</w:t>
            </w:r>
          </w:p>
        </w:tc>
      </w:tr>
      <w:tr w:rsidR="00B24FB4" w:rsidRPr="00B769CB" w14:paraId="2BC46CFF" w14:textId="77777777" w:rsidTr="00EB693C">
        <w:tc>
          <w:tcPr>
            <w:tcW w:w="0" w:type="auto"/>
          </w:tcPr>
          <w:p w14:paraId="7C1AB041"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2</w:t>
            </w:r>
          </w:p>
        </w:tc>
        <w:tc>
          <w:tcPr>
            <w:tcW w:w="2630" w:type="dxa"/>
          </w:tcPr>
          <w:p w14:paraId="26E89DB5"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Habits</w:t>
            </w:r>
          </w:p>
        </w:tc>
        <w:tc>
          <w:tcPr>
            <w:tcW w:w="1257" w:type="dxa"/>
          </w:tcPr>
          <w:p w14:paraId="44F6F867" w14:textId="3B2C2B4B" w:rsidR="00B24FB4" w:rsidRPr="003F02AC" w:rsidRDefault="00B24FB4" w:rsidP="00D2668E">
            <w:pPr>
              <w:spacing w:after="0"/>
              <w:rPr>
                <w:rFonts w:ascii="Calibri" w:hAnsi="Calibri" w:cstheme="majorHAnsi"/>
                <w:sz w:val="20"/>
                <w:szCs w:val="20"/>
                <w:lang w:val="en-US"/>
              </w:rPr>
            </w:pPr>
            <w:r>
              <w:rPr>
                <w:rFonts w:ascii="Calibri" w:hAnsi="Calibri" w:cstheme="majorHAnsi"/>
                <w:noProof/>
                <w:sz w:val="20"/>
                <w:szCs w:val="20"/>
                <w:lang w:val="en-US"/>
              </w:rPr>
              <w:t>4</w:t>
            </w:r>
          </w:p>
        </w:tc>
        <w:tc>
          <w:tcPr>
            <w:tcW w:w="1134" w:type="dxa"/>
          </w:tcPr>
          <w:p w14:paraId="51A4647A"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H</w:t>
            </w:r>
          </w:p>
        </w:tc>
        <w:tc>
          <w:tcPr>
            <w:tcW w:w="8930" w:type="dxa"/>
          </w:tcPr>
          <w:p w14:paraId="2AAF8D17"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Encourages formation of habits supporting activities</w:t>
            </w:r>
          </w:p>
        </w:tc>
      </w:tr>
      <w:tr w:rsidR="00B24FB4" w:rsidRPr="00B769CB" w14:paraId="5FC1747F" w14:textId="77777777" w:rsidTr="00EB693C">
        <w:tc>
          <w:tcPr>
            <w:tcW w:w="0" w:type="auto"/>
          </w:tcPr>
          <w:p w14:paraId="29962A9C" w14:textId="77777777" w:rsidR="00B24FB4" w:rsidRPr="003F02AC" w:rsidRDefault="00B24FB4" w:rsidP="00D2668E">
            <w:pPr>
              <w:spacing w:after="0"/>
              <w:rPr>
                <w:rFonts w:ascii="Calibri" w:hAnsi="Calibri" w:cstheme="majorHAnsi"/>
                <w:sz w:val="20"/>
                <w:szCs w:val="20"/>
                <w:lang w:val="en-US"/>
              </w:rPr>
            </w:pPr>
          </w:p>
        </w:tc>
        <w:tc>
          <w:tcPr>
            <w:tcW w:w="2630" w:type="dxa"/>
          </w:tcPr>
          <w:p w14:paraId="00ED7074"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 xml:space="preserve">Pareto </w:t>
            </w:r>
            <w:proofErr w:type="spellStart"/>
            <w:r w:rsidRPr="003F02AC">
              <w:rPr>
                <w:rFonts w:ascii="Calibri" w:hAnsi="Calibri" w:cstheme="majorHAnsi"/>
                <w:sz w:val="20"/>
                <w:szCs w:val="20"/>
              </w:rPr>
              <w:t>Principle</w:t>
            </w:r>
            <w:proofErr w:type="spellEnd"/>
          </w:p>
        </w:tc>
        <w:tc>
          <w:tcPr>
            <w:tcW w:w="1257" w:type="dxa"/>
          </w:tcPr>
          <w:p w14:paraId="2FFFB416" w14:textId="7730AC02" w:rsidR="00B24FB4" w:rsidRPr="003F02AC" w:rsidRDefault="00B24FB4" w:rsidP="00D2668E">
            <w:pPr>
              <w:spacing w:after="0"/>
              <w:rPr>
                <w:rFonts w:ascii="Calibri" w:hAnsi="Calibri" w:cstheme="majorHAnsi"/>
                <w:sz w:val="20"/>
                <w:szCs w:val="20"/>
              </w:rPr>
            </w:pPr>
            <w:r>
              <w:rPr>
                <w:rFonts w:ascii="Calibri" w:hAnsi="Calibri" w:cstheme="majorHAnsi"/>
                <w:noProof/>
                <w:sz w:val="20"/>
                <w:szCs w:val="20"/>
              </w:rPr>
              <w:t>5</w:t>
            </w:r>
          </w:p>
        </w:tc>
        <w:tc>
          <w:tcPr>
            <w:tcW w:w="1134" w:type="dxa"/>
          </w:tcPr>
          <w:p w14:paraId="7FAC6E55"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C</w:t>
            </w:r>
          </w:p>
        </w:tc>
        <w:tc>
          <w:tcPr>
            <w:tcW w:w="8930" w:type="dxa"/>
          </w:tcPr>
          <w:p w14:paraId="15119D05"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Focuses attention on high-impact important activities</w:t>
            </w:r>
          </w:p>
        </w:tc>
      </w:tr>
      <w:tr w:rsidR="00B24FB4" w:rsidRPr="00B769CB" w14:paraId="1140EB61" w14:textId="77777777" w:rsidTr="00EB693C">
        <w:tc>
          <w:tcPr>
            <w:tcW w:w="0" w:type="auto"/>
          </w:tcPr>
          <w:p w14:paraId="1B9F285F"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3</w:t>
            </w:r>
          </w:p>
        </w:tc>
        <w:tc>
          <w:tcPr>
            <w:tcW w:w="2630" w:type="dxa"/>
          </w:tcPr>
          <w:p w14:paraId="43DC7E22"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Balance Model</w:t>
            </w:r>
          </w:p>
        </w:tc>
        <w:tc>
          <w:tcPr>
            <w:tcW w:w="1257" w:type="dxa"/>
          </w:tcPr>
          <w:p w14:paraId="7CDFABF9" w14:textId="502B91DB" w:rsidR="00B24FB4" w:rsidRPr="003F02AC" w:rsidRDefault="00B24FB4" w:rsidP="00D2668E">
            <w:pPr>
              <w:spacing w:after="0"/>
              <w:rPr>
                <w:rFonts w:ascii="Calibri" w:hAnsi="Calibri" w:cstheme="majorHAnsi"/>
                <w:sz w:val="20"/>
                <w:szCs w:val="20"/>
              </w:rPr>
            </w:pPr>
            <w:r>
              <w:rPr>
                <w:rFonts w:ascii="Calibri" w:hAnsi="Calibri" w:cstheme="majorHAnsi"/>
                <w:noProof/>
                <w:sz w:val="20"/>
                <w:szCs w:val="20"/>
              </w:rPr>
              <w:t>2, 6</w:t>
            </w:r>
          </w:p>
        </w:tc>
        <w:tc>
          <w:tcPr>
            <w:tcW w:w="1134" w:type="dxa"/>
          </w:tcPr>
          <w:p w14:paraId="2BD5768E"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C</w:t>
            </w:r>
          </w:p>
        </w:tc>
        <w:tc>
          <w:tcPr>
            <w:tcW w:w="8930" w:type="dxa"/>
          </w:tcPr>
          <w:p w14:paraId="3731EC3F"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Promotes understanding of life balance, encouraging engagement in important activities</w:t>
            </w:r>
          </w:p>
        </w:tc>
      </w:tr>
      <w:tr w:rsidR="00B24FB4" w:rsidRPr="00B769CB" w14:paraId="2920D478" w14:textId="77777777" w:rsidTr="00EB693C">
        <w:tc>
          <w:tcPr>
            <w:tcW w:w="0" w:type="auto"/>
          </w:tcPr>
          <w:p w14:paraId="0292AE73" w14:textId="77777777" w:rsidR="00B24FB4" w:rsidRPr="003F02AC" w:rsidRDefault="00B24FB4" w:rsidP="00D2668E">
            <w:pPr>
              <w:spacing w:after="0"/>
              <w:rPr>
                <w:rFonts w:ascii="Calibri" w:hAnsi="Calibri" w:cstheme="majorHAnsi"/>
                <w:sz w:val="20"/>
                <w:szCs w:val="20"/>
                <w:lang w:val="en-US"/>
              </w:rPr>
            </w:pPr>
          </w:p>
        </w:tc>
        <w:tc>
          <w:tcPr>
            <w:tcW w:w="2630" w:type="dxa"/>
          </w:tcPr>
          <w:p w14:paraId="503B2CD2"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Ivy-Lee Method</w:t>
            </w:r>
          </w:p>
        </w:tc>
        <w:tc>
          <w:tcPr>
            <w:tcW w:w="1257" w:type="dxa"/>
          </w:tcPr>
          <w:p w14:paraId="0933533B" w14:textId="4A535330" w:rsidR="00B24FB4" w:rsidRPr="003F02AC" w:rsidRDefault="00B24FB4" w:rsidP="00D2668E">
            <w:pPr>
              <w:spacing w:after="0"/>
              <w:rPr>
                <w:rFonts w:ascii="Calibri" w:hAnsi="Calibri" w:cstheme="majorHAnsi"/>
                <w:sz w:val="20"/>
                <w:szCs w:val="20"/>
                <w:highlight w:val="yellow"/>
              </w:rPr>
            </w:pPr>
            <w:r>
              <w:rPr>
                <w:rFonts w:ascii="Calibri" w:hAnsi="Calibri" w:cstheme="majorHAnsi"/>
                <w:noProof/>
                <w:sz w:val="20"/>
                <w:szCs w:val="20"/>
              </w:rPr>
              <w:t>7</w:t>
            </w:r>
          </w:p>
        </w:tc>
        <w:tc>
          <w:tcPr>
            <w:tcW w:w="1134" w:type="dxa"/>
          </w:tcPr>
          <w:p w14:paraId="110CA7DF"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T</w:t>
            </w:r>
          </w:p>
        </w:tc>
        <w:tc>
          <w:tcPr>
            <w:tcW w:w="8930" w:type="dxa"/>
          </w:tcPr>
          <w:p w14:paraId="2D90DAA6"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Provides practical tools for daily prioritization of important tasks</w:t>
            </w:r>
          </w:p>
        </w:tc>
      </w:tr>
      <w:tr w:rsidR="00B24FB4" w:rsidRPr="00B769CB" w14:paraId="30D04741" w14:textId="77777777" w:rsidTr="00EB693C">
        <w:tc>
          <w:tcPr>
            <w:tcW w:w="0" w:type="auto"/>
          </w:tcPr>
          <w:p w14:paraId="6B83C1FA"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4</w:t>
            </w:r>
          </w:p>
        </w:tc>
        <w:tc>
          <w:tcPr>
            <w:tcW w:w="2630" w:type="dxa"/>
          </w:tcPr>
          <w:p w14:paraId="38B5917A"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Solomon Paradox</w:t>
            </w:r>
          </w:p>
        </w:tc>
        <w:tc>
          <w:tcPr>
            <w:tcW w:w="1257" w:type="dxa"/>
          </w:tcPr>
          <w:p w14:paraId="289AC053" w14:textId="5A5E15BE" w:rsidR="00B24FB4" w:rsidRPr="003F02AC" w:rsidRDefault="00B24FB4" w:rsidP="00D2668E">
            <w:pPr>
              <w:spacing w:after="0"/>
              <w:rPr>
                <w:rFonts w:ascii="Calibri" w:hAnsi="Calibri" w:cstheme="majorHAnsi"/>
                <w:sz w:val="20"/>
                <w:szCs w:val="20"/>
                <w:lang w:val="en-US"/>
              </w:rPr>
            </w:pPr>
            <w:r>
              <w:rPr>
                <w:rFonts w:ascii="Calibri" w:hAnsi="Calibri" w:cstheme="majorHAnsi"/>
                <w:noProof/>
                <w:sz w:val="20"/>
                <w:szCs w:val="20"/>
                <w:lang w:val="en-US"/>
              </w:rPr>
              <w:t>8</w:t>
            </w:r>
          </w:p>
        </w:tc>
        <w:tc>
          <w:tcPr>
            <w:tcW w:w="1134" w:type="dxa"/>
          </w:tcPr>
          <w:p w14:paraId="53D1032C"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C</w:t>
            </w:r>
          </w:p>
        </w:tc>
        <w:tc>
          <w:tcPr>
            <w:tcW w:w="8930" w:type="dxa"/>
          </w:tcPr>
          <w:p w14:paraId="147392B8"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Enhances objective self-reflection, promoting wiser decisions about important activities</w:t>
            </w:r>
          </w:p>
        </w:tc>
      </w:tr>
      <w:tr w:rsidR="00B24FB4" w:rsidRPr="00B769CB" w14:paraId="1738AD91" w14:textId="77777777" w:rsidTr="00EB693C">
        <w:tc>
          <w:tcPr>
            <w:tcW w:w="0" w:type="auto"/>
          </w:tcPr>
          <w:p w14:paraId="414A5B1C" w14:textId="77777777" w:rsidR="00B24FB4" w:rsidRPr="003F02AC" w:rsidRDefault="00B24FB4" w:rsidP="00D2668E">
            <w:pPr>
              <w:spacing w:after="0"/>
              <w:rPr>
                <w:rFonts w:ascii="Calibri" w:hAnsi="Calibri" w:cstheme="majorHAnsi"/>
                <w:sz w:val="20"/>
                <w:szCs w:val="20"/>
                <w:lang w:val="en-US"/>
              </w:rPr>
            </w:pPr>
          </w:p>
        </w:tc>
        <w:tc>
          <w:tcPr>
            <w:tcW w:w="2630" w:type="dxa"/>
          </w:tcPr>
          <w:p w14:paraId="5C961A7C"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Focusing Illusion</w:t>
            </w:r>
          </w:p>
        </w:tc>
        <w:tc>
          <w:tcPr>
            <w:tcW w:w="1257" w:type="dxa"/>
          </w:tcPr>
          <w:p w14:paraId="0582F4AC" w14:textId="2CADBD6D" w:rsidR="00B24FB4" w:rsidRPr="003F02AC" w:rsidRDefault="00B24FB4" w:rsidP="00D2668E">
            <w:pPr>
              <w:spacing w:after="0"/>
              <w:rPr>
                <w:rFonts w:ascii="Calibri" w:hAnsi="Calibri" w:cstheme="majorHAnsi"/>
                <w:sz w:val="20"/>
                <w:szCs w:val="20"/>
                <w:lang w:val="en-US"/>
              </w:rPr>
            </w:pPr>
            <w:r>
              <w:rPr>
                <w:rFonts w:ascii="Calibri" w:hAnsi="Calibri" w:cstheme="majorHAnsi"/>
                <w:noProof/>
                <w:sz w:val="20"/>
                <w:szCs w:val="20"/>
                <w:lang w:val="en-US"/>
              </w:rPr>
              <w:t>9</w:t>
            </w:r>
          </w:p>
        </w:tc>
        <w:tc>
          <w:tcPr>
            <w:tcW w:w="1134" w:type="dxa"/>
          </w:tcPr>
          <w:p w14:paraId="0BF11400"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C</w:t>
            </w:r>
          </w:p>
        </w:tc>
        <w:tc>
          <w:tcPr>
            <w:tcW w:w="8930" w:type="dxa"/>
          </w:tcPr>
          <w:p w14:paraId="3A98E93D"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Helps identify truly important activities beyond immediate concerns</w:t>
            </w:r>
          </w:p>
        </w:tc>
      </w:tr>
      <w:tr w:rsidR="00B24FB4" w:rsidRPr="00B769CB" w14:paraId="74D1696D" w14:textId="77777777" w:rsidTr="00EB693C">
        <w:tc>
          <w:tcPr>
            <w:tcW w:w="0" w:type="auto"/>
          </w:tcPr>
          <w:p w14:paraId="7467566F"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5</w:t>
            </w:r>
          </w:p>
        </w:tc>
        <w:tc>
          <w:tcPr>
            <w:tcW w:w="2630" w:type="dxa"/>
          </w:tcPr>
          <w:p w14:paraId="3B6BDA75" w14:textId="77777777" w:rsidR="00B24FB4" w:rsidRPr="003F02AC" w:rsidRDefault="00B24FB4" w:rsidP="00D2668E">
            <w:pPr>
              <w:spacing w:after="0"/>
              <w:rPr>
                <w:rFonts w:ascii="Calibri" w:hAnsi="Calibri" w:cstheme="majorHAnsi"/>
                <w:sz w:val="20"/>
                <w:szCs w:val="20"/>
              </w:rPr>
            </w:pPr>
            <w:proofErr w:type="spellStart"/>
            <w:r w:rsidRPr="003F02AC">
              <w:rPr>
                <w:rFonts w:ascii="Calibri" w:hAnsi="Calibri" w:cstheme="majorHAnsi"/>
                <w:sz w:val="20"/>
                <w:szCs w:val="20"/>
              </w:rPr>
              <w:t>Saying</w:t>
            </w:r>
            <w:proofErr w:type="spellEnd"/>
            <w:r w:rsidRPr="003F02AC">
              <w:rPr>
                <w:rFonts w:ascii="Calibri" w:hAnsi="Calibri" w:cstheme="majorHAnsi"/>
                <w:sz w:val="20"/>
                <w:szCs w:val="20"/>
              </w:rPr>
              <w:t xml:space="preserve"> </w:t>
            </w:r>
            <w:proofErr w:type="spellStart"/>
            <w:r w:rsidRPr="003F02AC">
              <w:rPr>
                <w:rFonts w:ascii="Calibri" w:hAnsi="Calibri" w:cstheme="majorHAnsi"/>
                <w:sz w:val="20"/>
                <w:szCs w:val="20"/>
              </w:rPr>
              <w:t>No</w:t>
            </w:r>
            <w:proofErr w:type="spellEnd"/>
          </w:p>
        </w:tc>
        <w:tc>
          <w:tcPr>
            <w:tcW w:w="1257" w:type="dxa"/>
          </w:tcPr>
          <w:p w14:paraId="33A89757" w14:textId="1CEABAD6" w:rsidR="00B24FB4" w:rsidRPr="003F02AC" w:rsidRDefault="00B24FB4" w:rsidP="00D2668E">
            <w:pPr>
              <w:spacing w:after="0"/>
              <w:rPr>
                <w:rFonts w:ascii="Calibri" w:hAnsi="Calibri" w:cstheme="majorHAnsi"/>
                <w:sz w:val="20"/>
                <w:szCs w:val="20"/>
                <w:lang w:val="en-US"/>
              </w:rPr>
            </w:pPr>
            <w:r>
              <w:rPr>
                <w:rFonts w:ascii="Calibri" w:hAnsi="Calibri" w:cstheme="majorHAnsi"/>
                <w:noProof/>
                <w:sz w:val="20"/>
                <w:szCs w:val="20"/>
                <w:lang w:val="en-US"/>
              </w:rPr>
              <w:t>10</w:t>
            </w:r>
          </w:p>
        </w:tc>
        <w:tc>
          <w:tcPr>
            <w:tcW w:w="1134" w:type="dxa"/>
          </w:tcPr>
          <w:p w14:paraId="65C2C077"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T</w:t>
            </w:r>
          </w:p>
        </w:tc>
        <w:tc>
          <w:tcPr>
            <w:tcW w:w="8930" w:type="dxa"/>
          </w:tcPr>
          <w:p w14:paraId="7B5E8997"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Empowers patients to choose important activities over urgent demands</w:t>
            </w:r>
          </w:p>
        </w:tc>
      </w:tr>
      <w:tr w:rsidR="00B24FB4" w:rsidRPr="00B769CB" w14:paraId="36D0A1D0" w14:textId="77777777" w:rsidTr="00EB693C">
        <w:tc>
          <w:tcPr>
            <w:tcW w:w="0" w:type="auto"/>
          </w:tcPr>
          <w:p w14:paraId="20C6794E" w14:textId="77777777" w:rsidR="00B24FB4" w:rsidRPr="003F02AC" w:rsidRDefault="00B24FB4" w:rsidP="00D2668E">
            <w:pPr>
              <w:spacing w:after="0"/>
              <w:rPr>
                <w:rFonts w:ascii="Calibri" w:hAnsi="Calibri" w:cstheme="majorHAnsi"/>
                <w:sz w:val="20"/>
                <w:szCs w:val="20"/>
                <w:lang w:val="en-US"/>
              </w:rPr>
            </w:pPr>
          </w:p>
        </w:tc>
        <w:tc>
          <w:tcPr>
            <w:tcW w:w="2630" w:type="dxa"/>
          </w:tcPr>
          <w:p w14:paraId="79285ECE"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 xml:space="preserve">Clear </w:t>
            </w:r>
            <w:proofErr w:type="spellStart"/>
            <w:r w:rsidRPr="003F02AC">
              <w:rPr>
                <w:rFonts w:ascii="Calibri" w:hAnsi="Calibri" w:cstheme="majorHAnsi"/>
                <w:sz w:val="20"/>
                <w:szCs w:val="20"/>
              </w:rPr>
              <w:t>Thinking</w:t>
            </w:r>
            <w:proofErr w:type="spellEnd"/>
          </w:p>
        </w:tc>
        <w:tc>
          <w:tcPr>
            <w:tcW w:w="1257" w:type="dxa"/>
          </w:tcPr>
          <w:p w14:paraId="1CC9EAE4" w14:textId="7CCC6108" w:rsidR="00B24FB4" w:rsidRPr="003F02AC" w:rsidRDefault="00B24FB4" w:rsidP="00D2668E">
            <w:pPr>
              <w:spacing w:after="0"/>
              <w:rPr>
                <w:rFonts w:ascii="Calibri" w:hAnsi="Calibri" w:cstheme="majorHAnsi"/>
                <w:sz w:val="20"/>
                <w:szCs w:val="20"/>
                <w:highlight w:val="yellow"/>
                <w:lang w:val="en-US"/>
              </w:rPr>
            </w:pPr>
            <w:r>
              <w:rPr>
                <w:rFonts w:ascii="Calibri" w:hAnsi="Calibri" w:cstheme="majorHAnsi"/>
                <w:noProof/>
                <w:sz w:val="20"/>
                <w:szCs w:val="20"/>
                <w:lang w:val="en-US"/>
              </w:rPr>
              <w:t>11</w:t>
            </w:r>
          </w:p>
        </w:tc>
        <w:tc>
          <w:tcPr>
            <w:tcW w:w="1134" w:type="dxa"/>
          </w:tcPr>
          <w:p w14:paraId="0944EF98"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C</w:t>
            </w:r>
          </w:p>
        </w:tc>
        <w:tc>
          <w:tcPr>
            <w:tcW w:w="8930" w:type="dxa"/>
          </w:tcPr>
          <w:p w14:paraId="34A847A0"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Provides frameworks for better decision-making about important activities</w:t>
            </w:r>
          </w:p>
        </w:tc>
      </w:tr>
      <w:tr w:rsidR="00B24FB4" w:rsidRPr="00B769CB" w14:paraId="3A14D42E" w14:textId="77777777" w:rsidTr="00EB693C">
        <w:tc>
          <w:tcPr>
            <w:tcW w:w="0" w:type="auto"/>
          </w:tcPr>
          <w:p w14:paraId="7CDC767C"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6</w:t>
            </w:r>
          </w:p>
        </w:tc>
        <w:tc>
          <w:tcPr>
            <w:tcW w:w="2630" w:type="dxa"/>
          </w:tcPr>
          <w:p w14:paraId="30BA6FA7" w14:textId="77777777" w:rsidR="00B24FB4" w:rsidRPr="003F02AC" w:rsidRDefault="00B24FB4" w:rsidP="00D2668E">
            <w:pPr>
              <w:spacing w:after="0"/>
              <w:rPr>
                <w:rFonts w:ascii="Calibri" w:hAnsi="Calibri" w:cstheme="majorHAnsi"/>
                <w:sz w:val="20"/>
                <w:szCs w:val="20"/>
              </w:rPr>
            </w:pPr>
            <w:proofErr w:type="spellStart"/>
            <w:r w:rsidRPr="003F02AC">
              <w:rPr>
                <w:rFonts w:ascii="Calibri" w:hAnsi="Calibri" w:cstheme="majorHAnsi"/>
                <w:sz w:val="20"/>
                <w:szCs w:val="20"/>
              </w:rPr>
              <w:t>Active</w:t>
            </w:r>
            <w:proofErr w:type="spellEnd"/>
            <w:r w:rsidRPr="003F02AC">
              <w:rPr>
                <w:rFonts w:ascii="Calibri" w:hAnsi="Calibri" w:cstheme="majorHAnsi"/>
                <w:sz w:val="20"/>
                <w:szCs w:val="20"/>
              </w:rPr>
              <w:t xml:space="preserve"> Language</w:t>
            </w:r>
          </w:p>
        </w:tc>
        <w:tc>
          <w:tcPr>
            <w:tcW w:w="1257" w:type="dxa"/>
          </w:tcPr>
          <w:p w14:paraId="7B5A3633" w14:textId="5E580F2E" w:rsidR="00B24FB4" w:rsidRPr="003F02AC" w:rsidRDefault="00B24FB4" w:rsidP="00D2668E">
            <w:pPr>
              <w:spacing w:after="0"/>
              <w:rPr>
                <w:rFonts w:ascii="Calibri" w:hAnsi="Calibri" w:cstheme="majorHAnsi"/>
                <w:sz w:val="20"/>
                <w:szCs w:val="20"/>
              </w:rPr>
            </w:pPr>
            <w:r>
              <w:rPr>
                <w:rFonts w:ascii="Calibri" w:hAnsi="Calibri" w:cstheme="majorHAnsi"/>
                <w:noProof/>
                <w:sz w:val="20"/>
                <w:szCs w:val="20"/>
              </w:rPr>
              <w:t>12-15</w:t>
            </w:r>
          </w:p>
        </w:tc>
        <w:tc>
          <w:tcPr>
            <w:tcW w:w="1134" w:type="dxa"/>
          </w:tcPr>
          <w:p w14:paraId="4EDE4F3E"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H, C</w:t>
            </w:r>
          </w:p>
        </w:tc>
        <w:tc>
          <w:tcPr>
            <w:tcW w:w="8930" w:type="dxa"/>
          </w:tcPr>
          <w:p w14:paraId="4192DC28"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Promotes active engagement in important activities through the use of language</w:t>
            </w:r>
          </w:p>
        </w:tc>
      </w:tr>
      <w:tr w:rsidR="00B24FB4" w:rsidRPr="00B769CB" w14:paraId="62DCC61D" w14:textId="77777777" w:rsidTr="00EB693C">
        <w:tc>
          <w:tcPr>
            <w:tcW w:w="0" w:type="auto"/>
          </w:tcPr>
          <w:p w14:paraId="4C1CC6E5" w14:textId="77777777" w:rsidR="00B24FB4" w:rsidRPr="003F02AC" w:rsidRDefault="00B24FB4" w:rsidP="00D2668E">
            <w:pPr>
              <w:spacing w:after="0"/>
              <w:rPr>
                <w:rFonts w:ascii="Calibri" w:hAnsi="Calibri" w:cstheme="majorHAnsi"/>
                <w:sz w:val="20"/>
                <w:szCs w:val="20"/>
                <w:lang w:val="en-US"/>
              </w:rPr>
            </w:pPr>
          </w:p>
        </w:tc>
        <w:tc>
          <w:tcPr>
            <w:tcW w:w="2630" w:type="dxa"/>
          </w:tcPr>
          <w:p w14:paraId="07072566"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Confirmation Bias</w:t>
            </w:r>
          </w:p>
        </w:tc>
        <w:tc>
          <w:tcPr>
            <w:tcW w:w="1257" w:type="dxa"/>
          </w:tcPr>
          <w:p w14:paraId="3832643D" w14:textId="4783122F" w:rsidR="00B24FB4" w:rsidRPr="003F02AC" w:rsidRDefault="00B24FB4" w:rsidP="00D2668E">
            <w:pPr>
              <w:spacing w:after="0"/>
              <w:rPr>
                <w:rFonts w:ascii="Calibri" w:hAnsi="Calibri" w:cstheme="majorHAnsi"/>
                <w:sz w:val="20"/>
                <w:szCs w:val="20"/>
                <w:highlight w:val="yellow"/>
                <w:lang w:val="en-US"/>
              </w:rPr>
            </w:pPr>
            <w:r>
              <w:rPr>
                <w:rFonts w:ascii="Calibri" w:hAnsi="Calibri" w:cstheme="majorHAnsi"/>
                <w:noProof/>
                <w:sz w:val="20"/>
                <w:szCs w:val="20"/>
                <w:lang w:val="en-US"/>
              </w:rPr>
              <w:t>16, 17</w:t>
            </w:r>
          </w:p>
        </w:tc>
        <w:tc>
          <w:tcPr>
            <w:tcW w:w="1134" w:type="dxa"/>
          </w:tcPr>
          <w:p w14:paraId="003C5C1E"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C</w:t>
            </w:r>
          </w:p>
        </w:tc>
        <w:tc>
          <w:tcPr>
            <w:tcW w:w="8930" w:type="dxa"/>
          </w:tcPr>
          <w:p w14:paraId="26A6AA37"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Improves objective evaluation of important activities and their outcomes</w:t>
            </w:r>
          </w:p>
        </w:tc>
      </w:tr>
      <w:tr w:rsidR="00B24FB4" w:rsidRPr="00B769CB" w14:paraId="20D9C18E" w14:textId="77777777" w:rsidTr="00EB693C">
        <w:tc>
          <w:tcPr>
            <w:tcW w:w="0" w:type="auto"/>
          </w:tcPr>
          <w:p w14:paraId="4AA92F5C"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7</w:t>
            </w:r>
          </w:p>
        </w:tc>
        <w:tc>
          <w:tcPr>
            <w:tcW w:w="2630" w:type="dxa"/>
          </w:tcPr>
          <w:p w14:paraId="578ABAAE"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 xml:space="preserve">Value </w:t>
            </w:r>
            <w:proofErr w:type="spellStart"/>
            <w:r w:rsidRPr="003F02AC">
              <w:rPr>
                <w:rFonts w:ascii="Calibri" w:hAnsi="Calibri" w:cstheme="majorHAnsi"/>
                <w:sz w:val="20"/>
                <w:szCs w:val="20"/>
              </w:rPr>
              <w:t>Clarification</w:t>
            </w:r>
            <w:proofErr w:type="spellEnd"/>
          </w:p>
        </w:tc>
        <w:tc>
          <w:tcPr>
            <w:tcW w:w="1257" w:type="dxa"/>
          </w:tcPr>
          <w:p w14:paraId="00289263" w14:textId="52AE4E84" w:rsidR="00B24FB4" w:rsidRPr="003F02AC" w:rsidRDefault="00B24FB4" w:rsidP="00D2668E">
            <w:pPr>
              <w:spacing w:after="0"/>
              <w:rPr>
                <w:rFonts w:ascii="Calibri" w:hAnsi="Calibri" w:cstheme="majorHAnsi"/>
                <w:sz w:val="20"/>
                <w:szCs w:val="20"/>
                <w:highlight w:val="yellow"/>
                <w:lang w:val="en-US"/>
              </w:rPr>
            </w:pPr>
            <w:r>
              <w:rPr>
                <w:rFonts w:ascii="Calibri" w:hAnsi="Calibri" w:cstheme="majorHAnsi"/>
                <w:noProof/>
                <w:sz w:val="20"/>
                <w:szCs w:val="20"/>
                <w:lang w:val="en-US"/>
              </w:rPr>
              <w:t>3</w:t>
            </w:r>
          </w:p>
        </w:tc>
        <w:tc>
          <w:tcPr>
            <w:tcW w:w="1134" w:type="dxa"/>
          </w:tcPr>
          <w:p w14:paraId="2F848608"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V</w:t>
            </w:r>
          </w:p>
        </w:tc>
        <w:tc>
          <w:tcPr>
            <w:tcW w:w="8930" w:type="dxa"/>
          </w:tcPr>
          <w:p w14:paraId="0A169EE1"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Aligns important activities with personal values and life purpose</w:t>
            </w:r>
          </w:p>
        </w:tc>
      </w:tr>
      <w:tr w:rsidR="00B24FB4" w:rsidRPr="00B769CB" w14:paraId="64BD0613" w14:textId="77777777" w:rsidTr="00EB693C">
        <w:tc>
          <w:tcPr>
            <w:tcW w:w="0" w:type="auto"/>
          </w:tcPr>
          <w:p w14:paraId="5CE337AE" w14:textId="77777777" w:rsidR="00B24FB4" w:rsidRPr="003F02AC" w:rsidRDefault="00B24FB4" w:rsidP="00D2668E">
            <w:pPr>
              <w:spacing w:after="0"/>
              <w:rPr>
                <w:rFonts w:ascii="Calibri" w:hAnsi="Calibri" w:cstheme="majorHAnsi"/>
                <w:sz w:val="20"/>
                <w:szCs w:val="20"/>
                <w:lang w:val="en-US"/>
              </w:rPr>
            </w:pPr>
          </w:p>
        </w:tc>
        <w:tc>
          <w:tcPr>
            <w:tcW w:w="2630" w:type="dxa"/>
          </w:tcPr>
          <w:p w14:paraId="13DBF8E9" w14:textId="77777777" w:rsidR="00B24FB4" w:rsidRPr="003F02AC" w:rsidRDefault="00B24FB4" w:rsidP="00D2668E">
            <w:pPr>
              <w:spacing w:after="0"/>
              <w:rPr>
                <w:rFonts w:ascii="Calibri" w:hAnsi="Calibri" w:cstheme="majorHAnsi"/>
                <w:sz w:val="20"/>
                <w:szCs w:val="20"/>
              </w:rPr>
            </w:pPr>
            <w:proofErr w:type="spellStart"/>
            <w:r w:rsidRPr="003F02AC">
              <w:rPr>
                <w:rFonts w:ascii="Calibri" w:hAnsi="Calibri" w:cstheme="majorHAnsi"/>
                <w:sz w:val="20"/>
                <w:szCs w:val="20"/>
              </w:rPr>
              <w:t>Sunk</w:t>
            </w:r>
            <w:proofErr w:type="spellEnd"/>
            <w:r w:rsidRPr="003F02AC">
              <w:rPr>
                <w:rFonts w:ascii="Calibri" w:hAnsi="Calibri" w:cstheme="majorHAnsi"/>
                <w:sz w:val="20"/>
                <w:szCs w:val="20"/>
              </w:rPr>
              <w:t xml:space="preserve"> </w:t>
            </w:r>
            <w:proofErr w:type="spellStart"/>
            <w:r w:rsidRPr="003F02AC">
              <w:rPr>
                <w:rFonts w:ascii="Calibri" w:hAnsi="Calibri" w:cstheme="majorHAnsi"/>
                <w:sz w:val="20"/>
                <w:szCs w:val="20"/>
              </w:rPr>
              <w:t>Cost</w:t>
            </w:r>
            <w:proofErr w:type="spellEnd"/>
            <w:r w:rsidRPr="003F02AC">
              <w:rPr>
                <w:rFonts w:ascii="Calibri" w:hAnsi="Calibri" w:cstheme="majorHAnsi"/>
                <w:sz w:val="20"/>
                <w:szCs w:val="20"/>
              </w:rPr>
              <w:t xml:space="preserve"> </w:t>
            </w:r>
            <w:proofErr w:type="spellStart"/>
            <w:r w:rsidRPr="003F02AC">
              <w:rPr>
                <w:rFonts w:ascii="Calibri" w:hAnsi="Calibri" w:cstheme="majorHAnsi"/>
                <w:sz w:val="20"/>
                <w:szCs w:val="20"/>
              </w:rPr>
              <w:t>Fallacy</w:t>
            </w:r>
            <w:proofErr w:type="spellEnd"/>
          </w:p>
        </w:tc>
        <w:tc>
          <w:tcPr>
            <w:tcW w:w="1257" w:type="dxa"/>
          </w:tcPr>
          <w:p w14:paraId="78E8CF4B" w14:textId="0CD0FED7" w:rsidR="00B24FB4" w:rsidRPr="003F02AC" w:rsidRDefault="00B24FB4" w:rsidP="00D2668E">
            <w:pPr>
              <w:spacing w:after="0"/>
              <w:rPr>
                <w:rFonts w:ascii="Calibri" w:hAnsi="Calibri" w:cstheme="majorHAnsi"/>
                <w:sz w:val="20"/>
                <w:szCs w:val="20"/>
                <w:highlight w:val="yellow"/>
                <w:lang w:val="en-US"/>
              </w:rPr>
            </w:pPr>
            <w:r>
              <w:rPr>
                <w:rFonts w:ascii="Calibri" w:hAnsi="Calibri" w:cstheme="majorHAnsi"/>
                <w:noProof/>
                <w:sz w:val="20"/>
                <w:szCs w:val="20"/>
                <w:lang w:val="en-US"/>
              </w:rPr>
              <w:t>18</w:t>
            </w:r>
          </w:p>
        </w:tc>
        <w:tc>
          <w:tcPr>
            <w:tcW w:w="1134" w:type="dxa"/>
          </w:tcPr>
          <w:p w14:paraId="1665697C"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C</w:t>
            </w:r>
          </w:p>
        </w:tc>
        <w:tc>
          <w:tcPr>
            <w:tcW w:w="8930" w:type="dxa"/>
          </w:tcPr>
          <w:p w14:paraId="4B8C69A0"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Reduces commitment to unproductive tasks, freeing time for important activities</w:t>
            </w:r>
          </w:p>
        </w:tc>
      </w:tr>
      <w:tr w:rsidR="00B24FB4" w:rsidRPr="00B769CB" w14:paraId="5C182323" w14:textId="77777777" w:rsidTr="00EB693C">
        <w:tc>
          <w:tcPr>
            <w:tcW w:w="0" w:type="auto"/>
          </w:tcPr>
          <w:p w14:paraId="429EF6C5"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8</w:t>
            </w:r>
          </w:p>
        </w:tc>
        <w:tc>
          <w:tcPr>
            <w:tcW w:w="2630" w:type="dxa"/>
          </w:tcPr>
          <w:p w14:paraId="676DC4AC" w14:textId="77777777" w:rsidR="00B24FB4" w:rsidRPr="003F02AC" w:rsidRDefault="00B24FB4" w:rsidP="00D2668E">
            <w:pPr>
              <w:spacing w:after="0"/>
              <w:rPr>
                <w:rFonts w:ascii="Calibri" w:hAnsi="Calibri" w:cstheme="majorHAnsi"/>
                <w:sz w:val="20"/>
                <w:szCs w:val="20"/>
              </w:rPr>
            </w:pPr>
            <w:proofErr w:type="spellStart"/>
            <w:r w:rsidRPr="003F02AC">
              <w:rPr>
                <w:rFonts w:ascii="Calibri" w:hAnsi="Calibri" w:cstheme="majorHAnsi"/>
                <w:sz w:val="20"/>
                <w:szCs w:val="20"/>
              </w:rPr>
              <w:t>Hindsight</w:t>
            </w:r>
            <w:proofErr w:type="spellEnd"/>
            <w:r w:rsidRPr="003F02AC">
              <w:rPr>
                <w:rFonts w:ascii="Calibri" w:hAnsi="Calibri" w:cstheme="majorHAnsi"/>
                <w:sz w:val="20"/>
                <w:szCs w:val="20"/>
              </w:rPr>
              <w:t xml:space="preserve"> Bias</w:t>
            </w:r>
          </w:p>
        </w:tc>
        <w:tc>
          <w:tcPr>
            <w:tcW w:w="1257" w:type="dxa"/>
          </w:tcPr>
          <w:p w14:paraId="791EE3E8" w14:textId="6B1831E2" w:rsidR="001F67EF" w:rsidRPr="001F67EF" w:rsidRDefault="00B24FB4" w:rsidP="00D2668E">
            <w:pPr>
              <w:spacing w:after="0"/>
              <w:rPr>
                <w:rFonts w:ascii="Calibri" w:hAnsi="Calibri" w:cstheme="majorHAnsi"/>
                <w:noProof/>
                <w:sz w:val="20"/>
                <w:szCs w:val="20"/>
              </w:rPr>
            </w:pPr>
            <w:r>
              <w:rPr>
                <w:rFonts w:ascii="Calibri" w:hAnsi="Calibri" w:cstheme="majorHAnsi"/>
                <w:noProof/>
                <w:sz w:val="20"/>
                <w:szCs w:val="20"/>
              </w:rPr>
              <w:t>19</w:t>
            </w:r>
          </w:p>
        </w:tc>
        <w:tc>
          <w:tcPr>
            <w:tcW w:w="1134" w:type="dxa"/>
          </w:tcPr>
          <w:p w14:paraId="311A2AED"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C</w:t>
            </w:r>
          </w:p>
        </w:tc>
        <w:tc>
          <w:tcPr>
            <w:tcW w:w="8930" w:type="dxa"/>
          </w:tcPr>
          <w:p w14:paraId="53ED9273"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Improves learning from past experiences to better plan important activities</w:t>
            </w:r>
          </w:p>
        </w:tc>
      </w:tr>
      <w:tr w:rsidR="00B24FB4" w:rsidRPr="00B769CB" w14:paraId="31C3C5F0" w14:textId="77777777" w:rsidTr="00EB693C">
        <w:tc>
          <w:tcPr>
            <w:tcW w:w="0" w:type="auto"/>
          </w:tcPr>
          <w:p w14:paraId="2508DBFE" w14:textId="77777777" w:rsidR="00B24FB4" w:rsidRPr="003F02AC" w:rsidRDefault="00B24FB4" w:rsidP="00D2668E">
            <w:pPr>
              <w:spacing w:after="0"/>
              <w:rPr>
                <w:rFonts w:ascii="Calibri" w:hAnsi="Calibri" w:cstheme="majorHAnsi"/>
                <w:sz w:val="20"/>
                <w:szCs w:val="20"/>
                <w:lang w:val="en-US"/>
              </w:rPr>
            </w:pPr>
          </w:p>
        </w:tc>
        <w:tc>
          <w:tcPr>
            <w:tcW w:w="2630" w:type="dxa"/>
          </w:tcPr>
          <w:p w14:paraId="5FEC76CA" w14:textId="77777777" w:rsidR="00B24FB4" w:rsidRPr="003F02AC" w:rsidRDefault="00B24FB4" w:rsidP="00D2668E">
            <w:pPr>
              <w:spacing w:after="0"/>
              <w:rPr>
                <w:rFonts w:ascii="Calibri" w:hAnsi="Calibri" w:cstheme="majorHAnsi"/>
                <w:sz w:val="20"/>
                <w:szCs w:val="20"/>
              </w:rPr>
            </w:pPr>
            <w:proofErr w:type="spellStart"/>
            <w:r w:rsidRPr="003F02AC">
              <w:rPr>
                <w:rFonts w:ascii="Calibri" w:hAnsi="Calibri" w:cstheme="majorHAnsi"/>
                <w:sz w:val="20"/>
                <w:szCs w:val="20"/>
              </w:rPr>
              <w:t>Decision</w:t>
            </w:r>
            <w:proofErr w:type="spellEnd"/>
            <w:r w:rsidRPr="003F02AC">
              <w:rPr>
                <w:rFonts w:ascii="Calibri" w:hAnsi="Calibri" w:cstheme="majorHAnsi"/>
                <w:sz w:val="20"/>
                <w:szCs w:val="20"/>
              </w:rPr>
              <w:t xml:space="preserve">-Making </w:t>
            </w:r>
            <w:proofErr w:type="spellStart"/>
            <w:r w:rsidRPr="003F02AC">
              <w:rPr>
                <w:rFonts w:ascii="Calibri" w:hAnsi="Calibri" w:cstheme="majorHAnsi"/>
                <w:sz w:val="20"/>
                <w:szCs w:val="20"/>
              </w:rPr>
              <w:t>Strategies</w:t>
            </w:r>
            <w:proofErr w:type="spellEnd"/>
          </w:p>
        </w:tc>
        <w:tc>
          <w:tcPr>
            <w:tcW w:w="1257" w:type="dxa"/>
            <w:shd w:val="clear" w:color="auto" w:fill="auto"/>
          </w:tcPr>
          <w:p w14:paraId="0D960338" w14:textId="39F33EC8" w:rsidR="00B24FB4" w:rsidRPr="003F02AC" w:rsidRDefault="00B24FB4" w:rsidP="00D2668E">
            <w:pPr>
              <w:spacing w:after="0"/>
              <w:rPr>
                <w:rFonts w:ascii="Calibri" w:hAnsi="Calibri" w:cstheme="majorHAnsi"/>
                <w:sz w:val="20"/>
                <w:szCs w:val="20"/>
                <w:highlight w:val="yellow"/>
                <w:lang w:val="en-US"/>
              </w:rPr>
            </w:pPr>
            <w:r>
              <w:rPr>
                <w:rFonts w:ascii="Calibri" w:hAnsi="Calibri" w:cstheme="majorHAnsi"/>
                <w:noProof/>
                <w:sz w:val="20"/>
                <w:szCs w:val="20"/>
                <w:lang w:val="en-US"/>
              </w:rPr>
              <w:t>20</w:t>
            </w:r>
          </w:p>
        </w:tc>
        <w:tc>
          <w:tcPr>
            <w:tcW w:w="1134" w:type="dxa"/>
          </w:tcPr>
          <w:p w14:paraId="4F063B08"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T</w:t>
            </w:r>
          </w:p>
        </w:tc>
        <w:tc>
          <w:tcPr>
            <w:tcW w:w="8930" w:type="dxa"/>
          </w:tcPr>
          <w:p w14:paraId="3D138AE2"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Enhances decision-making process for important activities; decision-making as an important activity in itself</w:t>
            </w:r>
          </w:p>
        </w:tc>
      </w:tr>
      <w:tr w:rsidR="00B24FB4" w:rsidRPr="00B769CB" w14:paraId="1097B79E" w14:textId="77777777" w:rsidTr="00EB693C">
        <w:tc>
          <w:tcPr>
            <w:tcW w:w="0" w:type="auto"/>
          </w:tcPr>
          <w:p w14:paraId="3E8D46C1"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9</w:t>
            </w:r>
          </w:p>
        </w:tc>
        <w:tc>
          <w:tcPr>
            <w:tcW w:w="2630" w:type="dxa"/>
          </w:tcPr>
          <w:p w14:paraId="4CE0274A" w14:textId="77777777" w:rsidR="00B24FB4" w:rsidRPr="003F02AC" w:rsidRDefault="00B24FB4" w:rsidP="00D2668E">
            <w:pPr>
              <w:spacing w:after="0"/>
              <w:rPr>
                <w:rFonts w:ascii="Calibri" w:hAnsi="Calibri" w:cstheme="majorHAnsi"/>
                <w:sz w:val="20"/>
                <w:szCs w:val="20"/>
              </w:rPr>
            </w:pPr>
            <w:proofErr w:type="spellStart"/>
            <w:r w:rsidRPr="003F02AC">
              <w:rPr>
                <w:rFonts w:ascii="Calibri" w:hAnsi="Calibri" w:cstheme="majorHAnsi"/>
                <w:sz w:val="20"/>
                <w:szCs w:val="20"/>
              </w:rPr>
              <w:t>Radical</w:t>
            </w:r>
            <w:proofErr w:type="spellEnd"/>
            <w:r w:rsidRPr="003F02AC">
              <w:rPr>
                <w:rFonts w:ascii="Calibri" w:hAnsi="Calibri" w:cstheme="majorHAnsi"/>
                <w:sz w:val="20"/>
                <w:szCs w:val="20"/>
              </w:rPr>
              <w:t xml:space="preserve"> Acceptance</w:t>
            </w:r>
          </w:p>
        </w:tc>
        <w:tc>
          <w:tcPr>
            <w:tcW w:w="1257" w:type="dxa"/>
          </w:tcPr>
          <w:p w14:paraId="4E501F2B" w14:textId="35974DF5" w:rsidR="00B24FB4" w:rsidRPr="003F02AC" w:rsidRDefault="00B24FB4" w:rsidP="00D2668E">
            <w:pPr>
              <w:spacing w:after="0"/>
              <w:rPr>
                <w:rFonts w:ascii="Calibri" w:hAnsi="Calibri" w:cstheme="majorHAnsi"/>
                <w:sz w:val="20"/>
                <w:szCs w:val="20"/>
                <w:lang w:val="en-US"/>
              </w:rPr>
            </w:pPr>
            <w:r>
              <w:rPr>
                <w:rFonts w:ascii="Calibri" w:hAnsi="Calibri" w:cstheme="majorHAnsi"/>
                <w:noProof/>
                <w:sz w:val="20"/>
                <w:szCs w:val="20"/>
                <w:lang w:val="en-US"/>
              </w:rPr>
              <w:t>21</w:t>
            </w:r>
          </w:p>
        </w:tc>
        <w:tc>
          <w:tcPr>
            <w:tcW w:w="1134" w:type="dxa"/>
          </w:tcPr>
          <w:p w14:paraId="72C893ED"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C</w:t>
            </w:r>
          </w:p>
        </w:tc>
        <w:tc>
          <w:tcPr>
            <w:tcW w:w="8930" w:type="dxa"/>
          </w:tcPr>
          <w:p w14:paraId="13DFED1A"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Facilitates focus on changeable, important aspects of life</w:t>
            </w:r>
          </w:p>
        </w:tc>
      </w:tr>
      <w:tr w:rsidR="00B24FB4" w:rsidRPr="00B769CB" w14:paraId="14F83409" w14:textId="77777777" w:rsidTr="00EB693C">
        <w:tc>
          <w:tcPr>
            <w:tcW w:w="0" w:type="auto"/>
          </w:tcPr>
          <w:p w14:paraId="276BF294" w14:textId="77777777" w:rsidR="00B24FB4" w:rsidRPr="003F02AC" w:rsidRDefault="00B24FB4" w:rsidP="00D2668E">
            <w:pPr>
              <w:spacing w:after="0"/>
              <w:rPr>
                <w:rFonts w:ascii="Calibri" w:hAnsi="Calibri" w:cstheme="majorHAnsi"/>
                <w:sz w:val="20"/>
                <w:szCs w:val="20"/>
                <w:lang w:val="en-US"/>
              </w:rPr>
            </w:pPr>
          </w:p>
        </w:tc>
        <w:tc>
          <w:tcPr>
            <w:tcW w:w="2630" w:type="dxa"/>
          </w:tcPr>
          <w:p w14:paraId="7345EADC" w14:textId="77777777" w:rsidR="00B24FB4" w:rsidRPr="003F02AC" w:rsidRDefault="00B24FB4" w:rsidP="00D2668E">
            <w:pPr>
              <w:spacing w:after="0"/>
              <w:rPr>
                <w:rFonts w:ascii="Calibri" w:hAnsi="Calibri" w:cstheme="majorHAnsi"/>
                <w:sz w:val="20"/>
                <w:szCs w:val="20"/>
              </w:rPr>
            </w:pPr>
            <w:proofErr w:type="spellStart"/>
            <w:r w:rsidRPr="003F02AC">
              <w:rPr>
                <w:rFonts w:ascii="Calibri" w:hAnsi="Calibri" w:cstheme="majorHAnsi"/>
                <w:sz w:val="20"/>
                <w:szCs w:val="20"/>
              </w:rPr>
              <w:t>Occam's</w:t>
            </w:r>
            <w:proofErr w:type="spellEnd"/>
            <w:r w:rsidRPr="003F02AC">
              <w:rPr>
                <w:rFonts w:ascii="Calibri" w:hAnsi="Calibri" w:cstheme="majorHAnsi"/>
                <w:sz w:val="20"/>
                <w:szCs w:val="20"/>
              </w:rPr>
              <w:t xml:space="preserve"> Razor</w:t>
            </w:r>
          </w:p>
        </w:tc>
        <w:tc>
          <w:tcPr>
            <w:tcW w:w="1257" w:type="dxa"/>
          </w:tcPr>
          <w:p w14:paraId="5C4FE49E" w14:textId="45ED3E4C" w:rsidR="00B24FB4" w:rsidRPr="003F02AC" w:rsidRDefault="00B24FB4" w:rsidP="00D2668E">
            <w:pPr>
              <w:spacing w:after="0"/>
              <w:rPr>
                <w:rFonts w:ascii="Calibri" w:hAnsi="Calibri" w:cstheme="majorHAnsi"/>
                <w:sz w:val="20"/>
                <w:szCs w:val="20"/>
                <w:highlight w:val="yellow"/>
                <w:lang w:val="en-US"/>
              </w:rPr>
            </w:pPr>
            <w:r>
              <w:rPr>
                <w:rFonts w:ascii="Calibri" w:hAnsi="Calibri" w:cstheme="majorHAnsi"/>
                <w:noProof/>
                <w:sz w:val="20"/>
                <w:szCs w:val="20"/>
                <w:lang w:val="en-US"/>
              </w:rPr>
              <w:t>22</w:t>
            </w:r>
          </w:p>
        </w:tc>
        <w:tc>
          <w:tcPr>
            <w:tcW w:w="1134" w:type="dxa"/>
          </w:tcPr>
          <w:p w14:paraId="0002746B"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C</w:t>
            </w:r>
          </w:p>
        </w:tc>
        <w:tc>
          <w:tcPr>
            <w:tcW w:w="8930" w:type="dxa"/>
          </w:tcPr>
          <w:p w14:paraId="7938D960"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Simplifies problem-solving, making important activities more approachable</w:t>
            </w:r>
          </w:p>
        </w:tc>
      </w:tr>
      <w:tr w:rsidR="00B24FB4" w:rsidRPr="00B769CB" w14:paraId="538A938C" w14:textId="77777777" w:rsidTr="00EB693C">
        <w:tc>
          <w:tcPr>
            <w:tcW w:w="0" w:type="auto"/>
          </w:tcPr>
          <w:p w14:paraId="10F0FDC9"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10</w:t>
            </w:r>
          </w:p>
        </w:tc>
        <w:tc>
          <w:tcPr>
            <w:tcW w:w="2630" w:type="dxa"/>
          </w:tcPr>
          <w:p w14:paraId="0844CA8F" w14:textId="77777777" w:rsidR="00B24FB4" w:rsidRPr="003F02AC" w:rsidRDefault="00B24FB4" w:rsidP="00D2668E">
            <w:pPr>
              <w:spacing w:after="0"/>
              <w:rPr>
                <w:rFonts w:ascii="Calibri" w:hAnsi="Calibri" w:cstheme="majorHAnsi"/>
                <w:sz w:val="20"/>
                <w:szCs w:val="20"/>
              </w:rPr>
            </w:pPr>
            <w:proofErr w:type="spellStart"/>
            <w:r w:rsidRPr="003F02AC">
              <w:rPr>
                <w:rFonts w:ascii="Calibri" w:hAnsi="Calibri" w:cstheme="majorHAnsi"/>
                <w:sz w:val="20"/>
                <w:szCs w:val="20"/>
              </w:rPr>
              <w:t>Reflection</w:t>
            </w:r>
            <w:proofErr w:type="spellEnd"/>
            <w:r w:rsidRPr="003F02AC">
              <w:rPr>
                <w:rFonts w:ascii="Calibri" w:hAnsi="Calibri" w:cstheme="majorHAnsi"/>
                <w:sz w:val="20"/>
                <w:szCs w:val="20"/>
              </w:rPr>
              <w:t xml:space="preserve"> and Consolidation</w:t>
            </w:r>
          </w:p>
        </w:tc>
        <w:tc>
          <w:tcPr>
            <w:tcW w:w="1257" w:type="dxa"/>
          </w:tcPr>
          <w:p w14:paraId="521B8ED0" w14:textId="2FA3BD68" w:rsidR="001F67EF" w:rsidRPr="003F02AC" w:rsidRDefault="00B24FB4" w:rsidP="00D2668E">
            <w:pPr>
              <w:spacing w:after="0"/>
              <w:rPr>
                <w:rFonts w:ascii="Calibri" w:hAnsi="Calibri" w:cstheme="majorHAnsi"/>
                <w:noProof/>
                <w:sz w:val="20"/>
                <w:szCs w:val="20"/>
                <w:lang w:val="en-US"/>
              </w:rPr>
            </w:pPr>
            <w:r>
              <w:rPr>
                <w:rFonts w:ascii="Calibri" w:hAnsi="Calibri" w:cstheme="majorHAnsi"/>
                <w:noProof/>
                <w:sz w:val="20"/>
                <w:szCs w:val="20"/>
                <w:lang w:val="en-US"/>
              </w:rPr>
              <w:t>23, 24</w:t>
            </w:r>
          </w:p>
        </w:tc>
        <w:tc>
          <w:tcPr>
            <w:tcW w:w="1134" w:type="dxa"/>
          </w:tcPr>
          <w:p w14:paraId="0642AA9E"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H, V, C, T</w:t>
            </w:r>
          </w:p>
        </w:tc>
        <w:tc>
          <w:tcPr>
            <w:tcW w:w="8930" w:type="dxa"/>
          </w:tcPr>
          <w:p w14:paraId="469815D6"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Consolidates learning; identifies successful strategies for engaging in important activities</w:t>
            </w:r>
          </w:p>
        </w:tc>
      </w:tr>
      <w:tr w:rsidR="00B24FB4" w:rsidRPr="00B769CB" w14:paraId="6286A129" w14:textId="77777777" w:rsidTr="00EB693C">
        <w:trPr>
          <w:trHeight w:val="15"/>
        </w:trPr>
        <w:tc>
          <w:tcPr>
            <w:tcW w:w="0" w:type="auto"/>
          </w:tcPr>
          <w:p w14:paraId="064B55C7" w14:textId="77777777" w:rsidR="00B24FB4" w:rsidRPr="003F02AC" w:rsidRDefault="00B24FB4" w:rsidP="00D2668E">
            <w:pPr>
              <w:spacing w:after="0"/>
              <w:rPr>
                <w:rFonts w:ascii="Calibri" w:hAnsi="Calibri" w:cstheme="majorHAnsi"/>
                <w:sz w:val="20"/>
                <w:szCs w:val="20"/>
                <w:lang w:val="en-US"/>
              </w:rPr>
            </w:pPr>
          </w:p>
        </w:tc>
        <w:tc>
          <w:tcPr>
            <w:tcW w:w="2630" w:type="dxa"/>
          </w:tcPr>
          <w:p w14:paraId="132666B2"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 xml:space="preserve">Transfer </w:t>
            </w:r>
            <w:proofErr w:type="spellStart"/>
            <w:r w:rsidRPr="003F02AC">
              <w:rPr>
                <w:rFonts w:ascii="Calibri" w:hAnsi="Calibri" w:cstheme="majorHAnsi"/>
                <w:sz w:val="20"/>
                <w:szCs w:val="20"/>
              </w:rPr>
              <w:t>to</w:t>
            </w:r>
            <w:proofErr w:type="spellEnd"/>
            <w:r w:rsidRPr="003F02AC">
              <w:rPr>
                <w:rFonts w:ascii="Calibri" w:hAnsi="Calibri" w:cstheme="majorHAnsi"/>
                <w:sz w:val="20"/>
                <w:szCs w:val="20"/>
              </w:rPr>
              <w:t xml:space="preserve"> </w:t>
            </w:r>
            <w:proofErr w:type="spellStart"/>
            <w:r w:rsidRPr="003F02AC">
              <w:rPr>
                <w:rFonts w:ascii="Calibri" w:hAnsi="Calibri" w:cstheme="majorHAnsi"/>
                <w:sz w:val="20"/>
                <w:szCs w:val="20"/>
              </w:rPr>
              <w:t>Everyday</w:t>
            </w:r>
            <w:proofErr w:type="spellEnd"/>
            <w:r w:rsidRPr="003F02AC">
              <w:rPr>
                <w:rFonts w:ascii="Calibri" w:hAnsi="Calibri" w:cstheme="majorHAnsi"/>
                <w:sz w:val="20"/>
                <w:szCs w:val="20"/>
              </w:rPr>
              <w:t xml:space="preserve"> Life</w:t>
            </w:r>
          </w:p>
        </w:tc>
        <w:tc>
          <w:tcPr>
            <w:tcW w:w="1257" w:type="dxa"/>
          </w:tcPr>
          <w:p w14:paraId="433E855E" w14:textId="0D5C3BF4" w:rsidR="00B24FB4" w:rsidRPr="003F02AC" w:rsidRDefault="00B24FB4" w:rsidP="00D2668E">
            <w:pPr>
              <w:spacing w:after="0"/>
              <w:rPr>
                <w:rFonts w:ascii="Calibri" w:hAnsi="Calibri" w:cstheme="majorHAnsi"/>
                <w:sz w:val="20"/>
                <w:szCs w:val="20"/>
                <w:highlight w:val="yellow"/>
                <w:lang w:val="en-US"/>
              </w:rPr>
            </w:pPr>
            <w:r>
              <w:rPr>
                <w:rFonts w:ascii="Calibri" w:hAnsi="Calibri" w:cstheme="majorHAnsi"/>
                <w:noProof/>
                <w:sz w:val="20"/>
                <w:szCs w:val="20"/>
                <w:lang w:val="en-US"/>
              </w:rPr>
              <w:t>25</w:t>
            </w:r>
          </w:p>
        </w:tc>
        <w:tc>
          <w:tcPr>
            <w:tcW w:w="1134" w:type="dxa"/>
          </w:tcPr>
          <w:p w14:paraId="508F44A9" w14:textId="77777777" w:rsidR="00B24FB4" w:rsidRPr="003F02AC" w:rsidRDefault="00B24FB4" w:rsidP="00D2668E">
            <w:pPr>
              <w:spacing w:after="0"/>
              <w:rPr>
                <w:rFonts w:ascii="Calibri" w:hAnsi="Calibri" w:cstheme="majorHAnsi"/>
                <w:sz w:val="20"/>
                <w:szCs w:val="20"/>
              </w:rPr>
            </w:pPr>
            <w:r w:rsidRPr="003F02AC">
              <w:rPr>
                <w:rFonts w:ascii="Calibri" w:hAnsi="Calibri" w:cstheme="majorHAnsi"/>
                <w:sz w:val="20"/>
                <w:szCs w:val="20"/>
              </w:rPr>
              <w:t>H</w:t>
            </w:r>
          </w:p>
        </w:tc>
        <w:tc>
          <w:tcPr>
            <w:tcW w:w="8930" w:type="dxa"/>
          </w:tcPr>
          <w:p w14:paraId="2349D53F" w14:textId="77777777" w:rsidR="00B24FB4" w:rsidRPr="003F02AC" w:rsidRDefault="00B24FB4" w:rsidP="00D2668E">
            <w:pPr>
              <w:spacing w:after="0"/>
              <w:rPr>
                <w:rFonts w:ascii="Calibri" w:hAnsi="Calibri" w:cstheme="majorHAnsi"/>
                <w:sz w:val="20"/>
                <w:szCs w:val="20"/>
                <w:lang w:val="en-US"/>
              </w:rPr>
            </w:pPr>
            <w:r w:rsidRPr="003F02AC">
              <w:rPr>
                <w:rFonts w:ascii="Calibri" w:hAnsi="Calibri" w:cstheme="majorHAnsi"/>
                <w:sz w:val="20"/>
                <w:szCs w:val="20"/>
                <w:lang w:val="en-US"/>
              </w:rPr>
              <w:t>Plans for continued focus on important activities post-therapy, developing long-term habits</w:t>
            </w:r>
          </w:p>
        </w:tc>
      </w:tr>
    </w:tbl>
    <w:p w14:paraId="61E1827A" w14:textId="77777777" w:rsidR="00B24FB4" w:rsidRPr="00C530E9" w:rsidRDefault="00B24FB4" w:rsidP="00B25677">
      <w:pPr>
        <w:rPr>
          <w:rFonts w:ascii="Calibri" w:hAnsi="Calibri" w:cs="Arial"/>
          <w:sz w:val="16"/>
          <w:szCs w:val="20"/>
          <w:lang w:val="en-US"/>
        </w:rPr>
      </w:pPr>
      <w:r w:rsidRPr="00C530E9">
        <w:rPr>
          <w:rFonts w:ascii="Calibri" w:hAnsi="Calibri" w:cs="Arial"/>
          <w:sz w:val="16"/>
          <w:szCs w:val="20"/>
          <w:lang w:val="en-US"/>
        </w:rPr>
        <w:t>Sessions were held weekly, with each session consisting of two hours including a break. In the first session, each participant prioritized an important activity for themselves. At the end of each session, homework assignments were discussed, and a brief summary was provided. From the second session onwards, each session began with a review of the homework and discussion of the individually agreed upon regular new important activity established in Session 1, in order to facilitate the development of a positive habit. While sessions 1, 7, and 10 explicitly concentrated on personal values, the consistent emphasis on important activities throughout all sessions served as a continuous process of value clarification, repeatedly engaging participants with their core priorities.</w:t>
      </w:r>
    </w:p>
    <w:p w14:paraId="23576155" w14:textId="77777777" w:rsidR="00B24FB4" w:rsidRPr="00C530E9" w:rsidRDefault="00B24FB4" w:rsidP="00B25677">
      <w:pPr>
        <w:rPr>
          <w:rFonts w:ascii="Calibri" w:hAnsi="Calibri" w:cs="Arial"/>
          <w:sz w:val="16"/>
          <w:szCs w:val="20"/>
          <w:lang w:val="en-US"/>
        </w:rPr>
      </w:pPr>
      <w:r w:rsidRPr="00C530E9">
        <w:rPr>
          <w:rFonts w:ascii="Calibri" w:hAnsi="Calibri" w:cs="Arial"/>
          <w:sz w:val="16"/>
          <w:szCs w:val="20"/>
          <w:lang w:val="en-US"/>
        </w:rPr>
        <w:t>Each session consisted of three phases: a 20-minute starting phase, one or two 85-minute active phases with a 10-minute break, and a 15-minute closing phase. The starting phase included a brief round in which participants shared their current state of mind and discussed challenges from the previous session’s homework. Participants initially divided into smaller, rotating groups to foster personal connections and facilitate idea exchange. During the active phase(s), groups reconvened to discuss session topics collectively before engaging in topic-related interventions, which sometimes involved teamwork or individual tasks aimed at addressing cognitive distortions. Sessions concluded with a closing phase in which participants received homework assignments and shared personal insights and key takeaways in a group discussion.</w:t>
      </w:r>
    </w:p>
    <w:p w14:paraId="6A3DB9A4" w14:textId="77777777" w:rsidR="00B24FB4" w:rsidRPr="00C530E9" w:rsidRDefault="00B24FB4" w:rsidP="00B25677">
      <w:pPr>
        <w:rPr>
          <w:rFonts w:ascii="Calibri" w:hAnsi="Calibri" w:cs="Arial"/>
          <w:sz w:val="16"/>
          <w:szCs w:val="20"/>
          <w:lang w:val="en-US"/>
        </w:rPr>
      </w:pPr>
      <w:r w:rsidRPr="00C530E9">
        <w:rPr>
          <w:rFonts w:ascii="Calibri" w:hAnsi="Calibri" w:cs="Arial"/>
          <w:sz w:val="16"/>
          <w:szCs w:val="20"/>
          <w:lang w:val="en-US"/>
        </w:rPr>
        <w:t>Abbreviations: C, Clear Thinking; H, Habits; T, Tools; V, Values.</w:t>
      </w:r>
    </w:p>
    <w:p w14:paraId="5D07B885" w14:textId="4193118A" w:rsidR="00B24FB4" w:rsidRPr="00C530E9" w:rsidRDefault="00B24FB4">
      <w:pPr>
        <w:rPr>
          <w:rFonts w:ascii="Calibri" w:hAnsi="Calibri" w:cs="Arial"/>
          <w:b/>
          <w:sz w:val="20"/>
          <w:szCs w:val="20"/>
          <w:lang w:val="en-US"/>
        </w:rPr>
      </w:pPr>
    </w:p>
    <w:p w14:paraId="0C3EAE65" w14:textId="7124210C" w:rsidR="00B24FB4" w:rsidRPr="003F02AC" w:rsidRDefault="00B24FB4" w:rsidP="00B25677">
      <w:pPr>
        <w:rPr>
          <w:rFonts w:ascii="Calibri" w:hAnsi="Calibri" w:cs="Arial"/>
          <w:b/>
          <w:szCs w:val="20"/>
          <w:lang w:val="en-US"/>
        </w:rPr>
      </w:pPr>
      <w:r>
        <w:rPr>
          <w:rFonts w:ascii="Calibri" w:hAnsi="Calibri" w:cs="Arial"/>
          <w:b/>
          <w:szCs w:val="20"/>
          <w:lang w:val="en-US"/>
        </w:rPr>
        <w:lastRenderedPageBreak/>
        <w:t>Suggested Reading</w:t>
      </w:r>
    </w:p>
    <w:p w14:paraId="50DC14F5" w14:textId="3406574A" w:rsidR="00337171" w:rsidRDefault="00B24FB4" w:rsidP="001F67EF">
      <w:pPr>
        <w:pStyle w:val="EndNoteBibliography"/>
        <w:spacing w:after="0"/>
        <w:jc w:val="both"/>
      </w:pPr>
      <w:r w:rsidRPr="00B769CB">
        <w:t>1</w:t>
      </w:r>
      <w:r>
        <w:t xml:space="preserve">. </w:t>
      </w:r>
      <w:r w:rsidRPr="00B769CB">
        <w:t>Covey SR. The 7 habits of highly effective people. 30th ed: Simon &amp; Schuster; 2020.</w:t>
      </w:r>
      <w:r>
        <w:t xml:space="preserve"> | </w:t>
      </w:r>
      <w:r w:rsidRPr="00B769CB">
        <w:t>2</w:t>
      </w:r>
      <w:r>
        <w:t xml:space="preserve">. </w:t>
      </w:r>
      <w:r w:rsidRPr="00B769CB">
        <w:t>Zhu M,</w:t>
      </w:r>
      <w:r>
        <w:t xml:space="preserve"> </w:t>
      </w:r>
      <w:r w:rsidRPr="00B769CB">
        <w:t>Yang Y, Hsee CK. The mere urgency effect. Journal of Consumer Research. 2018;45(3):673-90.</w:t>
      </w:r>
      <w:r w:rsidR="001F67EF">
        <w:t xml:space="preserve"> | </w:t>
      </w:r>
      <w:r w:rsidRPr="00B769CB">
        <w:t>3</w:t>
      </w:r>
      <w:r w:rsidR="001F67EF">
        <w:t xml:space="preserve">. </w:t>
      </w:r>
      <w:r w:rsidRPr="00B769CB">
        <w:t>Cohen GL, Sherman DK. The psychology of change: self-affirmation and social psychological intervention. Annual Review of Psychology. 2014;65:333-71.</w:t>
      </w:r>
      <w:r w:rsidR="001F67EF">
        <w:t xml:space="preserve"> | </w:t>
      </w:r>
      <w:r w:rsidRPr="00B769CB">
        <w:t>4</w:t>
      </w:r>
      <w:r w:rsidR="001F67EF">
        <w:t xml:space="preserve">. </w:t>
      </w:r>
      <w:r w:rsidRPr="00B769CB">
        <w:t>Carden L, Wood W. Habit formation and change. Current Opinion in Behavioral Sciences. 2018;20:117-22.</w:t>
      </w:r>
      <w:r w:rsidR="001F67EF" w:rsidRPr="001F67EF">
        <w:t xml:space="preserve"> </w:t>
      </w:r>
      <w:r w:rsidR="001F67EF">
        <w:t xml:space="preserve">| </w:t>
      </w:r>
      <w:r w:rsidRPr="00B769CB">
        <w:t>5</w:t>
      </w:r>
      <w:r w:rsidR="001F67EF">
        <w:t xml:space="preserve">. </w:t>
      </w:r>
      <w:r w:rsidRPr="00B769CB">
        <w:t>Koch R. The 80/20 Principle: Achieve More with Less. 4th ed: Nicholas Brealey Publishing; 2022.</w:t>
      </w:r>
      <w:r w:rsidR="001F67EF" w:rsidRPr="001F67EF">
        <w:t xml:space="preserve"> </w:t>
      </w:r>
      <w:r w:rsidR="001F67EF">
        <w:t xml:space="preserve">| </w:t>
      </w:r>
      <w:r w:rsidRPr="00B769CB">
        <w:t>6</w:t>
      </w:r>
      <w:r w:rsidR="001F67EF">
        <w:t xml:space="preserve">. </w:t>
      </w:r>
      <w:r w:rsidRPr="00B769CB">
        <w:t>König CJ, Kleinmann M. Time management problems and discounted utility. The Journal of Psychology. 2007;141(3):321-34.</w:t>
      </w:r>
      <w:r w:rsidR="001F67EF" w:rsidRPr="001F67EF">
        <w:t xml:space="preserve"> </w:t>
      </w:r>
      <w:r w:rsidR="001F67EF">
        <w:t xml:space="preserve">| </w:t>
      </w:r>
      <w:r w:rsidRPr="00B769CB">
        <w:t>7</w:t>
      </w:r>
      <w:r w:rsidR="001F67EF">
        <w:t xml:space="preserve">. </w:t>
      </w:r>
      <w:r w:rsidRPr="00B769CB">
        <w:t xml:space="preserve">Clear J. The Ivy Lee method: The daily routine experts recommend for peak productivity2020. Available from: </w:t>
      </w:r>
      <w:hyperlink r:id="rId6" w:history="1">
        <w:r w:rsidR="001F67EF" w:rsidRPr="00B83F28">
          <w:rPr>
            <w:rStyle w:val="Hyperlink"/>
          </w:rPr>
          <w:t>https://jamesclear.com/ivy-lee</w:t>
        </w:r>
      </w:hyperlink>
      <w:r w:rsidRPr="00B769CB">
        <w:t>.</w:t>
      </w:r>
      <w:r w:rsidR="001F67EF">
        <w:t xml:space="preserve"> | </w:t>
      </w:r>
      <w:r w:rsidRPr="00B769CB">
        <w:t>8</w:t>
      </w:r>
      <w:r w:rsidR="001F67EF">
        <w:t xml:space="preserve">. </w:t>
      </w:r>
      <w:r w:rsidRPr="00B769CB">
        <w:t>Grossmann I, Kross E. Exploring Solomon's paradox: Self-distancing eliminates the self-other asymmetry in wise reasoning about close relationships in younger and older adults. Psychological Science. 2014;25(8):1571-80.</w:t>
      </w:r>
      <w:r w:rsidR="001F67EF" w:rsidRPr="001F67EF">
        <w:t xml:space="preserve"> </w:t>
      </w:r>
      <w:r w:rsidR="001F67EF" w:rsidRPr="001F67EF">
        <w:rPr>
          <w:lang w:val="de-DE"/>
        </w:rPr>
        <w:t>|</w:t>
      </w:r>
      <w:r w:rsidR="001F67EF">
        <w:rPr>
          <w:lang w:val="de-DE"/>
        </w:rPr>
        <w:t xml:space="preserve"> </w:t>
      </w:r>
      <w:r w:rsidRPr="001F67EF">
        <w:rPr>
          <w:lang w:val="de-DE"/>
        </w:rPr>
        <w:t>9</w:t>
      </w:r>
      <w:r w:rsidR="001F67EF" w:rsidRPr="001F67EF">
        <w:rPr>
          <w:lang w:val="de-DE"/>
        </w:rPr>
        <w:t xml:space="preserve">. </w:t>
      </w:r>
      <w:r w:rsidRPr="001F67EF">
        <w:rPr>
          <w:lang w:val="de-DE"/>
        </w:rPr>
        <w:t xml:space="preserve">Kahneman D, Krueger AB, Schkade D, Schwarz N, Stone AA. </w:t>
      </w:r>
      <w:r w:rsidRPr="00B769CB">
        <w:t>Would you be happier if you were richer? A focusing illusion. Science. 2006;312(5782):1908-10.</w:t>
      </w:r>
      <w:r w:rsidR="001F67EF" w:rsidRPr="001F67EF">
        <w:t xml:space="preserve"> </w:t>
      </w:r>
      <w:r w:rsidR="001F67EF">
        <w:t xml:space="preserve">| </w:t>
      </w:r>
      <w:r w:rsidRPr="00B769CB">
        <w:t>10</w:t>
      </w:r>
      <w:r w:rsidR="001F67EF">
        <w:t xml:space="preserve">. </w:t>
      </w:r>
      <w:r w:rsidRPr="00B769CB">
        <w:t>Hinton AO, McReynolds MR, Martinez D, Shuler HD, Termini CM. The power of saying no. EMBO reports. 2020;21(7):e50918.</w:t>
      </w:r>
      <w:r w:rsidR="001F67EF" w:rsidRPr="001F67EF">
        <w:t xml:space="preserve"> </w:t>
      </w:r>
      <w:r w:rsidR="001F67EF">
        <w:t xml:space="preserve">| </w:t>
      </w:r>
      <w:r w:rsidRPr="00B769CB">
        <w:t>11</w:t>
      </w:r>
      <w:r w:rsidR="001F67EF">
        <w:t xml:space="preserve">. </w:t>
      </w:r>
      <w:r w:rsidRPr="00B769CB">
        <w:t>Kahneman D. Thinking Fast and Slow: Penguin; 2012.</w:t>
      </w:r>
      <w:r w:rsidR="001F67EF">
        <w:t xml:space="preserve"> | </w:t>
      </w:r>
      <w:r w:rsidRPr="00B769CB">
        <w:t>12</w:t>
      </w:r>
      <w:r w:rsidR="001F67EF">
        <w:t xml:space="preserve">. </w:t>
      </w:r>
      <w:r w:rsidRPr="00B769CB">
        <w:t>Bem DJ. Self-perception theory. In: Berkowitz L, editor. Advances in Experimental Social Psychology. 6: Academic Press; 1972. p. 1-62.</w:t>
      </w:r>
      <w:r w:rsidR="001F67EF">
        <w:t xml:space="preserve"> | </w:t>
      </w:r>
      <w:r w:rsidRPr="00B769CB">
        <w:t>13</w:t>
      </w:r>
      <w:r w:rsidR="001F67EF">
        <w:t xml:space="preserve">. </w:t>
      </w:r>
      <w:r w:rsidRPr="00B769CB">
        <w:t>Boroditsky L. How language shapes thought. Sci Am. 2011;304(2):62-5.</w:t>
      </w:r>
      <w:r w:rsidR="001F67EF" w:rsidRPr="001F67EF">
        <w:t xml:space="preserve"> </w:t>
      </w:r>
      <w:r w:rsidR="001F67EF">
        <w:t xml:space="preserve">| </w:t>
      </w:r>
      <w:r w:rsidRPr="00B769CB">
        <w:t>14</w:t>
      </w:r>
      <w:r w:rsidR="001F67EF">
        <w:t xml:space="preserve">. </w:t>
      </w:r>
      <w:r w:rsidRPr="00B769CB">
        <w:t>Schacter DL, Buckner RL. Priming and the brain. Neuron. 1998;20(2):185-95.</w:t>
      </w:r>
      <w:r w:rsidR="001F67EF" w:rsidRPr="001F67EF">
        <w:t xml:space="preserve"> </w:t>
      </w:r>
      <w:r w:rsidR="001F67EF">
        <w:t xml:space="preserve">| </w:t>
      </w:r>
      <w:r w:rsidRPr="00B769CB">
        <w:t>15</w:t>
      </w:r>
      <w:r w:rsidR="001F67EF">
        <w:t xml:space="preserve">. </w:t>
      </w:r>
      <w:r w:rsidRPr="00B769CB">
        <w:t>Kegan R, Lahey LL. How the way we talk can change the way we work: Seven languages for transformation: John Wiley &amp; Sons; 2002.</w:t>
      </w:r>
      <w:r w:rsidR="001F67EF" w:rsidRPr="001F67EF">
        <w:t xml:space="preserve"> </w:t>
      </w:r>
      <w:r w:rsidR="001F67EF">
        <w:t xml:space="preserve">| </w:t>
      </w:r>
      <w:r w:rsidRPr="00B769CB">
        <w:t>16</w:t>
      </w:r>
      <w:r w:rsidR="001F67EF">
        <w:t xml:space="preserve">. </w:t>
      </w:r>
      <w:r w:rsidRPr="00B769CB">
        <w:t>Kappes A, Harvey AH, Lohrenz T, Montague PR, Sharot T. Confirmation bias in the utilization of others’ opinion strength. Nature Neuroscience. 2020;23(1):130-7.</w:t>
      </w:r>
      <w:r w:rsidR="001F67EF" w:rsidRPr="001F67EF">
        <w:t xml:space="preserve"> </w:t>
      </w:r>
      <w:r w:rsidR="001F67EF">
        <w:t xml:space="preserve">| </w:t>
      </w:r>
      <w:r w:rsidRPr="00B769CB">
        <w:t>17</w:t>
      </w:r>
      <w:r w:rsidR="001F67EF">
        <w:t xml:space="preserve">. </w:t>
      </w:r>
      <w:r w:rsidRPr="00B769CB">
        <w:t>Nickerson RS. Confirmation bias: A ubiquitous phenomenon in many guises. Review of General Psychology. 1998;2(2):175-220.</w:t>
      </w:r>
      <w:r w:rsidR="001F67EF" w:rsidRPr="001F67EF">
        <w:t xml:space="preserve"> </w:t>
      </w:r>
      <w:r w:rsidR="001F67EF">
        <w:t xml:space="preserve">| </w:t>
      </w:r>
      <w:r w:rsidRPr="00B769CB">
        <w:t>18</w:t>
      </w:r>
      <w:r w:rsidR="001F67EF">
        <w:t xml:space="preserve">. </w:t>
      </w:r>
      <w:r w:rsidRPr="00B769CB">
        <w:t>Arkes HR, Blumer C. The psychology of sunk cost. Organizational Behavior and Human Decision Processes. 1985;35(1):124-40.</w:t>
      </w:r>
      <w:r w:rsidR="001F67EF" w:rsidRPr="001F67EF">
        <w:t xml:space="preserve"> </w:t>
      </w:r>
      <w:r w:rsidR="001F67EF">
        <w:t xml:space="preserve">| </w:t>
      </w:r>
      <w:r w:rsidRPr="00B769CB">
        <w:t>19</w:t>
      </w:r>
      <w:r w:rsidR="001F67EF">
        <w:t xml:space="preserve">. </w:t>
      </w:r>
      <w:r w:rsidRPr="00B769CB">
        <w:t>Fischhoff B. Hindsight is not equal to foresight: The effect of outcome knowledge under judgment of uncertainty. J Exp Psychol Hum Percept Perform. 1975;1:288-99.</w:t>
      </w:r>
      <w:r w:rsidR="001F67EF" w:rsidRPr="001F67EF">
        <w:t xml:space="preserve"> </w:t>
      </w:r>
      <w:r w:rsidR="001F67EF">
        <w:t xml:space="preserve">| </w:t>
      </w:r>
      <w:r w:rsidRPr="00B769CB">
        <w:t>20</w:t>
      </w:r>
      <w:r w:rsidR="001F67EF">
        <w:t xml:space="preserve">. </w:t>
      </w:r>
      <w:r w:rsidRPr="00B769CB">
        <w:t>Hammond JS, Keeney RL, Raiffa H. The hidden traps in decision making. Harvard business review. 1998;76(5):47-58.</w:t>
      </w:r>
      <w:r w:rsidR="001F67EF" w:rsidRPr="001F67EF">
        <w:t xml:space="preserve"> </w:t>
      </w:r>
      <w:r w:rsidR="001F67EF">
        <w:t xml:space="preserve">| </w:t>
      </w:r>
      <w:r w:rsidRPr="00B769CB">
        <w:t>21</w:t>
      </w:r>
      <w:r w:rsidR="001F67EF">
        <w:t xml:space="preserve">. </w:t>
      </w:r>
      <w:r w:rsidRPr="00B769CB">
        <w:t>Aurelius M, Clay D, Hammond M. Meditations: Penguin Books Limited; 2006.</w:t>
      </w:r>
      <w:r w:rsidR="001F67EF" w:rsidRPr="001F67EF">
        <w:t xml:space="preserve"> </w:t>
      </w:r>
      <w:r w:rsidR="001F67EF">
        <w:t xml:space="preserve">| </w:t>
      </w:r>
      <w:r w:rsidRPr="00B769CB">
        <w:t>22</w:t>
      </w:r>
      <w:r w:rsidR="001F67EF">
        <w:t xml:space="preserve">. </w:t>
      </w:r>
      <w:r w:rsidRPr="00B769CB">
        <w:t>Jefferys WH, Berger JO. Ockham's razor and Bayesian analysis. American scientist. 1992;80(1):64-72.</w:t>
      </w:r>
      <w:r w:rsidR="001F67EF">
        <w:t xml:space="preserve"> | </w:t>
      </w:r>
      <w:r w:rsidRPr="00B769CB">
        <w:t>23</w:t>
      </w:r>
      <w:r w:rsidR="001F67EF">
        <w:t xml:space="preserve">. </w:t>
      </w:r>
      <w:r w:rsidRPr="00B769CB">
        <w:t>Smith CD, Scarf D. Spacing repetitions over long timescales: A review and a reconsolidation explanation. Frontiers in Psychology. 2017;8.</w:t>
      </w:r>
      <w:r w:rsidR="001F67EF" w:rsidRPr="001F67EF">
        <w:t xml:space="preserve"> </w:t>
      </w:r>
      <w:r w:rsidR="001F67EF">
        <w:t xml:space="preserve">| </w:t>
      </w:r>
      <w:r w:rsidRPr="00B769CB">
        <w:t>24</w:t>
      </w:r>
      <w:r w:rsidR="001F67EF">
        <w:t xml:space="preserve">. </w:t>
      </w:r>
      <w:r w:rsidRPr="00B769CB">
        <w:t>Tse D, Langston RF, Kakeyama M, Bethus I, Spooner PA, Wood ER, et al. Schemas and memory consolidation. Science. 2007;316(5821):76-82.</w:t>
      </w:r>
      <w:r w:rsidR="001F67EF" w:rsidRPr="001F67EF">
        <w:t xml:space="preserve"> </w:t>
      </w:r>
      <w:r w:rsidR="001F67EF">
        <w:t xml:space="preserve">| </w:t>
      </w:r>
      <w:r w:rsidRPr="00B769CB">
        <w:t>25</w:t>
      </w:r>
      <w:r w:rsidR="001F67EF">
        <w:t xml:space="preserve">. </w:t>
      </w:r>
      <w:r w:rsidRPr="00B769CB">
        <w:t>Blume BD, Ford JK, Baldwin TT, Huang JL. Transfer of training: a meta-analytic review. Journal of Management. 2010;36(4):1065-105.</w:t>
      </w:r>
    </w:p>
    <w:sectPr w:rsidR="00337171" w:rsidSect="00EB693C">
      <w:footerReference w:type="default" r:id="rId7"/>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06A01" w14:textId="77777777" w:rsidR="00EB693C" w:rsidRDefault="00EB693C">
      <w:pPr>
        <w:spacing w:after="0" w:line="240" w:lineRule="auto"/>
      </w:pPr>
      <w:r>
        <w:separator/>
      </w:r>
    </w:p>
  </w:endnote>
  <w:endnote w:type="continuationSeparator" w:id="0">
    <w:p w14:paraId="13442752" w14:textId="77777777" w:rsidR="00EB693C" w:rsidRDefault="00EB6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515122"/>
      <w:docPartObj>
        <w:docPartGallery w:val="Page Numbers (Bottom of Page)"/>
        <w:docPartUnique/>
      </w:docPartObj>
    </w:sdtPr>
    <w:sdtEndPr/>
    <w:sdtContent>
      <w:p w14:paraId="0CA3AE1D" w14:textId="77777777" w:rsidR="001F67EF" w:rsidRDefault="001F67EF">
        <w:pPr>
          <w:pStyle w:val="Fuzeile"/>
          <w:jc w:val="right"/>
        </w:pPr>
        <w:r>
          <w:fldChar w:fldCharType="begin"/>
        </w:r>
        <w:r>
          <w:instrText>PAGE   \* MERGEFORMAT</w:instrText>
        </w:r>
        <w:r>
          <w:fldChar w:fldCharType="separate"/>
        </w:r>
        <w:r>
          <w:t>2</w:t>
        </w:r>
        <w:r>
          <w:fldChar w:fldCharType="end"/>
        </w:r>
      </w:p>
    </w:sdtContent>
  </w:sdt>
  <w:p w14:paraId="7E5B41DC" w14:textId="77777777" w:rsidR="001F67EF" w:rsidRDefault="001F67E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BC8B4" w14:textId="77777777" w:rsidR="00EB693C" w:rsidRDefault="00EB693C">
      <w:pPr>
        <w:spacing w:after="0" w:line="240" w:lineRule="auto"/>
      </w:pPr>
      <w:r>
        <w:separator/>
      </w:r>
    </w:p>
  </w:footnote>
  <w:footnote w:type="continuationSeparator" w:id="0">
    <w:p w14:paraId="395E8F3C" w14:textId="77777777" w:rsidR="00EB693C" w:rsidRDefault="00EB69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B24FB4"/>
    <w:rsid w:val="001F67EF"/>
    <w:rsid w:val="002964C7"/>
    <w:rsid w:val="002B3959"/>
    <w:rsid w:val="00337171"/>
    <w:rsid w:val="003E739F"/>
    <w:rsid w:val="004C391C"/>
    <w:rsid w:val="00A06E76"/>
    <w:rsid w:val="00B24FB4"/>
    <w:rsid w:val="00EB693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FBFF7"/>
  <w15:chartTrackingRefBased/>
  <w15:docId w15:val="{31C621AA-5040-42CC-8FE2-174062BFC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24FB4"/>
    <w:rPr>
      <w:kern w:val="0"/>
      <w14:ligatures w14:val="none"/>
    </w:rPr>
  </w:style>
  <w:style w:type="paragraph" w:styleId="berschrift1">
    <w:name w:val="heading 1"/>
    <w:basedOn w:val="Standard"/>
    <w:next w:val="Standard"/>
    <w:link w:val="berschrift1Zchn"/>
    <w:uiPriority w:val="9"/>
    <w:qFormat/>
    <w:rsid w:val="00B24F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24F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24FB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24FB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24FB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24FB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24FB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24FB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24FB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24FB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24FB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24FB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24FB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24FB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24FB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24FB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24FB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24FB4"/>
    <w:rPr>
      <w:rFonts w:eastAsiaTheme="majorEastAsia" w:cstheme="majorBidi"/>
      <w:color w:val="272727" w:themeColor="text1" w:themeTint="D8"/>
    </w:rPr>
  </w:style>
  <w:style w:type="paragraph" w:styleId="Titel">
    <w:name w:val="Title"/>
    <w:basedOn w:val="Standard"/>
    <w:next w:val="Standard"/>
    <w:link w:val="TitelZchn"/>
    <w:uiPriority w:val="10"/>
    <w:qFormat/>
    <w:rsid w:val="00B24F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24FB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24FB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24FB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24FB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24FB4"/>
    <w:rPr>
      <w:i/>
      <w:iCs/>
      <w:color w:val="404040" w:themeColor="text1" w:themeTint="BF"/>
    </w:rPr>
  </w:style>
  <w:style w:type="paragraph" w:styleId="Listenabsatz">
    <w:name w:val="List Paragraph"/>
    <w:basedOn w:val="Standard"/>
    <w:uiPriority w:val="34"/>
    <w:qFormat/>
    <w:rsid w:val="00B24FB4"/>
    <w:pPr>
      <w:ind w:left="720"/>
      <w:contextualSpacing/>
    </w:pPr>
  </w:style>
  <w:style w:type="character" w:styleId="IntensiveHervorhebung">
    <w:name w:val="Intense Emphasis"/>
    <w:basedOn w:val="Absatz-Standardschriftart"/>
    <w:uiPriority w:val="21"/>
    <w:qFormat/>
    <w:rsid w:val="00B24FB4"/>
    <w:rPr>
      <w:i/>
      <w:iCs/>
      <w:color w:val="0F4761" w:themeColor="accent1" w:themeShade="BF"/>
    </w:rPr>
  </w:style>
  <w:style w:type="paragraph" w:styleId="IntensivesZitat">
    <w:name w:val="Intense Quote"/>
    <w:basedOn w:val="Standard"/>
    <w:next w:val="Standard"/>
    <w:link w:val="IntensivesZitatZchn"/>
    <w:uiPriority w:val="30"/>
    <w:qFormat/>
    <w:rsid w:val="00B24F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24FB4"/>
    <w:rPr>
      <w:i/>
      <w:iCs/>
      <w:color w:val="0F4761" w:themeColor="accent1" w:themeShade="BF"/>
    </w:rPr>
  </w:style>
  <w:style w:type="character" w:styleId="IntensiverVerweis">
    <w:name w:val="Intense Reference"/>
    <w:basedOn w:val="Absatz-Standardschriftart"/>
    <w:uiPriority w:val="32"/>
    <w:qFormat/>
    <w:rsid w:val="00B24FB4"/>
    <w:rPr>
      <w:b/>
      <w:bCs/>
      <w:smallCaps/>
      <w:color w:val="0F4761" w:themeColor="accent1" w:themeShade="BF"/>
      <w:spacing w:val="5"/>
    </w:rPr>
  </w:style>
  <w:style w:type="paragraph" w:customStyle="1" w:styleId="EndNoteBibliography">
    <w:name w:val="EndNote Bibliography"/>
    <w:basedOn w:val="Standard"/>
    <w:link w:val="EndNoteBibliographyZchn"/>
    <w:rsid w:val="00B24FB4"/>
    <w:pPr>
      <w:spacing w:line="240" w:lineRule="auto"/>
    </w:pPr>
    <w:rPr>
      <w:rFonts w:ascii="Calibri" w:hAnsi="Calibri" w:cs="Calibri"/>
      <w:noProof/>
      <w:lang w:val="en-US"/>
    </w:rPr>
  </w:style>
  <w:style w:type="character" w:customStyle="1" w:styleId="EndNoteBibliographyZchn">
    <w:name w:val="EndNote Bibliography Zchn"/>
    <w:basedOn w:val="Absatz-Standardschriftart"/>
    <w:link w:val="EndNoteBibliography"/>
    <w:rsid w:val="00B24FB4"/>
    <w:rPr>
      <w:rFonts w:ascii="Calibri" w:hAnsi="Calibri" w:cs="Calibri"/>
      <w:noProof/>
      <w:kern w:val="0"/>
      <w:lang w:val="en-US"/>
      <w14:ligatures w14:val="none"/>
    </w:rPr>
  </w:style>
  <w:style w:type="character" w:styleId="Hyperlink">
    <w:name w:val="Hyperlink"/>
    <w:basedOn w:val="Absatz-Standardschriftart"/>
    <w:uiPriority w:val="99"/>
    <w:unhideWhenUsed/>
    <w:rsid w:val="00B24FB4"/>
    <w:rPr>
      <w:color w:val="467886" w:themeColor="hyperlink"/>
      <w:u w:val="single"/>
    </w:rPr>
  </w:style>
  <w:style w:type="paragraph" w:styleId="Kopfzeile">
    <w:name w:val="header"/>
    <w:basedOn w:val="Standard"/>
    <w:link w:val="KopfzeileZchn"/>
    <w:uiPriority w:val="99"/>
    <w:unhideWhenUsed/>
    <w:rsid w:val="00B24FB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24FB4"/>
    <w:rPr>
      <w:kern w:val="0"/>
      <w14:ligatures w14:val="none"/>
    </w:rPr>
  </w:style>
  <w:style w:type="paragraph" w:styleId="Fuzeile">
    <w:name w:val="footer"/>
    <w:basedOn w:val="Standard"/>
    <w:link w:val="FuzeileZchn"/>
    <w:uiPriority w:val="99"/>
    <w:unhideWhenUsed/>
    <w:rsid w:val="00B24FB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24FB4"/>
    <w:rPr>
      <w:kern w:val="0"/>
      <w14:ligatures w14:val="none"/>
    </w:rPr>
  </w:style>
  <w:style w:type="paragraph" w:customStyle="1" w:styleId="EndNoteBibliographyTitle">
    <w:name w:val="EndNote Bibliography Title"/>
    <w:basedOn w:val="Standard"/>
    <w:link w:val="EndNoteBibliographyTitleZchn"/>
    <w:rsid w:val="00B24FB4"/>
    <w:pPr>
      <w:spacing w:after="0"/>
      <w:jc w:val="center"/>
    </w:pPr>
    <w:rPr>
      <w:rFonts w:ascii="Calibri" w:hAnsi="Calibri" w:cs="Calibri"/>
      <w:noProof/>
      <w:lang w:val="en-US"/>
    </w:rPr>
  </w:style>
  <w:style w:type="character" w:customStyle="1" w:styleId="EndNoteBibliographyTitleZchn">
    <w:name w:val="EndNote Bibliography Title Zchn"/>
    <w:basedOn w:val="EndNoteBibliographyZchn"/>
    <w:link w:val="EndNoteBibliographyTitle"/>
    <w:rsid w:val="00B24FB4"/>
    <w:rPr>
      <w:rFonts w:ascii="Calibri" w:hAnsi="Calibri" w:cs="Calibri"/>
      <w:noProof/>
      <w:kern w:val="0"/>
      <w:lang w:val="en-US"/>
      <w14:ligatures w14:val="none"/>
    </w:rPr>
  </w:style>
  <w:style w:type="character" w:customStyle="1" w:styleId="NichtaufgelsteErwhnung1">
    <w:name w:val="Nicht aufgelöste Erwähnung1"/>
    <w:basedOn w:val="Absatz-Standardschriftart"/>
    <w:uiPriority w:val="99"/>
    <w:semiHidden/>
    <w:unhideWhenUsed/>
    <w:rsid w:val="00B24FB4"/>
    <w:rPr>
      <w:color w:val="605E5C"/>
      <w:shd w:val="clear" w:color="auto" w:fill="E1DFDD"/>
    </w:rPr>
  </w:style>
  <w:style w:type="paragraph" w:styleId="Sprechblasentext">
    <w:name w:val="Balloon Text"/>
    <w:basedOn w:val="Standard"/>
    <w:link w:val="SprechblasentextZchn"/>
    <w:uiPriority w:val="99"/>
    <w:semiHidden/>
    <w:unhideWhenUsed/>
    <w:rsid w:val="00B24FB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24FB4"/>
    <w:rPr>
      <w:rFonts w:ascii="Segoe UI" w:hAnsi="Segoe UI" w:cs="Segoe UI"/>
      <w:kern w:val="0"/>
      <w:sz w:val="18"/>
      <w:szCs w:val="18"/>
      <w14:ligatures w14:val="none"/>
    </w:rPr>
  </w:style>
  <w:style w:type="character" w:styleId="NichtaufgelsteErwhnung">
    <w:name w:val="Unresolved Mention"/>
    <w:basedOn w:val="Absatz-Standardschriftart"/>
    <w:uiPriority w:val="99"/>
    <w:semiHidden/>
    <w:unhideWhenUsed/>
    <w:rsid w:val="00B24FB4"/>
    <w:rPr>
      <w:color w:val="605E5C"/>
      <w:shd w:val="clear" w:color="auto" w:fill="E1DFDD"/>
    </w:rPr>
  </w:style>
  <w:style w:type="character" w:styleId="Kommentarzeichen">
    <w:name w:val="annotation reference"/>
    <w:basedOn w:val="Absatz-Standardschriftart"/>
    <w:uiPriority w:val="99"/>
    <w:semiHidden/>
    <w:unhideWhenUsed/>
    <w:rsid w:val="00B24FB4"/>
    <w:rPr>
      <w:sz w:val="16"/>
      <w:szCs w:val="16"/>
    </w:rPr>
  </w:style>
  <w:style w:type="paragraph" w:styleId="Kommentartext">
    <w:name w:val="annotation text"/>
    <w:basedOn w:val="Standard"/>
    <w:link w:val="KommentartextZchn"/>
    <w:uiPriority w:val="99"/>
    <w:semiHidden/>
    <w:unhideWhenUsed/>
    <w:rsid w:val="00B24FB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24FB4"/>
    <w:rPr>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B24FB4"/>
    <w:rPr>
      <w:b/>
      <w:bCs/>
    </w:rPr>
  </w:style>
  <w:style w:type="character" w:customStyle="1" w:styleId="KommentarthemaZchn">
    <w:name w:val="Kommentarthema Zchn"/>
    <w:basedOn w:val="KommentartextZchn"/>
    <w:link w:val="Kommentarthema"/>
    <w:uiPriority w:val="99"/>
    <w:semiHidden/>
    <w:rsid w:val="00B24FB4"/>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amesclear.com/ivy-le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963</Words>
  <Characters>6067</Characters>
  <Application>Microsoft Office Word</Application>
  <DocSecurity>0</DocSecurity>
  <Lines>50</Lines>
  <Paragraphs>14</Paragraphs>
  <ScaleCrop>false</ScaleCrop>
  <Company>Universitätsklinikum Erlangen</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Kind, Leona</dc:creator>
  <cp:keywords/>
  <dc:description/>
  <cp:lastModifiedBy>Kind, Leona</cp:lastModifiedBy>
  <cp:revision>3</cp:revision>
  <dcterms:created xsi:type="dcterms:W3CDTF">2026-03-31T09:07:00Z</dcterms:created>
  <dcterms:modified xsi:type="dcterms:W3CDTF">2026-05-18T06:30:00Z</dcterms:modified>
</cp:coreProperties>
</file>