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imes New Roman" w:hAnsi="Times New Roman" w:cs="Times New Roman" w:eastAsiaTheme="minorEastAsia"/>
          <w:color w:val="auto"/>
          <w:kern w:val="2"/>
          <w:sz w:val="24"/>
          <w:szCs w:val="24"/>
          <w14:ligatures w14:val="standardContextual"/>
        </w:rPr>
        <w:id w:val="-1"/>
        <w:docPartObj>
          <w:docPartGallery w:val="Table of Contents"/>
          <w:docPartUnique/>
        </w:docPartObj>
      </w:sdtPr>
      <w:sdtEndPr>
        <w:rPr>
          <w:rFonts w:hint="default" w:ascii="Times New Roman Regular" w:hAnsi="Times New Roman Regular" w:cs="Times New Roman Regular" w:eastAsiaTheme="minorEastAsia"/>
          <w:b/>
          <w:bCs/>
          <w:color w:val="auto"/>
          <w:kern w:val="2"/>
          <w:sz w:val="24"/>
          <w:szCs w:val="24"/>
          <w14:ligatures w14:val="standardContextual"/>
        </w:rPr>
      </w:sdtEndPr>
      <w:sdtContent>
        <w:p w14:paraId="401CB6D8">
          <w:pPr>
            <w:pStyle w:val="41"/>
            <w:jc w:val="center"/>
            <w:rPr>
              <w:rFonts w:hint="default" w:ascii="Times New Roman Regular" w:hAnsi="Times New Roman Regular" w:cs="Times New Roman Regular"/>
              <w:b w:val="0"/>
              <w:bCs w:val="0"/>
              <w:color w:val="auto"/>
              <w:sz w:val="24"/>
              <w:szCs w:val="24"/>
            </w:rPr>
          </w:pPr>
          <w:r>
            <w:rPr>
              <w:rFonts w:hint="default" w:ascii="Times New Roman Regular" w:hAnsi="Times New Roman Regular" w:cs="Times New Roman Regular"/>
              <w:b w:val="0"/>
              <w:bCs w:val="0"/>
              <w:color w:val="auto"/>
              <w:sz w:val="24"/>
              <w:szCs w:val="24"/>
            </w:rPr>
            <w:t>Contents</w:t>
          </w:r>
        </w:p>
        <w:p w14:paraId="64B915E9">
          <w:pPr>
            <w:pStyle w:val="14"/>
            <w:tabs>
              <w:tab w:val="right" w:leader="dot" w:pos="9026"/>
            </w:tabs>
            <w:rPr>
              <w:rFonts w:hint="default" w:ascii="Times New Roman Regular" w:hAnsi="Times New Roman Regular" w:cs="Times New Roman Regular"/>
            </w:rPr>
          </w:pPr>
          <w:r>
            <w:rPr>
              <w:rFonts w:hint="default" w:ascii="Times New Roman Regular" w:hAnsi="Times New Roman Regular" w:cs="Times New Roman Regular"/>
              <w:b w:val="0"/>
              <w:bCs w:val="0"/>
              <w:sz w:val="24"/>
              <w:szCs w:val="24"/>
            </w:rPr>
            <w:fldChar w:fldCharType="begin"/>
          </w:r>
          <w:r>
            <w:rPr>
              <w:rFonts w:hint="default" w:ascii="Times New Roman Regular" w:hAnsi="Times New Roman Regular" w:cs="Times New Roman Regular"/>
              <w:b w:val="0"/>
              <w:bCs w:val="0"/>
              <w:sz w:val="24"/>
              <w:szCs w:val="24"/>
            </w:rPr>
            <w:instrText xml:space="preserve"> TOC \o "1-3" \h \z \u </w:instrText>
          </w:r>
          <w:r>
            <w:rPr>
              <w:rFonts w:hint="default" w:ascii="Times New Roman Regular" w:hAnsi="Times New Roman Regular" w:cs="Times New Roman Regular"/>
              <w:b w:val="0"/>
              <w:bCs w:val="0"/>
              <w:sz w:val="24"/>
              <w:szCs w:val="24"/>
            </w:rPr>
            <w:fldChar w:fldCharType="separate"/>
          </w:r>
          <w:r>
            <w:rPr>
              <w:rFonts w:hint="default" w:ascii="Times New Roman Regular" w:hAnsi="Times New Roman Regular" w:cs="Times New Roman Regular"/>
              <w:bCs w:val="0"/>
              <w:szCs w:val="24"/>
            </w:rPr>
            <w:fldChar w:fldCharType="begin"/>
          </w:r>
          <w:r>
            <w:rPr>
              <w:rFonts w:hint="default" w:ascii="Times New Roman Regular" w:hAnsi="Times New Roman Regular" w:cs="Times New Roman Regular"/>
              <w:bCs w:val="0"/>
              <w:szCs w:val="24"/>
            </w:rPr>
            <w:instrText xml:space="preserve"> HYPERLINK \l _Toc442521479 </w:instrText>
          </w:r>
          <w:r>
            <w:rPr>
              <w:rFonts w:hint="default" w:ascii="Times New Roman Regular" w:hAnsi="Times New Roman Regular" w:cs="Times New Roman Regular"/>
              <w:bCs w:val="0"/>
              <w:szCs w:val="24"/>
            </w:rPr>
            <w:fldChar w:fldCharType="separate"/>
          </w:r>
          <w:r>
            <w:rPr>
              <w:rFonts w:hint="default" w:ascii="Times New Roman Regular" w:hAnsi="Times New Roman Regular" w:cs="Times New Roman Regular"/>
              <w:bCs/>
              <w:szCs w:val="24"/>
            </w:rPr>
            <w:t>Text S1. Definition and Measurement of Covariates</w:t>
          </w:r>
          <w:r>
            <w:rPr>
              <w:rFonts w:hint="default" w:ascii="Times New Roman Regular" w:hAnsi="Times New Roman Regular" w:cs="Times New Roman Regular"/>
            </w:rPr>
            <w:tab/>
          </w: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PAGEREF _Toc442521479 \h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2</w:t>
          </w:r>
          <w:r>
            <w:rPr>
              <w:rFonts w:hint="default" w:ascii="Times New Roman Regular" w:hAnsi="Times New Roman Regular" w:cs="Times New Roman Regular"/>
            </w:rPr>
            <w:fldChar w:fldCharType="end"/>
          </w:r>
          <w:r>
            <w:rPr>
              <w:rFonts w:hint="default" w:ascii="Times New Roman Regular" w:hAnsi="Times New Roman Regular" w:cs="Times New Roman Regular"/>
              <w:bCs w:val="0"/>
              <w:szCs w:val="24"/>
            </w:rPr>
            <w:fldChar w:fldCharType="end"/>
          </w:r>
        </w:p>
        <w:p w14:paraId="611189BF">
          <w:pPr>
            <w:pStyle w:val="14"/>
            <w:tabs>
              <w:tab w:val="right" w:leader="dot" w:pos="9026"/>
            </w:tabs>
            <w:rPr>
              <w:rFonts w:hint="default" w:ascii="Times New Roman Regular" w:hAnsi="Times New Roman Regular" w:cs="Times New Roman Regular"/>
            </w:rPr>
          </w:pPr>
          <w:r>
            <w:rPr>
              <w:rFonts w:hint="default" w:ascii="Times New Roman Regular" w:hAnsi="Times New Roman Regular" w:cs="Times New Roman Regular"/>
              <w:bCs w:val="0"/>
              <w:szCs w:val="24"/>
            </w:rPr>
            <w:fldChar w:fldCharType="begin"/>
          </w:r>
          <w:r>
            <w:rPr>
              <w:rFonts w:hint="default" w:ascii="Times New Roman Regular" w:hAnsi="Times New Roman Regular" w:cs="Times New Roman Regular"/>
              <w:bCs w:val="0"/>
              <w:szCs w:val="24"/>
            </w:rPr>
            <w:instrText xml:space="preserve"> HYPERLINK \l _Toc722627992 </w:instrText>
          </w:r>
          <w:r>
            <w:rPr>
              <w:rFonts w:hint="default" w:ascii="Times New Roman Regular" w:hAnsi="Times New Roman Regular" w:cs="Times New Roman Regular"/>
              <w:bCs w:val="0"/>
              <w:szCs w:val="24"/>
            </w:rPr>
            <w:fldChar w:fldCharType="separate"/>
          </w:r>
          <w:r>
            <w:rPr>
              <w:rFonts w:hint="default" w:ascii="Times New Roman Regular" w:hAnsi="Times New Roman Regular" w:cs="Times New Roman Regular"/>
              <w:bCs/>
              <w:szCs w:val="24"/>
            </w:rPr>
            <w:t>Text S2. Calculation of BMI Change During Follow-up in the Surgery Group</w:t>
          </w:r>
          <w:r>
            <w:rPr>
              <w:rFonts w:hint="default" w:ascii="Times New Roman Regular" w:hAnsi="Times New Roman Regular" w:cs="Times New Roman Regular"/>
            </w:rPr>
            <w:tab/>
          </w: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PAGEREF _Toc722627992 \h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3</w:t>
          </w:r>
          <w:r>
            <w:rPr>
              <w:rFonts w:hint="default" w:ascii="Times New Roman Regular" w:hAnsi="Times New Roman Regular" w:cs="Times New Roman Regular"/>
            </w:rPr>
            <w:fldChar w:fldCharType="end"/>
          </w:r>
          <w:r>
            <w:rPr>
              <w:rFonts w:hint="default" w:ascii="Times New Roman Regular" w:hAnsi="Times New Roman Regular" w:cs="Times New Roman Regular"/>
              <w:bCs w:val="0"/>
              <w:szCs w:val="24"/>
            </w:rPr>
            <w:fldChar w:fldCharType="end"/>
          </w:r>
        </w:p>
        <w:p w14:paraId="37F25ABA">
          <w:pPr>
            <w:pStyle w:val="14"/>
            <w:tabs>
              <w:tab w:val="right" w:leader="dot" w:pos="9026"/>
            </w:tabs>
            <w:rPr>
              <w:rFonts w:hint="default" w:ascii="Times New Roman Regular" w:hAnsi="Times New Roman Regular" w:cs="Times New Roman Regular"/>
            </w:rPr>
          </w:pPr>
          <w:r>
            <w:rPr>
              <w:rFonts w:hint="default" w:ascii="Times New Roman Regular" w:hAnsi="Times New Roman Regular" w:cs="Times New Roman Regular"/>
              <w:bCs w:val="0"/>
              <w:szCs w:val="24"/>
            </w:rPr>
            <w:fldChar w:fldCharType="begin"/>
          </w:r>
          <w:r>
            <w:rPr>
              <w:rFonts w:hint="default" w:ascii="Times New Roman Regular" w:hAnsi="Times New Roman Regular" w:cs="Times New Roman Regular"/>
              <w:bCs w:val="0"/>
              <w:szCs w:val="24"/>
            </w:rPr>
            <w:instrText xml:space="preserve"> HYPERLINK \l _Toc1188637759 </w:instrText>
          </w:r>
          <w:r>
            <w:rPr>
              <w:rFonts w:hint="default" w:ascii="Times New Roman Regular" w:hAnsi="Times New Roman Regular" w:cs="Times New Roman Regular"/>
              <w:bCs w:val="0"/>
              <w:szCs w:val="24"/>
            </w:rPr>
            <w:fldChar w:fldCharType="separate"/>
          </w:r>
          <w:r>
            <w:rPr>
              <w:rFonts w:hint="default" w:ascii="Times New Roman Regular" w:hAnsi="Times New Roman Regular" w:cs="Times New Roman Regular"/>
              <w:bCs/>
              <w:szCs w:val="24"/>
            </w:rPr>
            <w:t>Table S1. New Depression Diagnoses During up to 15-Years of Follow-up</w:t>
          </w:r>
          <w:r>
            <w:rPr>
              <w:rFonts w:hint="default" w:ascii="Times New Roman Regular" w:hAnsi="Times New Roman Regular" w:cs="Times New Roman Regular"/>
            </w:rPr>
            <w:tab/>
          </w: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PAGEREF _Toc1188637759 \h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4</w:t>
          </w:r>
          <w:r>
            <w:rPr>
              <w:rFonts w:hint="default" w:ascii="Times New Roman Regular" w:hAnsi="Times New Roman Regular" w:cs="Times New Roman Regular"/>
            </w:rPr>
            <w:fldChar w:fldCharType="end"/>
          </w:r>
          <w:r>
            <w:rPr>
              <w:rFonts w:hint="default" w:ascii="Times New Roman Regular" w:hAnsi="Times New Roman Regular" w:cs="Times New Roman Regular"/>
              <w:bCs w:val="0"/>
              <w:szCs w:val="24"/>
            </w:rPr>
            <w:fldChar w:fldCharType="end"/>
          </w:r>
        </w:p>
        <w:p w14:paraId="55C1AF5F">
          <w:pPr>
            <w:pStyle w:val="14"/>
            <w:tabs>
              <w:tab w:val="right" w:leader="dot" w:pos="9026"/>
            </w:tabs>
            <w:rPr>
              <w:rFonts w:hint="default" w:ascii="Times New Roman Regular" w:hAnsi="Times New Roman Regular" w:cs="Times New Roman Regular"/>
            </w:rPr>
          </w:pPr>
          <w:r>
            <w:rPr>
              <w:rFonts w:hint="default" w:ascii="Times New Roman Regular" w:hAnsi="Times New Roman Regular" w:cs="Times New Roman Regular"/>
              <w:bCs w:val="0"/>
              <w:szCs w:val="24"/>
            </w:rPr>
            <w:fldChar w:fldCharType="begin"/>
          </w:r>
          <w:r>
            <w:rPr>
              <w:rFonts w:hint="default" w:ascii="Times New Roman Regular" w:hAnsi="Times New Roman Regular" w:cs="Times New Roman Regular"/>
              <w:bCs w:val="0"/>
              <w:szCs w:val="24"/>
            </w:rPr>
            <w:instrText xml:space="preserve"> HYPERLINK \l _Toc1541931119 </w:instrText>
          </w:r>
          <w:r>
            <w:rPr>
              <w:rFonts w:hint="default" w:ascii="Times New Roman Regular" w:hAnsi="Times New Roman Regular" w:cs="Times New Roman Regular"/>
              <w:bCs w:val="0"/>
              <w:szCs w:val="24"/>
            </w:rPr>
            <w:fldChar w:fldCharType="separate"/>
          </w:r>
          <w:r>
            <w:rPr>
              <w:rFonts w:hint="default" w:ascii="Times New Roman Regular" w:hAnsi="Times New Roman Regular" w:cs="Times New Roman Regular"/>
              <w:bCs/>
              <w:szCs w:val="24"/>
            </w:rPr>
            <w:t>Table S2. New Anxiety Diagnoses During up to 15-Years of Follow-up</w:t>
          </w:r>
          <w:r>
            <w:rPr>
              <w:rFonts w:hint="default" w:ascii="Times New Roman Regular" w:hAnsi="Times New Roman Regular" w:cs="Times New Roman Regular"/>
            </w:rPr>
            <w:tab/>
          </w: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PAGEREF _Toc1541931119 \h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5</w:t>
          </w:r>
          <w:r>
            <w:rPr>
              <w:rFonts w:hint="default" w:ascii="Times New Roman Regular" w:hAnsi="Times New Roman Regular" w:cs="Times New Roman Regular"/>
            </w:rPr>
            <w:fldChar w:fldCharType="end"/>
          </w:r>
          <w:r>
            <w:rPr>
              <w:rFonts w:hint="default" w:ascii="Times New Roman Regular" w:hAnsi="Times New Roman Regular" w:cs="Times New Roman Regular"/>
              <w:bCs w:val="0"/>
              <w:szCs w:val="24"/>
            </w:rPr>
            <w:fldChar w:fldCharType="end"/>
          </w:r>
        </w:p>
        <w:p w14:paraId="5F53BF91">
          <w:pPr>
            <w:pStyle w:val="14"/>
            <w:tabs>
              <w:tab w:val="right" w:leader="dot" w:pos="9026"/>
            </w:tabs>
            <w:rPr>
              <w:rFonts w:hint="default" w:ascii="Times New Roman Regular" w:hAnsi="Times New Roman Regular" w:cs="Times New Roman Regular"/>
            </w:rPr>
          </w:pPr>
          <w:r>
            <w:rPr>
              <w:rFonts w:hint="default" w:ascii="Times New Roman Regular" w:hAnsi="Times New Roman Regular" w:cs="Times New Roman Regular"/>
              <w:bCs w:val="0"/>
              <w:szCs w:val="24"/>
            </w:rPr>
            <w:fldChar w:fldCharType="begin"/>
          </w:r>
          <w:r>
            <w:rPr>
              <w:rFonts w:hint="default" w:ascii="Times New Roman Regular" w:hAnsi="Times New Roman Regular" w:cs="Times New Roman Regular"/>
              <w:bCs w:val="0"/>
              <w:szCs w:val="24"/>
            </w:rPr>
            <w:instrText xml:space="preserve"> HYPERLINK \l _Toc1551148684 </w:instrText>
          </w:r>
          <w:r>
            <w:rPr>
              <w:rFonts w:hint="default" w:ascii="Times New Roman Regular" w:hAnsi="Times New Roman Regular" w:cs="Times New Roman Regular"/>
              <w:bCs w:val="0"/>
              <w:szCs w:val="24"/>
            </w:rPr>
            <w:fldChar w:fldCharType="separate"/>
          </w:r>
          <w:r>
            <w:rPr>
              <w:rFonts w:hint="default" w:ascii="Times New Roman Regular" w:hAnsi="Times New Roman Regular" w:cs="Times New Roman Regular"/>
              <w:bCs/>
              <w:szCs w:val="24"/>
            </w:rPr>
            <w:t>Table S3. Associations of Bariatric Surgery and Procedure Types with Risks of Depression and Anxiety After Additional Adjustment for BMI Change</w:t>
          </w:r>
          <w:r>
            <w:rPr>
              <w:rFonts w:hint="default" w:ascii="Times New Roman Regular" w:hAnsi="Times New Roman Regular" w:cs="Times New Roman Regular"/>
            </w:rPr>
            <w:tab/>
          </w: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PAGEREF _Toc1551148684 \h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6</w:t>
          </w:r>
          <w:r>
            <w:rPr>
              <w:rFonts w:hint="default" w:ascii="Times New Roman Regular" w:hAnsi="Times New Roman Regular" w:cs="Times New Roman Regular"/>
            </w:rPr>
            <w:fldChar w:fldCharType="end"/>
          </w:r>
          <w:r>
            <w:rPr>
              <w:rFonts w:hint="default" w:ascii="Times New Roman Regular" w:hAnsi="Times New Roman Regular" w:cs="Times New Roman Regular"/>
              <w:bCs w:val="0"/>
              <w:szCs w:val="24"/>
            </w:rPr>
            <w:fldChar w:fldCharType="end"/>
          </w:r>
        </w:p>
        <w:p w14:paraId="20827B9A">
          <w:pPr>
            <w:pStyle w:val="14"/>
            <w:tabs>
              <w:tab w:val="right" w:leader="dot" w:pos="9026"/>
            </w:tabs>
            <w:rPr>
              <w:rFonts w:hint="default" w:ascii="Times New Roman Regular" w:hAnsi="Times New Roman Regular" w:cs="Times New Roman Regular"/>
            </w:rPr>
          </w:pPr>
          <w:r>
            <w:rPr>
              <w:rFonts w:hint="default" w:ascii="Times New Roman Regular" w:hAnsi="Times New Roman Regular" w:cs="Times New Roman Regular"/>
              <w:bCs w:val="0"/>
              <w:szCs w:val="24"/>
            </w:rPr>
            <w:fldChar w:fldCharType="begin"/>
          </w:r>
          <w:r>
            <w:rPr>
              <w:rFonts w:hint="default" w:ascii="Times New Roman Regular" w:hAnsi="Times New Roman Regular" w:cs="Times New Roman Regular"/>
              <w:bCs w:val="0"/>
              <w:szCs w:val="24"/>
            </w:rPr>
            <w:instrText xml:space="preserve"> HYPERLINK \l _Toc1851941055 </w:instrText>
          </w:r>
          <w:r>
            <w:rPr>
              <w:rFonts w:hint="default" w:ascii="Times New Roman Regular" w:hAnsi="Times New Roman Regular" w:cs="Times New Roman Regular"/>
              <w:bCs w:val="0"/>
              <w:szCs w:val="24"/>
            </w:rPr>
            <w:fldChar w:fldCharType="separate"/>
          </w:r>
          <w:r>
            <w:rPr>
              <w:rFonts w:hint="default" w:ascii="Times New Roman Regular" w:hAnsi="Times New Roman Regular" w:cs="Times New Roman Regular"/>
              <w:bCs/>
              <w:szCs w:val="24"/>
              <w:lang w:val="en-US" w:eastAsia="zh-CN"/>
            </w:rPr>
            <w:t>Table S4. Baseline characteristics of the study population after excluding depression and anxiety cases occurring within the first 12 months after the index date</w:t>
          </w:r>
          <w:r>
            <w:rPr>
              <w:rFonts w:hint="default" w:ascii="Times New Roman Regular" w:hAnsi="Times New Roman Regular" w:cs="Times New Roman Regular"/>
            </w:rPr>
            <w:tab/>
          </w: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PAGEREF _Toc1851941055 \h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7</w:t>
          </w:r>
          <w:r>
            <w:rPr>
              <w:rFonts w:hint="default" w:ascii="Times New Roman Regular" w:hAnsi="Times New Roman Regular" w:cs="Times New Roman Regular"/>
            </w:rPr>
            <w:fldChar w:fldCharType="end"/>
          </w:r>
          <w:r>
            <w:rPr>
              <w:rFonts w:hint="default" w:ascii="Times New Roman Regular" w:hAnsi="Times New Roman Regular" w:cs="Times New Roman Regular"/>
              <w:bCs w:val="0"/>
              <w:szCs w:val="24"/>
            </w:rPr>
            <w:fldChar w:fldCharType="end"/>
          </w:r>
        </w:p>
        <w:p w14:paraId="4D8DF805">
          <w:pPr>
            <w:pStyle w:val="14"/>
            <w:tabs>
              <w:tab w:val="right" w:leader="dot" w:pos="9026"/>
            </w:tabs>
            <w:rPr>
              <w:rFonts w:hint="default" w:ascii="Times New Roman Regular" w:hAnsi="Times New Roman Regular" w:cs="Times New Roman Regular"/>
            </w:rPr>
          </w:pPr>
          <w:r>
            <w:rPr>
              <w:rFonts w:hint="default" w:ascii="Times New Roman Regular" w:hAnsi="Times New Roman Regular" w:cs="Times New Roman Regular"/>
              <w:bCs w:val="0"/>
              <w:szCs w:val="24"/>
            </w:rPr>
            <w:fldChar w:fldCharType="begin"/>
          </w:r>
          <w:r>
            <w:rPr>
              <w:rFonts w:hint="default" w:ascii="Times New Roman Regular" w:hAnsi="Times New Roman Regular" w:cs="Times New Roman Regular"/>
              <w:bCs w:val="0"/>
              <w:szCs w:val="24"/>
            </w:rPr>
            <w:instrText xml:space="preserve"> HYPERLINK \l _Toc2092815414 </w:instrText>
          </w:r>
          <w:r>
            <w:rPr>
              <w:rFonts w:hint="default" w:ascii="Times New Roman Regular" w:hAnsi="Times New Roman Regular" w:cs="Times New Roman Regular"/>
              <w:bCs w:val="0"/>
              <w:szCs w:val="24"/>
            </w:rPr>
            <w:fldChar w:fldCharType="separate"/>
          </w:r>
          <w:r>
            <w:rPr>
              <w:rFonts w:hint="default" w:ascii="Times New Roman Regular" w:hAnsi="Times New Roman Regular" w:cs="Times New Roman Regular"/>
              <w:bCs/>
              <w:szCs w:val="24"/>
              <w:lang w:val="en-US" w:eastAsia="zh-CN"/>
            </w:rPr>
            <w:t>Table S5. Baseline characteristics of the full eligible cohort before matching</w:t>
          </w:r>
          <w:r>
            <w:rPr>
              <w:rFonts w:hint="default" w:ascii="Times New Roman Regular" w:hAnsi="Times New Roman Regular" w:cs="Times New Roman Regular"/>
            </w:rPr>
            <w:tab/>
          </w: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PAGEREF _Toc2092815414 \h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9</w:t>
          </w:r>
          <w:r>
            <w:rPr>
              <w:rFonts w:hint="default" w:ascii="Times New Roman Regular" w:hAnsi="Times New Roman Regular" w:cs="Times New Roman Regular"/>
            </w:rPr>
            <w:fldChar w:fldCharType="end"/>
          </w:r>
          <w:r>
            <w:rPr>
              <w:rFonts w:hint="default" w:ascii="Times New Roman Regular" w:hAnsi="Times New Roman Regular" w:cs="Times New Roman Regular"/>
              <w:bCs w:val="0"/>
              <w:szCs w:val="24"/>
            </w:rPr>
            <w:fldChar w:fldCharType="end"/>
          </w:r>
        </w:p>
        <w:p w14:paraId="554A6887">
          <w:pPr>
            <w:pStyle w:val="14"/>
            <w:tabs>
              <w:tab w:val="right" w:leader="dot" w:pos="9026"/>
            </w:tabs>
            <w:rPr>
              <w:rFonts w:hint="default" w:ascii="Times New Roman Regular" w:hAnsi="Times New Roman Regular" w:cs="Times New Roman Regular"/>
            </w:rPr>
          </w:pPr>
          <w:r>
            <w:rPr>
              <w:rFonts w:hint="default" w:ascii="Times New Roman Regular" w:hAnsi="Times New Roman Regular" w:cs="Times New Roman Regular"/>
              <w:bCs w:val="0"/>
              <w:szCs w:val="24"/>
            </w:rPr>
            <w:fldChar w:fldCharType="begin"/>
          </w:r>
          <w:r>
            <w:rPr>
              <w:rFonts w:hint="default" w:ascii="Times New Roman Regular" w:hAnsi="Times New Roman Regular" w:cs="Times New Roman Regular"/>
              <w:bCs w:val="0"/>
              <w:szCs w:val="24"/>
            </w:rPr>
            <w:instrText xml:space="preserve"> HYPERLINK \l _Toc314008885 </w:instrText>
          </w:r>
          <w:r>
            <w:rPr>
              <w:rFonts w:hint="default" w:ascii="Times New Roman Regular" w:hAnsi="Times New Roman Regular" w:cs="Times New Roman Regular"/>
              <w:bCs w:val="0"/>
              <w:szCs w:val="24"/>
            </w:rPr>
            <w:fldChar w:fldCharType="separate"/>
          </w:r>
          <w:r>
            <w:rPr>
              <w:rFonts w:hint="default" w:ascii="Times New Roman Regular" w:hAnsi="Times New Roman Regular" w:cs="Times New Roman Regular"/>
              <w:bCs/>
              <w:szCs w:val="24"/>
              <w:lang w:val="en-US"/>
            </w:rPr>
            <w:t>Table S6.</w:t>
          </w:r>
          <w:r>
            <w:rPr>
              <w:rFonts w:hint="default" w:ascii="Times New Roman Regular" w:hAnsi="Times New Roman Regular" w:cs="Times New Roman Regular"/>
              <w:bCs/>
              <w:szCs w:val="24"/>
              <w:lang w:val="en-US" w:eastAsia="zh-CN"/>
            </w:rPr>
            <w:t xml:space="preserve"> Baseline characteristics of patients with a baseline BMI recorded within three months before the index date</w:t>
          </w:r>
          <w:r>
            <w:rPr>
              <w:rFonts w:hint="default" w:ascii="Times New Roman Regular" w:hAnsi="Times New Roman Regular" w:cs="Times New Roman Regular"/>
            </w:rPr>
            <w:tab/>
          </w: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PAGEREF _Toc314008885 \h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11</w:t>
          </w:r>
          <w:r>
            <w:rPr>
              <w:rFonts w:hint="default" w:ascii="Times New Roman Regular" w:hAnsi="Times New Roman Regular" w:cs="Times New Roman Regular"/>
            </w:rPr>
            <w:fldChar w:fldCharType="end"/>
          </w:r>
          <w:r>
            <w:rPr>
              <w:rFonts w:hint="default" w:ascii="Times New Roman Regular" w:hAnsi="Times New Roman Regular" w:cs="Times New Roman Regular"/>
              <w:bCs w:val="0"/>
              <w:szCs w:val="24"/>
            </w:rPr>
            <w:fldChar w:fldCharType="end"/>
          </w:r>
        </w:p>
        <w:p w14:paraId="2CB916C2">
          <w:pPr>
            <w:pStyle w:val="14"/>
            <w:tabs>
              <w:tab w:val="right" w:leader="dot" w:pos="9026"/>
            </w:tabs>
            <w:rPr>
              <w:rFonts w:hint="default" w:ascii="Times New Roman Regular" w:hAnsi="Times New Roman Regular" w:cs="Times New Roman Regular"/>
            </w:rPr>
          </w:pPr>
          <w:r>
            <w:rPr>
              <w:rFonts w:hint="default" w:ascii="Times New Roman Regular" w:hAnsi="Times New Roman Regular" w:cs="Times New Roman Regular"/>
              <w:bCs w:val="0"/>
              <w:szCs w:val="24"/>
            </w:rPr>
            <w:fldChar w:fldCharType="begin"/>
          </w:r>
          <w:r>
            <w:rPr>
              <w:rFonts w:hint="default" w:ascii="Times New Roman Regular" w:hAnsi="Times New Roman Regular" w:cs="Times New Roman Regular"/>
              <w:bCs w:val="0"/>
              <w:szCs w:val="24"/>
            </w:rPr>
            <w:instrText xml:space="preserve"> HYPERLINK \l _Toc1180009516 </w:instrText>
          </w:r>
          <w:r>
            <w:rPr>
              <w:rFonts w:hint="default" w:ascii="Times New Roman Regular" w:hAnsi="Times New Roman Regular" w:cs="Times New Roman Regular"/>
              <w:bCs w:val="0"/>
              <w:szCs w:val="24"/>
            </w:rPr>
            <w:fldChar w:fldCharType="separate"/>
          </w:r>
          <w:r>
            <w:rPr>
              <w:rFonts w:hint="default" w:ascii="Times New Roman Regular" w:hAnsi="Times New Roman Regular" w:cs="Times New Roman Regular"/>
              <w:bCs/>
              <w:szCs w:val="24"/>
            </w:rPr>
            <w:t>Figure S1. Association of Bariatric Surgery with Incidence of Depression and Anxiety After Excluding Individuals with Events Within 12 Months Before the Index Date</w:t>
          </w:r>
          <w:r>
            <w:rPr>
              <w:rFonts w:hint="default" w:ascii="Times New Roman Regular" w:hAnsi="Times New Roman Regular" w:cs="Times New Roman Regular"/>
            </w:rPr>
            <w:tab/>
          </w: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PAGEREF _Toc1180009516 \h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13</w:t>
          </w:r>
          <w:r>
            <w:rPr>
              <w:rFonts w:hint="default" w:ascii="Times New Roman Regular" w:hAnsi="Times New Roman Regular" w:cs="Times New Roman Regular"/>
            </w:rPr>
            <w:fldChar w:fldCharType="end"/>
          </w:r>
          <w:r>
            <w:rPr>
              <w:rFonts w:hint="default" w:ascii="Times New Roman Regular" w:hAnsi="Times New Roman Regular" w:cs="Times New Roman Regular"/>
              <w:bCs w:val="0"/>
              <w:szCs w:val="24"/>
            </w:rPr>
            <w:fldChar w:fldCharType="end"/>
          </w:r>
        </w:p>
        <w:p w14:paraId="6F1237D0">
          <w:pPr>
            <w:pStyle w:val="14"/>
            <w:tabs>
              <w:tab w:val="right" w:leader="dot" w:pos="9026"/>
            </w:tabs>
            <w:rPr>
              <w:rFonts w:hint="default" w:ascii="Times New Roman Regular" w:hAnsi="Times New Roman Regular" w:cs="Times New Roman Regular"/>
            </w:rPr>
          </w:pPr>
          <w:r>
            <w:rPr>
              <w:rFonts w:hint="default" w:ascii="Times New Roman Regular" w:hAnsi="Times New Roman Regular" w:cs="Times New Roman Regular"/>
              <w:bCs w:val="0"/>
              <w:szCs w:val="24"/>
            </w:rPr>
            <w:fldChar w:fldCharType="begin"/>
          </w:r>
          <w:r>
            <w:rPr>
              <w:rFonts w:hint="default" w:ascii="Times New Roman Regular" w:hAnsi="Times New Roman Regular" w:cs="Times New Roman Regular"/>
              <w:bCs w:val="0"/>
              <w:szCs w:val="24"/>
            </w:rPr>
            <w:instrText xml:space="preserve"> HYPERLINK \l _Toc408455367 </w:instrText>
          </w:r>
          <w:r>
            <w:rPr>
              <w:rFonts w:hint="default" w:ascii="Times New Roman Regular" w:hAnsi="Times New Roman Regular" w:cs="Times New Roman Regular"/>
              <w:bCs w:val="0"/>
              <w:szCs w:val="24"/>
            </w:rPr>
            <w:fldChar w:fldCharType="separate"/>
          </w:r>
          <w:r>
            <w:rPr>
              <w:rFonts w:hint="default" w:ascii="Times New Roman Regular" w:hAnsi="Times New Roman Regular" w:cs="Times New Roman Regular"/>
              <w:bCs/>
              <w:szCs w:val="24"/>
            </w:rPr>
            <w:t>Figure S2. Association of Bariatric Surgery with Incidence of Depression and Anxiety by Follow-up Durations (Years)</w:t>
          </w:r>
          <w:r>
            <w:rPr>
              <w:rFonts w:hint="default" w:ascii="Times New Roman Regular" w:hAnsi="Times New Roman Regular" w:cs="Times New Roman Regular"/>
            </w:rPr>
            <w:tab/>
          </w: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PAGEREF _Toc408455367 \h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14</w:t>
          </w:r>
          <w:r>
            <w:rPr>
              <w:rFonts w:hint="default" w:ascii="Times New Roman Regular" w:hAnsi="Times New Roman Regular" w:cs="Times New Roman Regular"/>
            </w:rPr>
            <w:fldChar w:fldCharType="end"/>
          </w:r>
          <w:r>
            <w:rPr>
              <w:rFonts w:hint="default" w:ascii="Times New Roman Regular" w:hAnsi="Times New Roman Regular" w:cs="Times New Roman Regular"/>
              <w:bCs w:val="0"/>
              <w:szCs w:val="24"/>
            </w:rPr>
            <w:fldChar w:fldCharType="end"/>
          </w:r>
        </w:p>
        <w:p w14:paraId="7A80BE3B">
          <w:pPr>
            <w:pStyle w:val="14"/>
            <w:tabs>
              <w:tab w:val="right" w:leader="dot" w:pos="9026"/>
            </w:tabs>
            <w:rPr>
              <w:rFonts w:hint="default" w:ascii="Times New Roman Regular" w:hAnsi="Times New Roman Regular" w:cs="Times New Roman Regular"/>
            </w:rPr>
          </w:pPr>
          <w:r>
            <w:rPr>
              <w:rFonts w:hint="default" w:ascii="Times New Roman Regular" w:hAnsi="Times New Roman Regular" w:cs="Times New Roman Regular"/>
              <w:bCs w:val="0"/>
              <w:szCs w:val="24"/>
            </w:rPr>
            <w:fldChar w:fldCharType="begin"/>
          </w:r>
          <w:r>
            <w:rPr>
              <w:rFonts w:hint="default" w:ascii="Times New Roman Regular" w:hAnsi="Times New Roman Regular" w:cs="Times New Roman Regular"/>
              <w:bCs w:val="0"/>
              <w:szCs w:val="24"/>
            </w:rPr>
            <w:instrText xml:space="preserve"> HYPERLINK \l _Toc1551617357 </w:instrText>
          </w:r>
          <w:r>
            <w:rPr>
              <w:rFonts w:hint="default" w:ascii="Times New Roman Regular" w:hAnsi="Times New Roman Regular" w:cs="Times New Roman Regular"/>
              <w:bCs w:val="0"/>
              <w:szCs w:val="24"/>
            </w:rPr>
            <w:fldChar w:fldCharType="separate"/>
          </w:r>
          <w:r>
            <w:rPr>
              <w:rFonts w:hint="default" w:ascii="Times New Roman Regular" w:hAnsi="Times New Roman Regular" w:cs="Times New Roman Regular"/>
              <w:bCs/>
              <w:szCs w:val="24"/>
            </w:rPr>
            <w:t>Figure S3. Association of Bariatric Surgery with Incidence of Depression and Anxiety Using the Full Unmatched Control Cohort</w:t>
          </w:r>
          <w:r>
            <w:rPr>
              <w:rFonts w:hint="default" w:ascii="Times New Roman Regular" w:hAnsi="Times New Roman Regular" w:cs="Times New Roman Regular"/>
            </w:rPr>
            <w:tab/>
          </w: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PAGEREF _Toc1551617357 \h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15</w:t>
          </w:r>
          <w:r>
            <w:rPr>
              <w:rFonts w:hint="default" w:ascii="Times New Roman Regular" w:hAnsi="Times New Roman Regular" w:cs="Times New Roman Regular"/>
            </w:rPr>
            <w:fldChar w:fldCharType="end"/>
          </w:r>
          <w:r>
            <w:rPr>
              <w:rFonts w:hint="default" w:ascii="Times New Roman Regular" w:hAnsi="Times New Roman Regular" w:cs="Times New Roman Regular"/>
              <w:bCs w:val="0"/>
              <w:szCs w:val="24"/>
            </w:rPr>
            <w:fldChar w:fldCharType="end"/>
          </w:r>
        </w:p>
        <w:p w14:paraId="1C187294">
          <w:pPr>
            <w:pStyle w:val="14"/>
            <w:tabs>
              <w:tab w:val="right" w:leader="dot" w:pos="9026"/>
            </w:tabs>
            <w:rPr>
              <w:rFonts w:hint="default" w:ascii="Times New Roman Regular" w:hAnsi="Times New Roman Regular" w:cs="Times New Roman Regular"/>
            </w:rPr>
          </w:pPr>
          <w:r>
            <w:rPr>
              <w:rFonts w:hint="default" w:ascii="Times New Roman Regular" w:hAnsi="Times New Roman Regular" w:cs="Times New Roman Regular"/>
              <w:bCs w:val="0"/>
              <w:szCs w:val="24"/>
            </w:rPr>
            <w:fldChar w:fldCharType="begin"/>
          </w:r>
          <w:r>
            <w:rPr>
              <w:rFonts w:hint="default" w:ascii="Times New Roman Regular" w:hAnsi="Times New Roman Regular" w:cs="Times New Roman Regular"/>
              <w:bCs w:val="0"/>
              <w:szCs w:val="24"/>
            </w:rPr>
            <w:instrText xml:space="preserve"> HYPERLINK \l _Toc1138993578 </w:instrText>
          </w:r>
          <w:r>
            <w:rPr>
              <w:rFonts w:hint="default" w:ascii="Times New Roman Regular" w:hAnsi="Times New Roman Regular" w:cs="Times New Roman Regular"/>
              <w:bCs w:val="0"/>
              <w:szCs w:val="24"/>
            </w:rPr>
            <w:fldChar w:fldCharType="separate"/>
          </w:r>
          <w:r>
            <w:rPr>
              <w:rFonts w:hint="default" w:ascii="Times New Roman Regular" w:hAnsi="Times New Roman Regular" w:cs="Times New Roman Regular"/>
              <w:bCs/>
              <w:szCs w:val="24"/>
            </w:rPr>
            <w:t>Figure S4. Association of Bariatric Surgery with Incidence of Depression and Anxiety Among Patients with a Baseline BMI Record Within 3 Months Before the Index Date</w:t>
          </w:r>
          <w:r>
            <w:rPr>
              <w:rFonts w:hint="default" w:ascii="Times New Roman Regular" w:hAnsi="Times New Roman Regular" w:cs="Times New Roman Regular"/>
            </w:rPr>
            <w:tab/>
          </w:r>
          <w:r>
            <w:rPr>
              <w:rFonts w:hint="default" w:ascii="Times New Roman Regular" w:hAnsi="Times New Roman Regular" w:cs="Times New Roman Regular"/>
            </w:rPr>
            <w:fldChar w:fldCharType="begin"/>
          </w:r>
          <w:r>
            <w:rPr>
              <w:rFonts w:hint="default" w:ascii="Times New Roman Regular" w:hAnsi="Times New Roman Regular" w:cs="Times New Roman Regular"/>
            </w:rPr>
            <w:instrText xml:space="preserve"> PAGEREF _Toc1138993578 \h </w:instrText>
          </w:r>
          <w:r>
            <w:rPr>
              <w:rFonts w:hint="default" w:ascii="Times New Roman Regular" w:hAnsi="Times New Roman Regular" w:cs="Times New Roman Regular"/>
            </w:rPr>
            <w:fldChar w:fldCharType="separate"/>
          </w:r>
          <w:r>
            <w:rPr>
              <w:rFonts w:hint="default" w:ascii="Times New Roman Regular" w:hAnsi="Times New Roman Regular" w:cs="Times New Roman Regular"/>
            </w:rPr>
            <w:t>16</w:t>
          </w:r>
          <w:r>
            <w:rPr>
              <w:rFonts w:hint="default" w:ascii="Times New Roman Regular" w:hAnsi="Times New Roman Regular" w:cs="Times New Roman Regular"/>
            </w:rPr>
            <w:fldChar w:fldCharType="end"/>
          </w:r>
          <w:r>
            <w:rPr>
              <w:rFonts w:hint="default" w:ascii="Times New Roman Regular" w:hAnsi="Times New Roman Regular" w:cs="Times New Roman Regular"/>
              <w:bCs w:val="0"/>
              <w:szCs w:val="24"/>
            </w:rPr>
            <w:fldChar w:fldCharType="end"/>
          </w:r>
        </w:p>
        <w:p w14:paraId="289F5350">
          <w:pPr>
            <w:rPr>
              <w:rFonts w:hint="default" w:ascii="Times New Roman Regular" w:hAnsi="Times New Roman Regular" w:cs="Times New Roman Regular"/>
              <w:sz w:val="24"/>
              <w:szCs w:val="24"/>
            </w:rPr>
          </w:pPr>
          <w:r>
            <w:rPr>
              <w:rFonts w:hint="default" w:ascii="Times New Roman Regular" w:hAnsi="Times New Roman Regular" w:cs="Times New Roman Regular"/>
              <w:bCs w:val="0"/>
              <w:szCs w:val="24"/>
            </w:rPr>
            <w:fldChar w:fldCharType="end"/>
          </w:r>
        </w:p>
      </w:sdtContent>
    </w:sdt>
    <w:p w14:paraId="3869B547">
      <w:pPr>
        <w:rPr>
          <w:rFonts w:ascii="Times New Roman" w:hAnsi="Times New Roman" w:cs="Times New Roman"/>
        </w:rPr>
      </w:pPr>
    </w:p>
    <w:p w14:paraId="3A7061AA">
      <w:pPr>
        <w:rPr>
          <w:rFonts w:ascii="Times New Roman" w:hAnsi="Times New Roman" w:cs="Times New Roman"/>
        </w:rPr>
      </w:pPr>
    </w:p>
    <w:p w14:paraId="6285A061">
      <w:pPr>
        <w:rPr>
          <w:rFonts w:ascii="Times New Roman" w:hAnsi="Times New Roman" w:cs="Times New Roman"/>
        </w:rPr>
      </w:pPr>
    </w:p>
    <w:p w14:paraId="1473C8F4">
      <w:pPr>
        <w:rPr>
          <w:rFonts w:ascii="Times New Roman" w:hAnsi="Times New Roman" w:cs="Times New Roman"/>
        </w:rPr>
      </w:pPr>
    </w:p>
    <w:p w14:paraId="77E6CBF2">
      <w:pPr>
        <w:rPr>
          <w:rFonts w:ascii="Times New Roman" w:hAnsi="Times New Roman" w:cs="Times New Roman"/>
        </w:rPr>
      </w:pPr>
    </w:p>
    <w:p w14:paraId="00F46CCA">
      <w:pPr>
        <w:rPr>
          <w:rFonts w:ascii="Times New Roman" w:hAnsi="Times New Roman" w:cs="Times New Roman"/>
        </w:rPr>
      </w:pPr>
    </w:p>
    <w:p w14:paraId="35420B7C">
      <w:pPr>
        <w:rPr>
          <w:rFonts w:ascii="Times New Roman" w:hAnsi="Times New Roman" w:cs="Times New Roman"/>
        </w:rPr>
      </w:pPr>
    </w:p>
    <w:p w14:paraId="1ABE41D8">
      <w:pPr>
        <w:rPr>
          <w:rFonts w:ascii="Times New Roman" w:hAnsi="Times New Roman" w:cs="Times New Roman"/>
        </w:rPr>
      </w:pPr>
    </w:p>
    <w:p w14:paraId="44A080C3">
      <w:pPr>
        <w:rPr>
          <w:rFonts w:ascii="Times New Roman" w:hAnsi="Times New Roman" w:cs="Times New Roman"/>
        </w:rPr>
      </w:pPr>
    </w:p>
    <w:p w14:paraId="209814BE">
      <w:pPr>
        <w:rPr>
          <w:rFonts w:ascii="Times New Roman" w:hAnsi="Times New Roman" w:cs="Times New Roman"/>
        </w:rPr>
      </w:pPr>
    </w:p>
    <w:p w14:paraId="50BF169A">
      <w:pPr>
        <w:rPr>
          <w:rFonts w:ascii="Times New Roman" w:hAnsi="Times New Roman" w:cs="Times New Roman"/>
        </w:rPr>
      </w:pPr>
    </w:p>
    <w:p w14:paraId="01723641">
      <w:pPr>
        <w:pStyle w:val="2"/>
        <w:bidi w:val="0"/>
        <w:rPr>
          <w:rFonts w:hint="default" w:ascii="Times New Roman Bold" w:hAnsi="Times New Roman Bold" w:cs="Times New Roman Bold"/>
          <w:b/>
          <w:bCs/>
          <w:color w:val="auto"/>
          <w:sz w:val="24"/>
          <w:szCs w:val="24"/>
        </w:rPr>
      </w:pPr>
      <w:bookmarkStart w:id="0" w:name="_Toc442521479"/>
      <w:r>
        <w:rPr>
          <w:rFonts w:hint="default" w:ascii="Times New Roman Bold" w:hAnsi="Times New Roman Bold" w:cs="Times New Roman Bold"/>
          <w:b/>
          <w:bCs/>
          <w:color w:val="auto"/>
          <w:sz w:val="24"/>
          <w:szCs w:val="24"/>
        </w:rPr>
        <w:t>Text S1. Definition and Measurement of Covariates</w:t>
      </w:r>
      <w:bookmarkEnd w:id="0"/>
    </w:p>
    <w:p w14:paraId="1597FDDC">
      <w:pPr>
        <w:spacing w:line="480" w:lineRule="auto"/>
        <w:rPr>
          <w:rFonts w:ascii="Times New Roman" w:hAnsi="Times New Roman" w:cs="Times New Roman"/>
        </w:rPr>
      </w:pPr>
      <w:r>
        <w:rPr>
          <w:rFonts w:ascii="Times New Roman" w:hAnsi="Times New Roman" w:cs="Times New Roman"/>
        </w:rPr>
        <w:t>We adjusted for the following confounders at baseline: age; sex; self-reported ethnicity (classified as White, Asian, Black, Mixed, and other ethnic groups); socioeconomic status (classified into quintiles using the Townsend score, an area-based deprivation score); marital status (classified as single, married, widowed, divorced, separated); smoking status (divided into non-smoker, ex-smoker, or current-smoker); drinking status (divided into non-drinker, ex-drinker, or current-drinker); physical activity (divided into undertaking limited/light exercise, or regular exercise); obesity-related comorbidities such as CVD, hypertension, type 2 diabetes, chronic obstructive pulmonary disease, obstructive sleep apnoea, renal failure, thyroid disease, non-diabetic hyperglycaemia, anaemia, multiple sclerosis, inflammatory bowel disease, eczema. Classifications of presence or absence of diseases were recorded through clinical codes, or if the participant had been referred to specialist services for management of any of these conditions. Missing data on any of these confounders were coded as “unknown” and entered as a separate category. Code lists for these conditions are available in supplementary materials (Codelist</w:t>
      </w:r>
      <w:r>
        <w:rPr>
          <w:rFonts w:hint="eastAsia" w:ascii="Times New Roman" w:hAnsi="Times New Roman" w:cs="Times New Roman"/>
        </w:rPr>
        <w:t>.xlsx</w:t>
      </w:r>
      <w:r>
        <w:rPr>
          <w:rFonts w:ascii="Times New Roman" w:hAnsi="Times New Roman" w:cs="Times New Roman"/>
        </w:rPr>
        <w:t>).</w:t>
      </w:r>
    </w:p>
    <w:p w14:paraId="3551AFBB">
      <w:pPr>
        <w:rPr>
          <w:rFonts w:ascii="Times New Roman" w:hAnsi="Times New Roman" w:cs="Times New Roman"/>
          <w:b/>
          <w:bCs/>
        </w:rPr>
      </w:pPr>
      <w:r>
        <w:rPr>
          <w:rFonts w:ascii="Times New Roman" w:hAnsi="Times New Roman" w:cs="Times New Roman"/>
          <w:b/>
          <w:bCs/>
        </w:rPr>
        <w:br w:type="page"/>
      </w:r>
    </w:p>
    <w:p w14:paraId="758519C7">
      <w:pPr>
        <w:pStyle w:val="2"/>
        <w:rPr>
          <w:rFonts w:ascii="Times New Roman" w:hAnsi="Times New Roman" w:cs="Times New Roman"/>
          <w:b/>
          <w:bCs/>
          <w:color w:val="auto"/>
          <w:sz w:val="24"/>
          <w:szCs w:val="24"/>
        </w:rPr>
      </w:pPr>
      <w:bookmarkStart w:id="1" w:name="_Toc722627992"/>
      <w:r>
        <w:rPr>
          <w:rFonts w:ascii="Times New Roman" w:hAnsi="Times New Roman" w:cs="Times New Roman"/>
          <w:b/>
          <w:bCs/>
          <w:color w:val="auto"/>
          <w:sz w:val="24"/>
          <w:szCs w:val="24"/>
        </w:rPr>
        <w:t xml:space="preserve">Text </w:t>
      </w:r>
      <w:r>
        <w:rPr>
          <w:rFonts w:hint="eastAsia" w:ascii="Times New Roman" w:hAnsi="Times New Roman" w:cs="Times New Roman"/>
          <w:b/>
          <w:bCs/>
          <w:color w:val="auto"/>
          <w:sz w:val="24"/>
          <w:szCs w:val="24"/>
        </w:rPr>
        <w:t>S2</w:t>
      </w:r>
      <w:r>
        <w:rPr>
          <w:rFonts w:ascii="Times New Roman" w:hAnsi="Times New Roman" w:cs="Times New Roman"/>
          <w:b/>
          <w:bCs/>
          <w:color w:val="auto"/>
          <w:sz w:val="24"/>
          <w:szCs w:val="24"/>
        </w:rPr>
        <w:t>. Calculation of BMI Change During Follow-up in the Surgery Group</w:t>
      </w:r>
      <w:bookmarkEnd w:id="1"/>
    </w:p>
    <w:p w14:paraId="0E3AF117">
      <w:pPr>
        <w:rPr>
          <w:rFonts w:ascii="Times New Roman" w:hAnsi="Times New Roman" w:cs="Times New Roman"/>
        </w:rPr>
      </w:pPr>
      <w:r>
        <w:rPr>
          <w:rFonts w:ascii="Times New Roman" w:hAnsi="Times New Roman" w:cs="Times New Roman"/>
        </w:rPr>
        <w:t>BMI change during follow-up was estimated as a time-weighted average difference</w:t>
      </w:r>
      <w:bookmarkStart w:id="17" w:name="_GoBack"/>
      <w:bookmarkEnd w:id="17"/>
      <w:r>
        <w:rPr>
          <w:rFonts w:ascii="Times New Roman" w:hAnsi="Times New Roman" w:cs="Times New Roman"/>
        </w:rPr>
        <w:t xml:space="preserve"> from baseline (index date) to the last BMI measurement before incident depression or anxiety, or to the last available follow-up in those without such events. This analysis included only individuals with at least two BMI measurements, including baseline. </w:t>
      </w:r>
      <w:r>
        <w:rPr>
          <w:rFonts w:hint="eastAsia" w:ascii="Times New Roman" w:hAnsi="Times New Roman" w:cs="Times New Roman"/>
        </w:rPr>
        <w:t>BMI measurements were obtained from routine primary care records between the index date and the end of follow-up (i.e., the date of outcome occurrence or censoring). The mean number of BMI measurements was 8.1 in the bariatric surgery group and 8.4 in the control group, and 18.2% of participants had only two BMI measurements during follow-up.</w:t>
      </w:r>
      <w:r>
        <w:rPr>
          <w:rFonts w:hint="eastAsia" w:ascii="Times New Roman" w:hAnsi="Times New Roman" w:cs="Times New Roman"/>
          <w:lang w:val="en-US" w:eastAsia="zh-CN"/>
        </w:rPr>
        <w:t xml:space="preserve"> </w:t>
      </w:r>
      <w:r>
        <w:rPr>
          <w:rFonts w:ascii="Times New Roman" w:hAnsi="Times New Roman" w:cs="Times New Roman"/>
        </w:rPr>
        <w:t>BMI change during follow-up was calculated using the following formula:</w:t>
      </w:r>
    </w:p>
    <w:p w14:paraId="063FB455">
      <w:pPr>
        <w:rPr>
          <w:rFonts w:ascii="Times New Roman" w:hAnsi="Times New Roman" w:cs="Times New Roman"/>
        </w:rPr>
      </w:pPr>
      <m:oMathPara>
        <m:oMath>
          <m:sSub>
            <m:sSubPr>
              <m:ctrlPr>
                <w:rPr>
                  <w:rFonts w:ascii="Cambria Math" w:hAnsi="Cambria Math" w:cs="Times New Roman"/>
                  <w:sz w:val="22"/>
                  <w:szCs w:val="22"/>
                </w:rPr>
              </m:ctrlPr>
            </m:sSubPr>
            <m:e>
              <m:r>
                <m:rPr>
                  <m:sty m:val="p"/>
                </m:rPr>
                <w:rPr>
                  <w:rFonts w:ascii="Cambria Math" w:hAnsi="Cambria Math" w:cs="Times New Roman"/>
                  <w:sz w:val="22"/>
                  <w:szCs w:val="22"/>
                </w:rPr>
                <m:t>BMI</m:t>
              </m:r>
              <m:ctrlPr>
                <w:rPr>
                  <w:rFonts w:ascii="Cambria Math" w:hAnsi="Cambria Math" w:cs="Times New Roman"/>
                  <w:sz w:val="22"/>
                  <w:szCs w:val="22"/>
                </w:rPr>
              </m:ctrlPr>
            </m:e>
            <m:sub>
              <m:r>
                <m:rPr>
                  <m:sty m:val="p"/>
                </m:rPr>
                <w:rPr>
                  <w:rFonts w:ascii="Cambria Math" w:hAnsi="Cambria Math" w:cs="Times New Roman"/>
                  <w:sz w:val="22"/>
                  <w:szCs w:val="22"/>
                </w:rPr>
                <m:t>change</m:t>
              </m:r>
              <m:ctrlPr>
                <w:rPr>
                  <w:rFonts w:ascii="Cambria Math" w:hAnsi="Cambria Math" w:cs="Times New Roman"/>
                  <w:sz w:val="22"/>
                  <w:szCs w:val="22"/>
                </w:rPr>
              </m:ctrlPr>
            </m:sub>
          </m:sSub>
          <m:r>
            <m:rPr>
              <m:sty m:val="p"/>
            </m:rPr>
            <w:rPr>
              <w:rFonts w:ascii="Cambria Math" w:hAnsi="Cambria Math" w:cs="Times New Roman"/>
              <w:sz w:val="22"/>
              <w:szCs w:val="22"/>
            </w:rPr>
            <m:t>=</m:t>
          </m:r>
          <m:nary>
            <m:naryPr>
              <m:chr m:val="∑"/>
              <m:limLoc m:val="undOvr"/>
              <m:subHide m:val="1"/>
              <m:supHide m:val="1"/>
              <m:ctrlPr>
                <w:rPr>
                  <w:rFonts w:ascii="Cambria Math" w:hAnsi="Cambria Math" w:cs="Times New Roman"/>
                  <w:iCs/>
                  <w:sz w:val="22"/>
                  <w:szCs w:val="22"/>
                </w:rPr>
              </m:ctrlPr>
            </m:naryPr>
            <m:sub>
              <m:ctrlPr>
                <w:rPr>
                  <w:rFonts w:ascii="Cambria Math" w:hAnsi="Cambria Math" w:cs="Times New Roman"/>
                  <w:iCs/>
                  <w:sz w:val="22"/>
                  <w:szCs w:val="22"/>
                </w:rPr>
              </m:ctrlPr>
            </m:sub>
            <m:sup>
              <m:ctrlPr>
                <w:rPr>
                  <w:rFonts w:ascii="Cambria Math" w:hAnsi="Cambria Math" w:cs="Times New Roman"/>
                  <w:iCs/>
                  <w:sz w:val="22"/>
                  <w:szCs w:val="22"/>
                </w:rPr>
              </m:ctrlPr>
            </m:sup>
            <m:e>
              <m:r>
                <m:rPr>
                  <m:sty m:val="p"/>
                </m:rPr>
                <w:rPr>
                  <w:rFonts w:ascii="Cambria Math" w:hAnsi="Cambria Math" w:cs="Times New Roman"/>
                  <w:sz w:val="22"/>
                  <w:szCs w:val="22"/>
                </w:rPr>
                <m:t>(BM</m:t>
              </m:r>
              <m:sSub>
                <m:sSubPr>
                  <m:ctrlPr>
                    <w:rPr>
                      <w:rFonts w:ascii="Cambria Math" w:hAnsi="Cambria Math" w:cs="Times New Roman"/>
                      <w:iCs/>
                      <w:sz w:val="22"/>
                      <w:szCs w:val="22"/>
                    </w:rPr>
                  </m:ctrlPr>
                </m:sSubPr>
                <m:e>
                  <m:r>
                    <m:rPr>
                      <m:sty m:val="p"/>
                    </m:rPr>
                    <w:rPr>
                      <w:rFonts w:ascii="Cambria Math" w:hAnsi="Cambria Math" w:cs="Times New Roman"/>
                      <w:sz w:val="22"/>
                      <w:szCs w:val="22"/>
                    </w:rPr>
                    <m:t>I</m:t>
                  </m:r>
                  <m:ctrlPr>
                    <w:rPr>
                      <w:rFonts w:ascii="Cambria Math" w:hAnsi="Cambria Math" w:cs="Times New Roman"/>
                      <w:iCs/>
                      <w:sz w:val="22"/>
                      <w:szCs w:val="22"/>
                    </w:rPr>
                  </m:ctrlPr>
                </m:e>
                <m:sub>
                  <m:r>
                    <m:rPr>
                      <m:sty m:val="p"/>
                    </m:rPr>
                    <w:rPr>
                      <w:rFonts w:ascii="Cambria Math" w:hAnsi="Cambria Math" w:cs="Times New Roman"/>
                      <w:sz w:val="22"/>
                      <w:szCs w:val="22"/>
                    </w:rPr>
                    <m:t>i</m:t>
                  </m:r>
                  <m:ctrlPr>
                    <w:rPr>
                      <w:rFonts w:ascii="Cambria Math" w:hAnsi="Cambria Math" w:cs="Times New Roman"/>
                      <w:iCs/>
                      <w:sz w:val="22"/>
                      <w:szCs w:val="22"/>
                    </w:rPr>
                  </m:ctrlPr>
                </m:sub>
              </m:sSub>
              <m:r>
                <m:rPr>
                  <m:sty m:val="p"/>
                </m:rPr>
                <w:rPr>
                  <w:rFonts w:ascii="Cambria Math" w:hAnsi="Cambria Math" w:cs="Times New Roman"/>
                  <w:sz w:val="22"/>
                  <w:szCs w:val="22"/>
                </w:rPr>
                <m:t>−BM</m:t>
              </m:r>
              <m:sSub>
                <m:sSubPr>
                  <m:ctrlPr>
                    <w:rPr>
                      <w:rFonts w:ascii="Cambria Math" w:hAnsi="Cambria Math" w:cs="Times New Roman"/>
                      <w:iCs/>
                      <w:sz w:val="22"/>
                      <w:szCs w:val="22"/>
                    </w:rPr>
                  </m:ctrlPr>
                </m:sSubPr>
                <m:e>
                  <m:r>
                    <m:rPr>
                      <m:sty m:val="p"/>
                    </m:rPr>
                    <w:rPr>
                      <w:rFonts w:ascii="Cambria Math" w:hAnsi="Cambria Math" w:cs="Times New Roman"/>
                      <w:sz w:val="22"/>
                      <w:szCs w:val="22"/>
                    </w:rPr>
                    <m:t>I</m:t>
                  </m:r>
                  <m:ctrlPr>
                    <w:rPr>
                      <w:rFonts w:ascii="Cambria Math" w:hAnsi="Cambria Math" w:cs="Times New Roman"/>
                      <w:iCs/>
                      <w:sz w:val="22"/>
                      <w:szCs w:val="22"/>
                    </w:rPr>
                  </m:ctrlPr>
                </m:e>
                <m:sub>
                  <m:r>
                    <m:rPr>
                      <m:sty m:val="p"/>
                    </m:rPr>
                    <w:rPr>
                      <w:rFonts w:ascii="Cambria Math" w:hAnsi="Cambria Math" w:cs="Times New Roman"/>
                      <w:sz w:val="22"/>
                      <w:szCs w:val="22"/>
                    </w:rPr>
                    <m:t>i−1</m:t>
                  </m:r>
                  <m:ctrlPr>
                    <w:rPr>
                      <w:rFonts w:ascii="Cambria Math" w:hAnsi="Cambria Math" w:cs="Times New Roman"/>
                      <w:iCs/>
                      <w:sz w:val="22"/>
                      <w:szCs w:val="22"/>
                    </w:rPr>
                  </m:ctrlPr>
                </m:sub>
              </m:sSub>
              <m:r>
                <m:rPr>
                  <m:sty m:val="p"/>
                </m:rPr>
                <w:rPr>
                  <w:rFonts w:ascii="Cambria Math" w:hAnsi="Cambria Math" w:cs="Times New Roman"/>
                  <w:sz w:val="22"/>
                  <w:szCs w:val="22"/>
                </w:rPr>
                <m:t>)×(</m:t>
              </m:r>
              <m:sSub>
                <m:sSubPr>
                  <m:ctrlPr>
                    <w:rPr>
                      <w:rFonts w:ascii="Cambria Math" w:hAnsi="Cambria Math" w:cs="Times New Roman"/>
                      <w:iCs/>
                      <w:sz w:val="22"/>
                      <w:szCs w:val="22"/>
                    </w:rPr>
                  </m:ctrlPr>
                </m:sSubPr>
                <m:e>
                  <m:r>
                    <m:rPr>
                      <m:sty m:val="p"/>
                    </m:rPr>
                    <w:rPr>
                      <w:rFonts w:ascii="Cambria Math" w:hAnsi="Cambria Math" w:cs="Times New Roman"/>
                      <w:sz w:val="22"/>
                      <w:szCs w:val="22"/>
                    </w:rPr>
                    <m:t>t</m:t>
                  </m:r>
                  <m:ctrlPr>
                    <w:rPr>
                      <w:rFonts w:ascii="Cambria Math" w:hAnsi="Cambria Math" w:cs="Times New Roman"/>
                      <w:iCs/>
                      <w:sz w:val="22"/>
                      <w:szCs w:val="22"/>
                    </w:rPr>
                  </m:ctrlPr>
                </m:e>
                <m:sub>
                  <m:r>
                    <m:rPr>
                      <m:sty m:val="p"/>
                    </m:rPr>
                    <w:rPr>
                      <w:rFonts w:ascii="Cambria Math" w:hAnsi="Cambria Math" w:cs="Times New Roman"/>
                      <w:sz w:val="22"/>
                      <w:szCs w:val="22"/>
                    </w:rPr>
                    <m:t>i</m:t>
                  </m:r>
                  <m:ctrlPr>
                    <w:rPr>
                      <w:rFonts w:ascii="Cambria Math" w:hAnsi="Cambria Math" w:cs="Times New Roman"/>
                      <w:iCs/>
                      <w:sz w:val="22"/>
                      <w:szCs w:val="22"/>
                    </w:rPr>
                  </m:ctrlPr>
                </m:sub>
              </m:sSub>
              <m:r>
                <m:rPr>
                  <m:sty m:val="p"/>
                </m:rPr>
                <w:rPr>
                  <w:rFonts w:ascii="Cambria Math" w:hAnsi="Cambria Math" w:cs="Times New Roman"/>
                  <w:sz w:val="22"/>
                  <w:szCs w:val="22"/>
                </w:rPr>
                <m:t>−</m:t>
              </m:r>
              <m:sSub>
                <m:sSubPr>
                  <m:ctrlPr>
                    <w:rPr>
                      <w:rFonts w:ascii="Cambria Math" w:hAnsi="Cambria Math" w:cs="Times New Roman"/>
                      <w:iCs/>
                      <w:sz w:val="22"/>
                      <w:szCs w:val="22"/>
                    </w:rPr>
                  </m:ctrlPr>
                </m:sSubPr>
                <m:e>
                  <m:r>
                    <m:rPr>
                      <m:sty m:val="p"/>
                    </m:rPr>
                    <w:rPr>
                      <w:rFonts w:ascii="Cambria Math" w:hAnsi="Cambria Math" w:cs="Times New Roman"/>
                      <w:sz w:val="22"/>
                      <w:szCs w:val="22"/>
                    </w:rPr>
                    <m:t>t</m:t>
                  </m:r>
                  <m:ctrlPr>
                    <w:rPr>
                      <w:rFonts w:ascii="Cambria Math" w:hAnsi="Cambria Math" w:cs="Times New Roman"/>
                      <w:iCs/>
                      <w:sz w:val="22"/>
                      <w:szCs w:val="22"/>
                    </w:rPr>
                  </m:ctrlPr>
                </m:e>
                <m:sub>
                  <m:r>
                    <m:rPr>
                      <m:sty m:val="p"/>
                    </m:rPr>
                    <w:rPr>
                      <w:rFonts w:ascii="Cambria Math" w:hAnsi="Cambria Math" w:cs="Times New Roman"/>
                      <w:sz w:val="22"/>
                      <w:szCs w:val="22"/>
                    </w:rPr>
                    <m:t>i−1</m:t>
                  </m:r>
                  <m:ctrlPr>
                    <w:rPr>
                      <w:rFonts w:ascii="Cambria Math" w:hAnsi="Cambria Math" w:cs="Times New Roman"/>
                      <w:iCs/>
                      <w:sz w:val="22"/>
                      <w:szCs w:val="22"/>
                    </w:rPr>
                  </m:ctrlPr>
                </m:sub>
              </m:sSub>
              <m:r>
                <m:rPr>
                  <m:sty m:val="p"/>
                </m:rPr>
                <w:rPr>
                  <w:rFonts w:ascii="Cambria Math" w:hAnsi="Cambria Math" w:cs="Times New Roman"/>
                  <w:sz w:val="22"/>
                  <w:szCs w:val="22"/>
                </w:rPr>
                <m:t>)/(</m:t>
              </m:r>
              <m:sSub>
                <m:sSubPr>
                  <m:ctrlPr>
                    <w:rPr>
                      <w:rFonts w:ascii="Cambria Math" w:hAnsi="Cambria Math" w:cs="Times New Roman"/>
                      <w:iCs/>
                      <w:sz w:val="22"/>
                      <w:szCs w:val="22"/>
                    </w:rPr>
                  </m:ctrlPr>
                </m:sSubPr>
                <m:e>
                  <m:r>
                    <m:rPr>
                      <m:sty m:val="p"/>
                    </m:rPr>
                    <w:rPr>
                      <w:rFonts w:ascii="Cambria Math" w:hAnsi="Cambria Math" w:cs="Times New Roman"/>
                      <w:sz w:val="22"/>
                      <w:szCs w:val="22"/>
                    </w:rPr>
                    <m:t>t</m:t>
                  </m:r>
                  <m:ctrlPr>
                    <w:rPr>
                      <w:rFonts w:ascii="Cambria Math" w:hAnsi="Cambria Math" w:cs="Times New Roman"/>
                      <w:iCs/>
                      <w:sz w:val="22"/>
                      <w:szCs w:val="22"/>
                    </w:rPr>
                  </m:ctrlPr>
                </m:e>
                <m:sub>
                  <m:r>
                    <m:rPr>
                      <m:sty m:val="p"/>
                    </m:rPr>
                    <w:rPr>
                      <w:rFonts w:ascii="Cambria Math" w:hAnsi="Cambria Math" w:cs="Times New Roman"/>
                      <w:sz w:val="22"/>
                      <w:szCs w:val="22"/>
                    </w:rPr>
                    <m:t>last</m:t>
                  </m:r>
                  <m:ctrlPr>
                    <w:rPr>
                      <w:rFonts w:ascii="Cambria Math" w:hAnsi="Cambria Math" w:cs="Times New Roman"/>
                      <w:iCs/>
                      <w:sz w:val="22"/>
                      <w:szCs w:val="22"/>
                    </w:rPr>
                  </m:ctrlPr>
                </m:sub>
              </m:sSub>
              <m:r>
                <m:rPr>
                  <m:sty m:val="p"/>
                </m:rPr>
                <w:rPr>
                  <w:rFonts w:ascii="Cambria Math" w:hAnsi="Cambria Math" w:cs="Times New Roman"/>
                  <w:sz w:val="22"/>
                  <w:szCs w:val="22"/>
                </w:rPr>
                <m:t>−</m:t>
              </m:r>
              <m:sSub>
                <m:sSubPr>
                  <m:ctrlPr>
                    <w:rPr>
                      <w:rFonts w:ascii="Cambria Math" w:hAnsi="Cambria Math" w:cs="Times New Roman"/>
                      <w:iCs/>
                      <w:sz w:val="22"/>
                      <w:szCs w:val="22"/>
                    </w:rPr>
                  </m:ctrlPr>
                </m:sSubPr>
                <m:e>
                  <m:r>
                    <m:rPr>
                      <m:sty m:val="p"/>
                    </m:rPr>
                    <w:rPr>
                      <w:rFonts w:ascii="Cambria Math" w:hAnsi="Cambria Math" w:cs="Times New Roman"/>
                      <w:sz w:val="22"/>
                      <w:szCs w:val="22"/>
                    </w:rPr>
                    <m:t>t</m:t>
                  </m:r>
                  <m:ctrlPr>
                    <w:rPr>
                      <w:rFonts w:ascii="Cambria Math" w:hAnsi="Cambria Math" w:cs="Times New Roman"/>
                      <w:iCs/>
                      <w:sz w:val="22"/>
                      <w:szCs w:val="22"/>
                    </w:rPr>
                  </m:ctrlPr>
                </m:e>
                <m:sub>
                  <m:r>
                    <m:rPr>
                      <m:sty m:val="p"/>
                    </m:rPr>
                    <w:rPr>
                      <w:rFonts w:ascii="Cambria Math" w:hAnsi="Cambria Math" w:cs="Times New Roman"/>
                      <w:sz w:val="22"/>
                      <w:szCs w:val="22"/>
                    </w:rPr>
                    <m:t>baseline</m:t>
                  </m:r>
                  <m:ctrlPr>
                    <w:rPr>
                      <w:rFonts w:ascii="Cambria Math" w:hAnsi="Cambria Math" w:cs="Times New Roman"/>
                      <w:iCs/>
                      <w:sz w:val="22"/>
                      <w:szCs w:val="22"/>
                    </w:rPr>
                  </m:ctrlPr>
                </m:sub>
              </m:sSub>
              <m:r>
                <m:rPr>
                  <m:sty m:val="p"/>
                </m:rPr>
                <w:rPr>
                  <w:rFonts w:ascii="Cambria Math" w:hAnsi="Cambria Math" w:cs="Times New Roman"/>
                  <w:sz w:val="22"/>
                  <w:szCs w:val="22"/>
                </w:rPr>
                <m:t>)</m:t>
              </m:r>
              <m:ctrlPr>
                <w:rPr>
                  <w:rFonts w:ascii="Cambria Math" w:hAnsi="Cambria Math" w:cs="Times New Roman"/>
                  <w:iCs/>
                  <w:sz w:val="22"/>
                  <w:szCs w:val="22"/>
                </w:rPr>
              </m:ctrlPr>
            </m:e>
          </m:nary>
        </m:oMath>
      </m:oMathPara>
    </w:p>
    <w:p w14:paraId="54F5E477">
      <w:pPr>
        <w:rPr>
          <w:rFonts w:ascii="Times New Roman" w:hAnsi="Times New Roman" w:cs="Times New Roman"/>
        </w:rPr>
      </w:pPr>
      <w:r>
        <w:rPr>
          <w:rFonts w:ascii="Times New Roman" w:hAnsi="Times New Roman" w:cs="Times New Roman"/>
        </w:rPr>
        <w:t xml:space="preserve">where </w:t>
      </w:r>
      <m:oMath>
        <m:r>
          <m:rPr>
            <m:sty m:val="p"/>
          </m:rPr>
          <w:rPr>
            <w:rFonts w:ascii="Cambria Math" w:hAnsi="Cambria Math" w:cs="Times New Roman"/>
          </w:rPr>
          <m:t>BM</m:t>
        </m:r>
        <m:sSub>
          <m:sSubPr>
            <m:ctrlPr>
              <w:rPr>
                <w:rFonts w:ascii="Cambria Math" w:hAnsi="Cambria Math" w:cs="Times New Roman"/>
                <w:iCs/>
              </w:rPr>
            </m:ctrlPr>
          </m:sSubPr>
          <m:e>
            <m:r>
              <m:rPr>
                <m:sty m:val="p"/>
              </m:rPr>
              <w:rPr>
                <w:rFonts w:ascii="Cambria Math" w:hAnsi="Cambria Math" w:cs="Times New Roman"/>
              </w:rPr>
              <m:t>I</m:t>
            </m:r>
            <m:ctrlPr>
              <w:rPr>
                <w:rFonts w:ascii="Cambria Math" w:hAnsi="Cambria Math" w:cs="Times New Roman"/>
                <w:iCs/>
              </w:rPr>
            </m:ctrlPr>
          </m:e>
          <m:sub>
            <m:r>
              <m:rPr>
                <m:sty m:val="p"/>
              </m:rPr>
              <w:rPr>
                <w:rFonts w:ascii="Cambria Math" w:hAnsi="Cambria Math" w:cs="Times New Roman"/>
              </w:rPr>
              <m:t>i</m:t>
            </m:r>
            <m:ctrlPr>
              <w:rPr>
                <w:rFonts w:ascii="Cambria Math" w:hAnsi="Cambria Math" w:cs="Times New Roman"/>
                <w:iCs/>
              </w:rPr>
            </m:ctrlPr>
          </m:sub>
        </m:sSub>
      </m:oMath>
      <w:r>
        <w:rPr>
          <w:rFonts w:ascii="Times New Roman" w:hAnsi="Times New Roman" w:cs="Times New Roman"/>
          <w:iCs/>
        </w:rPr>
        <w:t xml:space="preserve"> represents</w:t>
      </w:r>
      <w:r>
        <w:rPr>
          <w:rFonts w:ascii="Times New Roman" w:hAnsi="Times New Roman" w:cs="Times New Roman"/>
        </w:rPr>
        <w:t xml:space="preserve"> the BMI at the current time point; </w:t>
      </w:r>
      <m:oMath>
        <m:r>
          <m:rPr>
            <m:sty m:val="p"/>
          </m:rPr>
          <w:rPr>
            <w:rFonts w:ascii="Cambria Math" w:hAnsi="Cambria Math" w:cs="Times New Roman"/>
          </w:rPr>
          <m:t>BM</m:t>
        </m:r>
        <m:sSub>
          <m:sSubPr>
            <m:ctrlPr>
              <w:rPr>
                <w:rFonts w:ascii="Cambria Math" w:hAnsi="Cambria Math" w:cs="Times New Roman"/>
                <w:iCs/>
              </w:rPr>
            </m:ctrlPr>
          </m:sSubPr>
          <m:e>
            <m:r>
              <m:rPr>
                <m:sty m:val="p"/>
              </m:rPr>
              <w:rPr>
                <w:rFonts w:ascii="Cambria Math" w:hAnsi="Cambria Math" w:cs="Times New Roman"/>
              </w:rPr>
              <m:t>I</m:t>
            </m:r>
            <m:ctrlPr>
              <w:rPr>
                <w:rFonts w:ascii="Cambria Math" w:hAnsi="Cambria Math" w:cs="Times New Roman"/>
                <w:iCs/>
              </w:rPr>
            </m:ctrlPr>
          </m:e>
          <m:sub>
            <m:r>
              <m:rPr>
                <m:sty m:val="p"/>
              </m:rPr>
              <w:rPr>
                <w:rFonts w:ascii="Cambria Math" w:hAnsi="Cambria Math" w:cs="Times New Roman"/>
              </w:rPr>
              <m:t>i−1</m:t>
            </m:r>
            <m:ctrlPr>
              <w:rPr>
                <w:rFonts w:ascii="Cambria Math" w:hAnsi="Cambria Math" w:cs="Times New Roman"/>
                <w:iCs/>
              </w:rPr>
            </m:ctrlPr>
          </m:sub>
        </m:sSub>
      </m:oMath>
      <w:r>
        <w:rPr>
          <w:rFonts w:ascii="Times New Roman" w:hAnsi="Times New Roman" w:cs="Times New Roman"/>
          <w:iCs/>
        </w:rPr>
        <w:t xml:space="preserve"> represents</w:t>
      </w:r>
      <w:r>
        <w:rPr>
          <w:rFonts w:ascii="Times New Roman" w:hAnsi="Times New Roman" w:cs="Times New Roman"/>
        </w:rPr>
        <w:t xml:space="preserve"> the BMI at the previous time point; </w:t>
      </w:r>
      <m:oMath>
        <m:sSub>
          <m:sSubPr>
            <m:ctrlPr>
              <w:rPr>
                <w:rFonts w:ascii="Cambria Math" w:hAnsi="Cambria Math" w:cs="Times New Roman"/>
                <w:iCs/>
              </w:rPr>
            </m:ctrlPr>
          </m:sSubPr>
          <m:e>
            <m:r>
              <m:rPr>
                <m:sty m:val="p"/>
              </m:rPr>
              <w:rPr>
                <w:rFonts w:ascii="Cambria Math" w:hAnsi="Cambria Math" w:cs="Times New Roman"/>
              </w:rPr>
              <m:t>t</m:t>
            </m:r>
            <m:ctrlPr>
              <w:rPr>
                <w:rFonts w:ascii="Cambria Math" w:hAnsi="Cambria Math" w:cs="Times New Roman"/>
                <w:iCs/>
              </w:rPr>
            </m:ctrlPr>
          </m:e>
          <m:sub>
            <m:r>
              <m:rPr>
                <m:sty m:val="p"/>
              </m:rPr>
              <w:rPr>
                <w:rFonts w:ascii="Cambria Math" w:hAnsi="Cambria Math" w:cs="Times New Roman"/>
              </w:rPr>
              <m:t>i</m:t>
            </m:r>
            <m:ctrlPr>
              <w:rPr>
                <w:rFonts w:ascii="Cambria Math" w:hAnsi="Cambria Math" w:cs="Times New Roman"/>
                <w:iCs/>
              </w:rPr>
            </m:ctrlPr>
          </m:sub>
        </m:sSub>
        <m:r>
          <m:rPr>
            <m:sty m:val="p"/>
          </m:rPr>
          <w:rPr>
            <w:rFonts w:ascii="Cambria Math" w:hAnsi="Cambria Math" w:cs="Times New Roman"/>
          </w:rPr>
          <m:t>−</m:t>
        </m:r>
        <m:sSub>
          <m:sSubPr>
            <m:ctrlPr>
              <w:rPr>
                <w:rFonts w:ascii="Cambria Math" w:hAnsi="Cambria Math" w:cs="Times New Roman"/>
                <w:iCs/>
              </w:rPr>
            </m:ctrlPr>
          </m:sSubPr>
          <m:e>
            <m:r>
              <m:rPr>
                <m:sty m:val="p"/>
              </m:rPr>
              <w:rPr>
                <w:rFonts w:ascii="Cambria Math" w:hAnsi="Cambria Math" w:cs="Times New Roman"/>
              </w:rPr>
              <m:t>t</m:t>
            </m:r>
            <m:ctrlPr>
              <w:rPr>
                <w:rFonts w:ascii="Cambria Math" w:hAnsi="Cambria Math" w:cs="Times New Roman"/>
                <w:iCs/>
              </w:rPr>
            </m:ctrlPr>
          </m:e>
          <m:sub>
            <m:r>
              <m:rPr>
                <m:sty m:val="p"/>
              </m:rPr>
              <w:rPr>
                <w:rFonts w:ascii="Cambria Math" w:hAnsi="Cambria Math" w:cs="Times New Roman"/>
              </w:rPr>
              <m:t>i−1</m:t>
            </m:r>
            <m:ctrlPr>
              <w:rPr>
                <w:rFonts w:ascii="Cambria Math" w:hAnsi="Cambria Math" w:cs="Times New Roman"/>
                <w:iCs/>
              </w:rPr>
            </m:ctrlPr>
          </m:sub>
        </m:sSub>
      </m:oMath>
      <w:r>
        <w:rPr>
          <w:rFonts w:ascii="Times New Roman" w:hAnsi="Times New Roman" w:cs="Times New Roman"/>
          <w:iCs/>
        </w:rPr>
        <w:t xml:space="preserve"> is</w:t>
      </w:r>
      <w:r>
        <w:rPr>
          <w:rFonts w:ascii="Times New Roman" w:hAnsi="Times New Roman" w:cs="Times New Roman"/>
        </w:rPr>
        <w:t xml:space="preserve"> the time interval between two consecutive BMI measurements; </w:t>
      </w:r>
      <m:oMath>
        <m:sSub>
          <m:sSubPr>
            <m:ctrlPr>
              <w:rPr>
                <w:rFonts w:ascii="Cambria Math" w:hAnsi="Cambria Math" w:cs="Times New Roman"/>
                <w:iCs/>
              </w:rPr>
            </m:ctrlPr>
          </m:sSubPr>
          <m:e>
            <m:r>
              <m:rPr>
                <m:sty m:val="p"/>
              </m:rPr>
              <w:rPr>
                <w:rFonts w:ascii="Cambria Math" w:hAnsi="Cambria Math" w:cs="Times New Roman"/>
              </w:rPr>
              <m:t>t</m:t>
            </m:r>
            <m:ctrlPr>
              <w:rPr>
                <w:rFonts w:ascii="Cambria Math" w:hAnsi="Cambria Math" w:cs="Times New Roman"/>
                <w:iCs/>
              </w:rPr>
            </m:ctrlPr>
          </m:e>
          <m:sub>
            <m:r>
              <m:rPr>
                <m:sty m:val="p"/>
              </m:rPr>
              <w:rPr>
                <w:rFonts w:ascii="Cambria Math" w:hAnsi="Cambria Math" w:cs="Times New Roman"/>
              </w:rPr>
              <m:t>last</m:t>
            </m:r>
            <m:ctrlPr>
              <w:rPr>
                <w:rFonts w:ascii="Cambria Math" w:hAnsi="Cambria Math" w:cs="Times New Roman"/>
                <w:iCs/>
              </w:rPr>
            </m:ctrlPr>
          </m:sub>
        </m:sSub>
      </m:oMath>
      <w:r>
        <w:rPr>
          <w:rFonts w:ascii="Times New Roman" w:hAnsi="Times New Roman" w:cs="Times New Roman"/>
          <w:iCs/>
        </w:rPr>
        <w:t xml:space="preserve"> is</w:t>
      </w:r>
      <w:r>
        <w:rPr>
          <w:rFonts w:ascii="Times New Roman" w:hAnsi="Times New Roman" w:cs="Times New Roman"/>
        </w:rPr>
        <w:t xml:space="preserve"> the time of the last BMI measurement; </w:t>
      </w:r>
      <m:oMath>
        <m:sSub>
          <m:sSubPr>
            <m:ctrlPr>
              <w:rPr>
                <w:rFonts w:ascii="Cambria Math" w:hAnsi="Cambria Math" w:cs="Times New Roman"/>
                <w:iCs/>
              </w:rPr>
            </m:ctrlPr>
          </m:sSubPr>
          <m:e>
            <m:r>
              <m:rPr>
                <m:sty m:val="p"/>
              </m:rPr>
              <w:rPr>
                <w:rFonts w:ascii="Cambria Math" w:hAnsi="Cambria Math" w:cs="Times New Roman"/>
              </w:rPr>
              <m:t>t</m:t>
            </m:r>
            <m:ctrlPr>
              <w:rPr>
                <w:rFonts w:ascii="Cambria Math" w:hAnsi="Cambria Math" w:cs="Times New Roman"/>
                <w:iCs/>
              </w:rPr>
            </m:ctrlPr>
          </m:e>
          <m:sub>
            <m:r>
              <m:rPr>
                <m:sty m:val="p"/>
              </m:rPr>
              <w:rPr>
                <w:rFonts w:ascii="Cambria Math" w:hAnsi="Cambria Math" w:cs="Times New Roman"/>
              </w:rPr>
              <m:t>baseline</m:t>
            </m:r>
            <m:ctrlPr>
              <w:rPr>
                <w:rFonts w:ascii="Cambria Math" w:hAnsi="Cambria Math" w:cs="Times New Roman"/>
                <w:iCs/>
              </w:rPr>
            </m:ctrlPr>
          </m:sub>
        </m:sSub>
      </m:oMath>
      <w:r>
        <w:rPr>
          <w:rFonts w:ascii="Times New Roman" w:hAnsi="Times New Roman" w:cs="Times New Roman"/>
          <w:iCs/>
        </w:rPr>
        <w:t xml:space="preserve"> is</w:t>
      </w:r>
      <w:r>
        <w:rPr>
          <w:rFonts w:ascii="Times New Roman" w:hAnsi="Times New Roman" w:cs="Times New Roman"/>
        </w:rPr>
        <w:t xml:space="preserve"> the time of the baseline BMI measurement. Participants were classified into quartiles (Q1–Q4) of BMI change, with approximately equal numbers in each group.</w:t>
      </w:r>
    </w:p>
    <w:p w14:paraId="7877CDF7">
      <w:pPr>
        <w:rPr>
          <w:rFonts w:ascii="Times New Roman" w:hAnsi="Times New Roman" w:cs="Times New Roman"/>
          <w:b/>
          <w:bCs/>
        </w:rPr>
      </w:pPr>
    </w:p>
    <w:p w14:paraId="15E74CC6">
      <w:pPr>
        <w:rPr>
          <w:rFonts w:ascii="Times New Roman" w:hAnsi="Times New Roman" w:cs="Times New Roman" w:eastAsiaTheme="majorEastAsia"/>
          <w:b/>
          <w:bCs/>
        </w:rPr>
      </w:pPr>
      <w:r>
        <w:rPr>
          <w:rFonts w:ascii="Times New Roman" w:hAnsi="Times New Roman" w:cs="Times New Roman"/>
          <w:b/>
          <w:bCs/>
        </w:rPr>
        <w:br w:type="page"/>
      </w:r>
    </w:p>
    <w:p w14:paraId="6C44260F">
      <w:pPr>
        <w:pStyle w:val="2"/>
        <w:rPr>
          <w:rFonts w:ascii="Times New Roman" w:hAnsi="Times New Roman" w:cs="Times New Roman"/>
          <w:b/>
          <w:bCs/>
          <w:color w:val="auto"/>
          <w:sz w:val="24"/>
          <w:szCs w:val="24"/>
        </w:rPr>
      </w:pPr>
      <w:bookmarkStart w:id="2" w:name="_Toc209433813"/>
      <w:bookmarkStart w:id="3" w:name="_Toc1188637759"/>
      <w:r>
        <w:rPr>
          <w:rFonts w:ascii="Times New Roman" w:hAnsi="Times New Roman" w:cs="Times New Roman"/>
          <w:b/>
          <w:bCs/>
          <w:color w:val="auto"/>
          <w:sz w:val="24"/>
          <w:szCs w:val="24"/>
        </w:rPr>
        <w:t xml:space="preserve">Table </w:t>
      </w:r>
      <w:r>
        <w:rPr>
          <w:rFonts w:hint="eastAsia" w:ascii="Times New Roman" w:hAnsi="Times New Roman" w:cs="Times New Roman"/>
          <w:b/>
          <w:bCs/>
          <w:color w:val="auto"/>
          <w:sz w:val="24"/>
          <w:szCs w:val="24"/>
        </w:rPr>
        <w:t>S</w:t>
      </w:r>
      <w:r>
        <w:rPr>
          <w:rFonts w:ascii="Times New Roman" w:hAnsi="Times New Roman" w:cs="Times New Roman"/>
          <w:b/>
          <w:bCs/>
          <w:color w:val="auto"/>
          <w:sz w:val="24"/>
          <w:szCs w:val="24"/>
        </w:rPr>
        <w:t>1. New Depression Diagnoses During up to 15-Years of Follow-up</w:t>
      </w:r>
      <w:bookmarkEnd w:id="2"/>
      <w:bookmarkEnd w:id="3"/>
    </w:p>
    <w:tbl>
      <w:tblPr>
        <w:tblStyle w:val="18"/>
        <w:tblW w:w="7920"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6"/>
        <w:gridCol w:w="1279"/>
        <w:gridCol w:w="1984"/>
        <w:gridCol w:w="284"/>
        <w:gridCol w:w="1278"/>
        <w:gridCol w:w="2389"/>
      </w:tblGrid>
      <w:tr w14:paraId="3DD9A3CE">
        <w:trPr>
          <w:trHeight w:val="290" w:hRule="atLeast"/>
          <w:jc w:val="center"/>
        </w:trPr>
        <w:tc>
          <w:tcPr>
            <w:tcW w:w="706" w:type="dxa"/>
            <w:vMerge w:val="restart"/>
            <w:noWrap/>
          </w:tcPr>
          <w:p w14:paraId="0D74F60D">
            <w:pPr>
              <w:spacing w:after="0" w:line="240" w:lineRule="auto"/>
              <w:rPr>
                <w:rFonts w:ascii="Times New Roman" w:hAnsi="Times New Roman" w:eastAsia="Times New Roman" w:cs="Times New Roman"/>
                <w:b/>
                <w:bCs/>
                <w:color w:val="000000"/>
                <w:kern w:val="0"/>
                <w:sz w:val="18"/>
                <w:szCs w:val="18"/>
                <w14:ligatures w14:val="none"/>
              </w:rPr>
            </w:pPr>
            <w:r>
              <w:rPr>
                <w:rFonts w:ascii="Times New Roman" w:hAnsi="Times New Roman" w:cs="Times New Roman"/>
                <w:b/>
                <w:bCs/>
                <w:color w:val="000000"/>
                <w:kern w:val="0"/>
                <w:sz w:val="18"/>
                <w:szCs w:val="18"/>
                <w14:ligatures w14:val="none"/>
              </w:rPr>
              <w:t>Y</w:t>
            </w:r>
            <w:r>
              <w:rPr>
                <w:rFonts w:ascii="Times New Roman" w:hAnsi="Times New Roman" w:eastAsia="Times New Roman" w:cs="Times New Roman"/>
                <w:b/>
                <w:bCs/>
                <w:color w:val="000000"/>
                <w:kern w:val="0"/>
                <w:sz w:val="18"/>
                <w:szCs w:val="18"/>
                <w14:ligatures w14:val="none"/>
              </w:rPr>
              <w:t>ear</w:t>
            </w:r>
          </w:p>
        </w:tc>
        <w:tc>
          <w:tcPr>
            <w:tcW w:w="3263" w:type="dxa"/>
            <w:gridSpan w:val="2"/>
            <w:tcBorders>
              <w:top w:val="single" w:color="auto" w:sz="4" w:space="0"/>
              <w:bottom w:val="single" w:color="auto" w:sz="4" w:space="0"/>
            </w:tcBorders>
            <w:noWrap/>
          </w:tcPr>
          <w:p w14:paraId="5B101A13">
            <w:pPr>
              <w:spacing w:after="0" w:line="240" w:lineRule="auto"/>
              <w:jc w:val="center"/>
              <w:rPr>
                <w:rFonts w:ascii="Times New Roman" w:hAnsi="Times New Roman" w:eastAsia="Times New Roman" w:cs="Times New Roman"/>
                <w:b/>
                <w:bCs/>
                <w:color w:val="000000"/>
                <w:kern w:val="0"/>
                <w:sz w:val="18"/>
                <w:szCs w:val="18"/>
                <w14:ligatures w14:val="none"/>
              </w:rPr>
            </w:pPr>
            <w:r>
              <w:rPr>
                <w:rFonts w:ascii="Times New Roman" w:hAnsi="Times New Roman" w:eastAsia="Times New Roman" w:cs="Times New Roman"/>
                <w:b/>
                <w:bCs/>
                <w:color w:val="000000"/>
                <w:kern w:val="0"/>
                <w:sz w:val="18"/>
                <w:szCs w:val="18"/>
                <w14:ligatures w14:val="none"/>
              </w:rPr>
              <w:t>Bariatric surgery</w:t>
            </w:r>
          </w:p>
        </w:tc>
        <w:tc>
          <w:tcPr>
            <w:tcW w:w="284" w:type="dxa"/>
            <w:noWrap/>
          </w:tcPr>
          <w:p w14:paraId="13C54470">
            <w:pPr>
              <w:spacing w:after="0" w:line="240" w:lineRule="auto"/>
              <w:jc w:val="center"/>
              <w:rPr>
                <w:rFonts w:ascii="Times New Roman" w:hAnsi="Times New Roman" w:eastAsia="Times New Roman" w:cs="Times New Roman"/>
                <w:b/>
                <w:bCs/>
                <w:color w:val="000000"/>
                <w:kern w:val="0"/>
                <w:sz w:val="18"/>
                <w:szCs w:val="18"/>
                <w14:ligatures w14:val="none"/>
              </w:rPr>
            </w:pPr>
          </w:p>
        </w:tc>
        <w:tc>
          <w:tcPr>
            <w:tcW w:w="3667" w:type="dxa"/>
            <w:gridSpan w:val="2"/>
            <w:tcBorders>
              <w:top w:val="single" w:color="auto" w:sz="4" w:space="0"/>
              <w:bottom w:val="single" w:color="auto" w:sz="4" w:space="0"/>
            </w:tcBorders>
            <w:noWrap/>
          </w:tcPr>
          <w:p w14:paraId="11DF47FE">
            <w:pPr>
              <w:spacing w:after="0" w:line="240" w:lineRule="auto"/>
              <w:jc w:val="center"/>
              <w:rPr>
                <w:rFonts w:ascii="Times New Roman" w:hAnsi="Times New Roman" w:eastAsia="Times New Roman" w:cs="Times New Roman"/>
                <w:b/>
                <w:bCs/>
                <w:color w:val="000000"/>
                <w:kern w:val="0"/>
                <w:sz w:val="18"/>
                <w:szCs w:val="18"/>
                <w14:ligatures w14:val="none"/>
              </w:rPr>
            </w:pPr>
            <w:r>
              <w:rPr>
                <w:rFonts w:hint="eastAsia" w:ascii="Times New Roman" w:hAnsi="Times New Roman" w:cs="Times New Roman"/>
                <w:b/>
                <w:bCs/>
                <w:color w:val="000000"/>
                <w:kern w:val="0"/>
                <w:sz w:val="18"/>
                <w:szCs w:val="18"/>
                <w14:ligatures w14:val="none"/>
              </w:rPr>
              <w:t>Behavioural c</w:t>
            </w:r>
            <w:r>
              <w:rPr>
                <w:rFonts w:ascii="Times New Roman" w:hAnsi="Times New Roman" w:eastAsia="Times New Roman" w:cs="Times New Roman"/>
                <w:b/>
                <w:bCs/>
                <w:color w:val="000000"/>
                <w:kern w:val="0"/>
                <w:sz w:val="18"/>
                <w:szCs w:val="18"/>
                <w14:ligatures w14:val="none"/>
              </w:rPr>
              <w:t>ontrol</w:t>
            </w:r>
          </w:p>
        </w:tc>
      </w:tr>
      <w:tr w14:paraId="140AF28D">
        <w:trPr>
          <w:trHeight w:val="290" w:hRule="atLeast"/>
          <w:jc w:val="center"/>
        </w:trPr>
        <w:tc>
          <w:tcPr>
            <w:tcW w:w="706" w:type="dxa"/>
            <w:vMerge w:val="continue"/>
            <w:vAlign w:val="center"/>
          </w:tcPr>
          <w:p w14:paraId="616DE914">
            <w:pPr>
              <w:spacing w:after="0" w:line="240" w:lineRule="auto"/>
              <w:rPr>
                <w:rFonts w:ascii="Times New Roman" w:hAnsi="Times New Roman" w:eastAsia="Times New Roman" w:cs="Times New Roman"/>
                <w:color w:val="000000"/>
                <w:kern w:val="0"/>
                <w:sz w:val="18"/>
                <w:szCs w:val="18"/>
                <w14:ligatures w14:val="none"/>
              </w:rPr>
            </w:pPr>
          </w:p>
        </w:tc>
        <w:tc>
          <w:tcPr>
            <w:tcW w:w="1279" w:type="dxa"/>
            <w:tcBorders>
              <w:top w:val="single" w:color="auto" w:sz="4" w:space="0"/>
              <w:bottom w:val="single" w:color="auto" w:sz="4" w:space="0"/>
            </w:tcBorders>
            <w:noWrap/>
            <w:vAlign w:val="bottom"/>
          </w:tcPr>
          <w:p w14:paraId="50939CE6">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Depression diagnoses</w:t>
            </w:r>
            <w:r>
              <w:rPr>
                <w:rFonts w:hint="eastAsia" w:ascii="Times New Roman" w:hAnsi="Times New Roman" w:cs="Times New Roman"/>
                <w:color w:val="000000"/>
                <w:kern w:val="0"/>
                <w:sz w:val="18"/>
                <w:szCs w:val="18"/>
                <w14:ligatures w14:val="none"/>
              </w:rPr>
              <w:t xml:space="preserve"> </w:t>
            </w:r>
            <w:r>
              <w:rPr>
                <w:rFonts w:ascii="Times New Roman" w:hAnsi="Times New Roman" w:cs="Times New Roman"/>
                <w:color w:val="000000"/>
                <w:kern w:val="0"/>
                <w:sz w:val="18"/>
                <w:szCs w:val="18"/>
                <w14:ligatures w14:val="none"/>
              </w:rPr>
              <w:t>(n)</w:t>
            </w:r>
          </w:p>
        </w:tc>
        <w:tc>
          <w:tcPr>
            <w:tcW w:w="1984" w:type="dxa"/>
            <w:tcBorders>
              <w:top w:val="single" w:color="auto" w:sz="4" w:space="0"/>
              <w:bottom w:val="single" w:color="auto" w:sz="4" w:space="0"/>
            </w:tcBorders>
            <w:noWrap/>
            <w:vAlign w:val="bottom"/>
          </w:tcPr>
          <w:p w14:paraId="49F70E54">
            <w:pPr>
              <w:spacing w:after="0" w:line="240" w:lineRule="auto"/>
              <w:rPr>
                <w:rFonts w:ascii="Times New Roman" w:hAnsi="Times New Roman" w:cs="Times New Roman"/>
                <w:color w:val="000000"/>
                <w:kern w:val="0"/>
                <w:sz w:val="18"/>
                <w:szCs w:val="18"/>
                <w14:ligatures w14:val="none"/>
              </w:rPr>
            </w:pPr>
            <w:r>
              <w:rPr>
                <w:rFonts w:ascii="Times New Roman" w:hAnsi="Times New Roman" w:cs="Times New Roman"/>
                <w:color w:val="000000"/>
                <w:kern w:val="0"/>
                <w:sz w:val="18"/>
                <w:szCs w:val="18"/>
                <w14:ligatures w14:val="none"/>
              </w:rPr>
              <w:t>P</w:t>
            </w:r>
            <w:r>
              <w:rPr>
                <w:rFonts w:ascii="Times New Roman" w:hAnsi="Times New Roman" w:eastAsia="Times New Roman" w:cs="Times New Roman"/>
                <w:color w:val="000000"/>
                <w:kern w:val="0"/>
                <w:sz w:val="18"/>
                <w:szCs w:val="18"/>
                <w14:ligatures w14:val="none"/>
              </w:rPr>
              <w:t>roportion with depression (95% CI)</w:t>
            </w:r>
            <w:r>
              <w:rPr>
                <w:rFonts w:hint="eastAsia" w:ascii="Times New Roman" w:hAnsi="Times New Roman" w:cs="Times New Roman"/>
                <w:color w:val="000000"/>
                <w:kern w:val="0"/>
                <w:sz w:val="18"/>
                <w:szCs w:val="18"/>
                <w14:ligatures w14:val="none"/>
              </w:rPr>
              <w:t xml:space="preserve"> </w:t>
            </w:r>
            <w:r>
              <w:rPr>
                <w:rFonts w:hint="eastAsia" w:ascii="Times New Roman" w:hAnsi="Times New Roman" w:cs="Times New Roman"/>
                <w:color w:val="000000"/>
                <w:kern w:val="0"/>
                <w:sz w:val="18"/>
                <w:szCs w:val="18"/>
                <w:vertAlign w:val="superscript"/>
                <w14:ligatures w14:val="none"/>
              </w:rPr>
              <w:t>*</w:t>
            </w:r>
          </w:p>
        </w:tc>
        <w:tc>
          <w:tcPr>
            <w:tcW w:w="284" w:type="dxa"/>
            <w:tcBorders>
              <w:bottom w:val="single" w:color="auto" w:sz="4" w:space="0"/>
            </w:tcBorders>
            <w:noWrap/>
            <w:vAlign w:val="bottom"/>
          </w:tcPr>
          <w:p w14:paraId="25ED8023">
            <w:pPr>
              <w:spacing w:after="0" w:line="240" w:lineRule="auto"/>
              <w:rPr>
                <w:rFonts w:ascii="Times New Roman" w:hAnsi="Times New Roman" w:eastAsia="Times New Roman" w:cs="Times New Roman"/>
                <w:color w:val="000000"/>
                <w:kern w:val="0"/>
                <w:sz w:val="18"/>
                <w:szCs w:val="18"/>
                <w14:ligatures w14:val="none"/>
              </w:rPr>
            </w:pPr>
          </w:p>
        </w:tc>
        <w:tc>
          <w:tcPr>
            <w:tcW w:w="1278" w:type="dxa"/>
            <w:tcBorders>
              <w:top w:val="single" w:color="auto" w:sz="4" w:space="0"/>
              <w:bottom w:val="single" w:color="auto" w:sz="4" w:space="0"/>
            </w:tcBorders>
            <w:noWrap/>
            <w:vAlign w:val="bottom"/>
          </w:tcPr>
          <w:p w14:paraId="23598D77">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Depression diagnoses</w:t>
            </w:r>
            <w:r>
              <w:rPr>
                <w:rFonts w:ascii="Times New Roman" w:hAnsi="Times New Roman" w:cs="Times New Roman"/>
                <w:color w:val="000000"/>
                <w:kern w:val="0"/>
                <w:sz w:val="18"/>
                <w:szCs w:val="18"/>
                <w14:ligatures w14:val="none"/>
              </w:rPr>
              <w:t xml:space="preserve"> (n)</w:t>
            </w:r>
          </w:p>
        </w:tc>
        <w:tc>
          <w:tcPr>
            <w:tcW w:w="2389" w:type="dxa"/>
            <w:tcBorders>
              <w:top w:val="single" w:color="auto" w:sz="4" w:space="0"/>
              <w:bottom w:val="single" w:color="auto" w:sz="4" w:space="0"/>
            </w:tcBorders>
            <w:noWrap/>
            <w:vAlign w:val="bottom"/>
          </w:tcPr>
          <w:p w14:paraId="3D94E466">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cs="Times New Roman"/>
                <w:color w:val="000000"/>
                <w:kern w:val="0"/>
                <w:sz w:val="18"/>
                <w:szCs w:val="18"/>
                <w14:ligatures w14:val="none"/>
              </w:rPr>
              <w:t>P</w:t>
            </w:r>
            <w:r>
              <w:rPr>
                <w:rFonts w:ascii="Times New Roman" w:hAnsi="Times New Roman" w:eastAsia="Times New Roman" w:cs="Times New Roman"/>
                <w:color w:val="000000"/>
                <w:kern w:val="0"/>
                <w:sz w:val="18"/>
                <w:szCs w:val="18"/>
                <w14:ligatures w14:val="none"/>
              </w:rPr>
              <w:t>roportion with depression (95% CI)</w:t>
            </w:r>
            <w:r>
              <w:rPr>
                <w:rFonts w:hint="eastAsia" w:ascii="Times New Roman" w:hAnsi="Times New Roman" w:cs="Times New Roman"/>
                <w:color w:val="000000"/>
                <w:kern w:val="0"/>
                <w:sz w:val="18"/>
                <w:szCs w:val="18"/>
                <w14:ligatures w14:val="none"/>
              </w:rPr>
              <w:t xml:space="preserve"> </w:t>
            </w:r>
            <w:r>
              <w:rPr>
                <w:rFonts w:hint="eastAsia" w:ascii="Times New Roman" w:hAnsi="Times New Roman" w:cs="Times New Roman"/>
                <w:color w:val="000000"/>
                <w:kern w:val="0"/>
                <w:sz w:val="18"/>
                <w:szCs w:val="18"/>
                <w:vertAlign w:val="superscript"/>
                <w14:ligatures w14:val="none"/>
              </w:rPr>
              <w:t>*</w:t>
            </w:r>
          </w:p>
        </w:tc>
      </w:tr>
      <w:tr w14:paraId="737E19E6">
        <w:trPr>
          <w:trHeight w:val="290" w:hRule="atLeast"/>
          <w:jc w:val="center"/>
        </w:trPr>
        <w:tc>
          <w:tcPr>
            <w:tcW w:w="706" w:type="dxa"/>
            <w:tcBorders>
              <w:top w:val="single" w:color="auto" w:sz="4" w:space="0"/>
              <w:bottom w:val="nil"/>
            </w:tcBorders>
            <w:noWrap/>
            <w:vAlign w:val="bottom"/>
          </w:tcPr>
          <w:p w14:paraId="0307C85E">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w:t>
            </w:r>
          </w:p>
        </w:tc>
        <w:tc>
          <w:tcPr>
            <w:tcW w:w="1279" w:type="dxa"/>
            <w:tcBorders>
              <w:top w:val="single" w:color="auto" w:sz="4" w:space="0"/>
              <w:bottom w:val="nil"/>
            </w:tcBorders>
            <w:noWrap/>
            <w:vAlign w:val="bottom"/>
          </w:tcPr>
          <w:p w14:paraId="5C9E7A04">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290</w:t>
            </w:r>
          </w:p>
        </w:tc>
        <w:tc>
          <w:tcPr>
            <w:tcW w:w="1984" w:type="dxa"/>
            <w:tcBorders>
              <w:top w:val="single" w:color="auto" w:sz="4" w:space="0"/>
              <w:bottom w:val="nil"/>
            </w:tcBorders>
            <w:noWrap/>
            <w:vAlign w:val="bottom"/>
          </w:tcPr>
          <w:p w14:paraId="46BBCA51">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4.0% (3.5% – 4.4%)</w:t>
            </w:r>
          </w:p>
        </w:tc>
        <w:tc>
          <w:tcPr>
            <w:tcW w:w="284" w:type="dxa"/>
            <w:tcBorders>
              <w:top w:val="single" w:color="auto" w:sz="4" w:space="0"/>
              <w:bottom w:val="nil"/>
            </w:tcBorders>
            <w:noWrap/>
            <w:vAlign w:val="bottom"/>
          </w:tcPr>
          <w:p w14:paraId="2D4D4E42">
            <w:pPr>
              <w:spacing w:after="0" w:line="240" w:lineRule="auto"/>
              <w:rPr>
                <w:rFonts w:ascii="Times New Roman" w:hAnsi="Times New Roman" w:cs="Times New Roman"/>
                <w:color w:val="000000"/>
                <w:sz w:val="18"/>
                <w:szCs w:val="18"/>
              </w:rPr>
            </w:pPr>
          </w:p>
        </w:tc>
        <w:tc>
          <w:tcPr>
            <w:tcW w:w="1278" w:type="dxa"/>
            <w:tcBorders>
              <w:top w:val="single" w:color="auto" w:sz="4" w:space="0"/>
              <w:bottom w:val="nil"/>
            </w:tcBorders>
            <w:noWrap/>
            <w:vAlign w:val="bottom"/>
          </w:tcPr>
          <w:p w14:paraId="09C002BC">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1347</w:t>
            </w:r>
          </w:p>
        </w:tc>
        <w:tc>
          <w:tcPr>
            <w:tcW w:w="2389" w:type="dxa"/>
            <w:tcBorders>
              <w:top w:val="single" w:color="auto" w:sz="4" w:space="0"/>
              <w:bottom w:val="nil"/>
            </w:tcBorders>
            <w:noWrap/>
            <w:vAlign w:val="bottom"/>
          </w:tcPr>
          <w:p w14:paraId="2635A81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3.9% (3.7% – 4.1%)</w:t>
            </w:r>
          </w:p>
        </w:tc>
      </w:tr>
      <w:tr w14:paraId="54F56A1A">
        <w:trPr>
          <w:trHeight w:val="290" w:hRule="atLeast"/>
          <w:jc w:val="center"/>
        </w:trPr>
        <w:tc>
          <w:tcPr>
            <w:tcW w:w="706" w:type="dxa"/>
            <w:tcBorders>
              <w:top w:val="nil"/>
            </w:tcBorders>
            <w:noWrap/>
            <w:vAlign w:val="bottom"/>
          </w:tcPr>
          <w:p w14:paraId="47B47874">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2</w:t>
            </w:r>
          </w:p>
        </w:tc>
        <w:tc>
          <w:tcPr>
            <w:tcW w:w="1279" w:type="dxa"/>
            <w:tcBorders>
              <w:top w:val="nil"/>
            </w:tcBorders>
            <w:noWrap/>
            <w:vAlign w:val="bottom"/>
          </w:tcPr>
          <w:p w14:paraId="717DC331">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328</w:t>
            </w:r>
          </w:p>
        </w:tc>
        <w:tc>
          <w:tcPr>
            <w:tcW w:w="1984" w:type="dxa"/>
            <w:tcBorders>
              <w:top w:val="nil"/>
            </w:tcBorders>
            <w:noWrap/>
            <w:vAlign w:val="bottom"/>
          </w:tcPr>
          <w:p w14:paraId="00B632D4">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9.0% (8.3% – 9.6%)</w:t>
            </w:r>
          </w:p>
        </w:tc>
        <w:tc>
          <w:tcPr>
            <w:tcW w:w="284" w:type="dxa"/>
            <w:tcBorders>
              <w:top w:val="nil"/>
            </w:tcBorders>
            <w:noWrap/>
            <w:vAlign w:val="bottom"/>
          </w:tcPr>
          <w:p w14:paraId="68C8A496">
            <w:pPr>
              <w:spacing w:after="0" w:line="240" w:lineRule="auto"/>
              <w:rPr>
                <w:rFonts w:ascii="Times New Roman" w:hAnsi="Times New Roman" w:cs="Times New Roman"/>
                <w:color w:val="000000"/>
                <w:sz w:val="18"/>
                <w:szCs w:val="18"/>
              </w:rPr>
            </w:pPr>
          </w:p>
        </w:tc>
        <w:tc>
          <w:tcPr>
            <w:tcW w:w="1278" w:type="dxa"/>
            <w:tcBorders>
              <w:top w:val="nil"/>
            </w:tcBorders>
            <w:noWrap/>
            <w:vAlign w:val="bottom"/>
          </w:tcPr>
          <w:p w14:paraId="745F09D3">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1124</w:t>
            </w:r>
          </w:p>
        </w:tc>
        <w:tc>
          <w:tcPr>
            <w:tcW w:w="2389" w:type="dxa"/>
            <w:tcBorders>
              <w:top w:val="nil"/>
            </w:tcBorders>
            <w:noWrap/>
            <w:vAlign w:val="bottom"/>
          </w:tcPr>
          <w:p w14:paraId="7D08C834">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7.6% (7.3% – 7.8%)</w:t>
            </w:r>
          </w:p>
        </w:tc>
      </w:tr>
      <w:tr w14:paraId="4052B7C2">
        <w:trPr>
          <w:trHeight w:val="290" w:hRule="atLeast"/>
          <w:jc w:val="center"/>
        </w:trPr>
        <w:tc>
          <w:tcPr>
            <w:tcW w:w="706" w:type="dxa"/>
            <w:noWrap/>
            <w:vAlign w:val="bottom"/>
          </w:tcPr>
          <w:p w14:paraId="65F440FC">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3</w:t>
            </w:r>
          </w:p>
        </w:tc>
        <w:tc>
          <w:tcPr>
            <w:tcW w:w="1279" w:type="dxa"/>
            <w:noWrap/>
            <w:vAlign w:val="bottom"/>
          </w:tcPr>
          <w:p w14:paraId="666DDFB5">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289</w:t>
            </w:r>
          </w:p>
        </w:tc>
        <w:tc>
          <w:tcPr>
            <w:tcW w:w="1984" w:type="dxa"/>
            <w:noWrap/>
            <w:vAlign w:val="bottom"/>
          </w:tcPr>
          <w:p w14:paraId="202C0CA1">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13.9% (13.1% – 14.8%)</w:t>
            </w:r>
          </w:p>
        </w:tc>
        <w:tc>
          <w:tcPr>
            <w:tcW w:w="284" w:type="dxa"/>
            <w:noWrap/>
            <w:vAlign w:val="bottom"/>
          </w:tcPr>
          <w:p w14:paraId="54ED4937">
            <w:pPr>
              <w:spacing w:after="0" w:line="240" w:lineRule="auto"/>
              <w:rPr>
                <w:rFonts w:ascii="Times New Roman" w:hAnsi="Times New Roman" w:cs="Times New Roman"/>
                <w:color w:val="000000"/>
                <w:sz w:val="18"/>
                <w:szCs w:val="18"/>
              </w:rPr>
            </w:pPr>
          </w:p>
        </w:tc>
        <w:tc>
          <w:tcPr>
            <w:tcW w:w="1278" w:type="dxa"/>
            <w:noWrap/>
            <w:vAlign w:val="bottom"/>
          </w:tcPr>
          <w:p w14:paraId="2E1E9CD2">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873</w:t>
            </w:r>
          </w:p>
        </w:tc>
        <w:tc>
          <w:tcPr>
            <w:tcW w:w="2389" w:type="dxa"/>
            <w:noWrap/>
            <w:vAlign w:val="bottom"/>
          </w:tcPr>
          <w:p w14:paraId="6772F5F5">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10.7% (10.4% – 11.1%)</w:t>
            </w:r>
          </w:p>
        </w:tc>
      </w:tr>
      <w:tr w14:paraId="6AFA011A">
        <w:trPr>
          <w:trHeight w:val="290" w:hRule="atLeast"/>
          <w:jc w:val="center"/>
        </w:trPr>
        <w:tc>
          <w:tcPr>
            <w:tcW w:w="706" w:type="dxa"/>
            <w:noWrap/>
            <w:vAlign w:val="bottom"/>
          </w:tcPr>
          <w:p w14:paraId="40605BB4">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4</w:t>
            </w:r>
          </w:p>
        </w:tc>
        <w:tc>
          <w:tcPr>
            <w:tcW w:w="1279" w:type="dxa"/>
            <w:noWrap/>
            <w:vAlign w:val="bottom"/>
          </w:tcPr>
          <w:p w14:paraId="4BAAD425">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234</w:t>
            </w:r>
          </w:p>
        </w:tc>
        <w:tc>
          <w:tcPr>
            <w:tcW w:w="1984" w:type="dxa"/>
            <w:noWrap/>
            <w:vAlign w:val="bottom"/>
          </w:tcPr>
          <w:p w14:paraId="73995B6A">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18.6% (17.6% – 19.6%)</w:t>
            </w:r>
          </w:p>
        </w:tc>
        <w:tc>
          <w:tcPr>
            <w:tcW w:w="284" w:type="dxa"/>
            <w:noWrap/>
            <w:vAlign w:val="bottom"/>
          </w:tcPr>
          <w:p w14:paraId="5D54F8C0">
            <w:pPr>
              <w:spacing w:after="0" w:line="240" w:lineRule="auto"/>
              <w:rPr>
                <w:rFonts w:ascii="Times New Roman" w:hAnsi="Times New Roman" w:cs="Times New Roman"/>
                <w:color w:val="000000"/>
                <w:sz w:val="18"/>
                <w:szCs w:val="18"/>
              </w:rPr>
            </w:pPr>
          </w:p>
        </w:tc>
        <w:tc>
          <w:tcPr>
            <w:tcW w:w="1278" w:type="dxa"/>
            <w:noWrap/>
            <w:vAlign w:val="bottom"/>
          </w:tcPr>
          <w:p w14:paraId="1FD7D8B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719</w:t>
            </w:r>
          </w:p>
        </w:tc>
        <w:tc>
          <w:tcPr>
            <w:tcW w:w="2389" w:type="dxa"/>
            <w:noWrap/>
            <w:vAlign w:val="bottom"/>
          </w:tcPr>
          <w:p w14:paraId="36A1745E">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13.8% (13.4% – 14.2%)</w:t>
            </w:r>
          </w:p>
        </w:tc>
      </w:tr>
      <w:tr w14:paraId="7D7D3159">
        <w:trPr>
          <w:trHeight w:val="290" w:hRule="atLeast"/>
          <w:jc w:val="center"/>
        </w:trPr>
        <w:tc>
          <w:tcPr>
            <w:tcW w:w="706" w:type="dxa"/>
            <w:noWrap/>
            <w:vAlign w:val="bottom"/>
          </w:tcPr>
          <w:p w14:paraId="1409432D">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5</w:t>
            </w:r>
          </w:p>
        </w:tc>
        <w:tc>
          <w:tcPr>
            <w:tcW w:w="1279" w:type="dxa"/>
            <w:noWrap/>
            <w:vAlign w:val="bottom"/>
          </w:tcPr>
          <w:p w14:paraId="4262CB39">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162</w:t>
            </w:r>
          </w:p>
        </w:tc>
        <w:tc>
          <w:tcPr>
            <w:tcW w:w="1984" w:type="dxa"/>
            <w:noWrap/>
            <w:vAlign w:val="bottom"/>
          </w:tcPr>
          <w:p w14:paraId="631B142F">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22.3% (21.2% – 23.4%)</w:t>
            </w:r>
          </w:p>
        </w:tc>
        <w:tc>
          <w:tcPr>
            <w:tcW w:w="284" w:type="dxa"/>
            <w:noWrap/>
            <w:vAlign w:val="bottom"/>
          </w:tcPr>
          <w:p w14:paraId="20E23E0C">
            <w:pPr>
              <w:spacing w:after="0" w:line="240" w:lineRule="auto"/>
              <w:rPr>
                <w:rFonts w:ascii="Times New Roman" w:hAnsi="Times New Roman" w:cs="Times New Roman"/>
                <w:color w:val="000000"/>
                <w:sz w:val="18"/>
                <w:szCs w:val="18"/>
              </w:rPr>
            </w:pPr>
          </w:p>
        </w:tc>
        <w:tc>
          <w:tcPr>
            <w:tcW w:w="1278" w:type="dxa"/>
            <w:noWrap/>
            <w:vAlign w:val="bottom"/>
          </w:tcPr>
          <w:p w14:paraId="2273063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509</w:t>
            </w:r>
          </w:p>
        </w:tc>
        <w:tc>
          <w:tcPr>
            <w:tcW w:w="2389" w:type="dxa"/>
            <w:noWrap/>
            <w:vAlign w:val="bottom"/>
          </w:tcPr>
          <w:p w14:paraId="31C213C5">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16.2% (15.8% – 16.7%)</w:t>
            </w:r>
          </w:p>
        </w:tc>
      </w:tr>
      <w:tr w14:paraId="7C68E957">
        <w:trPr>
          <w:trHeight w:val="290" w:hRule="atLeast"/>
          <w:jc w:val="center"/>
        </w:trPr>
        <w:tc>
          <w:tcPr>
            <w:tcW w:w="706" w:type="dxa"/>
            <w:noWrap/>
            <w:vAlign w:val="bottom"/>
          </w:tcPr>
          <w:p w14:paraId="46DB19CB">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6</w:t>
            </w:r>
          </w:p>
        </w:tc>
        <w:tc>
          <w:tcPr>
            <w:tcW w:w="1279" w:type="dxa"/>
            <w:noWrap/>
            <w:vAlign w:val="bottom"/>
          </w:tcPr>
          <w:p w14:paraId="5E796154">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132</w:t>
            </w:r>
          </w:p>
        </w:tc>
        <w:tc>
          <w:tcPr>
            <w:tcW w:w="1984" w:type="dxa"/>
            <w:noWrap/>
            <w:vAlign w:val="bottom"/>
          </w:tcPr>
          <w:p w14:paraId="7197B28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25.8% (24.6% – 27.0%)</w:t>
            </w:r>
          </w:p>
        </w:tc>
        <w:tc>
          <w:tcPr>
            <w:tcW w:w="284" w:type="dxa"/>
            <w:noWrap/>
            <w:vAlign w:val="bottom"/>
          </w:tcPr>
          <w:p w14:paraId="63A8A4CE">
            <w:pPr>
              <w:spacing w:after="0" w:line="240" w:lineRule="auto"/>
              <w:rPr>
                <w:rFonts w:ascii="Times New Roman" w:hAnsi="Times New Roman" w:cs="Times New Roman"/>
                <w:color w:val="000000"/>
                <w:sz w:val="18"/>
                <w:szCs w:val="18"/>
              </w:rPr>
            </w:pPr>
          </w:p>
        </w:tc>
        <w:tc>
          <w:tcPr>
            <w:tcW w:w="1278" w:type="dxa"/>
            <w:noWrap/>
            <w:vAlign w:val="bottom"/>
          </w:tcPr>
          <w:p w14:paraId="57C762DA">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425</w:t>
            </w:r>
          </w:p>
        </w:tc>
        <w:tc>
          <w:tcPr>
            <w:tcW w:w="2389" w:type="dxa"/>
            <w:noWrap/>
            <w:vAlign w:val="bottom"/>
          </w:tcPr>
          <w:p w14:paraId="1728343E">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18.6% (18.2% – 19.1%)</w:t>
            </w:r>
          </w:p>
        </w:tc>
      </w:tr>
      <w:tr w14:paraId="2848E9DF">
        <w:trPr>
          <w:trHeight w:val="290" w:hRule="atLeast"/>
          <w:jc w:val="center"/>
        </w:trPr>
        <w:tc>
          <w:tcPr>
            <w:tcW w:w="706" w:type="dxa"/>
            <w:noWrap/>
            <w:vAlign w:val="bottom"/>
          </w:tcPr>
          <w:p w14:paraId="5FCC9EFF">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7</w:t>
            </w:r>
          </w:p>
        </w:tc>
        <w:tc>
          <w:tcPr>
            <w:tcW w:w="1279" w:type="dxa"/>
            <w:noWrap/>
            <w:vAlign w:val="bottom"/>
          </w:tcPr>
          <w:p w14:paraId="47FC8829">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84</w:t>
            </w:r>
          </w:p>
        </w:tc>
        <w:tc>
          <w:tcPr>
            <w:tcW w:w="1984" w:type="dxa"/>
            <w:noWrap/>
            <w:vAlign w:val="bottom"/>
          </w:tcPr>
          <w:p w14:paraId="3E005979">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28.4% (27.1% – 29.7%)</w:t>
            </w:r>
          </w:p>
        </w:tc>
        <w:tc>
          <w:tcPr>
            <w:tcW w:w="284" w:type="dxa"/>
            <w:noWrap/>
            <w:vAlign w:val="bottom"/>
          </w:tcPr>
          <w:p w14:paraId="2E7542DC">
            <w:pPr>
              <w:spacing w:after="0" w:line="240" w:lineRule="auto"/>
              <w:rPr>
                <w:rFonts w:ascii="Times New Roman" w:hAnsi="Times New Roman" w:cs="Times New Roman"/>
                <w:color w:val="000000"/>
                <w:sz w:val="18"/>
                <w:szCs w:val="18"/>
              </w:rPr>
            </w:pPr>
          </w:p>
        </w:tc>
        <w:tc>
          <w:tcPr>
            <w:tcW w:w="1278" w:type="dxa"/>
            <w:noWrap/>
            <w:vAlign w:val="bottom"/>
          </w:tcPr>
          <w:p w14:paraId="6392CBD5">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390</w:t>
            </w:r>
          </w:p>
        </w:tc>
        <w:tc>
          <w:tcPr>
            <w:tcW w:w="2389" w:type="dxa"/>
            <w:noWrap/>
            <w:vAlign w:val="bottom"/>
          </w:tcPr>
          <w:p w14:paraId="11A2A963">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21.2% (20.7% – 21.8%)</w:t>
            </w:r>
          </w:p>
        </w:tc>
      </w:tr>
      <w:tr w14:paraId="1844675E">
        <w:trPr>
          <w:trHeight w:val="290" w:hRule="atLeast"/>
          <w:jc w:val="center"/>
        </w:trPr>
        <w:tc>
          <w:tcPr>
            <w:tcW w:w="706" w:type="dxa"/>
            <w:noWrap/>
            <w:vAlign w:val="bottom"/>
          </w:tcPr>
          <w:p w14:paraId="1040DE9D">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8</w:t>
            </w:r>
          </w:p>
        </w:tc>
        <w:tc>
          <w:tcPr>
            <w:tcW w:w="1279" w:type="dxa"/>
            <w:noWrap/>
            <w:vAlign w:val="bottom"/>
          </w:tcPr>
          <w:p w14:paraId="23A8F545">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83</w:t>
            </w:r>
          </w:p>
        </w:tc>
        <w:tc>
          <w:tcPr>
            <w:tcW w:w="1984" w:type="dxa"/>
            <w:noWrap/>
            <w:vAlign w:val="bottom"/>
          </w:tcPr>
          <w:p w14:paraId="23D60F71">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31.4% (30.0% – 32.8%)</w:t>
            </w:r>
          </w:p>
        </w:tc>
        <w:tc>
          <w:tcPr>
            <w:tcW w:w="284" w:type="dxa"/>
            <w:noWrap/>
            <w:vAlign w:val="bottom"/>
          </w:tcPr>
          <w:p w14:paraId="661B1E71">
            <w:pPr>
              <w:spacing w:after="0" w:line="240" w:lineRule="auto"/>
              <w:rPr>
                <w:rFonts w:ascii="Times New Roman" w:hAnsi="Times New Roman" w:cs="Times New Roman"/>
                <w:color w:val="000000"/>
                <w:sz w:val="18"/>
                <w:szCs w:val="18"/>
              </w:rPr>
            </w:pPr>
          </w:p>
        </w:tc>
        <w:tc>
          <w:tcPr>
            <w:tcW w:w="1278" w:type="dxa"/>
            <w:noWrap/>
            <w:vAlign w:val="bottom"/>
          </w:tcPr>
          <w:p w14:paraId="396BBE53">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290</w:t>
            </w:r>
          </w:p>
        </w:tc>
        <w:tc>
          <w:tcPr>
            <w:tcW w:w="2389" w:type="dxa"/>
            <w:noWrap/>
            <w:vAlign w:val="bottom"/>
          </w:tcPr>
          <w:p w14:paraId="757157DB">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23.5% (22.9% – 24.1%)</w:t>
            </w:r>
          </w:p>
        </w:tc>
      </w:tr>
      <w:tr w14:paraId="70496417">
        <w:trPr>
          <w:trHeight w:val="290" w:hRule="atLeast"/>
          <w:jc w:val="center"/>
        </w:trPr>
        <w:tc>
          <w:tcPr>
            <w:tcW w:w="706" w:type="dxa"/>
            <w:noWrap/>
            <w:vAlign w:val="bottom"/>
          </w:tcPr>
          <w:p w14:paraId="133E4FE7">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9</w:t>
            </w:r>
          </w:p>
        </w:tc>
        <w:tc>
          <w:tcPr>
            <w:tcW w:w="1279" w:type="dxa"/>
            <w:noWrap/>
            <w:vAlign w:val="bottom"/>
          </w:tcPr>
          <w:p w14:paraId="588C00B9">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68</w:t>
            </w:r>
          </w:p>
        </w:tc>
        <w:tc>
          <w:tcPr>
            <w:tcW w:w="1984" w:type="dxa"/>
            <w:noWrap/>
            <w:vAlign w:val="bottom"/>
          </w:tcPr>
          <w:p w14:paraId="0E048EB4">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34.4% (32.9% – 35.9%)</w:t>
            </w:r>
          </w:p>
        </w:tc>
        <w:tc>
          <w:tcPr>
            <w:tcW w:w="284" w:type="dxa"/>
            <w:noWrap/>
            <w:vAlign w:val="bottom"/>
          </w:tcPr>
          <w:p w14:paraId="5FE34C88">
            <w:pPr>
              <w:spacing w:after="0" w:line="240" w:lineRule="auto"/>
              <w:rPr>
                <w:rFonts w:ascii="Times New Roman" w:hAnsi="Times New Roman" w:cs="Times New Roman"/>
                <w:color w:val="000000"/>
                <w:sz w:val="18"/>
                <w:szCs w:val="18"/>
              </w:rPr>
            </w:pPr>
          </w:p>
        </w:tc>
        <w:tc>
          <w:tcPr>
            <w:tcW w:w="1278" w:type="dxa"/>
            <w:noWrap/>
            <w:vAlign w:val="bottom"/>
          </w:tcPr>
          <w:p w14:paraId="2DFBDFA3">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251</w:t>
            </w:r>
          </w:p>
        </w:tc>
        <w:tc>
          <w:tcPr>
            <w:tcW w:w="2389" w:type="dxa"/>
            <w:noWrap/>
            <w:vAlign w:val="bottom"/>
          </w:tcPr>
          <w:p w14:paraId="32BF4F13">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25.8% (25.2% – 26.4%)</w:t>
            </w:r>
          </w:p>
        </w:tc>
      </w:tr>
      <w:tr w14:paraId="10024BB0">
        <w:trPr>
          <w:trHeight w:val="290" w:hRule="atLeast"/>
          <w:jc w:val="center"/>
        </w:trPr>
        <w:tc>
          <w:tcPr>
            <w:tcW w:w="706" w:type="dxa"/>
            <w:noWrap/>
            <w:vAlign w:val="bottom"/>
          </w:tcPr>
          <w:p w14:paraId="4A91BE8A">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10</w:t>
            </w:r>
          </w:p>
        </w:tc>
        <w:tc>
          <w:tcPr>
            <w:tcW w:w="1279" w:type="dxa"/>
            <w:noWrap/>
            <w:vAlign w:val="bottom"/>
          </w:tcPr>
          <w:p w14:paraId="54479B75">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43</w:t>
            </w:r>
          </w:p>
        </w:tc>
        <w:tc>
          <w:tcPr>
            <w:tcW w:w="1984" w:type="dxa"/>
            <w:noWrap/>
            <w:vAlign w:val="bottom"/>
          </w:tcPr>
          <w:p w14:paraId="5A23C3D9">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36.7% (35.1% – 38.2%)</w:t>
            </w:r>
          </w:p>
        </w:tc>
        <w:tc>
          <w:tcPr>
            <w:tcW w:w="284" w:type="dxa"/>
            <w:noWrap/>
            <w:vAlign w:val="bottom"/>
          </w:tcPr>
          <w:p w14:paraId="291D4EB3">
            <w:pPr>
              <w:spacing w:after="0" w:line="240" w:lineRule="auto"/>
              <w:rPr>
                <w:rFonts w:ascii="Times New Roman" w:hAnsi="Times New Roman" w:cs="Times New Roman"/>
                <w:color w:val="000000"/>
                <w:sz w:val="18"/>
                <w:szCs w:val="18"/>
              </w:rPr>
            </w:pPr>
          </w:p>
        </w:tc>
        <w:tc>
          <w:tcPr>
            <w:tcW w:w="1278" w:type="dxa"/>
            <w:noWrap/>
            <w:vAlign w:val="bottom"/>
          </w:tcPr>
          <w:p w14:paraId="6460EDF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167</w:t>
            </w:r>
          </w:p>
        </w:tc>
        <w:tc>
          <w:tcPr>
            <w:tcW w:w="2389" w:type="dxa"/>
            <w:noWrap/>
            <w:vAlign w:val="bottom"/>
          </w:tcPr>
          <w:p w14:paraId="7595D466">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27.7% (27.0% – 28.4%)</w:t>
            </w:r>
          </w:p>
        </w:tc>
      </w:tr>
      <w:tr w14:paraId="642482F2">
        <w:trPr>
          <w:trHeight w:val="290" w:hRule="atLeast"/>
          <w:jc w:val="center"/>
        </w:trPr>
        <w:tc>
          <w:tcPr>
            <w:tcW w:w="706" w:type="dxa"/>
            <w:noWrap/>
            <w:vAlign w:val="bottom"/>
          </w:tcPr>
          <w:p w14:paraId="431E5184">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11</w:t>
            </w:r>
          </w:p>
        </w:tc>
        <w:tc>
          <w:tcPr>
            <w:tcW w:w="1279" w:type="dxa"/>
            <w:noWrap/>
            <w:vAlign w:val="bottom"/>
          </w:tcPr>
          <w:p w14:paraId="7D29FFBA">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35</w:t>
            </w:r>
          </w:p>
        </w:tc>
        <w:tc>
          <w:tcPr>
            <w:tcW w:w="1984" w:type="dxa"/>
            <w:noWrap/>
            <w:vAlign w:val="bottom"/>
          </w:tcPr>
          <w:p w14:paraId="4F448D69">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39.0% (37.3% – 40.7%)</w:t>
            </w:r>
          </w:p>
        </w:tc>
        <w:tc>
          <w:tcPr>
            <w:tcW w:w="284" w:type="dxa"/>
            <w:noWrap/>
            <w:vAlign w:val="bottom"/>
          </w:tcPr>
          <w:p w14:paraId="13F1E551">
            <w:pPr>
              <w:spacing w:after="0" w:line="240" w:lineRule="auto"/>
              <w:rPr>
                <w:rFonts w:ascii="Times New Roman" w:hAnsi="Times New Roman" w:cs="Times New Roman"/>
                <w:color w:val="000000"/>
                <w:sz w:val="18"/>
                <w:szCs w:val="18"/>
              </w:rPr>
            </w:pPr>
          </w:p>
        </w:tc>
        <w:tc>
          <w:tcPr>
            <w:tcW w:w="1278" w:type="dxa"/>
            <w:noWrap/>
            <w:vAlign w:val="bottom"/>
          </w:tcPr>
          <w:p w14:paraId="41F704AE">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118</w:t>
            </w:r>
          </w:p>
        </w:tc>
        <w:tc>
          <w:tcPr>
            <w:tcW w:w="2389" w:type="dxa"/>
            <w:noWrap/>
            <w:vAlign w:val="bottom"/>
          </w:tcPr>
          <w:p w14:paraId="3C7B6027">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29.4% (28.7% – 30.2%)</w:t>
            </w:r>
          </w:p>
        </w:tc>
      </w:tr>
      <w:tr w14:paraId="3DB00007">
        <w:trPr>
          <w:trHeight w:val="290" w:hRule="atLeast"/>
          <w:jc w:val="center"/>
        </w:trPr>
        <w:tc>
          <w:tcPr>
            <w:tcW w:w="706" w:type="dxa"/>
            <w:noWrap/>
            <w:vAlign w:val="bottom"/>
          </w:tcPr>
          <w:p w14:paraId="67C06264">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12</w:t>
            </w:r>
          </w:p>
        </w:tc>
        <w:tc>
          <w:tcPr>
            <w:tcW w:w="1279" w:type="dxa"/>
            <w:noWrap/>
            <w:vAlign w:val="bottom"/>
          </w:tcPr>
          <w:p w14:paraId="5A8B866B">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20</w:t>
            </w:r>
          </w:p>
        </w:tc>
        <w:tc>
          <w:tcPr>
            <w:tcW w:w="1984" w:type="dxa"/>
            <w:noWrap/>
            <w:vAlign w:val="bottom"/>
          </w:tcPr>
          <w:p w14:paraId="35B0ACE2">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40.8% (38.9% – 42.6%)</w:t>
            </w:r>
          </w:p>
        </w:tc>
        <w:tc>
          <w:tcPr>
            <w:tcW w:w="284" w:type="dxa"/>
            <w:noWrap/>
            <w:vAlign w:val="bottom"/>
          </w:tcPr>
          <w:p w14:paraId="55E53729">
            <w:pPr>
              <w:spacing w:after="0" w:line="240" w:lineRule="auto"/>
              <w:rPr>
                <w:rFonts w:ascii="Times New Roman" w:hAnsi="Times New Roman" w:cs="Times New Roman"/>
                <w:color w:val="000000"/>
                <w:sz w:val="18"/>
                <w:szCs w:val="18"/>
              </w:rPr>
            </w:pPr>
          </w:p>
        </w:tc>
        <w:tc>
          <w:tcPr>
            <w:tcW w:w="1278" w:type="dxa"/>
            <w:noWrap/>
            <w:vAlign w:val="bottom"/>
          </w:tcPr>
          <w:p w14:paraId="558210A9">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88</w:t>
            </w:r>
          </w:p>
        </w:tc>
        <w:tc>
          <w:tcPr>
            <w:tcW w:w="2389" w:type="dxa"/>
            <w:noWrap/>
            <w:vAlign w:val="bottom"/>
          </w:tcPr>
          <w:p w14:paraId="79C60B64">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31.1% (30.3% – 31.9%)</w:t>
            </w:r>
          </w:p>
        </w:tc>
      </w:tr>
      <w:tr w14:paraId="56C00F1A">
        <w:trPr>
          <w:trHeight w:val="290" w:hRule="atLeast"/>
          <w:jc w:val="center"/>
        </w:trPr>
        <w:tc>
          <w:tcPr>
            <w:tcW w:w="706" w:type="dxa"/>
            <w:noWrap/>
            <w:vAlign w:val="bottom"/>
          </w:tcPr>
          <w:p w14:paraId="23FDDA65">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13</w:t>
            </w:r>
          </w:p>
        </w:tc>
        <w:tc>
          <w:tcPr>
            <w:tcW w:w="1279" w:type="dxa"/>
            <w:noWrap/>
            <w:vAlign w:val="bottom"/>
          </w:tcPr>
          <w:p w14:paraId="5CB023F7">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15</w:t>
            </w:r>
          </w:p>
        </w:tc>
        <w:tc>
          <w:tcPr>
            <w:tcW w:w="1984" w:type="dxa"/>
            <w:noWrap/>
            <w:vAlign w:val="bottom"/>
          </w:tcPr>
          <w:p w14:paraId="6C609B50">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42.9% (40.8% – 44.9%)</w:t>
            </w:r>
          </w:p>
        </w:tc>
        <w:tc>
          <w:tcPr>
            <w:tcW w:w="284" w:type="dxa"/>
            <w:noWrap/>
            <w:vAlign w:val="bottom"/>
          </w:tcPr>
          <w:p w14:paraId="51332B12">
            <w:pPr>
              <w:spacing w:after="0" w:line="240" w:lineRule="auto"/>
              <w:rPr>
                <w:rFonts w:ascii="Times New Roman" w:hAnsi="Times New Roman" w:cs="Times New Roman"/>
                <w:color w:val="000000"/>
                <w:sz w:val="18"/>
                <w:szCs w:val="18"/>
              </w:rPr>
            </w:pPr>
          </w:p>
        </w:tc>
        <w:tc>
          <w:tcPr>
            <w:tcW w:w="1278" w:type="dxa"/>
            <w:noWrap/>
            <w:vAlign w:val="bottom"/>
          </w:tcPr>
          <w:p w14:paraId="330837AB">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56</w:t>
            </w:r>
          </w:p>
        </w:tc>
        <w:tc>
          <w:tcPr>
            <w:tcW w:w="2389" w:type="dxa"/>
            <w:noWrap/>
            <w:vAlign w:val="bottom"/>
          </w:tcPr>
          <w:p w14:paraId="5D4C64B3">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32.7% (31.8% – 33.6%)</w:t>
            </w:r>
          </w:p>
        </w:tc>
      </w:tr>
      <w:tr w14:paraId="6A971901">
        <w:trPr>
          <w:trHeight w:val="290" w:hRule="atLeast"/>
          <w:jc w:val="center"/>
        </w:trPr>
        <w:tc>
          <w:tcPr>
            <w:tcW w:w="706" w:type="dxa"/>
            <w:tcBorders>
              <w:bottom w:val="nil"/>
            </w:tcBorders>
            <w:noWrap/>
            <w:vAlign w:val="bottom"/>
          </w:tcPr>
          <w:p w14:paraId="21103DC0">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14</w:t>
            </w:r>
          </w:p>
        </w:tc>
        <w:tc>
          <w:tcPr>
            <w:tcW w:w="1279" w:type="dxa"/>
            <w:tcBorders>
              <w:bottom w:val="nil"/>
            </w:tcBorders>
            <w:noWrap/>
            <w:vAlign w:val="bottom"/>
          </w:tcPr>
          <w:p w14:paraId="071DB869">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14</w:t>
            </w:r>
          </w:p>
        </w:tc>
        <w:tc>
          <w:tcPr>
            <w:tcW w:w="1984" w:type="dxa"/>
            <w:tcBorders>
              <w:bottom w:val="nil"/>
            </w:tcBorders>
            <w:noWrap/>
            <w:vAlign w:val="bottom"/>
          </w:tcPr>
          <w:p w14:paraId="1A383677">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45.9% (43.4% – 48.4%)</w:t>
            </w:r>
          </w:p>
        </w:tc>
        <w:tc>
          <w:tcPr>
            <w:tcW w:w="284" w:type="dxa"/>
            <w:tcBorders>
              <w:bottom w:val="nil"/>
            </w:tcBorders>
            <w:noWrap/>
            <w:vAlign w:val="bottom"/>
          </w:tcPr>
          <w:p w14:paraId="798E2E0C">
            <w:pPr>
              <w:spacing w:after="0" w:line="240" w:lineRule="auto"/>
              <w:rPr>
                <w:rFonts w:ascii="Times New Roman" w:hAnsi="Times New Roman" w:cs="Times New Roman"/>
                <w:color w:val="000000"/>
                <w:sz w:val="18"/>
                <w:szCs w:val="18"/>
              </w:rPr>
            </w:pPr>
          </w:p>
        </w:tc>
        <w:tc>
          <w:tcPr>
            <w:tcW w:w="1278" w:type="dxa"/>
            <w:tcBorders>
              <w:bottom w:val="nil"/>
            </w:tcBorders>
            <w:noWrap/>
            <w:vAlign w:val="bottom"/>
          </w:tcPr>
          <w:p w14:paraId="5E8972C0">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30</w:t>
            </w:r>
          </w:p>
        </w:tc>
        <w:tc>
          <w:tcPr>
            <w:tcW w:w="2389" w:type="dxa"/>
            <w:tcBorders>
              <w:bottom w:val="nil"/>
            </w:tcBorders>
            <w:noWrap/>
            <w:vAlign w:val="bottom"/>
          </w:tcPr>
          <w:p w14:paraId="5A041B45">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34.2% (33.2% – 35.2%)</w:t>
            </w:r>
          </w:p>
        </w:tc>
      </w:tr>
      <w:tr w14:paraId="08F6F3DA">
        <w:trPr>
          <w:trHeight w:val="290" w:hRule="atLeast"/>
          <w:jc w:val="center"/>
        </w:trPr>
        <w:tc>
          <w:tcPr>
            <w:tcW w:w="706" w:type="dxa"/>
            <w:tcBorders>
              <w:top w:val="nil"/>
              <w:bottom w:val="single" w:color="auto" w:sz="4" w:space="0"/>
            </w:tcBorders>
            <w:noWrap/>
            <w:vAlign w:val="bottom"/>
          </w:tcPr>
          <w:p w14:paraId="41A72DA1">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15</w:t>
            </w:r>
          </w:p>
        </w:tc>
        <w:tc>
          <w:tcPr>
            <w:tcW w:w="1279" w:type="dxa"/>
            <w:tcBorders>
              <w:top w:val="nil"/>
              <w:bottom w:val="single" w:color="auto" w:sz="4" w:space="0"/>
            </w:tcBorders>
            <w:noWrap/>
            <w:vAlign w:val="bottom"/>
          </w:tcPr>
          <w:p w14:paraId="458E5367">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8</w:t>
            </w:r>
          </w:p>
        </w:tc>
        <w:tc>
          <w:tcPr>
            <w:tcW w:w="1984" w:type="dxa"/>
            <w:tcBorders>
              <w:top w:val="nil"/>
              <w:bottom w:val="single" w:color="auto" w:sz="4" w:space="0"/>
            </w:tcBorders>
            <w:noWrap/>
            <w:vAlign w:val="bottom"/>
          </w:tcPr>
          <w:p w14:paraId="00226F10">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48.6% (45.5% – 51.5%)</w:t>
            </w:r>
          </w:p>
        </w:tc>
        <w:tc>
          <w:tcPr>
            <w:tcW w:w="284" w:type="dxa"/>
            <w:tcBorders>
              <w:top w:val="nil"/>
              <w:bottom w:val="single" w:color="auto" w:sz="4" w:space="0"/>
            </w:tcBorders>
            <w:noWrap/>
            <w:vAlign w:val="bottom"/>
          </w:tcPr>
          <w:p w14:paraId="440B67B8">
            <w:pPr>
              <w:spacing w:after="0" w:line="240" w:lineRule="auto"/>
              <w:rPr>
                <w:rFonts w:ascii="Times New Roman" w:hAnsi="Times New Roman" w:cs="Times New Roman"/>
                <w:color w:val="000000"/>
                <w:sz w:val="18"/>
                <w:szCs w:val="18"/>
              </w:rPr>
            </w:pPr>
          </w:p>
        </w:tc>
        <w:tc>
          <w:tcPr>
            <w:tcW w:w="1278" w:type="dxa"/>
            <w:tcBorders>
              <w:top w:val="nil"/>
              <w:bottom w:val="single" w:color="auto" w:sz="4" w:space="0"/>
            </w:tcBorders>
            <w:noWrap/>
            <w:vAlign w:val="bottom"/>
          </w:tcPr>
          <w:p w14:paraId="0496CC73">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14</w:t>
            </w:r>
          </w:p>
        </w:tc>
        <w:tc>
          <w:tcPr>
            <w:tcW w:w="2389" w:type="dxa"/>
            <w:tcBorders>
              <w:top w:val="nil"/>
              <w:bottom w:val="single" w:color="auto" w:sz="4" w:space="0"/>
            </w:tcBorders>
            <w:noWrap/>
            <w:vAlign w:val="bottom"/>
          </w:tcPr>
          <w:p w14:paraId="282E0808">
            <w:pPr>
              <w:spacing w:after="0" w:line="240" w:lineRule="auto"/>
              <w:rPr>
                <w:rFonts w:ascii="Times New Roman" w:hAnsi="Times New Roman" w:cs="Times New Roman"/>
                <w:color w:val="000000"/>
                <w:sz w:val="18"/>
                <w:szCs w:val="18"/>
              </w:rPr>
            </w:pPr>
            <w:r>
              <w:rPr>
                <w:rFonts w:ascii="Times New Roman" w:hAnsi="Times New Roman" w:cs="Times New Roman"/>
                <w:color w:val="000000"/>
                <w:sz w:val="18"/>
                <w:szCs w:val="18"/>
              </w:rPr>
              <w:t>35.3% (34.1% – 36.4%)</w:t>
            </w:r>
          </w:p>
        </w:tc>
      </w:tr>
      <w:tr w14:paraId="34201B50">
        <w:trPr>
          <w:trHeight w:val="290" w:hRule="atLeast"/>
          <w:jc w:val="center"/>
        </w:trPr>
        <w:tc>
          <w:tcPr>
            <w:tcW w:w="7920" w:type="dxa"/>
            <w:gridSpan w:val="6"/>
            <w:tcBorders>
              <w:top w:val="single" w:color="auto" w:sz="4" w:space="0"/>
              <w:bottom w:val="nil"/>
            </w:tcBorders>
            <w:noWrap/>
            <w:vAlign w:val="bottom"/>
          </w:tcPr>
          <w:p w14:paraId="71C52B6E">
            <w:pPr>
              <w:spacing w:after="0" w:line="240" w:lineRule="auto"/>
              <w:rPr>
                <w:rFonts w:ascii="Times New Roman" w:hAnsi="Times New Roman" w:cs="Times New Roman"/>
                <w:color w:val="000000"/>
                <w:sz w:val="18"/>
                <w:szCs w:val="18"/>
              </w:rPr>
            </w:pPr>
            <w:r>
              <w:rPr>
                <w:rFonts w:hint="eastAsia" w:ascii="Times New Roman" w:hAnsi="Times New Roman" w:cs="Times New Roman"/>
                <w:color w:val="000000"/>
                <w:kern w:val="0"/>
                <w:sz w:val="18"/>
                <w:szCs w:val="18"/>
                <w:vertAlign w:val="superscript"/>
                <w14:ligatures w14:val="none"/>
              </w:rPr>
              <w:t>*</w:t>
            </w:r>
            <w:r>
              <w:rPr>
                <w:rFonts w:hint="eastAsia" w:ascii="Times New Roman" w:hAnsi="Times New Roman" w:cs="Times New Roman"/>
                <w:color w:val="000000"/>
                <w:kern w:val="0"/>
                <w:sz w:val="18"/>
                <w:szCs w:val="18"/>
                <w14:ligatures w14:val="none"/>
              </w:rPr>
              <w:t xml:space="preserve"> </w:t>
            </w:r>
            <w:r>
              <w:rPr>
                <w:rFonts w:ascii="Times New Roman" w:hAnsi="Times New Roman" w:cs="Times New Roman"/>
                <w:color w:val="000000"/>
                <w:kern w:val="0"/>
                <w:sz w:val="18"/>
                <w:szCs w:val="18"/>
                <w14:ligatures w14:val="none"/>
              </w:rPr>
              <w:t>Cumulative proportions were estimated using the Kaplan–Meier method.</w:t>
            </w:r>
          </w:p>
        </w:tc>
      </w:tr>
    </w:tbl>
    <w:p w14:paraId="04F5969D">
      <w:pPr>
        <w:rPr>
          <w:rFonts w:ascii="Times New Roman" w:hAnsi="Times New Roman" w:cs="Times New Roman"/>
        </w:rPr>
      </w:pPr>
    </w:p>
    <w:p w14:paraId="45CF0EF9">
      <w:pPr>
        <w:rPr>
          <w:rFonts w:ascii="Times New Roman" w:hAnsi="Times New Roman" w:cs="Times New Roman" w:eastAsiaTheme="majorEastAsia"/>
          <w:b/>
          <w:bCs/>
        </w:rPr>
      </w:pPr>
      <w:bookmarkStart w:id="4" w:name="_Toc209433814"/>
      <w:r>
        <w:rPr>
          <w:rFonts w:ascii="Times New Roman" w:hAnsi="Times New Roman" w:cs="Times New Roman"/>
          <w:b/>
          <w:bCs/>
        </w:rPr>
        <w:br w:type="page"/>
      </w:r>
    </w:p>
    <w:p w14:paraId="24124740">
      <w:pPr>
        <w:pStyle w:val="2"/>
        <w:rPr>
          <w:rFonts w:ascii="Times New Roman" w:hAnsi="Times New Roman" w:cs="Times New Roman"/>
          <w:b/>
          <w:bCs/>
          <w:color w:val="auto"/>
          <w:sz w:val="24"/>
          <w:szCs w:val="24"/>
        </w:rPr>
      </w:pPr>
      <w:bookmarkStart w:id="5" w:name="_Toc1541931119"/>
      <w:r>
        <w:rPr>
          <w:rFonts w:ascii="Times New Roman" w:hAnsi="Times New Roman" w:cs="Times New Roman"/>
          <w:b/>
          <w:bCs/>
          <w:color w:val="auto"/>
          <w:sz w:val="24"/>
          <w:szCs w:val="24"/>
        </w:rPr>
        <w:t xml:space="preserve">Table </w:t>
      </w:r>
      <w:r>
        <w:rPr>
          <w:rFonts w:hint="eastAsia" w:ascii="Times New Roman" w:hAnsi="Times New Roman" w:cs="Times New Roman"/>
          <w:b/>
          <w:bCs/>
          <w:color w:val="auto"/>
          <w:sz w:val="24"/>
          <w:szCs w:val="24"/>
        </w:rPr>
        <w:t>S</w:t>
      </w:r>
      <w:r>
        <w:rPr>
          <w:rFonts w:ascii="Times New Roman" w:hAnsi="Times New Roman" w:cs="Times New Roman"/>
          <w:b/>
          <w:bCs/>
          <w:color w:val="auto"/>
          <w:sz w:val="24"/>
          <w:szCs w:val="24"/>
        </w:rPr>
        <w:t>2. New Anxiety Diagnoses During up to 15-Years of Follow-up</w:t>
      </w:r>
      <w:bookmarkEnd w:id="4"/>
      <w:bookmarkEnd w:id="5"/>
    </w:p>
    <w:tbl>
      <w:tblPr>
        <w:tblStyle w:val="18"/>
        <w:tblW w:w="7797" w:type="dxa"/>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06"/>
        <w:gridCol w:w="1279"/>
        <w:gridCol w:w="1984"/>
        <w:gridCol w:w="284"/>
        <w:gridCol w:w="1278"/>
        <w:gridCol w:w="2266"/>
      </w:tblGrid>
      <w:tr w14:paraId="64A5F66D">
        <w:trPr>
          <w:trHeight w:val="290" w:hRule="atLeast"/>
          <w:jc w:val="center"/>
        </w:trPr>
        <w:tc>
          <w:tcPr>
            <w:tcW w:w="706" w:type="dxa"/>
            <w:vMerge w:val="restart"/>
            <w:noWrap/>
          </w:tcPr>
          <w:p w14:paraId="4D311E47">
            <w:pPr>
              <w:spacing w:after="0" w:line="240" w:lineRule="auto"/>
              <w:rPr>
                <w:rFonts w:ascii="Times New Roman" w:hAnsi="Times New Roman" w:eastAsia="Times New Roman" w:cs="Times New Roman"/>
                <w:b/>
                <w:bCs/>
                <w:color w:val="000000"/>
                <w:kern w:val="0"/>
                <w:sz w:val="18"/>
                <w:szCs w:val="18"/>
                <w14:ligatures w14:val="none"/>
              </w:rPr>
            </w:pPr>
            <w:r>
              <w:rPr>
                <w:rFonts w:ascii="Times New Roman" w:hAnsi="Times New Roman" w:cs="Times New Roman"/>
                <w:b/>
                <w:bCs/>
                <w:color w:val="000000"/>
                <w:kern w:val="0"/>
                <w:sz w:val="18"/>
                <w:szCs w:val="18"/>
                <w14:ligatures w14:val="none"/>
              </w:rPr>
              <w:t>Y</w:t>
            </w:r>
            <w:r>
              <w:rPr>
                <w:rFonts w:ascii="Times New Roman" w:hAnsi="Times New Roman" w:eastAsia="Times New Roman" w:cs="Times New Roman"/>
                <w:b/>
                <w:bCs/>
                <w:color w:val="000000"/>
                <w:kern w:val="0"/>
                <w:sz w:val="18"/>
                <w:szCs w:val="18"/>
                <w14:ligatures w14:val="none"/>
              </w:rPr>
              <w:t>ear</w:t>
            </w:r>
          </w:p>
        </w:tc>
        <w:tc>
          <w:tcPr>
            <w:tcW w:w="3263" w:type="dxa"/>
            <w:gridSpan w:val="2"/>
            <w:tcBorders>
              <w:top w:val="single" w:color="auto" w:sz="4" w:space="0"/>
              <w:bottom w:val="single" w:color="auto" w:sz="4" w:space="0"/>
            </w:tcBorders>
            <w:noWrap/>
          </w:tcPr>
          <w:p w14:paraId="70635518">
            <w:pPr>
              <w:spacing w:after="0" w:line="240" w:lineRule="auto"/>
              <w:jc w:val="center"/>
              <w:rPr>
                <w:rFonts w:ascii="Times New Roman" w:hAnsi="Times New Roman" w:eastAsia="Times New Roman" w:cs="Times New Roman"/>
                <w:b/>
                <w:bCs/>
                <w:color w:val="000000"/>
                <w:kern w:val="0"/>
                <w:sz w:val="18"/>
                <w:szCs w:val="18"/>
                <w14:ligatures w14:val="none"/>
              </w:rPr>
            </w:pPr>
            <w:r>
              <w:rPr>
                <w:rFonts w:ascii="Times New Roman" w:hAnsi="Times New Roman" w:eastAsia="Times New Roman" w:cs="Times New Roman"/>
                <w:b/>
                <w:bCs/>
                <w:color w:val="000000"/>
                <w:kern w:val="0"/>
                <w:sz w:val="18"/>
                <w:szCs w:val="18"/>
                <w14:ligatures w14:val="none"/>
              </w:rPr>
              <w:t>Bariatric surgery</w:t>
            </w:r>
          </w:p>
        </w:tc>
        <w:tc>
          <w:tcPr>
            <w:tcW w:w="284" w:type="dxa"/>
            <w:noWrap/>
          </w:tcPr>
          <w:p w14:paraId="2DC4689D">
            <w:pPr>
              <w:spacing w:after="0" w:line="240" w:lineRule="auto"/>
              <w:jc w:val="center"/>
              <w:rPr>
                <w:rFonts w:ascii="Times New Roman" w:hAnsi="Times New Roman" w:eastAsia="Times New Roman" w:cs="Times New Roman"/>
                <w:b/>
                <w:bCs/>
                <w:color w:val="000000"/>
                <w:kern w:val="0"/>
                <w:sz w:val="18"/>
                <w:szCs w:val="18"/>
                <w14:ligatures w14:val="none"/>
              </w:rPr>
            </w:pPr>
          </w:p>
        </w:tc>
        <w:tc>
          <w:tcPr>
            <w:tcW w:w="3544" w:type="dxa"/>
            <w:gridSpan w:val="2"/>
            <w:tcBorders>
              <w:top w:val="single" w:color="auto" w:sz="4" w:space="0"/>
              <w:bottom w:val="single" w:color="auto" w:sz="4" w:space="0"/>
            </w:tcBorders>
            <w:noWrap/>
          </w:tcPr>
          <w:p w14:paraId="62EE2247">
            <w:pPr>
              <w:spacing w:after="0" w:line="240" w:lineRule="auto"/>
              <w:jc w:val="center"/>
              <w:rPr>
                <w:rFonts w:ascii="Times New Roman" w:hAnsi="Times New Roman" w:eastAsia="Times New Roman" w:cs="Times New Roman"/>
                <w:b/>
                <w:bCs/>
                <w:color w:val="000000"/>
                <w:kern w:val="0"/>
                <w:sz w:val="18"/>
                <w:szCs w:val="18"/>
                <w14:ligatures w14:val="none"/>
              </w:rPr>
            </w:pPr>
            <w:r>
              <w:rPr>
                <w:rFonts w:hint="eastAsia" w:ascii="Times New Roman" w:hAnsi="Times New Roman" w:cs="Times New Roman"/>
                <w:b/>
                <w:bCs/>
                <w:color w:val="000000"/>
                <w:kern w:val="0"/>
                <w:sz w:val="18"/>
                <w:szCs w:val="18"/>
                <w14:ligatures w14:val="none"/>
              </w:rPr>
              <w:t>Behavioural c</w:t>
            </w:r>
            <w:r>
              <w:rPr>
                <w:rFonts w:ascii="Times New Roman" w:hAnsi="Times New Roman" w:eastAsia="Times New Roman" w:cs="Times New Roman"/>
                <w:b/>
                <w:bCs/>
                <w:color w:val="000000"/>
                <w:kern w:val="0"/>
                <w:sz w:val="18"/>
                <w:szCs w:val="18"/>
                <w14:ligatures w14:val="none"/>
              </w:rPr>
              <w:t>ontrol</w:t>
            </w:r>
          </w:p>
        </w:tc>
      </w:tr>
      <w:tr w14:paraId="6ACD4EDF">
        <w:trPr>
          <w:trHeight w:val="290" w:hRule="atLeast"/>
          <w:jc w:val="center"/>
        </w:trPr>
        <w:tc>
          <w:tcPr>
            <w:tcW w:w="706" w:type="dxa"/>
            <w:vMerge w:val="continue"/>
            <w:vAlign w:val="center"/>
          </w:tcPr>
          <w:p w14:paraId="4DEB9E5F">
            <w:pPr>
              <w:spacing w:after="0" w:line="240" w:lineRule="auto"/>
              <w:rPr>
                <w:rFonts w:ascii="Times New Roman" w:hAnsi="Times New Roman" w:eastAsia="Times New Roman" w:cs="Times New Roman"/>
                <w:color w:val="000000"/>
                <w:kern w:val="0"/>
                <w:sz w:val="18"/>
                <w:szCs w:val="18"/>
                <w14:ligatures w14:val="none"/>
              </w:rPr>
            </w:pPr>
          </w:p>
        </w:tc>
        <w:tc>
          <w:tcPr>
            <w:tcW w:w="1279" w:type="dxa"/>
            <w:tcBorders>
              <w:top w:val="single" w:color="auto" w:sz="4" w:space="0"/>
              <w:bottom w:val="single" w:color="auto" w:sz="4" w:space="0"/>
            </w:tcBorders>
            <w:noWrap/>
            <w:vAlign w:val="bottom"/>
          </w:tcPr>
          <w:p w14:paraId="63277621">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cs="Times New Roman"/>
                <w:color w:val="000000"/>
                <w:kern w:val="0"/>
                <w:sz w:val="18"/>
                <w:szCs w:val="18"/>
                <w14:ligatures w14:val="none"/>
              </w:rPr>
              <w:t>Anxiety</w:t>
            </w:r>
            <w:r>
              <w:rPr>
                <w:rFonts w:ascii="Times New Roman" w:hAnsi="Times New Roman" w:eastAsia="Times New Roman" w:cs="Times New Roman"/>
                <w:color w:val="000000"/>
                <w:kern w:val="0"/>
                <w:sz w:val="18"/>
                <w:szCs w:val="18"/>
                <w14:ligatures w14:val="none"/>
              </w:rPr>
              <w:t xml:space="preserve"> diagnoses</w:t>
            </w:r>
            <w:r>
              <w:rPr>
                <w:rFonts w:ascii="Times New Roman" w:hAnsi="Times New Roman" w:cs="Times New Roman"/>
                <w:color w:val="000000"/>
                <w:kern w:val="0"/>
                <w:sz w:val="18"/>
                <w:szCs w:val="18"/>
                <w14:ligatures w14:val="none"/>
              </w:rPr>
              <w:t xml:space="preserve"> (n)</w:t>
            </w:r>
          </w:p>
        </w:tc>
        <w:tc>
          <w:tcPr>
            <w:tcW w:w="1984" w:type="dxa"/>
            <w:tcBorders>
              <w:top w:val="single" w:color="auto" w:sz="4" w:space="0"/>
              <w:bottom w:val="single" w:color="auto" w:sz="4" w:space="0"/>
            </w:tcBorders>
            <w:noWrap/>
            <w:vAlign w:val="bottom"/>
          </w:tcPr>
          <w:p w14:paraId="7BEBC519">
            <w:pPr>
              <w:spacing w:after="0" w:line="240" w:lineRule="auto"/>
              <w:rPr>
                <w:rFonts w:ascii="Times New Roman" w:hAnsi="Times New Roman" w:cs="Times New Roman"/>
                <w:color w:val="000000"/>
                <w:kern w:val="0"/>
                <w:sz w:val="18"/>
                <w:szCs w:val="18"/>
                <w14:ligatures w14:val="none"/>
              </w:rPr>
            </w:pPr>
            <w:r>
              <w:rPr>
                <w:rFonts w:ascii="Times New Roman" w:hAnsi="Times New Roman" w:cs="Times New Roman"/>
                <w:color w:val="000000"/>
                <w:kern w:val="0"/>
                <w:sz w:val="18"/>
                <w:szCs w:val="18"/>
                <w14:ligatures w14:val="none"/>
              </w:rPr>
              <w:t>P</w:t>
            </w:r>
            <w:r>
              <w:rPr>
                <w:rFonts w:ascii="Times New Roman" w:hAnsi="Times New Roman" w:eastAsia="Times New Roman" w:cs="Times New Roman"/>
                <w:color w:val="000000"/>
                <w:kern w:val="0"/>
                <w:sz w:val="18"/>
                <w:szCs w:val="18"/>
                <w14:ligatures w14:val="none"/>
              </w:rPr>
              <w:t xml:space="preserve">roportion with </w:t>
            </w:r>
            <w:r>
              <w:rPr>
                <w:rFonts w:ascii="Times New Roman" w:hAnsi="Times New Roman" w:cs="Times New Roman"/>
                <w:color w:val="000000"/>
                <w:kern w:val="0"/>
                <w:sz w:val="18"/>
                <w:szCs w:val="18"/>
                <w14:ligatures w14:val="none"/>
              </w:rPr>
              <w:t>anxiety</w:t>
            </w:r>
            <w:r>
              <w:rPr>
                <w:rFonts w:ascii="Times New Roman" w:hAnsi="Times New Roman" w:eastAsia="Times New Roman" w:cs="Times New Roman"/>
                <w:color w:val="000000"/>
                <w:kern w:val="0"/>
                <w:sz w:val="18"/>
                <w:szCs w:val="18"/>
                <w14:ligatures w14:val="none"/>
              </w:rPr>
              <w:t xml:space="preserve"> (95% CI)</w:t>
            </w:r>
            <w:r>
              <w:rPr>
                <w:rFonts w:hint="eastAsia" w:ascii="Times New Roman" w:hAnsi="Times New Roman" w:cs="Times New Roman"/>
                <w:color w:val="000000"/>
                <w:kern w:val="0"/>
                <w:sz w:val="18"/>
                <w:szCs w:val="18"/>
                <w14:ligatures w14:val="none"/>
              </w:rPr>
              <w:t xml:space="preserve"> </w:t>
            </w:r>
            <w:r>
              <w:rPr>
                <w:rFonts w:hint="eastAsia" w:ascii="Times New Roman" w:hAnsi="Times New Roman" w:cs="Times New Roman"/>
                <w:color w:val="000000"/>
                <w:kern w:val="0"/>
                <w:sz w:val="18"/>
                <w:szCs w:val="18"/>
                <w:vertAlign w:val="superscript"/>
                <w14:ligatures w14:val="none"/>
              </w:rPr>
              <w:t>*</w:t>
            </w:r>
          </w:p>
        </w:tc>
        <w:tc>
          <w:tcPr>
            <w:tcW w:w="284" w:type="dxa"/>
            <w:tcBorders>
              <w:bottom w:val="single" w:color="auto" w:sz="4" w:space="0"/>
            </w:tcBorders>
            <w:noWrap/>
            <w:vAlign w:val="bottom"/>
          </w:tcPr>
          <w:p w14:paraId="1EF54C9D">
            <w:pPr>
              <w:spacing w:after="0" w:line="240" w:lineRule="auto"/>
              <w:rPr>
                <w:rFonts w:ascii="Times New Roman" w:hAnsi="Times New Roman" w:eastAsia="Times New Roman" w:cs="Times New Roman"/>
                <w:color w:val="000000"/>
                <w:kern w:val="0"/>
                <w:sz w:val="18"/>
                <w:szCs w:val="18"/>
                <w14:ligatures w14:val="none"/>
              </w:rPr>
            </w:pPr>
          </w:p>
        </w:tc>
        <w:tc>
          <w:tcPr>
            <w:tcW w:w="1278" w:type="dxa"/>
            <w:tcBorders>
              <w:top w:val="single" w:color="auto" w:sz="4" w:space="0"/>
              <w:bottom w:val="single" w:color="auto" w:sz="4" w:space="0"/>
            </w:tcBorders>
            <w:noWrap/>
            <w:vAlign w:val="bottom"/>
          </w:tcPr>
          <w:p w14:paraId="4388F8AE">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cs="Times New Roman"/>
                <w:color w:val="000000"/>
                <w:kern w:val="0"/>
                <w:sz w:val="18"/>
                <w:szCs w:val="18"/>
                <w14:ligatures w14:val="none"/>
              </w:rPr>
              <w:t>Anxiety</w:t>
            </w:r>
            <w:r>
              <w:rPr>
                <w:rFonts w:ascii="Times New Roman" w:hAnsi="Times New Roman" w:eastAsia="Times New Roman" w:cs="Times New Roman"/>
                <w:color w:val="000000"/>
                <w:kern w:val="0"/>
                <w:sz w:val="18"/>
                <w:szCs w:val="18"/>
                <w14:ligatures w14:val="none"/>
              </w:rPr>
              <w:t xml:space="preserve"> diagnoses</w:t>
            </w:r>
            <w:r>
              <w:rPr>
                <w:rFonts w:ascii="Times New Roman" w:hAnsi="Times New Roman" w:cs="Times New Roman"/>
                <w:color w:val="000000"/>
                <w:kern w:val="0"/>
                <w:sz w:val="18"/>
                <w:szCs w:val="18"/>
                <w14:ligatures w14:val="none"/>
              </w:rPr>
              <w:t xml:space="preserve"> (n)</w:t>
            </w:r>
          </w:p>
        </w:tc>
        <w:tc>
          <w:tcPr>
            <w:tcW w:w="2266" w:type="dxa"/>
            <w:tcBorders>
              <w:top w:val="single" w:color="auto" w:sz="4" w:space="0"/>
              <w:bottom w:val="single" w:color="auto" w:sz="4" w:space="0"/>
            </w:tcBorders>
            <w:noWrap/>
            <w:vAlign w:val="bottom"/>
          </w:tcPr>
          <w:p w14:paraId="78B8F649">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cs="Times New Roman"/>
                <w:color w:val="000000"/>
                <w:kern w:val="0"/>
                <w:sz w:val="18"/>
                <w:szCs w:val="18"/>
                <w14:ligatures w14:val="none"/>
              </w:rPr>
              <w:t>P</w:t>
            </w:r>
            <w:r>
              <w:rPr>
                <w:rFonts w:ascii="Times New Roman" w:hAnsi="Times New Roman" w:eastAsia="Times New Roman" w:cs="Times New Roman"/>
                <w:color w:val="000000"/>
                <w:kern w:val="0"/>
                <w:sz w:val="18"/>
                <w:szCs w:val="18"/>
                <w14:ligatures w14:val="none"/>
              </w:rPr>
              <w:t xml:space="preserve">roportion with </w:t>
            </w:r>
            <w:r>
              <w:rPr>
                <w:rFonts w:ascii="Times New Roman" w:hAnsi="Times New Roman" w:cs="Times New Roman"/>
                <w:color w:val="000000"/>
                <w:kern w:val="0"/>
                <w:sz w:val="18"/>
                <w:szCs w:val="18"/>
                <w14:ligatures w14:val="none"/>
              </w:rPr>
              <w:t>anxiety</w:t>
            </w:r>
            <w:r>
              <w:rPr>
                <w:rFonts w:ascii="Times New Roman" w:hAnsi="Times New Roman" w:eastAsia="Times New Roman" w:cs="Times New Roman"/>
                <w:color w:val="000000"/>
                <w:kern w:val="0"/>
                <w:sz w:val="18"/>
                <w:szCs w:val="18"/>
                <w14:ligatures w14:val="none"/>
              </w:rPr>
              <w:t xml:space="preserve"> (95% CI)</w:t>
            </w:r>
            <w:r>
              <w:rPr>
                <w:rFonts w:hint="eastAsia" w:ascii="Times New Roman" w:hAnsi="Times New Roman" w:cs="Times New Roman"/>
                <w:color w:val="000000"/>
                <w:kern w:val="0"/>
                <w:sz w:val="18"/>
                <w:szCs w:val="18"/>
                <w14:ligatures w14:val="none"/>
              </w:rPr>
              <w:t xml:space="preserve"> </w:t>
            </w:r>
            <w:r>
              <w:rPr>
                <w:rFonts w:hint="eastAsia" w:ascii="Times New Roman" w:hAnsi="Times New Roman" w:cs="Times New Roman"/>
                <w:color w:val="000000"/>
                <w:kern w:val="0"/>
                <w:sz w:val="18"/>
                <w:szCs w:val="18"/>
                <w:vertAlign w:val="superscript"/>
                <w14:ligatures w14:val="none"/>
              </w:rPr>
              <w:t>*</w:t>
            </w:r>
          </w:p>
        </w:tc>
      </w:tr>
      <w:tr w14:paraId="4F32D63B">
        <w:trPr>
          <w:trHeight w:val="290" w:hRule="atLeast"/>
          <w:jc w:val="center"/>
        </w:trPr>
        <w:tc>
          <w:tcPr>
            <w:tcW w:w="706" w:type="dxa"/>
            <w:tcBorders>
              <w:top w:val="single" w:color="auto" w:sz="4" w:space="0"/>
              <w:bottom w:val="nil"/>
            </w:tcBorders>
            <w:noWrap/>
            <w:vAlign w:val="bottom"/>
          </w:tcPr>
          <w:p w14:paraId="6157A0B2">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w:t>
            </w:r>
          </w:p>
        </w:tc>
        <w:tc>
          <w:tcPr>
            <w:tcW w:w="1279" w:type="dxa"/>
            <w:tcBorders>
              <w:top w:val="single" w:color="auto" w:sz="4" w:space="0"/>
              <w:bottom w:val="nil"/>
            </w:tcBorders>
            <w:noWrap/>
            <w:vAlign w:val="bottom"/>
          </w:tcPr>
          <w:p w14:paraId="79BCA4DA">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89</w:t>
            </w:r>
          </w:p>
        </w:tc>
        <w:tc>
          <w:tcPr>
            <w:tcW w:w="1984" w:type="dxa"/>
            <w:tcBorders>
              <w:top w:val="single" w:color="auto" w:sz="4" w:space="0"/>
              <w:bottom w:val="nil"/>
            </w:tcBorders>
            <w:noWrap/>
            <w:vAlign w:val="bottom"/>
          </w:tcPr>
          <w:p w14:paraId="550D3761">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1.2% (1.0% – 1.5%)</w:t>
            </w:r>
          </w:p>
        </w:tc>
        <w:tc>
          <w:tcPr>
            <w:tcW w:w="284" w:type="dxa"/>
            <w:tcBorders>
              <w:top w:val="single" w:color="auto" w:sz="4" w:space="0"/>
              <w:bottom w:val="nil"/>
            </w:tcBorders>
            <w:noWrap/>
            <w:vAlign w:val="bottom"/>
          </w:tcPr>
          <w:p w14:paraId="77126B90">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 </w:t>
            </w:r>
          </w:p>
        </w:tc>
        <w:tc>
          <w:tcPr>
            <w:tcW w:w="1278" w:type="dxa"/>
            <w:tcBorders>
              <w:top w:val="single" w:color="auto" w:sz="4" w:space="0"/>
              <w:bottom w:val="nil"/>
            </w:tcBorders>
            <w:noWrap/>
            <w:vAlign w:val="bottom"/>
          </w:tcPr>
          <w:p w14:paraId="18B55FA9">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475</w:t>
            </w:r>
          </w:p>
        </w:tc>
        <w:tc>
          <w:tcPr>
            <w:tcW w:w="2266" w:type="dxa"/>
            <w:tcBorders>
              <w:top w:val="single" w:color="auto" w:sz="4" w:space="0"/>
              <w:bottom w:val="nil"/>
            </w:tcBorders>
            <w:noWrap/>
            <w:vAlign w:val="bottom"/>
          </w:tcPr>
          <w:p w14:paraId="0123A30D">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1.4% (1.3% – 1.5%)</w:t>
            </w:r>
          </w:p>
        </w:tc>
      </w:tr>
      <w:tr w14:paraId="56EC11F2">
        <w:trPr>
          <w:trHeight w:val="290" w:hRule="atLeast"/>
          <w:jc w:val="center"/>
        </w:trPr>
        <w:tc>
          <w:tcPr>
            <w:tcW w:w="706" w:type="dxa"/>
            <w:tcBorders>
              <w:top w:val="nil"/>
            </w:tcBorders>
            <w:noWrap/>
            <w:vAlign w:val="bottom"/>
          </w:tcPr>
          <w:p w14:paraId="6C516B3A">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2</w:t>
            </w:r>
          </w:p>
        </w:tc>
        <w:tc>
          <w:tcPr>
            <w:tcW w:w="1279" w:type="dxa"/>
            <w:tcBorders>
              <w:top w:val="nil"/>
            </w:tcBorders>
            <w:noWrap/>
            <w:vAlign w:val="bottom"/>
          </w:tcPr>
          <w:p w14:paraId="0A8B748E">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97</w:t>
            </w:r>
          </w:p>
        </w:tc>
        <w:tc>
          <w:tcPr>
            <w:tcW w:w="1984" w:type="dxa"/>
            <w:tcBorders>
              <w:top w:val="nil"/>
            </w:tcBorders>
            <w:noWrap/>
            <w:vAlign w:val="bottom"/>
          </w:tcPr>
          <w:p w14:paraId="23030F07">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2.7% (2.3% – 3.1%)</w:t>
            </w:r>
          </w:p>
        </w:tc>
        <w:tc>
          <w:tcPr>
            <w:tcW w:w="284" w:type="dxa"/>
            <w:tcBorders>
              <w:top w:val="nil"/>
            </w:tcBorders>
            <w:noWrap/>
            <w:vAlign w:val="bottom"/>
          </w:tcPr>
          <w:p w14:paraId="47645629">
            <w:pPr>
              <w:spacing w:after="0" w:line="240" w:lineRule="auto"/>
              <w:rPr>
                <w:rFonts w:ascii="Times New Roman" w:hAnsi="Times New Roman" w:cs="Times New Roman"/>
                <w:color w:val="000000"/>
                <w:sz w:val="18"/>
                <w:szCs w:val="18"/>
              </w:rPr>
            </w:pPr>
          </w:p>
        </w:tc>
        <w:tc>
          <w:tcPr>
            <w:tcW w:w="1278" w:type="dxa"/>
            <w:tcBorders>
              <w:top w:val="nil"/>
            </w:tcBorders>
            <w:noWrap/>
            <w:vAlign w:val="bottom"/>
          </w:tcPr>
          <w:p w14:paraId="6F4A3BD5">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382</w:t>
            </w:r>
          </w:p>
        </w:tc>
        <w:tc>
          <w:tcPr>
            <w:tcW w:w="2266" w:type="dxa"/>
            <w:tcBorders>
              <w:top w:val="nil"/>
            </w:tcBorders>
            <w:noWrap/>
            <w:vAlign w:val="bottom"/>
          </w:tcPr>
          <w:p w14:paraId="0DE64B86">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2.6% (2.4% – 2.8%)</w:t>
            </w:r>
          </w:p>
        </w:tc>
      </w:tr>
      <w:tr w14:paraId="06536C15">
        <w:trPr>
          <w:trHeight w:val="290" w:hRule="atLeast"/>
          <w:jc w:val="center"/>
        </w:trPr>
        <w:tc>
          <w:tcPr>
            <w:tcW w:w="706" w:type="dxa"/>
            <w:noWrap/>
            <w:vAlign w:val="bottom"/>
          </w:tcPr>
          <w:p w14:paraId="39794895">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3</w:t>
            </w:r>
          </w:p>
        </w:tc>
        <w:tc>
          <w:tcPr>
            <w:tcW w:w="1279" w:type="dxa"/>
            <w:noWrap/>
            <w:vAlign w:val="bottom"/>
          </w:tcPr>
          <w:p w14:paraId="7CE24388">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112</w:t>
            </w:r>
          </w:p>
        </w:tc>
        <w:tc>
          <w:tcPr>
            <w:tcW w:w="1984" w:type="dxa"/>
            <w:noWrap/>
            <w:vAlign w:val="bottom"/>
          </w:tcPr>
          <w:p w14:paraId="0F45BC95">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4.6% (4.1% – 5.1%)</w:t>
            </w:r>
          </w:p>
        </w:tc>
        <w:tc>
          <w:tcPr>
            <w:tcW w:w="284" w:type="dxa"/>
            <w:noWrap/>
            <w:vAlign w:val="bottom"/>
          </w:tcPr>
          <w:p w14:paraId="0160637E">
            <w:pPr>
              <w:spacing w:after="0" w:line="240" w:lineRule="auto"/>
              <w:rPr>
                <w:rFonts w:ascii="Times New Roman" w:hAnsi="Times New Roman" w:cs="Times New Roman"/>
                <w:color w:val="000000"/>
                <w:sz w:val="18"/>
                <w:szCs w:val="18"/>
              </w:rPr>
            </w:pPr>
          </w:p>
        </w:tc>
        <w:tc>
          <w:tcPr>
            <w:tcW w:w="1278" w:type="dxa"/>
            <w:noWrap/>
            <w:vAlign w:val="bottom"/>
          </w:tcPr>
          <w:p w14:paraId="69D59790">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345</w:t>
            </w:r>
          </w:p>
        </w:tc>
        <w:tc>
          <w:tcPr>
            <w:tcW w:w="2266" w:type="dxa"/>
            <w:noWrap/>
            <w:vAlign w:val="bottom"/>
          </w:tcPr>
          <w:p w14:paraId="42245165">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3.9% (3.7% – 4.1%)</w:t>
            </w:r>
          </w:p>
        </w:tc>
      </w:tr>
      <w:tr w14:paraId="154FAF1E">
        <w:trPr>
          <w:trHeight w:val="290" w:hRule="atLeast"/>
          <w:jc w:val="center"/>
        </w:trPr>
        <w:tc>
          <w:tcPr>
            <w:tcW w:w="706" w:type="dxa"/>
            <w:noWrap/>
            <w:vAlign w:val="bottom"/>
          </w:tcPr>
          <w:p w14:paraId="496613AE">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4</w:t>
            </w:r>
          </w:p>
        </w:tc>
        <w:tc>
          <w:tcPr>
            <w:tcW w:w="1279" w:type="dxa"/>
            <w:noWrap/>
            <w:vAlign w:val="bottom"/>
          </w:tcPr>
          <w:p w14:paraId="6C0DE0EF">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74</w:t>
            </w:r>
          </w:p>
        </w:tc>
        <w:tc>
          <w:tcPr>
            <w:tcW w:w="1984" w:type="dxa"/>
            <w:noWrap/>
            <w:vAlign w:val="bottom"/>
          </w:tcPr>
          <w:p w14:paraId="6B7B3226">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6.1% (5.5% – 6.7%)</w:t>
            </w:r>
          </w:p>
        </w:tc>
        <w:tc>
          <w:tcPr>
            <w:tcW w:w="284" w:type="dxa"/>
            <w:noWrap/>
            <w:vAlign w:val="bottom"/>
          </w:tcPr>
          <w:p w14:paraId="703FC96C">
            <w:pPr>
              <w:spacing w:after="0" w:line="240" w:lineRule="auto"/>
              <w:rPr>
                <w:rFonts w:ascii="Times New Roman" w:hAnsi="Times New Roman" w:cs="Times New Roman"/>
                <w:color w:val="000000"/>
                <w:sz w:val="18"/>
                <w:szCs w:val="18"/>
              </w:rPr>
            </w:pPr>
          </w:p>
        </w:tc>
        <w:tc>
          <w:tcPr>
            <w:tcW w:w="1278" w:type="dxa"/>
            <w:noWrap/>
            <w:vAlign w:val="bottom"/>
          </w:tcPr>
          <w:p w14:paraId="5A1F2A8B">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265</w:t>
            </w:r>
          </w:p>
        </w:tc>
        <w:tc>
          <w:tcPr>
            <w:tcW w:w="2266" w:type="dxa"/>
            <w:noWrap/>
            <w:vAlign w:val="bottom"/>
          </w:tcPr>
          <w:p w14:paraId="78B00F81">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5.0% (4.7% – 5.2%)</w:t>
            </w:r>
          </w:p>
        </w:tc>
      </w:tr>
      <w:tr w14:paraId="4C7E66B7">
        <w:trPr>
          <w:trHeight w:val="290" w:hRule="atLeast"/>
          <w:jc w:val="center"/>
        </w:trPr>
        <w:tc>
          <w:tcPr>
            <w:tcW w:w="706" w:type="dxa"/>
            <w:noWrap/>
            <w:vAlign w:val="bottom"/>
          </w:tcPr>
          <w:p w14:paraId="2CFDD111">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5</w:t>
            </w:r>
          </w:p>
        </w:tc>
        <w:tc>
          <w:tcPr>
            <w:tcW w:w="1279" w:type="dxa"/>
            <w:noWrap/>
            <w:vAlign w:val="bottom"/>
          </w:tcPr>
          <w:p w14:paraId="204A3160">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73</w:t>
            </w:r>
          </w:p>
        </w:tc>
        <w:tc>
          <w:tcPr>
            <w:tcW w:w="1984" w:type="dxa"/>
            <w:noWrap/>
            <w:vAlign w:val="bottom"/>
          </w:tcPr>
          <w:p w14:paraId="5954EC31">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7.8% (7.1% – 8.5%)</w:t>
            </w:r>
          </w:p>
        </w:tc>
        <w:tc>
          <w:tcPr>
            <w:tcW w:w="284" w:type="dxa"/>
            <w:noWrap/>
            <w:vAlign w:val="bottom"/>
          </w:tcPr>
          <w:p w14:paraId="29F5F61C">
            <w:pPr>
              <w:spacing w:after="0" w:line="240" w:lineRule="auto"/>
              <w:rPr>
                <w:rFonts w:ascii="Times New Roman" w:hAnsi="Times New Roman" w:cs="Times New Roman"/>
                <w:color w:val="000000"/>
                <w:sz w:val="18"/>
                <w:szCs w:val="18"/>
              </w:rPr>
            </w:pPr>
          </w:p>
        </w:tc>
        <w:tc>
          <w:tcPr>
            <w:tcW w:w="1278" w:type="dxa"/>
            <w:noWrap/>
            <w:vAlign w:val="bottom"/>
          </w:tcPr>
          <w:p w14:paraId="5BEF4FA2">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197</w:t>
            </w:r>
          </w:p>
        </w:tc>
        <w:tc>
          <w:tcPr>
            <w:tcW w:w="2266" w:type="dxa"/>
            <w:noWrap/>
            <w:vAlign w:val="bottom"/>
          </w:tcPr>
          <w:p w14:paraId="06CEF44A">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6.0% (5.7% – 6.2%)</w:t>
            </w:r>
          </w:p>
        </w:tc>
      </w:tr>
      <w:tr w14:paraId="2CB75934">
        <w:trPr>
          <w:trHeight w:val="290" w:hRule="atLeast"/>
          <w:jc w:val="center"/>
        </w:trPr>
        <w:tc>
          <w:tcPr>
            <w:tcW w:w="706" w:type="dxa"/>
            <w:noWrap/>
            <w:vAlign w:val="bottom"/>
          </w:tcPr>
          <w:p w14:paraId="28375E49">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6</w:t>
            </w:r>
          </w:p>
        </w:tc>
        <w:tc>
          <w:tcPr>
            <w:tcW w:w="1279" w:type="dxa"/>
            <w:noWrap/>
            <w:vAlign w:val="bottom"/>
          </w:tcPr>
          <w:p w14:paraId="6F28EE42">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52</w:t>
            </w:r>
          </w:p>
        </w:tc>
        <w:tc>
          <w:tcPr>
            <w:tcW w:w="1984" w:type="dxa"/>
            <w:noWrap/>
            <w:vAlign w:val="bottom"/>
          </w:tcPr>
          <w:p w14:paraId="10494EB8">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9.1% (8.4% – 9.9%)</w:t>
            </w:r>
          </w:p>
        </w:tc>
        <w:tc>
          <w:tcPr>
            <w:tcW w:w="284" w:type="dxa"/>
            <w:noWrap/>
            <w:vAlign w:val="bottom"/>
          </w:tcPr>
          <w:p w14:paraId="675D9C51">
            <w:pPr>
              <w:spacing w:after="0" w:line="240" w:lineRule="auto"/>
              <w:rPr>
                <w:rFonts w:ascii="Times New Roman" w:hAnsi="Times New Roman" w:cs="Times New Roman"/>
                <w:color w:val="000000"/>
                <w:sz w:val="18"/>
                <w:szCs w:val="18"/>
              </w:rPr>
            </w:pPr>
          </w:p>
        </w:tc>
        <w:tc>
          <w:tcPr>
            <w:tcW w:w="1278" w:type="dxa"/>
            <w:noWrap/>
            <w:vAlign w:val="bottom"/>
          </w:tcPr>
          <w:p w14:paraId="0D42C777">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244</w:t>
            </w:r>
          </w:p>
        </w:tc>
        <w:tc>
          <w:tcPr>
            <w:tcW w:w="2266" w:type="dxa"/>
            <w:noWrap/>
            <w:vAlign w:val="bottom"/>
          </w:tcPr>
          <w:p w14:paraId="55EAD341">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7.4% (7.0% – 7.7%)</w:t>
            </w:r>
          </w:p>
        </w:tc>
      </w:tr>
      <w:tr w14:paraId="0C1A557A">
        <w:trPr>
          <w:trHeight w:val="290" w:hRule="atLeast"/>
          <w:jc w:val="center"/>
        </w:trPr>
        <w:tc>
          <w:tcPr>
            <w:tcW w:w="706" w:type="dxa"/>
            <w:noWrap/>
            <w:vAlign w:val="bottom"/>
          </w:tcPr>
          <w:p w14:paraId="10E5EBA5">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7</w:t>
            </w:r>
          </w:p>
        </w:tc>
        <w:tc>
          <w:tcPr>
            <w:tcW w:w="1279" w:type="dxa"/>
            <w:noWrap/>
            <w:vAlign w:val="bottom"/>
          </w:tcPr>
          <w:p w14:paraId="5F8DE4EB">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39</w:t>
            </w:r>
          </w:p>
        </w:tc>
        <w:tc>
          <w:tcPr>
            <w:tcW w:w="1984" w:type="dxa"/>
            <w:noWrap/>
            <w:vAlign w:val="bottom"/>
          </w:tcPr>
          <w:p w14:paraId="6193EC40">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10.3% (9.5% – 11.2%)</w:t>
            </w:r>
          </w:p>
        </w:tc>
        <w:tc>
          <w:tcPr>
            <w:tcW w:w="284" w:type="dxa"/>
            <w:noWrap/>
            <w:vAlign w:val="bottom"/>
          </w:tcPr>
          <w:p w14:paraId="02DB4E23">
            <w:pPr>
              <w:spacing w:after="0" w:line="240" w:lineRule="auto"/>
              <w:rPr>
                <w:rFonts w:ascii="Times New Roman" w:hAnsi="Times New Roman" w:cs="Times New Roman"/>
                <w:color w:val="000000"/>
                <w:sz w:val="18"/>
                <w:szCs w:val="18"/>
              </w:rPr>
            </w:pPr>
          </w:p>
        </w:tc>
        <w:tc>
          <w:tcPr>
            <w:tcW w:w="1278" w:type="dxa"/>
            <w:noWrap/>
            <w:vAlign w:val="bottom"/>
          </w:tcPr>
          <w:p w14:paraId="325143FF">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175</w:t>
            </w:r>
          </w:p>
        </w:tc>
        <w:tc>
          <w:tcPr>
            <w:tcW w:w="2266" w:type="dxa"/>
            <w:noWrap/>
            <w:vAlign w:val="bottom"/>
          </w:tcPr>
          <w:p w14:paraId="72AA58B7">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8.5% (8.1% – 8.9%)</w:t>
            </w:r>
          </w:p>
        </w:tc>
      </w:tr>
      <w:tr w14:paraId="563E515F">
        <w:trPr>
          <w:trHeight w:val="290" w:hRule="atLeast"/>
          <w:jc w:val="center"/>
        </w:trPr>
        <w:tc>
          <w:tcPr>
            <w:tcW w:w="706" w:type="dxa"/>
            <w:noWrap/>
            <w:vAlign w:val="bottom"/>
          </w:tcPr>
          <w:p w14:paraId="694DD97F">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8</w:t>
            </w:r>
          </w:p>
        </w:tc>
        <w:tc>
          <w:tcPr>
            <w:tcW w:w="1279" w:type="dxa"/>
            <w:noWrap/>
            <w:vAlign w:val="bottom"/>
          </w:tcPr>
          <w:p w14:paraId="6A9DD578">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42</w:t>
            </w:r>
          </w:p>
        </w:tc>
        <w:tc>
          <w:tcPr>
            <w:tcW w:w="1984" w:type="dxa"/>
            <w:noWrap/>
            <w:vAlign w:val="bottom"/>
          </w:tcPr>
          <w:p w14:paraId="441351DB">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11.9% (10.9% – 12.8%)</w:t>
            </w:r>
          </w:p>
        </w:tc>
        <w:tc>
          <w:tcPr>
            <w:tcW w:w="284" w:type="dxa"/>
            <w:noWrap/>
            <w:vAlign w:val="bottom"/>
          </w:tcPr>
          <w:p w14:paraId="343822AA">
            <w:pPr>
              <w:spacing w:after="0" w:line="240" w:lineRule="auto"/>
              <w:rPr>
                <w:rFonts w:ascii="Times New Roman" w:hAnsi="Times New Roman" w:cs="Times New Roman"/>
                <w:color w:val="000000"/>
                <w:sz w:val="18"/>
                <w:szCs w:val="18"/>
              </w:rPr>
            </w:pPr>
          </w:p>
        </w:tc>
        <w:tc>
          <w:tcPr>
            <w:tcW w:w="1278" w:type="dxa"/>
            <w:noWrap/>
            <w:vAlign w:val="bottom"/>
          </w:tcPr>
          <w:p w14:paraId="6896A102">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141</w:t>
            </w:r>
          </w:p>
        </w:tc>
        <w:tc>
          <w:tcPr>
            <w:tcW w:w="2266" w:type="dxa"/>
            <w:noWrap/>
            <w:vAlign w:val="bottom"/>
          </w:tcPr>
          <w:p w14:paraId="75ABADFA">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9.6% (9.2% – 10.0%)</w:t>
            </w:r>
          </w:p>
        </w:tc>
      </w:tr>
      <w:tr w14:paraId="62ED80AB">
        <w:trPr>
          <w:trHeight w:val="290" w:hRule="atLeast"/>
          <w:jc w:val="center"/>
        </w:trPr>
        <w:tc>
          <w:tcPr>
            <w:tcW w:w="706" w:type="dxa"/>
            <w:noWrap/>
            <w:vAlign w:val="bottom"/>
          </w:tcPr>
          <w:p w14:paraId="2FC4859A">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9</w:t>
            </w:r>
          </w:p>
        </w:tc>
        <w:tc>
          <w:tcPr>
            <w:tcW w:w="1279" w:type="dxa"/>
            <w:noWrap/>
            <w:vAlign w:val="bottom"/>
          </w:tcPr>
          <w:p w14:paraId="2146217D">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38</w:t>
            </w:r>
          </w:p>
        </w:tc>
        <w:tc>
          <w:tcPr>
            <w:tcW w:w="1984" w:type="dxa"/>
            <w:noWrap/>
            <w:vAlign w:val="bottom"/>
          </w:tcPr>
          <w:p w14:paraId="1A7F8943">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13.5% (12.4% – 14.6%)</w:t>
            </w:r>
          </w:p>
        </w:tc>
        <w:tc>
          <w:tcPr>
            <w:tcW w:w="284" w:type="dxa"/>
            <w:noWrap/>
            <w:vAlign w:val="bottom"/>
          </w:tcPr>
          <w:p w14:paraId="29C18271">
            <w:pPr>
              <w:spacing w:after="0" w:line="240" w:lineRule="auto"/>
              <w:rPr>
                <w:rFonts w:ascii="Times New Roman" w:hAnsi="Times New Roman" w:cs="Times New Roman"/>
                <w:color w:val="000000"/>
                <w:sz w:val="18"/>
                <w:szCs w:val="18"/>
              </w:rPr>
            </w:pPr>
          </w:p>
        </w:tc>
        <w:tc>
          <w:tcPr>
            <w:tcW w:w="1278" w:type="dxa"/>
            <w:noWrap/>
            <w:vAlign w:val="bottom"/>
          </w:tcPr>
          <w:p w14:paraId="7FB5FE3E">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127</w:t>
            </w:r>
          </w:p>
        </w:tc>
        <w:tc>
          <w:tcPr>
            <w:tcW w:w="2266" w:type="dxa"/>
            <w:noWrap/>
            <w:vAlign w:val="bottom"/>
          </w:tcPr>
          <w:p w14:paraId="03E77E86">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10.8% (10.3% – 11.2%)</w:t>
            </w:r>
          </w:p>
        </w:tc>
      </w:tr>
      <w:tr w14:paraId="7B459886">
        <w:trPr>
          <w:trHeight w:val="290" w:hRule="atLeast"/>
          <w:jc w:val="center"/>
        </w:trPr>
        <w:tc>
          <w:tcPr>
            <w:tcW w:w="706" w:type="dxa"/>
            <w:noWrap/>
            <w:vAlign w:val="bottom"/>
          </w:tcPr>
          <w:p w14:paraId="4C6DFD7B">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10</w:t>
            </w:r>
          </w:p>
        </w:tc>
        <w:tc>
          <w:tcPr>
            <w:tcW w:w="1279" w:type="dxa"/>
            <w:noWrap/>
            <w:vAlign w:val="bottom"/>
          </w:tcPr>
          <w:p w14:paraId="32A23DF6">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22</w:t>
            </w:r>
          </w:p>
        </w:tc>
        <w:tc>
          <w:tcPr>
            <w:tcW w:w="1984" w:type="dxa"/>
            <w:noWrap/>
            <w:vAlign w:val="bottom"/>
          </w:tcPr>
          <w:p w14:paraId="152FDDE3">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14.7% (13.5% – 15.8%)</w:t>
            </w:r>
          </w:p>
        </w:tc>
        <w:tc>
          <w:tcPr>
            <w:tcW w:w="284" w:type="dxa"/>
            <w:noWrap/>
            <w:vAlign w:val="bottom"/>
          </w:tcPr>
          <w:p w14:paraId="686006EF">
            <w:pPr>
              <w:spacing w:after="0" w:line="240" w:lineRule="auto"/>
              <w:rPr>
                <w:rFonts w:ascii="Times New Roman" w:hAnsi="Times New Roman" w:cs="Times New Roman"/>
                <w:color w:val="000000"/>
                <w:sz w:val="18"/>
                <w:szCs w:val="18"/>
              </w:rPr>
            </w:pPr>
          </w:p>
        </w:tc>
        <w:tc>
          <w:tcPr>
            <w:tcW w:w="1278" w:type="dxa"/>
            <w:noWrap/>
            <w:vAlign w:val="bottom"/>
          </w:tcPr>
          <w:p w14:paraId="46F6E4E0">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71</w:t>
            </w:r>
          </w:p>
        </w:tc>
        <w:tc>
          <w:tcPr>
            <w:tcW w:w="2266" w:type="dxa"/>
            <w:noWrap/>
            <w:vAlign w:val="bottom"/>
          </w:tcPr>
          <w:p w14:paraId="08B74E5A">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11.6% (11.1% – 12.1%)</w:t>
            </w:r>
          </w:p>
        </w:tc>
      </w:tr>
      <w:tr w14:paraId="3210E43B">
        <w:trPr>
          <w:trHeight w:val="290" w:hRule="atLeast"/>
          <w:jc w:val="center"/>
        </w:trPr>
        <w:tc>
          <w:tcPr>
            <w:tcW w:w="706" w:type="dxa"/>
            <w:noWrap/>
            <w:vAlign w:val="bottom"/>
          </w:tcPr>
          <w:p w14:paraId="37F957F9">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11</w:t>
            </w:r>
          </w:p>
        </w:tc>
        <w:tc>
          <w:tcPr>
            <w:tcW w:w="1279" w:type="dxa"/>
            <w:noWrap/>
            <w:vAlign w:val="bottom"/>
          </w:tcPr>
          <w:p w14:paraId="73B0B8B5">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24</w:t>
            </w:r>
          </w:p>
        </w:tc>
        <w:tc>
          <w:tcPr>
            <w:tcW w:w="1984" w:type="dxa"/>
            <w:noWrap/>
            <w:vAlign w:val="bottom"/>
          </w:tcPr>
          <w:p w14:paraId="5DAADC02">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16.3% (14.9% – 17.6%)</w:t>
            </w:r>
          </w:p>
        </w:tc>
        <w:tc>
          <w:tcPr>
            <w:tcW w:w="284" w:type="dxa"/>
            <w:noWrap/>
            <w:vAlign w:val="bottom"/>
          </w:tcPr>
          <w:p w14:paraId="7EC71410">
            <w:pPr>
              <w:spacing w:after="0" w:line="240" w:lineRule="auto"/>
              <w:rPr>
                <w:rFonts w:ascii="Times New Roman" w:hAnsi="Times New Roman" w:cs="Times New Roman"/>
                <w:color w:val="000000"/>
                <w:sz w:val="18"/>
                <w:szCs w:val="18"/>
              </w:rPr>
            </w:pPr>
          </w:p>
        </w:tc>
        <w:tc>
          <w:tcPr>
            <w:tcW w:w="1278" w:type="dxa"/>
            <w:noWrap/>
            <w:vAlign w:val="bottom"/>
          </w:tcPr>
          <w:p w14:paraId="365993C3">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73</w:t>
            </w:r>
          </w:p>
        </w:tc>
        <w:tc>
          <w:tcPr>
            <w:tcW w:w="2266" w:type="dxa"/>
            <w:noWrap/>
            <w:vAlign w:val="bottom"/>
          </w:tcPr>
          <w:p w14:paraId="258673B0">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12.7% (12.1% – 13.2%)</w:t>
            </w:r>
          </w:p>
        </w:tc>
      </w:tr>
      <w:tr w14:paraId="40BE4B08">
        <w:trPr>
          <w:trHeight w:val="290" w:hRule="atLeast"/>
          <w:jc w:val="center"/>
        </w:trPr>
        <w:tc>
          <w:tcPr>
            <w:tcW w:w="706" w:type="dxa"/>
            <w:noWrap/>
            <w:vAlign w:val="bottom"/>
          </w:tcPr>
          <w:p w14:paraId="4D10753D">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12</w:t>
            </w:r>
          </w:p>
        </w:tc>
        <w:tc>
          <w:tcPr>
            <w:tcW w:w="1279" w:type="dxa"/>
            <w:noWrap/>
            <w:vAlign w:val="bottom"/>
          </w:tcPr>
          <w:p w14:paraId="0B6E7BC8">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15</w:t>
            </w:r>
          </w:p>
        </w:tc>
        <w:tc>
          <w:tcPr>
            <w:tcW w:w="1984" w:type="dxa"/>
            <w:noWrap/>
            <w:vAlign w:val="bottom"/>
          </w:tcPr>
          <w:p w14:paraId="288F5A3C">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17.6% (16.1% – 19.0%)</w:t>
            </w:r>
          </w:p>
        </w:tc>
        <w:tc>
          <w:tcPr>
            <w:tcW w:w="284" w:type="dxa"/>
            <w:noWrap/>
            <w:vAlign w:val="bottom"/>
          </w:tcPr>
          <w:p w14:paraId="1E857A94">
            <w:pPr>
              <w:spacing w:after="0" w:line="240" w:lineRule="auto"/>
              <w:rPr>
                <w:rFonts w:ascii="Times New Roman" w:hAnsi="Times New Roman" w:cs="Times New Roman"/>
                <w:color w:val="000000"/>
                <w:sz w:val="18"/>
                <w:szCs w:val="18"/>
              </w:rPr>
            </w:pPr>
          </w:p>
        </w:tc>
        <w:tc>
          <w:tcPr>
            <w:tcW w:w="1278" w:type="dxa"/>
            <w:noWrap/>
            <w:vAlign w:val="bottom"/>
          </w:tcPr>
          <w:p w14:paraId="01BC3DE3">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54</w:t>
            </w:r>
          </w:p>
        </w:tc>
        <w:tc>
          <w:tcPr>
            <w:tcW w:w="2266" w:type="dxa"/>
            <w:noWrap/>
            <w:vAlign w:val="bottom"/>
          </w:tcPr>
          <w:p w14:paraId="2D9ED0D5">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13.7% (13.1% – 14.3%)</w:t>
            </w:r>
          </w:p>
        </w:tc>
      </w:tr>
      <w:tr w14:paraId="33681BE1">
        <w:trPr>
          <w:trHeight w:val="290" w:hRule="atLeast"/>
          <w:jc w:val="center"/>
        </w:trPr>
        <w:tc>
          <w:tcPr>
            <w:tcW w:w="706" w:type="dxa"/>
            <w:noWrap/>
            <w:vAlign w:val="bottom"/>
          </w:tcPr>
          <w:p w14:paraId="5F513F9B">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13</w:t>
            </w:r>
          </w:p>
        </w:tc>
        <w:tc>
          <w:tcPr>
            <w:tcW w:w="1279" w:type="dxa"/>
            <w:noWrap/>
            <w:vAlign w:val="bottom"/>
          </w:tcPr>
          <w:p w14:paraId="4B020502">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9</w:t>
            </w:r>
          </w:p>
        </w:tc>
        <w:tc>
          <w:tcPr>
            <w:tcW w:w="1984" w:type="dxa"/>
            <w:noWrap/>
            <w:vAlign w:val="bottom"/>
          </w:tcPr>
          <w:p w14:paraId="2787068E">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18.8% (17.2% – 20.4%)</w:t>
            </w:r>
          </w:p>
        </w:tc>
        <w:tc>
          <w:tcPr>
            <w:tcW w:w="284" w:type="dxa"/>
            <w:noWrap/>
            <w:vAlign w:val="bottom"/>
          </w:tcPr>
          <w:p w14:paraId="02132D7D">
            <w:pPr>
              <w:spacing w:after="0" w:line="240" w:lineRule="auto"/>
              <w:rPr>
                <w:rFonts w:ascii="Times New Roman" w:hAnsi="Times New Roman" w:cs="Times New Roman"/>
                <w:color w:val="000000"/>
                <w:sz w:val="18"/>
                <w:szCs w:val="18"/>
              </w:rPr>
            </w:pPr>
          </w:p>
        </w:tc>
        <w:tc>
          <w:tcPr>
            <w:tcW w:w="1278" w:type="dxa"/>
            <w:noWrap/>
            <w:vAlign w:val="bottom"/>
          </w:tcPr>
          <w:p w14:paraId="34C4B4DB">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46</w:t>
            </w:r>
          </w:p>
        </w:tc>
        <w:tc>
          <w:tcPr>
            <w:tcW w:w="2266" w:type="dxa"/>
            <w:noWrap/>
            <w:vAlign w:val="bottom"/>
          </w:tcPr>
          <w:p w14:paraId="795B01FC">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15.0% (14.3% – 15.7%)</w:t>
            </w:r>
          </w:p>
        </w:tc>
      </w:tr>
      <w:tr w14:paraId="3AC4B577">
        <w:trPr>
          <w:trHeight w:val="290" w:hRule="atLeast"/>
          <w:jc w:val="center"/>
        </w:trPr>
        <w:tc>
          <w:tcPr>
            <w:tcW w:w="706" w:type="dxa"/>
            <w:tcBorders>
              <w:bottom w:val="nil"/>
            </w:tcBorders>
            <w:noWrap/>
            <w:vAlign w:val="bottom"/>
          </w:tcPr>
          <w:p w14:paraId="3C025FFA">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14</w:t>
            </w:r>
          </w:p>
        </w:tc>
        <w:tc>
          <w:tcPr>
            <w:tcW w:w="1279" w:type="dxa"/>
            <w:tcBorders>
              <w:bottom w:val="nil"/>
            </w:tcBorders>
            <w:noWrap/>
            <w:vAlign w:val="bottom"/>
          </w:tcPr>
          <w:p w14:paraId="4228E079">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7</w:t>
            </w:r>
          </w:p>
        </w:tc>
        <w:tc>
          <w:tcPr>
            <w:tcW w:w="1984" w:type="dxa"/>
            <w:tcBorders>
              <w:bottom w:val="nil"/>
            </w:tcBorders>
            <w:noWrap/>
            <w:vAlign w:val="bottom"/>
          </w:tcPr>
          <w:p w14:paraId="353855F4">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20.3% (18.3% – 22.2%)</w:t>
            </w:r>
          </w:p>
        </w:tc>
        <w:tc>
          <w:tcPr>
            <w:tcW w:w="284" w:type="dxa"/>
            <w:tcBorders>
              <w:bottom w:val="nil"/>
            </w:tcBorders>
            <w:noWrap/>
            <w:vAlign w:val="bottom"/>
          </w:tcPr>
          <w:p w14:paraId="4D463CDE">
            <w:pPr>
              <w:spacing w:after="0" w:line="240" w:lineRule="auto"/>
              <w:rPr>
                <w:rFonts w:ascii="Times New Roman" w:hAnsi="Times New Roman" w:cs="Times New Roman"/>
                <w:color w:val="000000"/>
                <w:sz w:val="18"/>
                <w:szCs w:val="18"/>
              </w:rPr>
            </w:pPr>
          </w:p>
        </w:tc>
        <w:tc>
          <w:tcPr>
            <w:tcW w:w="1278" w:type="dxa"/>
            <w:tcBorders>
              <w:bottom w:val="nil"/>
            </w:tcBorders>
            <w:noWrap/>
            <w:vAlign w:val="bottom"/>
          </w:tcPr>
          <w:p w14:paraId="1A99F894">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14</w:t>
            </w:r>
          </w:p>
        </w:tc>
        <w:tc>
          <w:tcPr>
            <w:tcW w:w="2266" w:type="dxa"/>
            <w:tcBorders>
              <w:bottom w:val="nil"/>
            </w:tcBorders>
            <w:noWrap/>
            <w:vAlign w:val="bottom"/>
          </w:tcPr>
          <w:p w14:paraId="1FE1F6C5">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15.7% (14.9% – 16.4%)</w:t>
            </w:r>
          </w:p>
        </w:tc>
      </w:tr>
      <w:tr w14:paraId="2A09352A">
        <w:trPr>
          <w:trHeight w:val="290" w:hRule="atLeast"/>
          <w:jc w:val="center"/>
        </w:trPr>
        <w:tc>
          <w:tcPr>
            <w:tcW w:w="706" w:type="dxa"/>
            <w:tcBorders>
              <w:top w:val="nil"/>
              <w:bottom w:val="single" w:color="auto" w:sz="4" w:space="0"/>
            </w:tcBorders>
            <w:noWrap/>
            <w:vAlign w:val="bottom"/>
          </w:tcPr>
          <w:p w14:paraId="27725E2A">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15</w:t>
            </w:r>
          </w:p>
        </w:tc>
        <w:tc>
          <w:tcPr>
            <w:tcW w:w="1279" w:type="dxa"/>
            <w:tcBorders>
              <w:top w:val="nil"/>
              <w:bottom w:val="single" w:color="auto" w:sz="4" w:space="0"/>
            </w:tcBorders>
            <w:noWrap/>
            <w:vAlign w:val="bottom"/>
          </w:tcPr>
          <w:p w14:paraId="6993331E">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7</w:t>
            </w:r>
          </w:p>
        </w:tc>
        <w:tc>
          <w:tcPr>
            <w:tcW w:w="1984" w:type="dxa"/>
            <w:tcBorders>
              <w:top w:val="nil"/>
              <w:bottom w:val="single" w:color="auto" w:sz="4" w:space="0"/>
            </w:tcBorders>
            <w:noWrap/>
            <w:vAlign w:val="bottom"/>
          </w:tcPr>
          <w:p w14:paraId="4F1CF923">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22.4% (19.9% – 24.8%)</w:t>
            </w:r>
          </w:p>
        </w:tc>
        <w:tc>
          <w:tcPr>
            <w:tcW w:w="284" w:type="dxa"/>
            <w:tcBorders>
              <w:top w:val="nil"/>
              <w:bottom w:val="single" w:color="auto" w:sz="4" w:space="0"/>
            </w:tcBorders>
            <w:noWrap/>
            <w:vAlign w:val="bottom"/>
          </w:tcPr>
          <w:p w14:paraId="258E9B7E">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 </w:t>
            </w:r>
          </w:p>
        </w:tc>
        <w:tc>
          <w:tcPr>
            <w:tcW w:w="1278" w:type="dxa"/>
            <w:tcBorders>
              <w:top w:val="nil"/>
              <w:bottom w:val="single" w:color="auto" w:sz="4" w:space="0"/>
            </w:tcBorders>
            <w:noWrap/>
            <w:vAlign w:val="bottom"/>
          </w:tcPr>
          <w:p w14:paraId="6AEFFA33">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11</w:t>
            </w:r>
          </w:p>
        </w:tc>
        <w:tc>
          <w:tcPr>
            <w:tcW w:w="2266" w:type="dxa"/>
            <w:tcBorders>
              <w:top w:val="nil"/>
              <w:bottom w:val="single" w:color="auto" w:sz="4" w:space="0"/>
            </w:tcBorders>
            <w:noWrap/>
            <w:vAlign w:val="bottom"/>
          </w:tcPr>
          <w:p w14:paraId="135E7708">
            <w:pPr>
              <w:spacing w:after="0" w:line="240" w:lineRule="auto"/>
              <w:rPr>
                <w:rFonts w:ascii="Times New Roman" w:hAnsi="Times New Roman" w:cs="Times New Roman"/>
                <w:color w:val="000000"/>
                <w:sz w:val="18"/>
                <w:szCs w:val="18"/>
              </w:rPr>
            </w:pPr>
            <w:r>
              <w:rPr>
                <w:rFonts w:ascii="Times New Roman" w:hAnsi="Times New Roman" w:eastAsia="Times New Roman" w:cs="Times New Roman"/>
                <w:color w:val="000000"/>
                <w:kern w:val="0"/>
                <w:sz w:val="18"/>
                <w:szCs w:val="18"/>
                <w14:ligatures w14:val="none"/>
              </w:rPr>
              <w:t>16.6% (15.6% – 17.5%)</w:t>
            </w:r>
          </w:p>
        </w:tc>
      </w:tr>
      <w:tr w14:paraId="1F604FF5">
        <w:trPr>
          <w:trHeight w:val="290" w:hRule="atLeast"/>
          <w:jc w:val="center"/>
        </w:trPr>
        <w:tc>
          <w:tcPr>
            <w:tcW w:w="7797" w:type="dxa"/>
            <w:gridSpan w:val="6"/>
            <w:tcBorders>
              <w:top w:val="single" w:color="auto" w:sz="4" w:space="0"/>
              <w:bottom w:val="nil"/>
            </w:tcBorders>
            <w:noWrap/>
            <w:vAlign w:val="bottom"/>
          </w:tcPr>
          <w:p w14:paraId="3E495C22">
            <w:pPr>
              <w:spacing w:after="0" w:line="240" w:lineRule="auto"/>
              <w:rPr>
                <w:rFonts w:ascii="Times New Roman" w:hAnsi="Times New Roman" w:cs="Times New Roman"/>
                <w:color w:val="000000"/>
                <w:sz w:val="18"/>
                <w:szCs w:val="18"/>
              </w:rPr>
            </w:pPr>
            <w:r>
              <w:rPr>
                <w:rFonts w:hint="eastAsia" w:ascii="Times New Roman" w:hAnsi="Times New Roman" w:cs="Times New Roman"/>
                <w:color w:val="000000"/>
                <w:kern w:val="0"/>
                <w:sz w:val="18"/>
                <w:szCs w:val="18"/>
                <w:vertAlign w:val="superscript"/>
                <w14:ligatures w14:val="none"/>
              </w:rPr>
              <w:t>*</w:t>
            </w:r>
            <w:r>
              <w:rPr>
                <w:rFonts w:hint="eastAsia" w:ascii="Times New Roman" w:hAnsi="Times New Roman" w:cs="Times New Roman"/>
                <w:color w:val="000000"/>
                <w:kern w:val="0"/>
                <w:sz w:val="18"/>
                <w:szCs w:val="18"/>
                <w14:ligatures w14:val="none"/>
              </w:rPr>
              <w:t xml:space="preserve"> </w:t>
            </w:r>
            <w:r>
              <w:rPr>
                <w:rFonts w:ascii="Times New Roman" w:hAnsi="Times New Roman" w:cs="Times New Roman"/>
                <w:color w:val="000000"/>
                <w:kern w:val="0"/>
                <w:sz w:val="18"/>
                <w:szCs w:val="18"/>
                <w14:ligatures w14:val="none"/>
              </w:rPr>
              <w:t>Cumulative proportions were estimated using the Kaplan–Meier method.</w:t>
            </w:r>
          </w:p>
        </w:tc>
      </w:tr>
    </w:tbl>
    <w:p w14:paraId="6A2AA18A">
      <w:pPr>
        <w:rPr>
          <w:rFonts w:ascii="Times New Roman" w:hAnsi="Times New Roman" w:cs="Times New Roman"/>
        </w:rPr>
      </w:pPr>
      <w:r>
        <w:rPr>
          <w:rFonts w:ascii="Times New Roman" w:hAnsi="Times New Roman" w:cs="Times New Roman"/>
        </w:rPr>
        <w:br w:type="page"/>
      </w:r>
    </w:p>
    <w:p w14:paraId="511CB369">
      <w:pPr>
        <w:pStyle w:val="2"/>
        <w:rPr>
          <w:rFonts w:ascii="Times New Roman" w:hAnsi="Times New Roman" w:cs="Times New Roman"/>
          <w:b/>
          <w:bCs/>
          <w:color w:val="auto"/>
          <w:sz w:val="24"/>
          <w:szCs w:val="24"/>
        </w:rPr>
      </w:pPr>
      <w:bookmarkStart w:id="6" w:name="_Toc1551148684"/>
      <w:r>
        <w:rPr>
          <w:rFonts w:ascii="Times New Roman" w:hAnsi="Times New Roman" w:cs="Times New Roman"/>
          <w:b/>
          <w:bCs/>
          <w:color w:val="auto"/>
          <w:sz w:val="24"/>
          <w:szCs w:val="24"/>
        </w:rPr>
        <w:t xml:space="preserve">Table </w:t>
      </w:r>
      <w:r>
        <w:rPr>
          <w:rFonts w:hint="eastAsia" w:ascii="Times New Roman" w:hAnsi="Times New Roman" w:cs="Times New Roman"/>
          <w:b/>
          <w:bCs/>
          <w:color w:val="auto"/>
          <w:sz w:val="24"/>
          <w:szCs w:val="24"/>
        </w:rPr>
        <w:t>S</w:t>
      </w:r>
      <w:r>
        <w:rPr>
          <w:rFonts w:ascii="Times New Roman" w:hAnsi="Times New Roman" w:cs="Times New Roman"/>
          <w:b/>
          <w:bCs/>
          <w:color w:val="auto"/>
          <w:sz w:val="24"/>
          <w:szCs w:val="24"/>
        </w:rPr>
        <w:t xml:space="preserve">3. Associations of Bariatric Surgery and Procedure Types </w:t>
      </w:r>
      <w:r>
        <w:rPr>
          <w:rFonts w:hint="eastAsia" w:ascii="Times New Roman" w:hAnsi="Times New Roman" w:cs="Times New Roman"/>
          <w:b/>
          <w:bCs/>
          <w:color w:val="auto"/>
          <w:sz w:val="24"/>
          <w:szCs w:val="24"/>
        </w:rPr>
        <w:t>w</w:t>
      </w:r>
      <w:r>
        <w:rPr>
          <w:rFonts w:ascii="Times New Roman" w:hAnsi="Times New Roman" w:cs="Times New Roman"/>
          <w:b/>
          <w:bCs/>
          <w:color w:val="auto"/>
          <w:sz w:val="24"/>
          <w:szCs w:val="24"/>
        </w:rPr>
        <w:t>ith Risks of Depression and Anxiety</w:t>
      </w:r>
      <w:r>
        <w:rPr>
          <w:rFonts w:hint="eastAsia" w:ascii="Times New Roman" w:hAnsi="Times New Roman" w:cs="Times New Roman"/>
          <w:b/>
          <w:bCs/>
          <w:color w:val="auto"/>
          <w:sz w:val="24"/>
          <w:szCs w:val="24"/>
        </w:rPr>
        <w:t xml:space="preserve"> After </w:t>
      </w:r>
      <w:r>
        <w:rPr>
          <w:rFonts w:ascii="Times New Roman" w:hAnsi="Times New Roman" w:cs="Times New Roman"/>
          <w:b/>
          <w:bCs/>
          <w:color w:val="auto"/>
          <w:sz w:val="24"/>
          <w:szCs w:val="24"/>
        </w:rPr>
        <w:t>Additional Adjustment for BMI Change</w:t>
      </w:r>
      <w:bookmarkEnd w:id="6"/>
    </w:p>
    <w:tbl>
      <w:tblPr>
        <w:tblStyle w:val="18"/>
        <w:tblW w:w="5000" w:type="pct"/>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31"/>
        <w:gridCol w:w="1506"/>
        <w:gridCol w:w="2181"/>
        <w:gridCol w:w="1743"/>
        <w:gridCol w:w="1981"/>
      </w:tblGrid>
      <w:tr w14:paraId="20C899CF">
        <w:trPr>
          <w:trHeight w:val="290" w:hRule="atLeast"/>
        </w:trPr>
        <w:tc>
          <w:tcPr>
            <w:tcW w:w="990" w:type="pct"/>
            <w:vMerge w:val="restart"/>
            <w:tcBorders>
              <w:top w:val="single" w:color="auto" w:sz="4" w:space="0"/>
              <w:bottom w:val="single" w:color="auto" w:sz="4" w:space="0"/>
            </w:tcBorders>
            <w:noWrap/>
            <w:vAlign w:val="bottom"/>
          </w:tcPr>
          <w:p w14:paraId="30C77EFE">
            <w:pPr>
              <w:spacing w:after="0" w:line="240" w:lineRule="auto"/>
              <w:jc w:val="center"/>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 xml:space="preserve"> </w:t>
            </w:r>
          </w:p>
        </w:tc>
        <w:tc>
          <w:tcPr>
            <w:tcW w:w="1995" w:type="pct"/>
            <w:gridSpan w:val="2"/>
            <w:tcBorders>
              <w:top w:val="single" w:color="auto" w:sz="4" w:space="0"/>
              <w:bottom w:val="single" w:color="auto" w:sz="4" w:space="0"/>
            </w:tcBorders>
            <w:noWrap/>
            <w:vAlign w:val="bottom"/>
          </w:tcPr>
          <w:p w14:paraId="705FA65F">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Incidence per 1000 person-years (95%CI)</w:t>
            </w:r>
          </w:p>
        </w:tc>
        <w:tc>
          <w:tcPr>
            <w:tcW w:w="943" w:type="pct"/>
            <w:vMerge w:val="restart"/>
            <w:tcBorders>
              <w:top w:val="single" w:color="auto" w:sz="4" w:space="0"/>
              <w:bottom w:val="single" w:color="auto" w:sz="4" w:space="0"/>
            </w:tcBorders>
            <w:noWrap/>
            <w:vAlign w:val="center"/>
          </w:tcPr>
          <w:p w14:paraId="207E6B06">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Adjusted Hazard Ratio (95% CI)</w:t>
            </w:r>
            <w:r>
              <w:rPr>
                <w:rFonts w:hint="eastAsia" w:ascii="Times New Roman" w:hAnsi="Times New Roman" w:cs="Times New Roman"/>
                <w:color w:val="000000"/>
                <w:kern w:val="0"/>
                <w:sz w:val="18"/>
                <w:szCs w:val="18"/>
                <w14:ligatures w14:val="none"/>
              </w:rPr>
              <w:t xml:space="preserve"> </w:t>
            </w:r>
            <w:r>
              <w:rPr>
                <w:rFonts w:ascii="Times New Roman" w:hAnsi="Times New Roman" w:eastAsia="Times New Roman" w:cs="Times New Roman"/>
                <w:color w:val="000000"/>
                <w:kern w:val="0"/>
                <w:sz w:val="18"/>
                <w:szCs w:val="18"/>
                <w:vertAlign w:val="superscript"/>
                <w14:ligatures w14:val="none"/>
              </w:rPr>
              <w:t>*</w:t>
            </w:r>
          </w:p>
        </w:tc>
        <w:tc>
          <w:tcPr>
            <w:tcW w:w="1072" w:type="pct"/>
            <w:vMerge w:val="restart"/>
            <w:tcBorders>
              <w:top w:val="single" w:color="auto" w:sz="4" w:space="0"/>
              <w:bottom w:val="single" w:color="auto" w:sz="4" w:space="0"/>
            </w:tcBorders>
            <w:noWrap/>
            <w:vAlign w:val="center"/>
          </w:tcPr>
          <w:p w14:paraId="2CDC76DC">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Hazard Ratio further adjusted for BMI Change (95% CI)</w:t>
            </w:r>
            <w:r>
              <w:rPr>
                <w:rFonts w:hint="eastAsia" w:ascii="Times New Roman" w:hAnsi="Times New Roman" w:cs="Times New Roman"/>
                <w:color w:val="000000"/>
                <w:kern w:val="0"/>
                <w:sz w:val="18"/>
                <w:szCs w:val="18"/>
                <w14:ligatures w14:val="none"/>
              </w:rPr>
              <w:t xml:space="preserve"> </w:t>
            </w:r>
            <w:r>
              <w:rPr>
                <w:rFonts w:ascii="Times New Roman" w:hAnsi="Times New Roman" w:eastAsia="Times New Roman" w:cs="Times New Roman"/>
                <w:color w:val="000000"/>
                <w:kern w:val="0"/>
                <w:sz w:val="18"/>
                <w:szCs w:val="18"/>
                <w:vertAlign w:val="superscript"/>
                <w14:ligatures w14:val="none"/>
              </w:rPr>
              <w:t>†</w:t>
            </w:r>
          </w:p>
        </w:tc>
      </w:tr>
      <w:tr w14:paraId="3212FECC">
        <w:trPr>
          <w:trHeight w:val="290" w:hRule="atLeast"/>
        </w:trPr>
        <w:tc>
          <w:tcPr>
            <w:tcW w:w="990" w:type="pct"/>
            <w:vMerge w:val="continue"/>
            <w:tcBorders>
              <w:top w:val="single" w:color="auto" w:sz="4" w:space="0"/>
              <w:bottom w:val="single" w:color="auto" w:sz="4" w:space="0"/>
            </w:tcBorders>
            <w:vAlign w:val="center"/>
          </w:tcPr>
          <w:p w14:paraId="4AC16367">
            <w:pPr>
              <w:spacing w:after="0" w:line="240" w:lineRule="auto"/>
              <w:rPr>
                <w:rFonts w:ascii="Times New Roman" w:hAnsi="Times New Roman" w:eastAsia="Times New Roman" w:cs="Times New Roman"/>
                <w:color w:val="000000"/>
                <w:kern w:val="0"/>
                <w:sz w:val="18"/>
                <w:szCs w:val="18"/>
                <w14:ligatures w14:val="none"/>
              </w:rPr>
            </w:pPr>
          </w:p>
        </w:tc>
        <w:tc>
          <w:tcPr>
            <w:tcW w:w="815" w:type="pct"/>
            <w:tcBorders>
              <w:top w:val="single" w:color="auto" w:sz="4" w:space="0"/>
              <w:bottom w:val="single" w:color="auto" w:sz="4" w:space="0"/>
            </w:tcBorders>
            <w:noWrap/>
            <w:vAlign w:val="bottom"/>
          </w:tcPr>
          <w:p w14:paraId="780F5203">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Bariatric surgery</w:t>
            </w:r>
          </w:p>
        </w:tc>
        <w:tc>
          <w:tcPr>
            <w:tcW w:w="1180" w:type="pct"/>
            <w:tcBorders>
              <w:top w:val="single" w:color="auto" w:sz="4" w:space="0"/>
              <w:bottom w:val="single" w:color="auto" w:sz="4" w:space="0"/>
            </w:tcBorders>
            <w:noWrap/>
            <w:vAlign w:val="bottom"/>
          </w:tcPr>
          <w:p w14:paraId="7ECA36FF">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Behavioural control</w:t>
            </w:r>
          </w:p>
        </w:tc>
        <w:tc>
          <w:tcPr>
            <w:tcW w:w="943" w:type="pct"/>
            <w:vMerge w:val="continue"/>
            <w:tcBorders>
              <w:top w:val="single" w:color="auto" w:sz="4" w:space="0"/>
              <w:bottom w:val="single" w:color="auto" w:sz="4" w:space="0"/>
            </w:tcBorders>
            <w:vAlign w:val="center"/>
          </w:tcPr>
          <w:p w14:paraId="2EACC2DC">
            <w:pPr>
              <w:spacing w:after="0" w:line="240" w:lineRule="auto"/>
              <w:rPr>
                <w:rFonts w:ascii="Times New Roman" w:hAnsi="Times New Roman" w:eastAsia="Times New Roman" w:cs="Times New Roman"/>
                <w:color w:val="000000"/>
                <w:kern w:val="0"/>
                <w:sz w:val="18"/>
                <w:szCs w:val="18"/>
                <w14:ligatures w14:val="none"/>
              </w:rPr>
            </w:pPr>
          </w:p>
        </w:tc>
        <w:tc>
          <w:tcPr>
            <w:tcW w:w="1072" w:type="pct"/>
            <w:vMerge w:val="continue"/>
            <w:tcBorders>
              <w:top w:val="single" w:color="auto" w:sz="4" w:space="0"/>
              <w:bottom w:val="single" w:color="auto" w:sz="4" w:space="0"/>
            </w:tcBorders>
            <w:vAlign w:val="center"/>
          </w:tcPr>
          <w:p w14:paraId="34BC2CE4">
            <w:pPr>
              <w:spacing w:after="0" w:line="240" w:lineRule="auto"/>
              <w:rPr>
                <w:rFonts w:ascii="Times New Roman" w:hAnsi="Times New Roman" w:eastAsia="Times New Roman" w:cs="Times New Roman"/>
                <w:color w:val="000000"/>
                <w:kern w:val="0"/>
                <w:sz w:val="18"/>
                <w:szCs w:val="18"/>
                <w14:ligatures w14:val="none"/>
              </w:rPr>
            </w:pPr>
          </w:p>
        </w:tc>
      </w:tr>
      <w:tr w14:paraId="337D9D82">
        <w:trPr>
          <w:trHeight w:val="290" w:hRule="atLeast"/>
        </w:trPr>
        <w:tc>
          <w:tcPr>
            <w:tcW w:w="990" w:type="pct"/>
            <w:tcBorders>
              <w:top w:val="single" w:color="auto" w:sz="4" w:space="0"/>
              <w:bottom w:val="nil"/>
            </w:tcBorders>
            <w:noWrap/>
            <w:vAlign w:val="center"/>
          </w:tcPr>
          <w:p w14:paraId="3EE8CDE5">
            <w:pPr>
              <w:spacing w:after="0" w:line="240" w:lineRule="auto"/>
              <w:rPr>
                <w:rFonts w:ascii="Times New Roman" w:hAnsi="Times New Roman" w:cs="Times New Roman"/>
                <w:color w:val="000000"/>
                <w:kern w:val="0"/>
                <w:sz w:val="18"/>
                <w:szCs w:val="18"/>
                <w14:ligatures w14:val="none"/>
              </w:rPr>
            </w:pPr>
            <w:r>
              <w:rPr>
                <w:rFonts w:ascii="Times New Roman" w:hAnsi="Times New Roman" w:cs="Times New Roman"/>
                <w:color w:val="000000"/>
                <w:kern w:val="0"/>
                <w:sz w:val="18"/>
                <w:szCs w:val="18"/>
                <w14:ligatures w14:val="none"/>
              </w:rPr>
              <w:t>Depression</w:t>
            </w:r>
          </w:p>
        </w:tc>
        <w:tc>
          <w:tcPr>
            <w:tcW w:w="815" w:type="pct"/>
            <w:tcBorders>
              <w:top w:val="single" w:color="auto" w:sz="4" w:space="0"/>
              <w:bottom w:val="nil"/>
            </w:tcBorders>
            <w:noWrap/>
            <w:vAlign w:val="center"/>
          </w:tcPr>
          <w:p w14:paraId="042F9918">
            <w:pPr>
              <w:spacing w:after="0" w:line="240" w:lineRule="auto"/>
              <w:rPr>
                <w:rFonts w:ascii="Times New Roman" w:hAnsi="Times New Roman" w:eastAsia="Times New Roman" w:cs="Times New Roman"/>
                <w:color w:val="000000"/>
                <w:kern w:val="0"/>
                <w:sz w:val="18"/>
                <w:szCs w:val="18"/>
                <w14:ligatures w14:val="none"/>
              </w:rPr>
            </w:pPr>
          </w:p>
        </w:tc>
        <w:tc>
          <w:tcPr>
            <w:tcW w:w="1180" w:type="pct"/>
            <w:tcBorders>
              <w:top w:val="single" w:color="auto" w:sz="4" w:space="0"/>
              <w:bottom w:val="nil"/>
            </w:tcBorders>
            <w:noWrap/>
            <w:vAlign w:val="center"/>
          </w:tcPr>
          <w:p w14:paraId="3110EB76">
            <w:pPr>
              <w:spacing w:after="0" w:line="240" w:lineRule="auto"/>
              <w:rPr>
                <w:rFonts w:ascii="Times New Roman" w:hAnsi="Times New Roman" w:eastAsia="Times New Roman" w:cs="Times New Roman"/>
                <w:color w:val="000000"/>
                <w:kern w:val="0"/>
                <w:sz w:val="18"/>
                <w:szCs w:val="18"/>
                <w14:ligatures w14:val="none"/>
              </w:rPr>
            </w:pPr>
          </w:p>
        </w:tc>
        <w:tc>
          <w:tcPr>
            <w:tcW w:w="943" w:type="pct"/>
            <w:tcBorders>
              <w:top w:val="single" w:color="auto" w:sz="4" w:space="0"/>
              <w:bottom w:val="nil"/>
            </w:tcBorders>
            <w:noWrap/>
            <w:vAlign w:val="center"/>
          </w:tcPr>
          <w:p w14:paraId="7125DB1E">
            <w:pPr>
              <w:spacing w:after="0" w:line="240" w:lineRule="auto"/>
              <w:rPr>
                <w:rFonts w:ascii="Times New Roman" w:hAnsi="Times New Roman" w:eastAsia="Times New Roman" w:cs="Times New Roman"/>
                <w:color w:val="000000"/>
                <w:kern w:val="0"/>
                <w:sz w:val="18"/>
                <w:szCs w:val="18"/>
                <w14:ligatures w14:val="none"/>
              </w:rPr>
            </w:pPr>
          </w:p>
        </w:tc>
        <w:tc>
          <w:tcPr>
            <w:tcW w:w="1072" w:type="pct"/>
            <w:tcBorders>
              <w:top w:val="single" w:color="auto" w:sz="4" w:space="0"/>
              <w:bottom w:val="nil"/>
            </w:tcBorders>
            <w:noWrap/>
            <w:vAlign w:val="center"/>
          </w:tcPr>
          <w:p w14:paraId="5453F227">
            <w:pPr>
              <w:spacing w:after="0" w:line="240" w:lineRule="auto"/>
              <w:rPr>
                <w:rFonts w:ascii="Times New Roman" w:hAnsi="Times New Roman" w:eastAsia="Times New Roman" w:cs="Times New Roman"/>
                <w:color w:val="000000"/>
                <w:kern w:val="0"/>
                <w:sz w:val="18"/>
                <w:szCs w:val="18"/>
                <w14:ligatures w14:val="none"/>
              </w:rPr>
            </w:pPr>
          </w:p>
        </w:tc>
      </w:tr>
      <w:tr w14:paraId="18094529">
        <w:trPr>
          <w:trHeight w:val="290" w:hRule="atLeast"/>
        </w:trPr>
        <w:tc>
          <w:tcPr>
            <w:tcW w:w="990" w:type="pct"/>
            <w:tcBorders>
              <w:top w:val="nil"/>
            </w:tcBorders>
            <w:noWrap/>
            <w:vAlign w:val="center"/>
          </w:tcPr>
          <w:p w14:paraId="1DC59507">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Overall</w:t>
            </w:r>
          </w:p>
        </w:tc>
        <w:tc>
          <w:tcPr>
            <w:tcW w:w="815" w:type="pct"/>
            <w:tcBorders>
              <w:top w:val="nil"/>
            </w:tcBorders>
            <w:noWrap/>
            <w:vAlign w:val="center"/>
          </w:tcPr>
          <w:p w14:paraId="3FF2FADF">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42.4 (40.3-44.6)</w:t>
            </w:r>
          </w:p>
        </w:tc>
        <w:tc>
          <w:tcPr>
            <w:tcW w:w="1180" w:type="pct"/>
            <w:tcBorders>
              <w:top w:val="nil"/>
            </w:tcBorders>
            <w:noWrap/>
            <w:vAlign w:val="center"/>
          </w:tcPr>
          <w:p w14:paraId="678F01DE">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27.7 (26.9-28.5)</w:t>
            </w:r>
          </w:p>
        </w:tc>
        <w:tc>
          <w:tcPr>
            <w:tcW w:w="943" w:type="pct"/>
            <w:tcBorders>
              <w:top w:val="nil"/>
            </w:tcBorders>
            <w:noWrap/>
            <w:vAlign w:val="center"/>
          </w:tcPr>
          <w:p w14:paraId="74479F13">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1.54 (1.43-1.65)</w:t>
            </w:r>
          </w:p>
        </w:tc>
        <w:tc>
          <w:tcPr>
            <w:tcW w:w="1072" w:type="pct"/>
            <w:tcBorders>
              <w:top w:val="nil"/>
            </w:tcBorders>
            <w:noWrap/>
            <w:vAlign w:val="center"/>
          </w:tcPr>
          <w:p w14:paraId="7AAE9EA6">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1.32 (1.23-1.43)</w:t>
            </w:r>
          </w:p>
        </w:tc>
      </w:tr>
      <w:tr w14:paraId="56C894D4">
        <w:trPr>
          <w:trHeight w:val="290" w:hRule="atLeast"/>
        </w:trPr>
        <w:tc>
          <w:tcPr>
            <w:tcW w:w="990" w:type="pct"/>
            <w:noWrap/>
            <w:vAlign w:val="center"/>
          </w:tcPr>
          <w:p w14:paraId="36AEFD4D">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Type of procedure</w:t>
            </w:r>
          </w:p>
        </w:tc>
        <w:tc>
          <w:tcPr>
            <w:tcW w:w="815" w:type="pct"/>
            <w:noWrap/>
            <w:vAlign w:val="center"/>
          </w:tcPr>
          <w:p w14:paraId="723850C8">
            <w:pPr>
              <w:spacing w:after="0" w:line="240" w:lineRule="auto"/>
              <w:rPr>
                <w:rFonts w:ascii="Times New Roman" w:hAnsi="Times New Roman" w:eastAsia="Times New Roman" w:cs="Times New Roman"/>
                <w:color w:val="000000"/>
                <w:kern w:val="0"/>
                <w:sz w:val="18"/>
                <w:szCs w:val="18"/>
                <w14:ligatures w14:val="none"/>
              </w:rPr>
            </w:pPr>
          </w:p>
        </w:tc>
        <w:tc>
          <w:tcPr>
            <w:tcW w:w="1180" w:type="pct"/>
            <w:noWrap/>
            <w:vAlign w:val="center"/>
          </w:tcPr>
          <w:p w14:paraId="757FF261">
            <w:pPr>
              <w:spacing w:after="0" w:line="240" w:lineRule="auto"/>
              <w:rPr>
                <w:rFonts w:ascii="Times New Roman" w:hAnsi="Times New Roman" w:eastAsia="Times New Roman" w:cs="Times New Roman"/>
                <w:kern w:val="0"/>
                <w:sz w:val="20"/>
                <w:szCs w:val="20"/>
                <w14:ligatures w14:val="none"/>
              </w:rPr>
            </w:pPr>
          </w:p>
        </w:tc>
        <w:tc>
          <w:tcPr>
            <w:tcW w:w="943" w:type="pct"/>
            <w:noWrap/>
            <w:vAlign w:val="center"/>
          </w:tcPr>
          <w:p w14:paraId="48825877">
            <w:pPr>
              <w:spacing w:after="0" w:line="240" w:lineRule="auto"/>
              <w:rPr>
                <w:rFonts w:ascii="Times New Roman" w:hAnsi="Times New Roman" w:eastAsia="Times New Roman" w:cs="Times New Roman"/>
                <w:kern w:val="0"/>
                <w:sz w:val="20"/>
                <w:szCs w:val="20"/>
                <w14:ligatures w14:val="none"/>
              </w:rPr>
            </w:pPr>
          </w:p>
        </w:tc>
        <w:tc>
          <w:tcPr>
            <w:tcW w:w="1072" w:type="pct"/>
            <w:noWrap/>
            <w:vAlign w:val="center"/>
          </w:tcPr>
          <w:p w14:paraId="4B88B65B">
            <w:pPr>
              <w:spacing w:after="0" w:line="240" w:lineRule="auto"/>
              <w:rPr>
                <w:rFonts w:ascii="Times New Roman" w:hAnsi="Times New Roman" w:eastAsia="Times New Roman" w:cs="Times New Roman"/>
                <w:kern w:val="0"/>
                <w:sz w:val="20"/>
                <w:szCs w:val="20"/>
                <w14:ligatures w14:val="none"/>
              </w:rPr>
            </w:pPr>
          </w:p>
        </w:tc>
      </w:tr>
      <w:tr w14:paraId="73323C45">
        <w:trPr>
          <w:trHeight w:val="290" w:hRule="atLeast"/>
        </w:trPr>
        <w:tc>
          <w:tcPr>
            <w:tcW w:w="990" w:type="pct"/>
            <w:noWrap/>
            <w:vAlign w:val="center"/>
          </w:tcPr>
          <w:p w14:paraId="680265B3">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 xml:space="preserve">  Gastric bypass</w:t>
            </w:r>
          </w:p>
        </w:tc>
        <w:tc>
          <w:tcPr>
            <w:tcW w:w="815" w:type="pct"/>
            <w:noWrap/>
            <w:vAlign w:val="center"/>
          </w:tcPr>
          <w:p w14:paraId="3F047851">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49.0 (45.2-53.0)</w:t>
            </w:r>
          </w:p>
        </w:tc>
        <w:tc>
          <w:tcPr>
            <w:tcW w:w="1180" w:type="pct"/>
            <w:noWrap/>
            <w:vAlign w:val="center"/>
          </w:tcPr>
          <w:p w14:paraId="298891AC">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27.7 (26.9-28.5)</w:t>
            </w:r>
          </w:p>
        </w:tc>
        <w:tc>
          <w:tcPr>
            <w:tcW w:w="943" w:type="pct"/>
            <w:noWrap/>
            <w:vAlign w:val="center"/>
          </w:tcPr>
          <w:p w14:paraId="77492994">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1.75 (1.56-1.95)</w:t>
            </w:r>
          </w:p>
        </w:tc>
        <w:tc>
          <w:tcPr>
            <w:tcW w:w="1072" w:type="pct"/>
            <w:noWrap/>
            <w:vAlign w:val="center"/>
          </w:tcPr>
          <w:p w14:paraId="4CCD1883">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1.48 (1.31-1.66)</w:t>
            </w:r>
          </w:p>
        </w:tc>
      </w:tr>
      <w:tr w14:paraId="513A0037">
        <w:trPr>
          <w:trHeight w:val="290" w:hRule="atLeast"/>
        </w:trPr>
        <w:tc>
          <w:tcPr>
            <w:tcW w:w="990" w:type="pct"/>
            <w:noWrap/>
            <w:vAlign w:val="center"/>
          </w:tcPr>
          <w:p w14:paraId="693F055F">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 xml:space="preserve">  Sleeve gastrectomy</w:t>
            </w:r>
          </w:p>
        </w:tc>
        <w:tc>
          <w:tcPr>
            <w:tcW w:w="815" w:type="pct"/>
            <w:noWrap/>
            <w:vAlign w:val="center"/>
          </w:tcPr>
          <w:p w14:paraId="31BDF357">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36.5 (32.2-41.2)</w:t>
            </w:r>
          </w:p>
        </w:tc>
        <w:tc>
          <w:tcPr>
            <w:tcW w:w="1180" w:type="pct"/>
            <w:noWrap/>
            <w:vAlign w:val="center"/>
          </w:tcPr>
          <w:p w14:paraId="5F2D24AC">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27.7 (26.9-28.5)</w:t>
            </w:r>
          </w:p>
        </w:tc>
        <w:tc>
          <w:tcPr>
            <w:tcW w:w="943" w:type="pct"/>
            <w:noWrap/>
            <w:vAlign w:val="center"/>
          </w:tcPr>
          <w:p w14:paraId="61E4D30B">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1.41 (1.20-1.65)</w:t>
            </w:r>
          </w:p>
        </w:tc>
        <w:tc>
          <w:tcPr>
            <w:tcW w:w="1072" w:type="pct"/>
            <w:noWrap/>
            <w:vAlign w:val="center"/>
          </w:tcPr>
          <w:p w14:paraId="228130CD">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1.15 (0.98-1.36)</w:t>
            </w:r>
          </w:p>
        </w:tc>
      </w:tr>
      <w:tr w14:paraId="39A93DBC">
        <w:trPr>
          <w:trHeight w:val="290" w:hRule="atLeast"/>
        </w:trPr>
        <w:tc>
          <w:tcPr>
            <w:tcW w:w="990" w:type="pct"/>
            <w:noWrap/>
            <w:vAlign w:val="center"/>
          </w:tcPr>
          <w:p w14:paraId="39270C5B">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 xml:space="preserve">  Laparoscopic gastric banding</w:t>
            </w:r>
          </w:p>
        </w:tc>
        <w:tc>
          <w:tcPr>
            <w:tcW w:w="815" w:type="pct"/>
            <w:noWrap/>
            <w:vAlign w:val="center"/>
          </w:tcPr>
          <w:p w14:paraId="2A11D8C0">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39.1 (35.8-42.7)</w:t>
            </w:r>
          </w:p>
        </w:tc>
        <w:tc>
          <w:tcPr>
            <w:tcW w:w="1180" w:type="pct"/>
            <w:noWrap/>
            <w:vAlign w:val="center"/>
          </w:tcPr>
          <w:p w14:paraId="09B5017D">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27.7 (26.9-28.5)</w:t>
            </w:r>
          </w:p>
        </w:tc>
        <w:tc>
          <w:tcPr>
            <w:tcW w:w="943" w:type="pct"/>
            <w:noWrap/>
            <w:vAlign w:val="center"/>
          </w:tcPr>
          <w:p w14:paraId="0006D3AF">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1.36 (1.21-1.52)</w:t>
            </w:r>
          </w:p>
        </w:tc>
        <w:tc>
          <w:tcPr>
            <w:tcW w:w="1072" w:type="pct"/>
            <w:noWrap/>
            <w:vAlign w:val="center"/>
          </w:tcPr>
          <w:p w14:paraId="20F387B0">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1.21 (1.07-1.36)</w:t>
            </w:r>
          </w:p>
        </w:tc>
      </w:tr>
      <w:tr w14:paraId="6BB47221">
        <w:trPr>
          <w:trHeight w:val="290" w:hRule="atLeast"/>
        </w:trPr>
        <w:tc>
          <w:tcPr>
            <w:tcW w:w="990" w:type="pct"/>
            <w:noWrap/>
            <w:vAlign w:val="center"/>
          </w:tcPr>
          <w:p w14:paraId="2CB231C3">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 xml:space="preserve">  Unspecified</w:t>
            </w:r>
          </w:p>
        </w:tc>
        <w:tc>
          <w:tcPr>
            <w:tcW w:w="815" w:type="pct"/>
            <w:noWrap/>
            <w:vAlign w:val="center"/>
          </w:tcPr>
          <w:p w14:paraId="4B2BBEDC">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42.9 (35.3-51.6)</w:t>
            </w:r>
          </w:p>
        </w:tc>
        <w:tc>
          <w:tcPr>
            <w:tcW w:w="1180" w:type="pct"/>
            <w:noWrap/>
            <w:vAlign w:val="center"/>
          </w:tcPr>
          <w:p w14:paraId="6845E086">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27.7 (26.9-28.5)</w:t>
            </w:r>
          </w:p>
        </w:tc>
        <w:tc>
          <w:tcPr>
            <w:tcW w:w="943" w:type="pct"/>
            <w:noWrap/>
            <w:vAlign w:val="center"/>
          </w:tcPr>
          <w:p w14:paraId="5BC37661">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1.91 (1.48-2.47)</w:t>
            </w:r>
          </w:p>
        </w:tc>
        <w:tc>
          <w:tcPr>
            <w:tcW w:w="1072" w:type="pct"/>
            <w:noWrap/>
            <w:vAlign w:val="center"/>
          </w:tcPr>
          <w:p w14:paraId="74A1512F">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1.75 (1.35-2.27)</w:t>
            </w:r>
          </w:p>
        </w:tc>
      </w:tr>
      <w:tr w14:paraId="457104CA">
        <w:trPr>
          <w:trHeight w:val="290" w:hRule="atLeast"/>
        </w:trPr>
        <w:tc>
          <w:tcPr>
            <w:tcW w:w="990" w:type="pct"/>
            <w:noWrap/>
            <w:vAlign w:val="center"/>
          </w:tcPr>
          <w:p w14:paraId="048B5826">
            <w:pPr>
              <w:spacing w:after="0" w:line="240" w:lineRule="auto"/>
              <w:rPr>
                <w:rFonts w:ascii="Times New Roman" w:hAnsi="Times New Roman" w:cs="Times New Roman"/>
                <w:color w:val="000000"/>
                <w:kern w:val="0"/>
                <w:sz w:val="18"/>
                <w:szCs w:val="18"/>
                <w14:ligatures w14:val="none"/>
              </w:rPr>
            </w:pPr>
            <w:r>
              <w:rPr>
                <w:rFonts w:ascii="Times New Roman" w:hAnsi="Times New Roman" w:cs="Times New Roman"/>
                <w:color w:val="000000"/>
                <w:kern w:val="0"/>
                <w:sz w:val="18"/>
                <w:szCs w:val="18"/>
                <w14:ligatures w14:val="none"/>
              </w:rPr>
              <w:t>Anxiety</w:t>
            </w:r>
          </w:p>
        </w:tc>
        <w:tc>
          <w:tcPr>
            <w:tcW w:w="815" w:type="pct"/>
            <w:noWrap/>
            <w:vAlign w:val="center"/>
          </w:tcPr>
          <w:p w14:paraId="70C15C87">
            <w:pPr>
              <w:spacing w:after="0" w:line="240" w:lineRule="auto"/>
              <w:rPr>
                <w:rFonts w:ascii="Times New Roman" w:hAnsi="Times New Roman" w:eastAsia="Times New Roman" w:cs="Times New Roman"/>
                <w:kern w:val="0"/>
                <w:sz w:val="20"/>
                <w:szCs w:val="20"/>
                <w14:ligatures w14:val="none"/>
              </w:rPr>
            </w:pPr>
          </w:p>
        </w:tc>
        <w:tc>
          <w:tcPr>
            <w:tcW w:w="1180" w:type="pct"/>
            <w:noWrap/>
            <w:vAlign w:val="center"/>
          </w:tcPr>
          <w:p w14:paraId="4507A61F">
            <w:pPr>
              <w:spacing w:after="0" w:line="240" w:lineRule="auto"/>
              <w:rPr>
                <w:rFonts w:ascii="Times New Roman" w:hAnsi="Times New Roman" w:eastAsia="Times New Roman" w:cs="Times New Roman"/>
                <w:kern w:val="0"/>
                <w:sz w:val="20"/>
                <w:szCs w:val="20"/>
                <w14:ligatures w14:val="none"/>
              </w:rPr>
            </w:pPr>
          </w:p>
        </w:tc>
        <w:tc>
          <w:tcPr>
            <w:tcW w:w="943" w:type="pct"/>
            <w:noWrap/>
            <w:vAlign w:val="center"/>
          </w:tcPr>
          <w:p w14:paraId="517CCF7F">
            <w:pPr>
              <w:spacing w:after="0" w:line="240" w:lineRule="auto"/>
              <w:rPr>
                <w:rFonts w:ascii="Times New Roman" w:hAnsi="Times New Roman" w:eastAsia="Times New Roman" w:cs="Times New Roman"/>
                <w:kern w:val="0"/>
                <w:sz w:val="20"/>
                <w:szCs w:val="20"/>
                <w14:ligatures w14:val="none"/>
              </w:rPr>
            </w:pPr>
          </w:p>
        </w:tc>
        <w:tc>
          <w:tcPr>
            <w:tcW w:w="1072" w:type="pct"/>
            <w:noWrap/>
            <w:vAlign w:val="center"/>
          </w:tcPr>
          <w:p w14:paraId="3C312BFB">
            <w:pPr>
              <w:spacing w:after="0" w:line="240" w:lineRule="auto"/>
              <w:rPr>
                <w:rFonts w:ascii="Times New Roman" w:hAnsi="Times New Roman" w:eastAsia="Times New Roman" w:cs="Times New Roman"/>
                <w:kern w:val="0"/>
                <w:sz w:val="20"/>
                <w:szCs w:val="20"/>
                <w14:ligatures w14:val="none"/>
              </w:rPr>
            </w:pPr>
          </w:p>
        </w:tc>
      </w:tr>
      <w:tr w14:paraId="7A3C824E">
        <w:trPr>
          <w:trHeight w:val="290" w:hRule="atLeast"/>
        </w:trPr>
        <w:tc>
          <w:tcPr>
            <w:tcW w:w="990" w:type="pct"/>
            <w:noWrap/>
            <w:vAlign w:val="center"/>
          </w:tcPr>
          <w:p w14:paraId="1BD19399">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Overall</w:t>
            </w:r>
          </w:p>
        </w:tc>
        <w:tc>
          <w:tcPr>
            <w:tcW w:w="815" w:type="pct"/>
            <w:noWrap/>
            <w:vAlign w:val="center"/>
          </w:tcPr>
          <w:p w14:paraId="521822BB">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14.4 (13.3-15.6)</w:t>
            </w:r>
          </w:p>
        </w:tc>
        <w:tc>
          <w:tcPr>
            <w:tcW w:w="1180" w:type="pct"/>
            <w:noWrap/>
            <w:vAlign w:val="center"/>
          </w:tcPr>
          <w:p w14:paraId="02F94B16">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10.5 (10.0-11.0)</w:t>
            </w:r>
          </w:p>
        </w:tc>
        <w:tc>
          <w:tcPr>
            <w:tcW w:w="943" w:type="pct"/>
            <w:noWrap/>
            <w:vAlign w:val="center"/>
          </w:tcPr>
          <w:p w14:paraId="30C234BA">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1.41 (1.26-1.57)</w:t>
            </w:r>
          </w:p>
        </w:tc>
        <w:tc>
          <w:tcPr>
            <w:tcW w:w="1072" w:type="pct"/>
            <w:noWrap/>
            <w:vAlign w:val="center"/>
          </w:tcPr>
          <w:p w14:paraId="256DA415">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1.28 (1.14-1.44)</w:t>
            </w:r>
          </w:p>
        </w:tc>
      </w:tr>
      <w:tr w14:paraId="0144332B">
        <w:trPr>
          <w:trHeight w:val="290" w:hRule="atLeast"/>
        </w:trPr>
        <w:tc>
          <w:tcPr>
            <w:tcW w:w="990" w:type="pct"/>
            <w:noWrap/>
            <w:vAlign w:val="center"/>
          </w:tcPr>
          <w:p w14:paraId="7E5FF1E1">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Type of procedure</w:t>
            </w:r>
          </w:p>
        </w:tc>
        <w:tc>
          <w:tcPr>
            <w:tcW w:w="815" w:type="pct"/>
            <w:noWrap/>
            <w:vAlign w:val="center"/>
          </w:tcPr>
          <w:p w14:paraId="41CF3535">
            <w:pPr>
              <w:spacing w:after="0" w:line="240" w:lineRule="auto"/>
              <w:rPr>
                <w:rFonts w:ascii="Times New Roman" w:hAnsi="Times New Roman" w:eastAsia="Times New Roman" w:cs="Times New Roman"/>
                <w:color w:val="000000"/>
                <w:kern w:val="0"/>
                <w:sz w:val="18"/>
                <w:szCs w:val="18"/>
                <w14:ligatures w14:val="none"/>
              </w:rPr>
            </w:pPr>
          </w:p>
        </w:tc>
        <w:tc>
          <w:tcPr>
            <w:tcW w:w="1180" w:type="pct"/>
            <w:noWrap/>
            <w:vAlign w:val="center"/>
          </w:tcPr>
          <w:p w14:paraId="4538FE75">
            <w:pPr>
              <w:spacing w:after="0" w:line="240" w:lineRule="auto"/>
              <w:rPr>
                <w:rFonts w:ascii="Times New Roman" w:hAnsi="Times New Roman" w:eastAsia="Times New Roman" w:cs="Times New Roman"/>
                <w:kern w:val="0"/>
                <w:sz w:val="20"/>
                <w:szCs w:val="20"/>
                <w14:ligatures w14:val="none"/>
              </w:rPr>
            </w:pPr>
          </w:p>
        </w:tc>
        <w:tc>
          <w:tcPr>
            <w:tcW w:w="943" w:type="pct"/>
            <w:noWrap/>
            <w:vAlign w:val="center"/>
          </w:tcPr>
          <w:p w14:paraId="36869DEE">
            <w:pPr>
              <w:spacing w:after="0" w:line="240" w:lineRule="auto"/>
              <w:rPr>
                <w:rFonts w:ascii="Times New Roman" w:hAnsi="Times New Roman" w:eastAsia="Times New Roman" w:cs="Times New Roman"/>
                <w:kern w:val="0"/>
                <w:sz w:val="20"/>
                <w:szCs w:val="20"/>
                <w14:ligatures w14:val="none"/>
              </w:rPr>
            </w:pPr>
          </w:p>
        </w:tc>
        <w:tc>
          <w:tcPr>
            <w:tcW w:w="1072" w:type="pct"/>
            <w:noWrap/>
            <w:vAlign w:val="center"/>
          </w:tcPr>
          <w:p w14:paraId="65657B9D">
            <w:pPr>
              <w:spacing w:after="0" w:line="240" w:lineRule="auto"/>
              <w:rPr>
                <w:rFonts w:ascii="Times New Roman" w:hAnsi="Times New Roman" w:eastAsia="Times New Roman" w:cs="Times New Roman"/>
                <w:kern w:val="0"/>
                <w:sz w:val="20"/>
                <w:szCs w:val="20"/>
                <w14:ligatures w14:val="none"/>
              </w:rPr>
            </w:pPr>
          </w:p>
        </w:tc>
      </w:tr>
      <w:tr w14:paraId="052E3500">
        <w:trPr>
          <w:trHeight w:val="290" w:hRule="atLeast"/>
        </w:trPr>
        <w:tc>
          <w:tcPr>
            <w:tcW w:w="990" w:type="pct"/>
            <w:noWrap/>
            <w:vAlign w:val="center"/>
          </w:tcPr>
          <w:p w14:paraId="306BB923">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 xml:space="preserve">  Gastric bypass</w:t>
            </w:r>
          </w:p>
        </w:tc>
        <w:tc>
          <w:tcPr>
            <w:tcW w:w="815" w:type="pct"/>
            <w:noWrap/>
            <w:vAlign w:val="center"/>
          </w:tcPr>
          <w:p w14:paraId="2FAA3641">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16.7 (14.6-18.9)</w:t>
            </w:r>
          </w:p>
        </w:tc>
        <w:tc>
          <w:tcPr>
            <w:tcW w:w="1180" w:type="pct"/>
            <w:noWrap/>
            <w:vAlign w:val="center"/>
          </w:tcPr>
          <w:p w14:paraId="2FF025FB">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10.5 (10.0-11.0)</w:t>
            </w:r>
          </w:p>
        </w:tc>
        <w:tc>
          <w:tcPr>
            <w:tcW w:w="943" w:type="pct"/>
            <w:noWrap/>
            <w:vAlign w:val="center"/>
          </w:tcPr>
          <w:p w14:paraId="2AEDDF85">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1.66 (1.40-1.97)</w:t>
            </w:r>
          </w:p>
        </w:tc>
        <w:tc>
          <w:tcPr>
            <w:tcW w:w="1072" w:type="pct"/>
            <w:noWrap/>
            <w:vAlign w:val="center"/>
          </w:tcPr>
          <w:p w14:paraId="02A4BE89">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1.48 (1.24-1.78)</w:t>
            </w:r>
          </w:p>
        </w:tc>
      </w:tr>
      <w:tr w14:paraId="22CF7367">
        <w:trPr>
          <w:trHeight w:val="290" w:hRule="atLeast"/>
        </w:trPr>
        <w:tc>
          <w:tcPr>
            <w:tcW w:w="990" w:type="pct"/>
            <w:noWrap/>
            <w:vAlign w:val="center"/>
          </w:tcPr>
          <w:p w14:paraId="58B3E4B4">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 xml:space="preserve">  Sleeve gastrectomy</w:t>
            </w:r>
          </w:p>
        </w:tc>
        <w:tc>
          <w:tcPr>
            <w:tcW w:w="815" w:type="pct"/>
            <w:noWrap/>
            <w:vAlign w:val="center"/>
          </w:tcPr>
          <w:p w14:paraId="0859C036">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13.1 (10.7-15.9)</w:t>
            </w:r>
          </w:p>
        </w:tc>
        <w:tc>
          <w:tcPr>
            <w:tcW w:w="1180" w:type="pct"/>
            <w:noWrap/>
            <w:vAlign w:val="center"/>
          </w:tcPr>
          <w:p w14:paraId="762F9CFF">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10.5 (10.0-11.0)</w:t>
            </w:r>
          </w:p>
        </w:tc>
        <w:tc>
          <w:tcPr>
            <w:tcW w:w="943" w:type="pct"/>
            <w:noWrap/>
            <w:vAlign w:val="center"/>
          </w:tcPr>
          <w:p w14:paraId="1BA6EA7C">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1.34 (1.04-1.73)</w:t>
            </w:r>
          </w:p>
        </w:tc>
        <w:tc>
          <w:tcPr>
            <w:tcW w:w="1072" w:type="pct"/>
            <w:noWrap/>
            <w:vAlign w:val="center"/>
          </w:tcPr>
          <w:p w14:paraId="6D7E56A9">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1.19 (0.92-1.54)</w:t>
            </w:r>
          </w:p>
        </w:tc>
      </w:tr>
      <w:tr w14:paraId="757D7BD4">
        <w:trPr>
          <w:trHeight w:val="290" w:hRule="atLeast"/>
        </w:trPr>
        <w:tc>
          <w:tcPr>
            <w:tcW w:w="990" w:type="pct"/>
            <w:tcBorders>
              <w:bottom w:val="nil"/>
            </w:tcBorders>
            <w:noWrap/>
            <w:vAlign w:val="center"/>
          </w:tcPr>
          <w:p w14:paraId="0B8B0060">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 xml:space="preserve">  Laparoscopic gastric banding</w:t>
            </w:r>
          </w:p>
        </w:tc>
        <w:tc>
          <w:tcPr>
            <w:tcW w:w="815" w:type="pct"/>
            <w:tcBorders>
              <w:bottom w:val="nil"/>
            </w:tcBorders>
            <w:noWrap/>
            <w:vAlign w:val="center"/>
          </w:tcPr>
          <w:p w14:paraId="6E9A2110">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13.0 (11.3-15.0)</w:t>
            </w:r>
          </w:p>
        </w:tc>
        <w:tc>
          <w:tcPr>
            <w:tcW w:w="1180" w:type="pct"/>
            <w:tcBorders>
              <w:bottom w:val="nil"/>
            </w:tcBorders>
            <w:noWrap/>
            <w:vAlign w:val="center"/>
          </w:tcPr>
          <w:p w14:paraId="29F359E0">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10.5 (10.0-11.0)</w:t>
            </w:r>
          </w:p>
        </w:tc>
        <w:tc>
          <w:tcPr>
            <w:tcW w:w="943" w:type="pct"/>
            <w:tcBorders>
              <w:bottom w:val="nil"/>
            </w:tcBorders>
            <w:noWrap/>
            <w:vAlign w:val="center"/>
          </w:tcPr>
          <w:p w14:paraId="77CBB1F9">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1.15 (0.97-1.38)</w:t>
            </w:r>
          </w:p>
        </w:tc>
        <w:tc>
          <w:tcPr>
            <w:tcW w:w="1072" w:type="pct"/>
            <w:tcBorders>
              <w:bottom w:val="nil"/>
            </w:tcBorders>
            <w:noWrap/>
            <w:vAlign w:val="center"/>
          </w:tcPr>
          <w:p w14:paraId="5C77A839">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1.08 (0.91-1.29)</w:t>
            </w:r>
          </w:p>
        </w:tc>
      </w:tr>
      <w:tr w14:paraId="23CB302B">
        <w:trPr>
          <w:trHeight w:val="290" w:hRule="atLeast"/>
        </w:trPr>
        <w:tc>
          <w:tcPr>
            <w:tcW w:w="990" w:type="pct"/>
            <w:tcBorders>
              <w:top w:val="nil"/>
              <w:bottom w:val="single" w:color="auto" w:sz="4" w:space="0"/>
            </w:tcBorders>
            <w:noWrap/>
            <w:vAlign w:val="center"/>
          </w:tcPr>
          <w:p w14:paraId="6A046E26">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 xml:space="preserve">  Unspecified</w:t>
            </w:r>
          </w:p>
        </w:tc>
        <w:tc>
          <w:tcPr>
            <w:tcW w:w="815" w:type="pct"/>
            <w:tcBorders>
              <w:top w:val="nil"/>
              <w:bottom w:val="single" w:color="auto" w:sz="4" w:space="0"/>
            </w:tcBorders>
            <w:noWrap/>
            <w:vAlign w:val="center"/>
          </w:tcPr>
          <w:p w14:paraId="470284A4">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13.8 (10.0-18.5)</w:t>
            </w:r>
          </w:p>
        </w:tc>
        <w:tc>
          <w:tcPr>
            <w:tcW w:w="1180" w:type="pct"/>
            <w:tcBorders>
              <w:top w:val="nil"/>
              <w:bottom w:val="single" w:color="auto" w:sz="4" w:space="0"/>
            </w:tcBorders>
            <w:noWrap/>
            <w:vAlign w:val="center"/>
          </w:tcPr>
          <w:p w14:paraId="46A76371">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10.5 (10.0-11.0)</w:t>
            </w:r>
          </w:p>
        </w:tc>
        <w:tc>
          <w:tcPr>
            <w:tcW w:w="943" w:type="pct"/>
            <w:tcBorders>
              <w:top w:val="nil"/>
              <w:bottom w:val="single" w:color="auto" w:sz="4" w:space="0"/>
            </w:tcBorders>
            <w:noWrap/>
            <w:vAlign w:val="center"/>
          </w:tcPr>
          <w:p w14:paraId="1E9EB40E">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2.12 (1.38-3.25)</w:t>
            </w:r>
          </w:p>
        </w:tc>
        <w:tc>
          <w:tcPr>
            <w:tcW w:w="1072" w:type="pct"/>
            <w:tcBorders>
              <w:top w:val="nil"/>
              <w:bottom w:val="single" w:color="auto" w:sz="4" w:space="0"/>
            </w:tcBorders>
            <w:noWrap/>
            <w:vAlign w:val="center"/>
          </w:tcPr>
          <w:p w14:paraId="496E33EF">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14:ligatures w14:val="none"/>
              </w:rPr>
              <w:t>2.00 (1.30-3.07)</w:t>
            </w:r>
          </w:p>
        </w:tc>
      </w:tr>
      <w:tr w14:paraId="365EC78A">
        <w:trPr>
          <w:trHeight w:val="500" w:hRule="atLeast"/>
        </w:trPr>
        <w:tc>
          <w:tcPr>
            <w:tcW w:w="5000" w:type="pct"/>
            <w:gridSpan w:val="5"/>
            <w:tcBorders>
              <w:top w:val="single" w:color="auto" w:sz="4" w:space="0"/>
            </w:tcBorders>
            <w:noWrap/>
            <w:vAlign w:val="bottom"/>
          </w:tcPr>
          <w:p w14:paraId="45039B04">
            <w:pPr>
              <w:spacing w:after="0" w:line="240" w:lineRule="auto"/>
              <w:rPr>
                <w:rFonts w:ascii="Times New Roman" w:hAnsi="Times New Roman" w:eastAsia="Times New Roman" w:cs="Times New Roman"/>
                <w:color w:val="000000"/>
                <w:kern w:val="0"/>
                <w:sz w:val="18"/>
                <w:szCs w:val="18"/>
                <w14:ligatures w14:val="none"/>
              </w:rPr>
            </w:pPr>
            <w:r>
              <w:rPr>
                <w:rFonts w:ascii="Times New Roman" w:hAnsi="Times New Roman" w:eastAsia="Times New Roman" w:cs="Times New Roman"/>
                <w:color w:val="000000"/>
                <w:kern w:val="0"/>
                <w:sz w:val="18"/>
                <w:szCs w:val="18"/>
                <w:vertAlign w:val="superscript"/>
                <w14:ligatures w14:val="none"/>
              </w:rPr>
              <w:t>*</w:t>
            </w:r>
            <w:r>
              <w:rPr>
                <w:rFonts w:ascii="Times New Roman" w:hAnsi="Times New Roman" w:eastAsia="Times New Roman" w:cs="Times New Roman"/>
                <w:color w:val="000000"/>
                <w:kern w:val="0"/>
                <w:sz w:val="18"/>
                <w:szCs w:val="18"/>
                <w14:ligatures w14:val="none"/>
              </w:rPr>
              <w:t xml:space="preserve"> Models were adjusted for matching factors, demographic and lifestyle factors, and obesity-related comorbidities.</w:t>
            </w:r>
            <w:r>
              <w:rPr>
                <w:rFonts w:ascii="Times New Roman" w:hAnsi="Times New Roman" w:eastAsia="Times New Roman" w:cs="Times New Roman"/>
                <w:color w:val="000000"/>
                <w:kern w:val="0"/>
                <w:sz w:val="18"/>
                <w:szCs w:val="18"/>
                <w14:ligatures w14:val="none"/>
              </w:rPr>
              <w:br w:type="textWrapping"/>
            </w:r>
            <w:r>
              <w:rPr>
                <w:rFonts w:ascii="Times New Roman" w:hAnsi="Times New Roman" w:eastAsia="Times New Roman" w:cs="Times New Roman"/>
                <w:color w:val="000000"/>
                <w:kern w:val="0"/>
                <w:sz w:val="18"/>
                <w:szCs w:val="18"/>
                <w:vertAlign w:val="superscript"/>
                <w14:ligatures w14:val="none"/>
              </w:rPr>
              <w:t>†</w:t>
            </w:r>
            <w:r>
              <w:rPr>
                <w:rFonts w:ascii="Times New Roman" w:hAnsi="Times New Roman" w:eastAsia="Times New Roman" w:cs="Times New Roman"/>
                <w:color w:val="000000"/>
                <w:kern w:val="0"/>
                <w:sz w:val="18"/>
                <w:szCs w:val="18"/>
                <w14:ligatures w14:val="none"/>
              </w:rPr>
              <w:t xml:space="preserve"> Additionally adjusted for BMI change during follow-up </w:t>
            </w:r>
          </w:p>
        </w:tc>
      </w:tr>
    </w:tbl>
    <w:p w14:paraId="7C3C4B58">
      <w:pPr>
        <w:rPr>
          <w:rFonts w:ascii="Times New Roman" w:hAnsi="Times New Roman" w:cs="Times New Roman"/>
        </w:rPr>
      </w:pPr>
    </w:p>
    <w:p w14:paraId="70A4EF07">
      <w:pPr>
        <w:pStyle w:val="2"/>
        <w:rPr>
          <w:rFonts w:hint="eastAsia" w:ascii="Times New Roman" w:hAnsi="Times New Roman" w:cs="Times New Roman"/>
          <w:b/>
          <w:bCs/>
          <w:color w:val="auto"/>
          <w:sz w:val="24"/>
          <w:szCs w:val="24"/>
          <w:lang w:val="en-US" w:eastAsia="zh-CN"/>
        </w:rPr>
        <w:sectPr>
          <w:pgSz w:w="11906" w:h="16838"/>
          <w:pgMar w:top="1440" w:right="1440" w:bottom="1440" w:left="1440" w:header="708" w:footer="708" w:gutter="0"/>
          <w:cols w:space="708" w:num="1"/>
          <w:docGrid w:linePitch="360" w:charSpace="0"/>
        </w:sectPr>
      </w:pPr>
    </w:p>
    <w:p w14:paraId="3FADF911">
      <w:pPr>
        <w:pStyle w:val="2"/>
        <w:rPr>
          <w:rFonts w:hint="default" w:ascii="Times New Roman" w:hAnsi="Times New Roman" w:cs="Times New Roman"/>
          <w:b/>
          <w:bCs/>
          <w:color w:val="auto"/>
          <w:sz w:val="24"/>
          <w:szCs w:val="24"/>
          <w:lang w:val="en-US" w:eastAsia="zh-CN"/>
        </w:rPr>
      </w:pPr>
      <w:bookmarkStart w:id="7" w:name="_Toc1851941055"/>
      <w:r>
        <w:rPr>
          <w:rFonts w:hint="eastAsia" w:ascii="Times New Roman" w:hAnsi="Times New Roman" w:cs="Times New Roman"/>
          <w:b/>
          <w:bCs/>
          <w:color w:val="auto"/>
          <w:sz w:val="24"/>
          <w:szCs w:val="24"/>
          <w:lang w:val="en-US" w:eastAsia="zh-CN"/>
        </w:rPr>
        <w:t>Ta</w:t>
      </w:r>
      <w:r>
        <w:rPr>
          <w:rFonts w:hint="default" w:ascii="Times New Roman" w:hAnsi="Times New Roman" w:cs="Times New Roman"/>
          <w:b/>
          <w:bCs/>
          <w:color w:val="auto"/>
          <w:sz w:val="24"/>
          <w:szCs w:val="24"/>
          <w:lang w:val="en-US" w:eastAsia="zh-CN"/>
        </w:rPr>
        <w:t>ble S4.</w:t>
      </w:r>
      <w:r>
        <w:rPr>
          <w:rFonts w:hint="eastAsia" w:ascii="Times New Roman" w:hAnsi="Times New Roman" w:cs="Times New Roman"/>
          <w:b/>
          <w:bCs/>
          <w:color w:val="auto"/>
          <w:sz w:val="24"/>
          <w:szCs w:val="24"/>
          <w:lang w:val="en-US" w:eastAsia="zh-CN"/>
        </w:rPr>
        <w:t xml:space="preserve"> Baseline characteristics of the study population after excluding depression and anxiety cases occurring within the first 12 months after the index date</w:t>
      </w:r>
      <w:bookmarkEnd w:id="7"/>
    </w:p>
    <w:tbl>
      <w:tblPr>
        <w:tblStyle w:val="18"/>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808"/>
        <w:gridCol w:w="2752"/>
        <w:gridCol w:w="2680"/>
      </w:tblGrid>
      <w:tr w14:paraId="7373D8E8">
        <w:trPr>
          <w:trHeight w:val="336" w:hRule="atLeast"/>
        </w:trPr>
        <w:tc>
          <w:tcPr>
            <w:tcW w:w="2069" w:type="pct"/>
            <w:tcBorders>
              <w:top w:val="single" w:color="000000" w:sz="4" w:space="0"/>
              <w:left w:val="nil"/>
              <w:bottom w:val="single" w:color="000000" w:sz="4" w:space="0"/>
              <w:right w:val="nil"/>
            </w:tcBorders>
            <w:shd w:val="clear" w:color="auto" w:fill="auto"/>
            <w:noWrap/>
            <w:vAlign w:val="center"/>
          </w:tcPr>
          <w:p w14:paraId="0A214F5B">
            <w:pPr>
              <w:jc w:val="left"/>
              <w:rPr>
                <w:rFonts w:hint="default" w:ascii="Times New Roman Regular" w:hAnsi="Times New Roman Regular" w:cs="Times New Roman Regular"/>
                <w:sz w:val="18"/>
                <w:szCs w:val="18"/>
              </w:rPr>
            </w:pPr>
          </w:p>
        </w:tc>
        <w:tc>
          <w:tcPr>
            <w:tcW w:w="1472" w:type="pct"/>
            <w:tcBorders>
              <w:top w:val="single" w:color="000000" w:sz="4" w:space="0"/>
              <w:left w:val="nil"/>
              <w:bottom w:val="single" w:color="000000" w:sz="4" w:space="0"/>
              <w:right w:val="nil"/>
            </w:tcBorders>
            <w:shd w:val="clear" w:color="auto" w:fill="auto"/>
            <w:noWrap/>
            <w:vAlign w:val="center"/>
          </w:tcPr>
          <w:p w14:paraId="27014F6F">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Bariatric surgery patients (n=6649)</w:t>
            </w:r>
          </w:p>
        </w:tc>
        <w:tc>
          <w:tcPr>
            <w:tcW w:w="1458" w:type="pct"/>
            <w:tcBorders>
              <w:top w:val="single" w:color="000000" w:sz="4" w:space="0"/>
              <w:left w:val="nil"/>
              <w:bottom w:val="single" w:color="000000" w:sz="4" w:space="0"/>
              <w:right w:val="nil"/>
            </w:tcBorders>
            <w:shd w:val="clear" w:color="auto" w:fill="auto"/>
            <w:noWrap/>
            <w:vAlign w:val="center"/>
          </w:tcPr>
          <w:p w14:paraId="660B516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Matched controls (n=31177)</w:t>
            </w:r>
          </w:p>
        </w:tc>
      </w:tr>
      <w:tr w14:paraId="0BC05529">
        <w:trPr>
          <w:trHeight w:val="336" w:hRule="atLeast"/>
        </w:trPr>
        <w:tc>
          <w:tcPr>
            <w:tcW w:w="2069" w:type="pct"/>
            <w:tcBorders>
              <w:top w:val="nil"/>
              <w:left w:val="nil"/>
              <w:bottom w:val="nil"/>
              <w:right w:val="nil"/>
            </w:tcBorders>
            <w:shd w:val="clear" w:color="auto" w:fill="auto"/>
            <w:noWrap/>
            <w:vAlign w:val="center"/>
          </w:tcPr>
          <w:p w14:paraId="5DB6685E">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Index year, median (IQR)</w:t>
            </w:r>
          </w:p>
        </w:tc>
        <w:tc>
          <w:tcPr>
            <w:tcW w:w="1472" w:type="pct"/>
            <w:tcBorders>
              <w:top w:val="nil"/>
              <w:left w:val="nil"/>
              <w:bottom w:val="nil"/>
              <w:right w:val="nil"/>
            </w:tcBorders>
            <w:shd w:val="clear" w:color="auto" w:fill="auto"/>
            <w:noWrap/>
            <w:vAlign w:val="center"/>
          </w:tcPr>
          <w:p w14:paraId="7C66A588">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2014 (2010 to 2017)</w:t>
            </w:r>
          </w:p>
        </w:tc>
        <w:tc>
          <w:tcPr>
            <w:tcW w:w="1458" w:type="pct"/>
            <w:tcBorders>
              <w:top w:val="nil"/>
              <w:left w:val="nil"/>
              <w:bottom w:val="nil"/>
              <w:right w:val="nil"/>
            </w:tcBorders>
            <w:shd w:val="clear" w:color="auto" w:fill="auto"/>
            <w:noWrap/>
            <w:vAlign w:val="center"/>
          </w:tcPr>
          <w:p w14:paraId="57ED9B7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2014 (2010 to 2017)</w:t>
            </w:r>
          </w:p>
        </w:tc>
      </w:tr>
      <w:tr w14:paraId="0CC21085">
        <w:trPr>
          <w:trHeight w:val="336" w:hRule="atLeast"/>
        </w:trPr>
        <w:tc>
          <w:tcPr>
            <w:tcW w:w="2069" w:type="pct"/>
            <w:tcBorders>
              <w:top w:val="nil"/>
              <w:left w:val="nil"/>
              <w:bottom w:val="nil"/>
              <w:right w:val="nil"/>
            </w:tcBorders>
            <w:shd w:val="clear" w:color="auto" w:fill="auto"/>
            <w:noWrap/>
            <w:vAlign w:val="center"/>
          </w:tcPr>
          <w:p w14:paraId="5B4BF69C">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Age, median (IQR), y</w:t>
            </w:r>
          </w:p>
        </w:tc>
        <w:tc>
          <w:tcPr>
            <w:tcW w:w="1472" w:type="pct"/>
            <w:tcBorders>
              <w:top w:val="nil"/>
              <w:left w:val="nil"/>
              <w:bottom w:val="nil"/>
              <w:right w:val="nil"/>
            </w:tcBorders>
            <w:shd w:val="clear" w:color="auto" w:fill="auto"/>
            <w:noWrap/>
            <w:vAlign w:val="center"/>
          </w:tcPr>
          <w:p w14:paraId="0584C5D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44.1 (40.7 to 47.7)</w:t>
            </w:r>
          </w:p>
        </w:tc>
        <w:tc>
          <w:tcPr>
            <w:tcW w:w="1458" w:type="pct"/>
            <w:tcBorders>
              <w:top w:val="nil"/>
              <w:left w:val="nil"/>
              <w:bottom w:val="nil"/>
              <w:right w:val="nil"/>
            </w:tcBorders>
            <w:shd w:val="clear" w:color="auto" w:fill="auto"/>
            <w:noWrap/>
            <w:vAlign w:val="center"/>
          </w:tcPr>
          <w:p w14:paraId="69DF1430">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44.4 (40.6 to 47.8)</w:t>
            </w:r>
          </w:p>
        </w:tc>
      </w:tr>
      <w:tr w14:paraId="3E2DBD8A">
        <w:trPr>
          <w:trHeight w:val="336" w:hRule="atLeast"/>
        </w:trPr>
        <w:tc>
          <w:tcPr>
            <w:tcW w:w="2069" w:type="pct"/>
            <w:tcBorders>
              <w:top w:val="nil"/>
              <w:left w:val="nil"/>
              <w:bottom w:val="nil"/>
              <w:right w:val="nil"/>
            </w:tcBorders>
            <w:shd w:val="clear" w:color="auto" w:fill="auto"/>
            <w:noWrap/>
            <w:vAlign w:val="center"/>
          </w:tcPr>
          <w:p w14:paraId="2DB30A82">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Body mass index, median (IQR)</w:t>
            </w:r>
          </w:p>
        </w:tc>
        <w:tc>
          <w:tcPr>
            <w:tcW w:w="1472" w:type="pct"/>
            <w:tcBorders>
              <w:top w:val="nil"/>
              <w:left w:val="nil"/>
              <w:bottom w:val="nil"/>
              <w:right w:val="nil"/>
            </w:tcBorders>
            <w:shd w:val="clear" w:color="auto" w:fill="auto"/>
            <w:noWrap/>
            <w:vAlign w:val="center"/>
          </w:tcPr>
          <w:p w14:paraId="72781A08">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44.1 (40.0 to 49.0)</w:t>
            </w:r>
          </w:p>
        </w:tc>
        <w:tc>
          <w:tcPr>
            <w:tcW w:w="1458" w:type="pct"/>
            <w:tcBorders>
              <w:top w:val="nil"/>
              <w:left w:val="nil"/>
              <w:bottom w:val="nil"/>
              <w:right w:val="nil"/>
            </w:tcBorders>
            <w:shd w:val="clear" w:color="auto" w:fill="auto"/>
            <w:noWrap/>
            <w:vAlign w:val="center"/>
          </w:tcPr>
          <w:p w14:paraId="49BD9722">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43.5 (39.7 to 47.7)</w:t>
            </w:r>
          </w:p>
        </w:tc>
      </w:tr>
      <w:tr w14:paraId="1DE19052">
        <w:trPr>
          <w:trHeight w:val="336" w:hRule="atLeast"/>
        </w:trPr>
        <w:tc>
          <w:tcPr>
            <w:tcW w:w="2069" w:type="pct"/>
            <w:tcBorders>
              <w:top w:val="nil"/>
              <w:left w:val="nil"/>
              <w:bottom w:val="nil"/>
              <w:right w:val="nil"/>
            </w:tcBorders>
            <w:shd w:val="clear" w:color="auto" w:fill="auto"/>
            <w:noWrap/>
            <w:vAlign w:val="center"/>
          </w:tcPr>
          <w:p w14:paraId="4C044D9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BMI category, No. (%) </w:t>
            </w:r>
          </w:p>
        </w:tc>
        <w:tc>
          <w:tcPr>
            <w:tcW w:w="1472" w:type="pct"/>
            <w:tcBorders>
              <w:top w:val="nil"/>
              <w:left w:val="nil"/>
              <w:bottom w:val="nil"/>
              <w:right w:val="nil"/>
            </w:tcBorders>
            <w:shd w:val="clear" w:color="auto" w:fill="auto"/>
            <w:noWrap/>
            <w:vAlign w:val="center"/>
          </w:tcPr>
          <w:p w14:paraId="0E576A4F">
            <w:pPr>
              <w:jc w:val="left"/>
              <w:rPr>
                <w:rFonts w:hint="default" w:ascii="Times New Roman Regular" w:hAnsi="Times New Roman Regular" w:cs="Times New Roman Regular"/>
                <w:sz w:val="18"/>
                <w:szCs w:val="18"/>
              </w:rPr>
            </w:pPr>
          </w:p>
        </w:tc>
        <w:tc>
          <w:tcPr>
            <w:tcW w:w="1458" w:type="pct"/>
            <w:tcBorders>
              <w:top w:val="nil"/>
              <w:left w:val="nil"/>
              <w:bottom w:val="nil"/>
              <w:right w:val="nil"/>
            </w:tcBorders>
            <w:shd w:val="clear" w:color="auto" w:fill="auto"/>
            <w:noWrap/>
            <w:vAlign w:val="center"/>
          </w:tcPr>
          <w:p w14:paraId="0AE7A340">
            <w:pPr>
              <w:jc w:val="left"/>
              <w:rPr>
                <w:rFonts w:hint="default" w:ascii="Times New Roman Regular" w:hAnsi="Times New Roman Regular" w:cs="Times New Roman Regular"/>
                <w:sz w:val="18"/>
                <w:szCs w:val="18"/>
              </w:rPr>
            </w:pPr>
          </w:p>
        </w:tc>
      </w:tr>
      <w:tr w14:paraId="089DACD2">
        <w:trPr>
          <w:trHeight w:val="336" w:hRule="atLeast"/>
        </w:trPr>
        <w:tc>
          <w:tcPr>
            <w:tcW w:w="2069" w:type="pct"/>
            <w:tcBorders>
              <w:top w:val="nil"/>
              <w:left w:val="nil"/>
              <w:bottom w:val="nil"/>
              <w:right w:val="nil"/>
            </w:tcBorders>
            <w:shd w:val="clear" w:color="auto" w:fill="auto"/>
            <w:noWrap/>
            <w:vAlign w:val="center"/>
          </w:tcPr>
          <w:p w14:paraId="6C9EF038">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35-39.9</w:t>
            </w:r>
          </w:p>
        </w:tc>
        <w:tc>
          <w:tcPr>
            <w:tcW w:w="1472" w:type="pct"/>
            <w:tcBorders>
              <w:top w:val="nil"/>
              <w:left w:val="nil"/>
              <w:bottom w:val="nil"/>
              <w:right w:val="nil"/>
            </w:tcBorders>
            <w:shd w:val="clear" w:color="auto" w:fill="auto"/>
            <w:noWrap/>
            <w:vAlign w:val="center"/>
          </w:tcPr>
          <w:p w14:paraId="14EA282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231 (3.5)</w:t>
            </w:r>
          </w:p>
        </w:tc>
        <w:tc>
          <w:tcPr>
            <w:tcW w:w="1458" w:type="pct"/>
            <w:tcBorders>
              <w:top w:val="nil"/>
              <w:left w:val="nil"/>
              <w:bottom w:val="nil"/>
              <w:right w:val="nil"/>
            </w:tcBorders>
            <w:shd w:val="clear" w:color="auto" w:fill="auto"/>
            <w:noWrap/>
            <w:vAlign w:val="center"/>
          </w:tcPr>
          <w:p w14:paraId="7F8A3CDE">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482 (1.5)</w:t>
            </w:r>
          </w:p>
        </w:tc>
      </w:tr>
      <w:tr w14:paraId="1104CC3B">
        <w:trPr>
          <w:trHeight w:val="336" w:hRule="atLeast"/>
        </w:trPr>
        <w:tc>
          <w:tcPr>
            <w:tcW w:w="2069" w:type="pct"/>
            <w:tcBorders>
              <w:top w:val="nil"/>
              <w:left w:val="nil"/>
              <w:bottom w:val="nil"/>
              <w:right w:val="nil"/>
            </w:tcBorders>
            <w:shd w:val="clear" w:color="auto" w:fill="auto"/>
            <w:noWrap/>
            <w:vAlign w:val="center"/>
          </w:tcPr>
          <w:p w14:paraId="665EAFC0">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40-44.9</w:t>
            </w:r>
          </w:p>
        </w:tc>
        <w:tc>
          <w:tcPr>
            <w:tcW w:w="1472" w:type="pct"/>
            <w:tcBorders>
              <w:top w:val="nil"/>
              <w:left w:val="nil"/>
              <w:bottom w:val="nil"/>
              <w:right w:val="nil"/>
            </w:tcBorders>
            <w:shd w:val="clear" w:color="auto" w:fill="auto"/>
            <w:noWrap/>
            <w:vAlign w:val="center"/>
          </w:tcPr>
          <w:p w14:paraId="673F4CE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1633 (24.6)</w:t>
            </w:r>
          </w:p>
        </w:tc>
        <w:tc>
          <w:tcPr>
            <w:tcW w:w="1458" w:type="pct"/>
            <w:tcBorders>
              <w:top w:val="nil"/>
              <w:left w:val="nil"/>
              <w:bottom w:val="nil"/>
              <w:right w:val="nil"/>
            </w:tcBorders>
            <w:shd w:val="clear" w:color="auto" w:fill="auto"/>
            <w:noWrap/>
            <w:vAlign w:val="center"/>
          </w:tcPr>
          <w:p w14:paraId="6342DE32">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8256 (26.5)</w:t>
            </w:r>
          </w:p>
        </w:tc>
      </w:tr>
      <w:tr w14:paraId="6571A7AD">
        <w:trPr>
          <w:trHeight w:val="336" w:hRule="atLeast"/>
        </w:trPr>
        <w:tc>
          <w:tcPr>
            <w:tcW w:w="2069" w:type="pct"/>
            <w:tcBorders>
              <w:top w:val="nil"/>
              <w:left w:val="nil"/>
              <w:bottom w:val="nil"/>
              <w:right w:val="nil"/>
            </w:tcBorders>
            <w:shd w:val="clear" w:color="auto" w:fill="auto"/>
            <w:noWrap/>
            <w:vAlign w:val="center"/>
          </w:tcPr>
          <w:p w14:paraId="0251276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45-49.9</w:t>
            </w:r>
          </w:p>
        </w:tc>
        <w:tc>
          <w:tcPr>
            <w:tcW w:w="1472" w:type="pct"/>
            <w:tcBorders>
              <w:top w:val="nil"/>
              <w:left w:val="nil"/>
              <w:bottom w:val="nil"/>
              <w:right w:val="nil"/>
            </w:tcBorders>
            <w:shd w:val="clear" w:color="auto" w:fill="auto"/>
            <w:noWrap/>
            <w:vAlign w:val="center"/>
          </w:tcPr>
          <w:p w14:paraId="21246E9C">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2008 (30.2)</w:t>
            </w:r>
          </w:p>
        </w:tc>
        <w:tc>
          <w:tcPr>
            <w:tcW w:w="1458" w:type="pct"/>
            <w:tcBorders>
              <w:top w:val="nil"/>
              <w:left w:val="nil"/>
              <w:bottom w:val="nil"/>
              <w:right w:val="nil"/>
            </w:tcBorders>
            <w:shd w:val="clear" w:color="auto" w:fill="auto"/>
            <w:noWrap/>
            <w:vAlign w:val="center"/>
          </w:tcPr>
          <w:p w14:paraId="791A844A">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10254 (32.9)</w:t>
            </w:r>
          </w:p>
        </w:tc>
      </w:tr>
      <w:tr w14:paraId="6BDFEF34">
        <w:trPr>
          <w:trHeight w:val="336" w:hRule="atLeast"/>
        </w:trPr>
        <w:tc>
          <w:tcPr>
            <w:tcW w:w="2069" w:type="pct"/>
            <w:tcBorders>
              <w:top w:val="nil"/>
              <w:left w:val="nil"/>
              <w:bottom w:val="nil"/>
              <w:right w:val="nil"/>
            </w:tcBorders>
            <w:shd w:val="clear" w:color="auto" w:fill="auto"/>
            <w:noWrap/>
            <w:vAlign w:val="center"/>
          </w:tcPr>
          <w:p w14:paraId="5F43FFEA">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50-54.9</w:t>
            </w:r>
          </w:p>
        </w:tc>
        <w:tc>
          <w:tcPr>
            <w:tcW w:w="1472" w:type="pct"/>
            <w:tcBorders>
              <w:top w:val="nil"/>
              <w:left w:val="nil"/>
              <w:bottom w:val="nil"/>
              <w:right w:val="nil"/>
            </w:tcBorders>
            <w:shd w:val="clear" w:color="auto" w:fill="auto"/>
            <w:noWrap/>
            <w:vAlign w:val="center"/>
          </w:tcPr>
          <w:p w14:paraId="606D1C7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1572 (23.6)</w:t>
            </w:r>
          </w:p>
        </w:tc>
        <w:tc>
          <w:tcPr>
            <w:tcW w:w="1458" w:type="pct"/>
            <w:tcBorders>
              <w:top w:val="nil"/>
              <w:left w:val="nil"/>
              <w:bottom w:val="nil"/>
              <w:right w:val="nil"/>
            </w:tcBorders>
            <w:shd w:val="clear" w:color="auto" w:fill="auto"/>
            <w:noWrap/>
            <w:vAlign w:val="center"/>
          </w:tcPr>
          <w:p w14:paraId="4532B0B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7797 (25.0)</w:t>
            </w:r>
          </w:p>
        </w:tc>
      </w:tr>
      <w:tr w14:paraId="2B38E35A">
        <w:trPr>
          <w:trHeight w:val="336" w:hRule="atLeast"/>
        </w:trPr>
        <w:tc>
          <w:tcPr>
            <w:tcW w:w="2069" w:type="pct"/>
            <w:tcBorders>
              <w:top w:val="nil"/>
              <w:left w:val="nil"/>
              <w:bottom w:val="nil"/>
              <w:right w:val="nil"/>
            </w:tcBorders>
            <w:shd w:val="clear" w:color="auto" w:fill="auto"/>
            <w:noWrap/>
            <w:vAlign w:val="center"/>
          </w:tcPr>
          <w:p w14:paraId="09D5DF2D">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55-59.9</w:t>
            </w:r>
          </w:p>
        </w:tc>
        <w:tc>
          <w:tcPr>
            <w:tcW w:w="1472" w:type="pct"/>
            <w:tcBorders>
              <w:top w:val="nil"/>
              <w:left w:val="nil"/>
              <w:bottom w:val="nil"/>
              <w:right w:val="nil"/>
            </w:tcBorders>
            <w:shd w:val="clear" w:color="auto" w:fill="auto"/>
            <w:noWrap/>
            <w:vAlign w:val="center"/>
          </w:tcPr>
          <w:p w14:paraId="4E89ED5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861 (12.9)</w:t>
            </w:r>
          </w:p>
        </w:tc>
        <w:tc>
          <w:tcPr>
            <w:tcW w:w="1458" w:type="pct"/>
            <w:tcBorders>
              <w:top w:val="nil"/>
              <w:left w:val="nil"/>
              <w:bottom w:val="nil"/>
              <w:right w:val="nil"/>
            </w:tcBorders>
            <w:shd w:val="clear" w:color="auto" w:fill="auto"/>
            <w:noWrap/>
            <w:vAlign w:val="center"/>
          </w:tcPr>
          <w:p w14:paraId="3BAE6B80">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3317 (10.6)</w:t>
            </w:r>
          </w:p>
        </w:tc>
      </w:tr>
      <w:tr w14:paraId="3C64F23D">
        <w:trPr>
          <w:trHeight w:val="336" w:hRule="atLeast"/>
        </w:trPr>
        <w:tc>
          <w:tcPr>
            <w:tcW w:w="2069" w:type="pct"/>
            <w:tcBorders>
              <w:top w:val="nil"/>
              <w:left w:val="nil"/>
              <w:bottom w:val="nil"/>
              <w:right w:val="nil"/>
            </w:tcBorders>
            <w:shd w:val="clear" w:color="auto" w:fill="auto"/>
            <w:noWrap/>
            <w:vAlign w:val="center"/>
          </w:tcPr>
          <w:p w14:paraId="4185ADB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60-80</w:t>
            </w:r>
          </w:p>
        </w:tc>
        <w:tc>
          <w:tcPr>
            <w:tcW w:w="1472" w:type="pct"/>
            <w:tcBorders>
              <w:top w:val="nil"/>
              <w:left w:val="nil"/>
              <w:bottom w:val="nil"/>
              <w:right w:val="nil"/>
            </w:tcBorders>
            <w:shd w:val="clear" w:color="auto" w:fill="auto"/>
            <w:noWrap/>
            <w:vAlign w:val="center"/>
          </w:tcPr>
          <w:p w14:paraId="3AD07D69">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344 (5.2)</w:t>
            </w:r>
          </w:p>
        </w:tc>
        <w:tc>
          <w:tcPr>
            <w:tcW w:w="1458" w:type="pct"/>
            <w:tcBorders>
              <w:top w:val="nil"/>
              <w:left w:val="nil"/>
              <w:bottom w:val="nil"/>
              <w:right w:val="nil"/>
            </w:tcBorders>
            <w:shd w:val="clear" w:color="auto" w:fill="auto"/>
            <w:noWrap/>
            <w:vAlign w:val="center"/>
          </w:tcPr>
          <w:p w14:paraId="4EDDCE38">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1071 (3.4)</w:t>
            </w:r>
          </w:p>
        </w:tc>
      </w:tr>
      <w:tr w14:paraId="471FD4BE">
        <w:trPr>
          <w:trHeight w:val="336" w:hRule="atLeast"/>
        </w:trPr>
        <w:tc>
          <w:tcPr>
            <w:tcW w:w="2069" w:type="pct"/>
            <w:tcBorders>
              <w:top w:val="nil"/>
              <w:left w:val="nil"/>
              <w:bottom w:val="nil"/>
              <w:right w:val="nil"/>
            </w:tcBorders>
            <w:shd w:val="clear" w:color="auto" w:fill="auto"/>
            <w:noWrap/>
            <w:vAlign w:val="center"/>
          </w:tcPr>
          <w:p w14:paraId="3B219500">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Sex, No. (%) </w:t>
            </w:r>
          </w:p>
        </w:tc>
        <w:tc>
          <w:tcPr>
            <w:tcW w:w="1472" w:type="pct"/>
            <w:tcBorders>
              <w:top w:val="nil"/>
              <w:left w:val="nil"/>
              <w:bottom w:val="nil"/>
              <w:right w:val="nil"/>
            </w:tcBorders>
            <w:shd w:val="clear" w:color="auto" w:fill="auto"/>
            <w:noWrap/>
            <w:vAlign w:val="center"/>
          </w:tcPr>
          <w:p w14:paraId="31597370">
            <w:pPr>
              <w:jc w:val="left"/>
              <w:rPr>
                <w:rFonts w:hint="default" w:ascii="Times New Roman Regular" w:hAnsi="Times New Roman Regular" w:cs="Times New Roman Regular"/>
                <w:sz w:val="18"/>
                <w:szCs w:val="18"/>
              </w:rPr>
            </w:pPr>
          </w:p>
        </w:tc>
        <w:tc>
          <w:tcPr>
            <w:tcW w:w="1458" w:type="pct"/>
            <w:tcBorders>
              <w:top w:val="nil"/>
              <w:left w:val="nil"/>
              <w:bottom w:val="nil"/>
              <w:right w:val="nil"/>
            </w:tcBorders>
            <w:shd w:val="clear" w:color="auto" w:fill="auto"/>
            <w:noWrap/>
            <w:vAlign w:val="center"/>
          </w:tcPr>
          <w:p w14:paraId="1C780ABF">
            <w:pPr>
              <w:jc w:val="left"/>
              <w:rPr>
                <w:rFonts w:hint="default" w:ascii="Times New Roman Regular" w:hAnsi="Times New Roman Regular" w:cs="Times New Roman Regular"/>
                <w:sz w:val="18"/>
                <w:szCs w:val="18"/>
              </w:rPr>
            </w:pPr>
          </w:p>
        </w:tc>
      </w:tr>
      <w:tr w14:paraId="1596A51B">
        <w:trPr>
          <w:trHeight w:val="336" w:hRule="atLeast"/>
        </w:trPr>
        <w:tc>
          <w:tcPr>
            <w:tcW w:w="2069" w:type="pct"/>
            <w:tcBorders>
              <w:top w:val="nil"/>
              <w:left w:val="nil"/>
              <w:bottom w:val="nil"/>
              <w:right w:val="nil"/>
            </w:tcBorders>
            <w:shd w:val="clear" w:color="auto" w:fill="auto"/>
            <w:noWrap/>
            <w:vAlign w:val="center"/>
          </w:tcPr>
          <w:p w14:paraId="73B7DEF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Women</w:t>
            </w:r>
          </w:p>
        </w:tc>
        <w:tc>
          <w:tcPr>
            <w:tcW w:w="1472" w:type="pct"/>
            <w:tcBorders>
              <w:top w:val="nil"/>
              <w:left w:val="nil"/>
              <w:bottom w:val="nil"/>
              <w:right w:val="nil"/>
            </w:tcBorders>
            <w:shd w:val="clear" w:color="auto" w:fill="auto"/>
            <w:noWrap/>
            <w:vAlign w:val="center"/>
          </w:tcPr>
          <w:p w14:paraId="57172BDA">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4756 (71.5)</w:t>
            </w:r>
          </w:p>
        </w:tc>
        <w:tc>
          <w:tcPr>
            <w:tcW w:w="1458" w:type="pct"/>
            <w:tcBorders>
              <w:top w:val="nil"/>
              <w:left w:val="nil"/>
              <w:bottom w:val="nil"/>
              <w:right w:val="nil"/>
            </w:tcBorders>
            <w:shd w:val="clear" w:color="auto" w:fill="auto"/>
            <w:noWrap/>
            <w:vAlign w:val="center"/>
          </w:tcPr>
          <w:p w14:paraId="26F578A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22514 (72.2)</w:t>
            </w:r>
          </w:p>
        </w:tc>
      </w:tr>
      <w:tr w14:paraId="61224AD9">
        <w:trPr>
          <w:trHeight w:val="336" w:hRule="atLeast"/>
        </w:trPr>
        <w:tc>
          <w:tcPr>
            <w:tcW w:w="2069" w:type="pct"/>
            <w:tcBorders>
              <w:top w:val="nil"/>
              <w:left w:val="nil"/>
              <w:bottom w:val="nil"/>
              <w:right w:val="nil"/>
            </w:tcBorders>
            <w:shd w:val="clear" w:color="auto" w:fill="auto"/>
            <w:noWrap/>
            <w:vAlign w:val="center"/>
          </w:tcPr>
          <w:p w14:paraId="33926F9D">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Men</w:t>
            </w:r>
          </w:p>
        </w:tc>
        <w:tc>
          <w:tcPr>
            <w:tcW w:w="1472" w:type="pct"/>
            <w:tcBorders>
              <w:top w:val="nil"/>
              <w:left w:val="nil"/>
              <w:bottom w:val="nil"/>
              <w:right w:val="nil"/>
            </w:tcBorders>
            <w:shd w:val="clear" w:color="auto" w:fill="auto"/>
            <w:noWrap/>
            <w:vAlign w:val="center"/>
          </w:tcPr>
          <w:p w14:paraId="1A5B95AA">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1893 (28.5)</w:t>
            </w:r>
          </w:p>
        </w:tc>
        <w:tc>
          <w:tcPr>
            <w:tcW w:w="1458" w:type="pct"/>
            <w:tcBorders>
              <w:top w:val="nil"/>
              <w:left w:val="nil"/>
              <w:bottom w:val="nil"/>
              <w:right w:val="nil"/>
            </w:tcBorders>
            <w:shd w:val="clear" w:color="auto" w:fill="auto"/>
            <w:noWrap/>
            <w:vAlign w:val="center"/>
          </w:tcPr>
          <w:p w14:paraId="265D56C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8663 (27.8)</w:t>
            </w:r>
          </w:p>
        </w:tc>
      </w:tr>
      <w:tr w14:paraId="28981F2D">
        <w:trPr>
          <w:trHeight w:val="336" w:hRule="atLeast"/>
        </w:trPr>
        <w:tc>
          <w:tcPr>
            <w:tcW w:w="2069" w:type="pct"/>
            <w:tcBorders>
              <w:top w:val="nil"/>
              <w:left w:val="nil"/>
              <w:bottom w:val="nil"/>
              <w:right w:val="nil"/>
            </w:tcBorders>
            <w:shd w:val="clear" w:color="auto" w:fill="auto"/>
            <w:noWrap/>
            <w:vAlign w:val="center"/>
          </w:tcPr>
          <w:p w14:paraId="52153DD9">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Ethnicity, No. (%) </w:t>
            </w:r>
          </w:p>
        </w:tc>
        <w:tc>
          <w:tcPr>
            <w:tcW w:w="1472" w:type="pct"/>
            <w:tcBorders>
              <w:top w:val="nil"/>
              <w:left w:val="nil"/>
              <w:bottom w:val="nil"/>
              <w:right w:val="nil"/>
            </w:tcBorders>
            <w:shd w:val="clear" w:color="auto" w:fill="auto"/>
            <w:noWrap/>
            <w:vAlign w:val="center"/>
          </w:tcPr>
          <w:p w14:paraId="0E604D3D">
            <w:pPr>
              <w:jc w:val="left"/>
              <w:rPr>
                <w:rFonts w:hint="default" w:ascii="Times New Roman Regular" w:hAnsi="Times New Roman Regular" w:cs="Times New Roman Regular"/>
                <w:sz w:val="18"/>
                <w:szCs w:val="18"/>
              </w:rPr>
            </w:pPr>
          </w:p>
        </w:tc>
        <w:tc>
          <w:tcPr>
            <w:tcW w:w="1458" w:type="pct"/>
            <w:tcBorders>
              <w:top w:val="nil"/>
              <w:left w:val="nil"/>
              <w:bottom w:val="nil"/>
              <w:right w:val="nil"/>
            </w:tcBorders>
            <w:shd w:val="clear" w:color="auto" w:fill="auto"/>
            <w:noWrap/>
            <w:vAlign w:val="center"/>
          </w:tcPr>
          <w:p w14:paraId="012A3D98">
            <w:pPr>
              <w:jc w:val="left"/>
              <w:rPr>
                <w:rFonts w:hint="default" w:ascii="Times New Roman Regular" w:hAnsi="Times New Roman Regular" w:cs="Times New Roman Regular"/>
                <w:sz w:val="18"/>
                <w:szCs w:val="18"/>
              </w:rPr>
            </w:pPr>
          </w:p>
        </w:tc>
      </w:tr>
      <w:tr w14:paraId="4CDF9120">
        <w:trPr>
          <w:trHeight w:val="336" w:hRule="atLeast"/>
        </w:trPr>
        <w:tc>
          <w:tcPr>
            <w:tcW w:w="2069" w:type="pct"/>
            <w:tcBorders>
              <w:top w:val="nil"/>
              <w:left w:val="nil"/>
              <w:bottom w:val="nil"/>
              <w:right w:val="nil"/>
            </w:tcBorders>
            <w:shd w:val="clear" w:color="auto" w:fill="auto"/>
            <w:noWrap/>
            <w:vAlign w:val="center"/>
          </w:tcPr>
          <w:p w14:paraId="2D57A08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White</w:t>
            </w:r>
          </w:p>
        </w:tc>
        <w:tc>
          <w:tcPr>
            <w:tcW w:w="1472" w:type="pct"/>
            <w:tcBorders>
              <w:top w:val="nil"/>
              <w:left w:val="nil"/>
              <w:bottom w:val="nil"/>
              <w:right w:val="nil"/>
            </w:tcBorders>
            <w:shd w:val="clear" w:color="auto" w:fill="auto"/>
            <w:noWrap/>
            <w:vAlign w:val="center"/>
          </w:tcPr>
          <w:p w14:paraId="6C88B02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4739 (71.3)</w:t>
            </w:r>
          </w:p>
        </w:tc>
        <w:tc>
          <w:tcPr>
            <w:tcW w:w="1458" w:type="pct"/>
            <w:tcBorders>
              <w:top w:val="nil"/>
              <w:left w:val="nil"/>
              <w:bottom w:val="nil"/>
              <w:right w:val="nil"/>
            </w:tcBorders>
            <w:shd w:val="clear" w:color="auto" w:fill="auto"/>
            <w:noWrap/>
            <w:vAlign w:val="center"/>
          </w:tcPr>
          <w:p w14:paraId="20B01849">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22392 (71.8)</w:t>
            </w:r>
          </w:p>
        </w:tc>
      </w:tr>
      <w:tr w14:paraId="2B93A842">
        <w:trPr>
          <w:trHeight w:val="336" w:hRule="atLeast"/>
        </w:trPr>
        <w:tc>
          <w:tcPr>
            <w:tcW w:w="2069" w:type="pct"/>
            <w:tcBorders>
              <w:top w:val="nil"/>
              <w:left w:val="nil"/>
              <w:bottom w:val="nil"/>
              <w:right w:val="nil"/>
            </w:tcBorders>
            <w:shd w:val="clear" w:color="auto" w:fill="auto"/>
            <w:noWrap/>
            <w:vAlign w:val="center"/>
          </w:tcPr>
          <w:p w14:paraId="61D672AB">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Asian</w:t>
            </w:r>
          </w:p>
        </w:tc>
        <w:tc>
          <w:tcPr>
            <w:tcW w:w="1472" w:type="pct"/>
            <w:tcBorders>
              <w:top w:val="nil"/>
              <w:left w:val="nil"/>
              <w:bottom w:val="nil"/>
              <w:right w:val="nil"/>
            </w:tcBorders>
            <w:shd w:val="clear" w:color="auto" w:fill="auto"/>
            <w:noWrap/>
            <w:vAlign w:val="center"/>
          </w:tcPr>
          <w:p w14:paraId="6DFE7682">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309 (4.6)</w:t>
            </w:r>
          </w:p>
        </w:tc>
        <w:tc>
          <w:tcPr>
            <w:tcW w:w="1458" w:type="pct"/>
            <w:tcBorders>
              <w:top w:val="nil"/>
              <w:left w:val="nil"/>
              <w:bottom w:val="nil"/>
              <w:right w:val="nil"/>
            </w:tcBorders>
            <w:shd w:val="clear" w:color="auto" w:fill="auto"/>
            <w:noWrap/>
            <w:vAlign w:val="center"/>
          </w:tcPr>
          <w:p w14:paraId="4E990249">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1969 (6.3)</w:t>
            </w:r>
          </w:p>
        </w:tc>
      </w:tr>
      <w:tr w14:paraId="30224950">
        <w:trPr>
          <w:trHeight w:val="336" w:hRule="atLeast"/>
        </w:trPr>
        <w:tc>
          <w:tcPr>
            <w:tcW w:w="2069" w:type="pct"/>
            <w:tcBorders>
              <w:top w:val="nil"/>
              <w:left w:val="nil"/>
              <w:bottom w:val="nil"/>
              <w:right w:val="nil"/>
            </w:tcBorders>
            <w:shd w:val="clear" w:color="auto" w:fill="auto"/>
            <w:noWrap/>
            <w:vAlign w:val="center"/>
          </w:tcPr>
          <w:p w14:paraId="4880E32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Black</w:t>
            </w:r>
          </w:p>
        </w:tc>
        <w:tc>
          <w:tcPr>
            <w:tcW w:w="1472" w:type="pct"/>
            <w:tcBorders>
              <w:top w:val="nil"/>
              <w:left w:val="nil"/>
              <w:bottom w:val="nil"/>
              <w:right w:val="nil"/>
            </w:tcBorders>
            <w:shd w:val="clear" w:color="auto" w:fill="auto"/>
            <w:noWrap/>
            <w:vAlign w:val="center"/>
          </w:tcPr>
          <w:p w14:paraId="74444DE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541 (8.1)</w:t>
            </w:r>
          </w:p>
        </w:tc>
        <w:tc>
          <w:tcPr>
            <w:tcW w:w="1458" w:type="pct"/>
            <w:tcBorders>
              <w:top w:val="nil"/>
              <w:left w:val="nil"/>
              <w:bottom w:val="nil"/>
              <w:right w:val="nil"/>
            </w:tcBorders>
            <w:shd w:val="clear" w:color="auto" w:fill="auto"/>
            <w:noWrap/>
            <w:vAlign w:val="center"/>
          </w:tcPr>
          <w:p w14:paraId="3DA5D66E">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2943 (9.4)</w:t>
            </w:r>
          </w:p>
        </w:tc>
      </w:tr>
      <w:tr w14:paraId="65C121D0">
        <w:trPr>
          <w:trHeight w:val="336" w:hRule="atLeast"/>
        </w:trPr>
        <w:tc>
          <w:tcPr>
            <w:tcW w:w="2069" w:type="pct"/>
            <w:tcBorders>
              <w:top w:val="nil"/>
              <w:left w:val="nil"/>
              <w:bottom w:val="nil"/>
              <w:right w:val="nil"/>
            </w:tcBorders>
            <w:shd w:val="clear" w:color="auto" w:fill="auto"/>
            <w:noWrap/>
            <w:vAlign w:val="center"/>
          </w:tcPr>
          <w:p w14:paraId="3A867F98">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Other</w:t>
            </w:r>
          </w:p>
        </w:tc>
        <w:tc>
          <w:tcPr>
            <w:tcW w:w="1472" w:type="pct"/>
            <w:tcBorders>
              <w:top w:val="nil"/>
              <w:left w:val="nil"/>
              <w:bottom w:val="nil"/>
              <w:right w:val="nil"/>
            </w:tcBorders>
            <w:shd w:val="clear" w:color="auto" w:fill="auto"/>
            <w:noWrap/>
            <w:vAlign w:val="center"/>
          </w:tcPr>
          <w:p w14:paraId="66D47DF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129 (1.9)</w:t>
            </w:r>
          </w:p>
        </w:tc>
        <w:tc>
          <w:tcPr>
            <w:tcW w:w="1458" w:type="pct"/>
            <w:tcBorders>
              <w:top w:val="nil"/>
              <w:left w:val="nil"/>
              <w:bottom w:val="nil"/>
              <w:right w:val="nil"/>
            </w:tcBorders>
            <w:shd w:val="clear" w:color="auto" w:fill="auto"/>
            <w:noWrap/>
            <w:vAlign w:val="center"/>
          </w:tcPr>
          <w:p w14:paraId="666663F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273 (0.9)</w:t>
            </w:r>
          </w:p>
        </w:tc>
      </w:tr>
      <w:tr w14:paraId="6007B746">
        <w:trPr>
          <w:trHeight w:val="336" w:hRule="atLeast"/>
        </w:trPr>
        <w:tc>
          <w:tcPr>
            <w:tcW w:w="2069" w:type="pct"/>
            <w:tcBorders>
              <w:top w:val="nil"/>
              <w:left w:val="nil"/>
              <w:bottom w:val="nil"/>
              <w:right w:val="nil"/>
            </w:tcBorders>
            <w:shd w:val="clear" w:color="auto" w:fill="auto"/>
            <w:noWrap/>
            <w:vAlign w:val="center"/>
          </w:tcPr>
          <w:p w14:paraId="19556F6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Mixed</w:t>
            </w:r>
          </w:p>
        </w:tc>
        <w:tc>
          <w:tcPr>
            <w:tcW w:w="1472" w:type="pct"/>
            <w:tcBorders>
              <w:top w:val="nil"/>
              <w:left w:val="nil"/>
              <w:bottom w:val="nil"/>
              <w:right w:val="nil"/>
            </w:tcBorders>
            <w:shd w:val="clear" w:color="auto" w:fill="auto"/>
            <w:noWrap/>
            <w:vAlign w:val="center"/>
          </w:tcPr>
          <w:p w14:paraId="7BF500C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123 (1.8)</w:t>
            </w:r>
          </w:p>
        </w:tc>
        <w:tc>
          <w:tcPr>
            <w:tcW w:w="1458" w:type="pct"/>
            <w:tcBorders>
              <w:top w:val="nil"/>
              <w:left w:val="nil"/>
              <w:bottom w:val="nil"/>
              <w:right w:val="nil"/>
            </w:tcBorders>
            <w:shd w:val="clear" w:color="auto" w:fill="auto"/>
            <w:noWrap/>
            <w:vAlign w:val="center"/>
          </w:tcPr>
          <w:p w14:paraId="068D2BB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524 (1.7)</w:t>
            </w:r>
          </w:p>
        </w:tc>
      </w:tr>
      <w:tr w14:paraId="0D1CB22A">
        <w:trPr>
          <w:trHeight w:val="336" w:hRule="atLeast"/>
        </w:trPr>
        <w:tc>
          <w:tcPr>
            <w:tcW w:w="2069" w:type="pct"/>
            <w:tcBorders>
              <w:top w:val="nil"/>
              <w:left w:val="nil"/>
              <w:bottom w:val="nil"/>
              <w:right w:val="nil"/>
            </w:tcBorders>
            <w:shd w:val="clear" w:color="auto" w:fill="auto"/>
            <w:noWrap/>
            <w:vAlign w:val="center"/>
          </w:tcPr>
          <w:p w14:paraId="479BCB8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Unknown</w:t>
            </w:r>
          </w:p>
        </w:tc>
        <w:tc>
          <w:tcPr>
            <w:tcW w:w="1472" w:type="pct"/>
            <w:tcBorders>
              <w:top w:val="nil"/>
              <w:left w:val="nil"/>
              <w:bottom w:val="nil"/>
              <w:right w:val="nil"/>
            </w:tcBorders>
            <w:shd w:val="clear" w:color="auto" w:fill="auto"/>
            <w:noWrap/>
            <w:vAlign w:val="center"/>
          </w:tcPr>
          <w:p w14:paraId="4ABB993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808 (12.2)</w:t>
            </w:r>
          </w:p>
        </w:tc>
        <w:tc>
          <w:tcPr>
            <w:tcW w:w="1458" w:type="pct"/>
            <w:tcBorders>
              <w:top w:val="nil"/>
              <w:left w:val="nil"/>
              <w:bottom w:val="nil"/>
              <w:right w:val="nil"/>
            </w:tcBorders>
            <w:shd w:val="clear" w:color="auto" w:fill="auto"/>
            <w:noWrap/>
            <w:vAlign w:val="center"/>
          </w:tcPr>
          <w:p w14:paraId="00AE1CB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3076 (9.9)</w:t>
            </w:r>
          </w:p>
        </w:tc>
      </w:tr>
      <w:tr w14:paraId="1A39D273">
        <w:trPr>
          <w:trHeight w:val="336" w:hRule="atLeast"/>
        </w:trPr>
        <w:tc>
          <w:tcPr>
            <w:tcW w:w="2069" w:type="pct"/>
            <w:tcBorders>
              <w:top w:val="nil"/>
              <w:left w:val="nil"/>
              <w:bottom w:val="nil"/>
              <w:right w:val="nil"/>
            </w:tcBorders>
            <w:shd w:val="clear" w:color="auto" w:fill="auto"/>
            <w:noWrap/>
            <w:vAlign w:val="center"/>
          </w:tcPr>
          <w:p w14:paraId="340D2FB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Marital Status, No. (%) </w:t>
            </w:r>
          </w:p>
        </w:tc>
        <w:tc>
          <w:tcPr>
            <w:tcW w:w="1472" w:type="pct"/>
            <w:tcBorders>
              <w:top w:val="nil"/>
              <w:left w:val="nil"/>
              <w:bottom w:val="nil"/>
              <w:right w:val="nil"/>
            </w:tcBorders>
            <w:shd w:val="clear" w:color="auto" w:fill="auto"/>
            <w:noWrap/>
            <w:vAlign w:val="center"/>
          </w:tcPr>
          <w:p w14:paraId="600BDEC8">
            <w:pPr>
              <w:jc w:val="left"/>
              <w:rPr>
                <w:rFonts w:hint="default" w:ascii="Times New Roman Regular" w:hAnsi="Times New Roman Regular" w:cs="Times New Roman Regular"/>
                <w:sz w:val="18"/>
                <w:szCs w:val="18"/>
              </w:rPr>
            </w:pPr>
          </w:p>
        </w:tc>
        <w:tc>
          <w:tcPr>
            <w:tcW w:w="1458" w:type="pct"/>
            <w:tcBorders>
              <w:top w:val="nil"/>
              <w:left w:val="nil"/>
              <w:bottom w:val="nil"/>
              <w:right w:val="nil"/>
            </w:tcBorders>
            <w:shd w:val="clear" w:color="auto" w:fill="auto"/>
            <w:noWrap/>
            <w:vAlign w:val="center"/>
          </w:tcPr>
          <w:p w14:paraId="62209B2B">
            <w:pPr>
              <w:jc w:val="left"/>
              <w:rPr>
                <w:rFonts w:hint="default" w:ascii="Times New Roman Regular" w:hAnsi="Times New Roman Regular" w:cs="Times New Roman Regular"/>
                <w:sz w:val="18"/>
                <w:szCs w:val="18"/>
              </w:rPr>
            </w:pPr>
          </w:p>
        </w:tc>
      </w:tr>
      <w:tr w14:paraId="64D129C9">
        <w:trPr>
          <w:trHeight w:val="336" w:hRule="atLeast"/>
        </w:trPr>
        <w:tc>
          <w:tcPr>
            <w:tcW w:w="2069" w:type="pct"/>
            <w:tcBorders>
              <w:top w:val="nil"/>
              <w:left w:val="nil"/>
              <w:bottom w:val="nil"/>
              <w:right w:val="nil"/>
            </w:tcBorders>
            <w:shd w:val="clear" w:color="auto" w:fill="auto"/>
            <w:noWrap/>
            <w:vAlign w:val="center"/>
          </w:tcPr>
          <w:p w14:paraId="2B18AB6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Single</w:t>
            </w:r>
          </w:p>
        </w:tc>
        <w:tc>
          <w:tcPr>
            <w:tcW w:w="1472" w:type="pct"/>
            <w:tcBorders>
              <w:top w:val="nil"/>
              <w:left w:val="nil"/>
              <w:bottom w:val="nil"/>
              <w:right w:val="nil"/>
            </w:tcBorders>
            <w:shd w:val="clear" w:color="auto" w:fill="auto"/>
            <w:noWrap/>
            <w:vAlign w:val="center"/>
          </w:tcPr>
          <w:p w14:paraId="117D5172">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231 (3.5)</w:t>
            </w:r>
          </w:p>
        </w:tc>
        <w:tc>
          <w:tcPr>
            <w:tcW w:w="1458" w:type="pct"/>
            <w:tcBorders>
              <w:top w:val="nil"/>
              <w:left w:val="nil"/>
              <w:bottom w:val="nil"/>
              <w:right w:val="nil"/>
            </w:tcBorders>
            <w:shd w:val="clear" w:color="auto" w:fill="auto"/>
            <w:noWrap/>
            <w:vAlign w:val="center"/>
          </w:tcPr>
          <w:p w14:paraId="4E3F6CC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1151 (3.7)</w:t>
            </w:r>
          </w:p>
        </w:tc>
      </w:tr>
      <w:tr w14:paraId="2411AFC5">
        <w:trPr>
          <w:trHeight w:val="336" w:hRule="atLeast"/>
        </w:trPr>
        <w:tc>
          <w:tcPr>
            <w:tcW w:w="2069" w:type="pct"/>
            <w:tcBorders>
              <w:top w:val="nil"/>
              <w:left w:val="nil"/>
              <w:bottom w:val="nil"/>
              <w:right w:val="nil"/>
            </w:tcBorders>
            <w:shd w:val="clear" w:color="auto" w:fill="auto"/>
            <w:noWrap/>
            <w:vAlign w:val="center"/>
          </w:tcPr>
          <w:p w14:paraId="5F2B91C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Married</w:t>
            </w:r>
          </w:p>
        </w:tc>
        <w:tc>
          <w:tcPr>
            <w:tcW w:w="1472" w:type="pct"/>
            <w:tcBorders>
              <w:top w:val="nil"/>
              <w:left w:val="nil"/>
              <w:bottom w:val="nil"/>
              <w:right w:val="nil"/>
            </w:tcBorders>
            <w:shd w:val="clear" w:color="auto" w:fill="auto"/>
            <w:noWrap/>
            <w:vAlign w:val="center"/>
          </w:tcPr>
          <w:p w14:paraId="3997DB87">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442 (6.6)</w:t>
            </w:r>
          </w:p>
        </w:tc>
        <w:tc>
          <w:tcPr>
            <w:tcW w:w="1458" w:type="pct"/>
            <w:tcBorders>
              <w:top w:val="nil"/>
              <w:left w:val="nil"/>
              <w:bottom w:val="nil"/>
              <w:right w:val="nil"/>
            </w:tcBorders>
            <w:shd w:val="clear" w:color="auto" w:fill="auto"/>
            <w:noWrap/>
            <w:vAlign w:val="center"/>
          </w:tcPr>
          <w:p w14:paraId="6208F64F">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1979 (6.3)</w:t>
            </w:r>
          </w:p>
        </w:tc>
      </w:tr>
      <w:tr w14:paraId="16975AFD">
        <w:trPr>
          <w:trHeight w:val="336" w:hRule="atLeast"/>
        </w:trPr>
        <w:tc>
          <w:tcPr>
            <w:tcW w:w="2069" w:type="pct"/>
            <w:tcBorders>
              <w:top w:val="nil"/>
              <w:left w:val="nil"/>
              <w:bottom w:val="nil"/>
              <w:right w:val="nil"/>
            </w:tcBorders>
            <w:shd w:val="clear" w:color="auto" w:fill="auto"/>
            <w:noWrap/>
            <w:vAlign w:val="center"/>
          </w:tcPr>
          <w:p w14:paraId="04AEEF8C">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Widowed</w:t>
            </w:r>
          </w:p>
        </w:tc>
        <w:tc>
          <w:tcPr>
            <w:tcW w:w="1472" w:type="pct"/>
            <w:tcBorders>
              <w:top w:val="nil"/>
              <w:left w:val="nil"/>
              <w:bottom w:val="nil"/>
              <w:right w:val="nil"/>
            </w:tcBorders>
            <w:shd w:val="clear" w:color="auto" w:fill="auto"/>
            <w:noWrap/>
            <w:vAlign w:val="center"/>
          </w:tcPr>
          <w:p w14:paraId="34837839">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48 (0.7)</w:t>
            </w:r>
          </w:p>
        </w:tc>
        <w:tc>
          <w:tcPr>
            <w:tcW w:w="1458" w:type="pct"/>
            <w:tcBorders>
              <w:top w:val="nil"/>
              <w:left w:val="nil"/>
              <w:bottom w:val="nil"/>
              <w:right w:val="nil"/>
            </w:tcBorders>
            <w:shd w:val="clear" w:color="auto" w:fill="auto"/>
            <w:noWrap/>
            <w:vAlign w:val="center"/>
          </w:tcPr>
          <w:p w14:paraId="501EBC38">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223 (0.7)</w:t>
            </w:r>
          </w:p>
        </w:tc>
      </w:tr>
      <w:tr w14:paraId="2B22AE7B">
        <w:trPr>
          <w:trHeight w:val="336" w:hRule="atLeast"/>
        </w:trPr>
        <w:tc>
          <w:tcPr>
            <w:tcW w:w="2069" w:type="pct"/>
            <w:tcBorders>
              <w:top w:val="nil"/>
              <w:left w:val="nil"/>
              <w:bottom w:val="nil"/>
              <w:right w:val="nil"/>
            </w:tcBorders>
            <w:shd w:val="clear" w:color="auto" w:fill="auto"/>
            <w:noWrap/>
            <w:vAlign w:val="center"/>
          </w:tcPr>
          <w:p w14:paraId="128C06AA">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Divorced</w:t>
            </w:r>
          </w:p>
        </w:tc>
        <w:tc>
          <w:tcPr>
            <w:tcW w:w="1472" w:type="pct"/>
            <w:tcBorders>
              <w:top w:val="nil"/>
              <w:left w:val="nil"/>
              <w:bottom w:val="nil"/>
              <w:right w:val="nil"/>
            </w:tcBorders>
            <w:shd w:val="clear" w:color="auto" w:fill="auto"/>
            <w:noWrap/>
            <w:vAlign w:val="center"/>
          </w:tcPr>
          <w:p w14:paraId="36F16B7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53 (0.8)</w:t>
            </w:r>
          </w:p>
        </w:tc>
        <w:tc>
          <w:tcPr>
            <w:tcW w:w="1458" w:type="pct"/>
            <w:tcBorders>
              <w:top w:val="nil"/>
              <w:left w:val="nil"/>
              <w:bottom w:val="nil"/>
              <w:right w:val="nil"/>
            </w:tcBorders>
            <w:shd w:val="clear" w:color="auto" w:fill="auto"/>
            <w:noWrap/>
            <w:vAlign w:val="center"/>
          </w:tcPr>
          <w:p w14:paraId="708E97EF">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157 (0.5)</w:t>
            </w:r>
          </w:p>
        </w:tc>
      </w:tr>
      <w:tr w14:paraId="61CE63C1">
        <w:trPr>
          <w:trHeight w:val="336" w:hRule="atLeast"/>
        </w:trPr>
        <w:tc>
          <w:tcPr>
            <w:tcW w:w="2069" w:type="pct"/>
            <w:tcBorders>
              <w:top w:val="nil"/>
              <w:left w:val="nil"/>
              <w:bottom w:val="nil"/>
              <w:right w:val="nil"/>
            </w:tcBorders>
            <w:shd w:val="clear" w:color="auto" w:fill="auto"/>
            <w:noWrap/>
            <w:vAlign w:val="center"/>
          </w:tcPr>
          <w:p w14:paraId="1D7E410E">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Separated</w:t>
            </w:r>
          </w:p>
        </w:tc>
        <w:tc>
          <w:tcPr>
            <w:tcW w:w="1472" w:type="pct"/>
            <w:tcBorders>
              <w:top w:val="nil"/>
              <w:left w:val="nil"/>
              <w:bottom w:val="nil"/>
              <w:right w:val="nil"/>
            </w:tcBorders>
            <w:shd w:val="clear" w:color="auto" w:fill="auto"/>
            <w:noWrap/>
            <w:vAlign w:val="center"/>
          </w:tcPr>
          <w:p w14:paraId="2C7E5528">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25 (0.4)</w:t>
            </w:r>
          </w:p>
        </w:tc>
        <w:tc>
          <w:tcPr>
            <w:tcW w:w="1458" w:type="pct"/>
            <w:tcBorders>
              <w:top w:val="nil"/>
              <w:left w:val="nil"/>
              <w:bottom w:val="nil"/>
              <w:right w:val="nil"/>
            </w:tcBorders>
            <w:shd w:val="clear" w:color="auto" w:fill="auto"/>
            <w:noWrap/>
            <w:vAlign w:val="center"/>
          </w:tcPr>
          <w:p w14:paraId="0D38C800">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101 (0.3)</w:t>
            </w:r>
          </w:p>
        </w:tc>
      </w:tr>
      <w:tr w14:paraId="0FFA6AE6">
        <w:trPr>
          <w:trHeight w:val="336" w:hRule="atLeast"/>
        </w:trPr>
        <w:tc>
          <w:tcPr>
            <w:tcW w:w="2069" w:type="pct"/>
            <w:tcBorders>
              <w:top w:val="nil"/>
              <w:left w:val="nil"/>
              <w:bottom w:val="nil"/>
              <w:right w:val="nil"/>
            </w:tcBorders>
            <w:shd w:val="clear" w:color="auto" w:fill="auto"/>
            <w:noWrap/>
            <w:vAlign w:val="center"/>
          </w:tcPr>
          <w:p w14:paraId="7BE5E8A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Unknown</w:t>
            </w:r>
          </w:p>
        </w:tc>
        <w:tc>
          <w:tcPr>
            <w:tcW w:w="1472" w:type="pct"/>
            <w:tcBorders>
              <w:top w:val="nil"/>
              <w:left w:val="nil"/>
              <w:bottom w:val="nil"/>
              <w:right w:val="nil"/>
            </w:tcBorders>
            <w:shd w:val="clear" w:color="auto" w:fill="auto"/>
            <w:noWrap/>
            <w:vAlign w:val="center"/>
          </w:tcPr>
          <w:p w14:paraId="3C519690">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5850 (88.0)</w:t>
            </w:r>
          </w:p>
        </w:tc>
        <w:tc>
          <w:tcPr>
            <w:tcW w:w="1458" w:type="pct"/>
            <w:tcBorders>
              <w:top w:val="nil"/>
              <w:left w:val="nil"/>
              <w:bottom w:val="nil"/>
              <w:right w:val="nil"/>
            </w:tcBorders>
            <w:shd w:val="clear" w:color="auto" w:fill="auto"/>
            <w:noWrap/>
            <w:vAlign w:val="center"/>
          </w:tcPr>
          <w:p w14:paraId="7BA05F8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27566 (88.4)</w:t>
            </w:r>
          </w:p>
        </w:tc>
      </w:tr>
      <w:tr w14:paraId="761E210F">
        <w:trPr>
          <w:trHeight w:val="336" w:hRule="atLeast"/>
        </w:trPr>
        <w:tc>
          <w:tcPr>
            <w:tcW w:w="2069" w:type="pct"/>
            <w:tcBorders>
              <w:top w:val="nil"/>
              <w:left w:val="nil"/>
              <w:bottom w:val="nil"/>
              <w:right w:val="nil"/>
            </w:tcBorders>
            <w:shd w:val="clear" w:color="auto" w:fill="auto"/>
            <w:noWrap/>
            <w:vAlign w:val="center"/>
          </w:tcPr>
          <w:p w14:paraId="7A6D63AE">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Index of Multiple Deprivation quintile, No. (%)</w:t>
            </w:r>
          </w:p>
        </w:tc>
        <w:tc>
          <w:tcPr>
            <w:tcW w:w="1472" w:type="pct"/>
            <w:tcBorders>
              <w:top w:val="nil"/>
              <w:left w:val="nil"/>
              <w:bottom w:val="nil"/>
              <w:right w:val="nil"/>
            </w:tcBorders>
            <w:shd w:val="clear" w:color="auto" w:fill="auto"/>
            <w:noWrap/>
            <w:vAlign w:val="center"/>
          </w:tcPr>
          <w:p w14:paraId="72844A5B">
            <w:pPr>
              <w:jc w:val="left"/>
              <w:rPr>
                <w:rFonts w:hint="default" w:ascii="Times New Roman Regular" w:hAnsi="Times New Roman Regular" w:cs="Times New Roman Regular"/>
                <w:sz w:val="18"/>
                <w:szCs w:val="18"/>
              </w:rPr>
            </w:pPr>
          </w:p>
        </w:tc>
        <w:tc>
          <w:tcPr>
            <w:tcW w:w="1458" w:type="pct"/>
            <w:tcBorders>
              <w:top w:val="nil"/>
              <w:left w:val="nil"/>
              <w:bottom w:val="nil"/>
              <w:right w:val="nil"/>
            </w:tcBorders>
            <w:shd w:val="clear" w:color="auto" w:fill="auto"/>
            <w:noWrap/>
            <w:vAlign w:val="center"/>
          </w:tcPr>
          <w:p w14:paraId="489D55D1">
            <w:pPr>
              <w:jc w:val="left"/>
              <w:rPr>
                <w:rFonts w:hint="default" w:ascii="Times New Roman Regular" w:hAnsi="Times New Roman Regular" w:cs="Times New Roman Regular"/>
                <w:sz w:val="18"/>
                <w:szCs w:val="18"/>
              </w:rPr>
            </w:pPr>
          </w:p>
        </w:tc>
      </w:tr>
      <w:tr w14:paraId="61D4EA0B">
        <w:trPr>
          <w:trHeight w:val="336" w:hRule="atLeast"/>
        </w:trPr>
        <w:tc>
          <w:tcPr>
            <w:tcW w:w="2069" w:type="pct"/>
            <w:tcBorders>
              <w:top w:val="nil"/>
              <w:left w:val="nil"/>
              <w:bottom w:val="nil"/>
              <w:right w:val="nil"/>
            </w:tcBorders>
            <w:shd w:val="clear" w:color="auto" w:fill="auto"/>
            <w:noWrap/>
            <w:vAlign w:val="center"/>
          </w:tcPr>
          <w:p w14:paraId="36DEE7CC">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Quintile 1 (most affluent)</w:t>
            </w:r>
          </w:p>
        </w:tc>
        <w:tc>
          <w:tcPr>
            <w:tcW w:w="1472" w:type="pct"/>
            <w:tcBorders>
              <w:top w:val="nil"/>
              <w:left w:val="nil"/>
              <w:bottom w:val="nil"/>
              <w:right w:val="nil"/>
            </w:tcBorders>
            <w:shd w:val="clear" w:color="auto" w:fill="auto"/>
            <w:noWrap/>
            <w:vAlign w:val="center"/>
          </w:tcPr>
          <w:p w14:paraId="4E315F9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1014 (15.3)</w:t>
            </w:r>
          </w:p>
        </w:tc>
        <w:tc>
          <w:tcPr>
            <w:tcW w:w="1458" w:type="pct"/>
            <w:tcBorders>
              <w:top w:val="nil"/>
              <w:left w:val="nil"/>
              <w:bottom w:val="nil"/>
              <w:right w:val="nil"/>
            </w:tcBorders>
            <w:shd w:val="clear" w:color="auto" w:fill="auto"/>
            <w:noWrap/>
            <w:vAlign w:val="center"/>
          </w:tcPr>
          <w:p w14:paraId="2DAD83C0">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4175 (13.4)</w:t>
            </w:r>
          </w:p>
        </w:tc>
      </w:tr>
      <w:tr w14:paraId="45DA8966">
        <w:trPr>
          <w:trHeight w:val="336" w:hRule="atLeast"/>
        </w:trPr>
        <w:tc>
          <w:tcPr>
            <w:tcW w:w="2069" w:type="pct"/>
            <w:tcBorders>
              <w:top w:val="nil"/>
              <w:left w:val="nil"/>
              <w:bottom w:val="nil"/>
              <w:right w:val="nil"/>
            </w:tcBorders>
            <w:shd w:val="clear" w:color="auto" w:fill="auto"/>
            <w:noWrap/>
            <w:vAlign w:val="center"/>
          </w:tcPr>
          <w:p w14:paraId="14A392C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Quintile 2</w:t>
            </w:r>
          </w:p>
        </w:tc>
        <w:tc>
          <w:tcPr>
            <w:tcW w:w="1472" w:type="pct"/>
            <w:tcBorders>
              <w:top w:val="nil"/>
              <w:left w:val="nil"/>
              <w:bottom w:val="nil"/>
              <w:right w:val="nil"/>
            </w:tcBorders>
            <w:shd w:val="clear" w:color="auto" w:fill="auto"/>
            <w:noWrap/>
            <w:vAlign w:val="center"/>
          </w:tcPr>
          <w:p w14:paraId="47296C6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1218 (18.3)</w:t>
            </w:r>
          </w:p>
        </w:tc>
        <w:tc>
          <w:tcPr>
            <w:tcW w:w="1458" w:type="pct"/>
            <w:tcBorders>
              <w:top w:val="nil"/>
              <w:left w:val="nil"/>
              <w:bottom w:val="nil"/>
              <w:right w:val="nil"/>
            </w:tcBorders>
            <w:shd w:val="clear" w:color="auto" w:fill="auto"/>
            <w:noWrap/>
            <w:vAlign w:val="center"/>
          </w:tcPr>
          <w:p w14:paraId="72895780">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4804 (15.4)</w:t>
            </w:r>
          </w:p>
        </w:tc>
      </w:tr>
      <w:tr w14:paraId="11C6E401">
        <w:trPr>
          <w:trHeight w:val="336" w:hRule="atLeast"/>
        </w:trPr>
        <w:tc>
          <w:tcPr>
            <w:tcW w:w="2069" w:type="pct"/>
            <w:tcBorders>
              <w:top w:val="nil"/>
              <w:left w:val="nil"/>
              <w:bottom w:val="nil"/>
              <w:right w:val="nil"/>
            </w:tcBorders>
            <w:shd w:val="clear" w:color="auto" w:fill="auto"/>
            <w:noWrap/>
            <w:vAlign w:val="center"/>
          </w:tcPr>
          <w:p w14:paraId="5B295ED2">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Quintile 3</w:t>
            </w:r>
          </w:p>
        </w:tc>
        <w:tc>
          <w:tcPr>
            <w:tcW w:w="1472" w:type="pct"/>
            <w:tcBorders>
              <w:top w:val="nil"/>
              <w:left w:val="nil"/>
              <w:bottom w:val="nil"/>
              <w:right w:val="nil"/>
            </w:tcBorders>
            <w:shd w:val="clear" w:color="auto" w:fill="auto"/>
            <w:noWrap/>
            <w:vAlign w:val="center"/>
          </w:tcPr>
          <w:p w14:paraId="468EB92E">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1275 (19.2)</w:t>
            </w:r>
          </w:p>
        </w:tc>
        <w:tc>
          <w:tcPr>
            <w:tcW w:w="1458" w:type="pct"/>
            <w:tcBorders>
              <w:top w:val="nil"/>
              <w:left w:val="nil"/>
              <w:bottom w:val="nil"/>
              <w:right w:val="nil"/>
            </w:tcBorders>
            <w:shd w:val="clear" w:color="auto" w:fill="auto"/>
            <w:noWrap/>
            <w:vAlign w:val="center"/>
          </w:tcPr>
          <w:p w14:paraId="254D136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5545 (17.8)</w:t>
            </w:r>
          </w:p>
        </w:tc>
      </w:tr>
      <w:tr w14:paraId="57C4D964">
        <w:trPr>
          <w:trHeight w:val="336" w:hRule="atLeast"/>
        </w:trPr>
        <w:tc>
          <w:tcPr>
            <w:tcW w:w="2069" w:type="pct"/>
            <w:tcBorders>
              <w:top w:val="nil"/>
              <w:left w:val="nil"/>
              <w:bottom w:val="nil"/>
              <w:right w:val="nil"/>
            </w:tcBorders>
            <w:shd w:val="clear" w:color="auto" w:fill="auto"/>
            <w:noWrap/>
            <w:vAlign w:val="center"/>
          </w:tcPr>
          <w:p w14:paraId="49B356D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Quintile 4</w:t>
            </w:r>
          </w:p>
        </w:tc>
        <w:tc>
          <w:tcPr>
            <w:tcW w:w="1472" w:type="pct"/>
            <w:tcBorders>
              <w:top w:val="nil"/>
              <w:left w:val="nil"/>
              <w:bottom w:val="nil"/>
              <w:right w:val="nil"/>
            </w:tcBorders>
            <w:shd w:val="clear" w:color="auto" w:fill="auto"/>
            <w:noWrap/>
            <w:vAlign w:val="center"/>
          </w:tcPr>
          <w:p w14:paraId="0A43CD5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1574 (23.7)</w:t>
            </w:r>
          </w:p>
        </w:tc>
        <w:tc>
          <w:tcPr>
            <w:tcW w:w="1458" w:type="pct"/>
            <w:tcBorders>
              <w:top w:val="nil"/>
              <w:left w:val="nil"/>
              <w:bottom w:val="nil"/>
              <w:right w:val="nil"/>
            </w:tcBorders>
            <w:shd w:val="clear" w:color="auto" w:fill="auto"/>
            <w:noWrap/>
            <w:vAlign w:val="center"/>
          </w:tcPr>
          <w:p w14:paraId="0601815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7415 (23.8)</w:t>
            </w:r>
          </w:p>
        </w:tc>
      </w:tr>
      <w:tr w14:paraId="2A5C7BD8">
        <w:trPr>
          <w:trHeight w:val="336" w:hRule="atLeast"/>
        </w:trPr>
        <w:tc>
          <w:tcPr>
            <w:tcW w:w="2069" w:type="pct"/>
            <w:tcBorders>
              <w:top w:val="nil"/>
              <w:left w:val="nil"/>
              <w:bottom w:val="nil"/>
              <w:right w:val="nil"/>
            </w:tcBorders>
            <w:shd w:val="clear" w:color="auto" w:fill="auto"/>
            <w:noWrap/>
            <w:vAlign w:val="center"/>
          </w:tcPr>
          <w:p w14:paraId="1E5F7992">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Quintile 5 (most deprived)</w:t>
            </w:r>
          </w:p>
        </w:tc>
        <w:tc>
          <w:tcPr>
            <w:tcW w:w="1472" w:type="pct"/>
            <w:tcBorders>
              <w:top w:val="nil"/>
              <w:left w:val="nil"/>
              <w:bottom w:val="nil"/>
              <w:right w:val="nil"/>
            </w:tcBorders>
            <w:shd w:val="clear" w:color="auto" w:fill="auto"/>
            <w:noWrap/>
            <w:vAlign w:val="center"/>
          </w:tcPr>
          <w:p w14:paraId="3104425A">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1563 (23.5)</w:t>
            </w:r>
          </w:p>
        </w:tc>
        <w:tc>
          <w:tcPr>
            <w:tcW w:w="1458" w:type="pct"/>
            <w:tcBorders>
              <w:top w:val="nil"/>
              <w:left w:val="nil"/>
              <w:bottom w:val="nil"/>
              <w:right w:val="nil"/>
            </w:tcBorders>
            <w:shd w:val="clear" w:color="auto" w:fill="auto"/>
            <w:noWrap/>
            <w:vAlign w:val="center"/>
          </w:tcPr>
          <w:p w14:paraId="2D4BE10C">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9211 (29.5)</w:t>
            </w:r>
          </w:p>
        </w:tc>
      </w:tr>
      <w:tr w14:paraId="3DA570E7">
        <w:trPr>
          <w:trHeight w:val="336" w:hRule="atLeast"/>
        </w:trPr>
        <w:tc>
          <w:tcPr>
            <w:tcW w:w="2069" w:type="pct"/>
            <w:tcBorders>
              <w:top w:val="nil"/>
              <w:left w:val="nil"/>
              <w:bottom w:val="nil"/>
              <w:right w:val="nil"/>
            </w:tcBorders>
            <w:shd w:val="clear" w:color="auto" w:fill="auto"/>
            <w:noWrap/>
            <w:vAlign w:val="center"/>
          </w:tcPr>
          <w:p w14:paraId="225407DA">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Unknown</w:t>
            </w:r>
          </w:p>
        </w:tc>
        <w:tc>
          <w:tcPr>
            <w:tcW w:w="1472" w:type="pct"/>
            <w:tcBorders>
              <w:top w:val="nil"/>
              <w:left w:val="nil"/>
              <w:bottom w:val="nil"/>
              <w:right w:val="nil"/>
            </w:tcBorders>
            <w:shd w:val="clear" w:color="auto" w:fill="auto"/>
            <w:noWrap/>
            <w:vAlign w:val="center"/>
          </w:tcPr>
          <w:p w14:paraId="36D94E3C">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5 (0.1)</w:t>
            </w:r>
          </w:p>
        </w:tc>
        <w:tc>
          <w:tcPr>
            <w:tcW w:w="1458" w:type="pct"/>
            <w:tcBorders>
              <w:top w:val="nil"/>
              <w:left w:val="nil"/>
              <w:bottom w:val="nil"/>
              <w:right w:val="nil"/>
            </w:tcBorders>
            <w:shd w:val="clear" w:color="auto" w:fill="auto"/>
            <w:noWrap/>
            <w:vAlign w:val="center"/>
          </w:tcPr>
          <w:p w14:paraId="461026FB">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27 (0.1)</w:t>
            </w:r>
          </w:p>
        </w:tc>
      </w:tr>
      <w:tr w14:paraId="70A3AC8E">
        <w:trPr>
          <w:trHeight w:val="336" w:hRule="atLeast"/>
        </w:trPr>
        <w:tc>
          <w:tcPr>
            <w:tcW w:w="2069" w:type="pct"/>
            <w:tcBorders>
              <w:top w:val="nil"/>
              <w:left w:val="nil"/>
              <w:bottom w:val="nil"/>
              <w:right w:val="nil"/>
            </w:tcBorders>
            <w:shd w:val="clear" w:color="auto" w:fill="auto"/>
            <w:noWrap/>
            <w:vAlign w:val="center"/>
          </w:tcPr>
          <w:p w14:paraId="6020056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Smoking status, No. (%) </w:t>
            </w:r>
          </w:p>
        </w:tc>
        <w:tc>
          <w:tcPr>
            <w:tcW w:w="1472" w:type="pct"/>
            <w:tcBorders>
              <w:top w:val="nil"/>
              <w:left w:val="nil"/>
              <w:bottom w:val="nil"/>
              <w:right w:val="nil"/>
            </w:tcBorders>
            <w:shd w:val="clear" w:color="auto" w:fill="auto"/>
            <w:noWrap/>
            <w:vAlign w:val="center"/>
          </w:tcPr>
          <w:p w14:paraId="23A5E355">
            <w:pPr>
              <w:jc w:val="left"/>
              <w:rPr>
                <w:rFonts w:hint="default" w:ascii="Times New Roman Regular" w:hAnsi="Times New Roman Regular" w:cs="Times New Roman Regular"/>
                <w:sz w:val="18"/>
                <w:szCs w:val="18"/>
              </w:rPr>
            </w:pPr>
          </w:p>
        </w:tc>
        <w:tc>
          <w:tcPr>
            <w:tcW w:w="1458" w:type="pct"/>
            <w:tcBorders>
              <w:top w:val="nil"/>
              <w:left w:val="nil"/>
              <w:bottom w:val="nil"/>
              <w:right w:val="nil"/>
            </w:tcBorders>
            <w:shd w:val="clear" w:color="auto" w:fill="auto"/>
            <w:noWrap/>
            <w:vAlign w:val="center"/>
          </w:tcPr>
          <w:p w14:paraId="03EE4231">
            <w:pPr>
              <w:jc w:val="left"/>
              <w:rPr>
                <w:rFonts w:hint="default" w:ascii="Times New Roman Regular" w:hAnsi="Times New Roman Regular" w:cs="Times New Roman Regular"/>
                <w:sz w:val="18"/>
                <w:szCs w:val="18"/>
              </w:rPr>
            </w:pPr>
          </w:p>
        </w:tc>
      </w:tr>
      <w:tr w14:paraId="5E8BD799">
        <w:trPr>
          <w:trHeight w:val="336" w:hRule="atLeast"/>
        </w:trPr>
        <w:tc>
          <w:tcPr>
            <w:tcW w:w="2069" w:type="pct"/>
            <w:tcBorders>
              <w:top w:val="nil"/>
              <w:left w:val="nil"/>
              <w:bottom w:val="nil"/>
              <w:right w:val="nil"/>
            </w:tcBorders>
            <w:shd w:val="clear" w:color="auto" w:fill="auto"/>
            <w:noWrap/>
            <w:vAlign w:val="center"/>
          </w:tcPr>
          <w:p w14:paraId="5D2126B7">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Non-smoker</w:t>
            </w:r>
          </w:p>
        </w:tc>
        <w:tc>
          <w:tcPr>
            <w:tcW w:w="1472" w:type="pct"/>
            <w:tcBorders>
              <w:top w:val="nil"/>
              <w:left w:val="nil"/>
              <w:bottom w:val="nil"/>
              <w:right w:val="nil"/>
            </w:tcBorders>
            <w:shd w:val="clear" w:color="auto" w:fill="auto"/>
            <w:noWrap/>
            <w:vAlign w:val="center"/>
          </w:tcPr>
          <w:p w14:paraId="143D9308">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2530 (38.1)</w:t>
            </w:r>
          </w:p>
        </w:tc>
        <w:tc>
          <w:tcPr>
            <w:tcW w:w="1458" w:type="pct"/>
            <w:tcBorders>
              <w:top w:val="nil"/>
              <w:left w:val="nil"/>
              <w:bottom w:val="nil"/>
              <w:right w:val="nil"/>
            </w:tcBorders>
            <w:shd w:val="clear" w:color="auto" w:fill="auto"/>
            <w:noWrap/>
            <w:vAlign w:val="center"/>
          </w:tcPr>
          <w:p w14:paraId="7D7C301D">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12420 (39.8)</w:t>
            </w:r>
          </w:p>
        </w:tc>
      </w:tr>
      <w:tr w14:paraId="7E3D70F0">
        <w:trPr>
          <w:trHeight w:val="336" w:hRule="atLeast"/>
        </w:trPr>
        <w:tc>
          <w:tcPr>
            <w:tcW w:w="2069" w:type="pct"/>
            <w:tcBorders>
              <w:top w:val="nil"/>
              <w:left w:val="nil"/>
              <w:bottom w:val="nil"/>
              <w:right w:val="nil"/>
            </w:tcBorders>
            <w:shd w:val="clear" w:color="auto" w:fill="auto"/>
            <w:noWrap/>
            <w:vAlign w:val="center"/>
          </w:tcPr>
          <w:p w14:paraId="1A746FA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Ex-smoker</w:t>
            </w:r>
          </w:p>
        </w:tc>
        <w:tc>
          <w:tcPr>
            <w:tcW w:w="1472" w:type="pct"/>
            <w:tcBorders>
              <w:top w:val="nil"/>
              <w:left w:val="nil"/>
              <w:bottom w:val="nil"/>
              <w:right w:val="nil"/>
            </w:tcBorders>
            <w:shd w:val="clear" w:color="auto" w:fill="auto"/>
            <w:noWrap/>
            <w:vAlign w:val="center"/>
          </w:tcPr>
          <w:p w14:paraId="638AB8C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1160 (17.4)</w:t>
            </w:r>
          </w:p>
        </w:tc>
        <w:tc>
          <w:tcPr>
            <w:tcW w:w="1458" w:type="pct"/>
            <w:tcBorders>
              <w:top w:val="nil"/>
              <w:left w:val="nil"/>
              <w:bottom w:val="nil"/>
              <w:right w:val="nil"/>
            </w:tcBorders>
            <w:shd w:val="clear" w:color="auto" w:fill="auto"/>
            <w:noWrap/>
            <w:vAlign w:val="center"/>
          </w:tcPr>
          <w:p w14:paraId="0D16DC7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4255 (13.6)</w:t>
            </w:r>
          </w:p>
        </w:tc>
      </w:tr>
      <w:tr w14:paraId="64F43210">
        <w:trPr>
          <w:trHeight w:val="336" w:hRule="atLeast"/>
        </w:trPr>
        <w:tc>
          <w:tcPr>
            <w:tcW w:w="2069" w:type="pct"/>
            <w:tcBorders>
              <w:top w:val="nil"/>
              <w:left w:val="nil"/>
              <w:bottom w:val="nil"/>
              <w:right w:val="nil"/>
            </w:tcBorders>
            <w:shd w:val="clear" w:color="auto" w:fill="auto"/>
            <w:noWrap/>
            <w:vAlign w:val="center"/>
          </w:tcPr>
          <w:p w14:paraId="42D2803F">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Current-smoker</w:t>
            </w:r>
          </w:p>
        </w:tc>
        <w:tc>
          <w:tcPr>
            <w:tcW w:w="1472" w:type="pct"/>
            <w:tcBorders>
              <w:top w:val="nil"/>
              <w:left w:val="nil"/>
              <w:bottom w:val="nil"/>
              <w:right w:val="nil"/>
            </w:tcBorders>
            <w:shd w:val="clear" w:color="auto" w:fill="auto"/>
            <w:noWrap/>
            <w:vAlign w:val="center"/>
          </w:tcPr>
          <w:p w14:paraId="5FEDD22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1443 (21.7)</w:t>
            </w:r>
          </w:p>
        </w:tc>
        <w:tc>
          <w:tcPr>
            <w:tcW w:w="1458" w:type="pct"/>
            <w:tcBorders>
              <w:top w:val="nil"/>
              <w:left w:val="nil"/>
              <w:bottom w:val="nil"/>
              <w:right w:val="nil"/>
            </w:tcBorders>
            <w:shd w:val="clear" w:color="auto" w:fill="auto"/>
            <w:noWrap/>
            <w:vAlign w:val="center"/>
          </w:tcPr>
          <w:p w14:paraId="13EAC9C9">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6629 (21.3)</w:t>
            </w:r>
          </w:p>
        </w:tc>
      </w:tr>
      <w:tr w14:paraId="4CABAD9E">
        <w:trPr>
          <w:trHeight w:val="336" w:hRule="atLeast"/>
        </w:trPr>
        <w:tc>
          <w:tcPr>
            <w:tcW w:w="2069" w:type="pct"/>
            <w:tcBorders>
              <w:top w:val="nil"/>
              <w:left w:val="nil"/>
              <w:bottom w:val="nil"/>
              <w:right w:val="nil"/>
            </w:tcBorders>
            <w:shd w:val="clear" w:color="auto" w:fill="auto"/>
            <w:noWrap/>
            <w:vAlign w:val="center"/>
          </w:tcPr>
          <w:p w14:paraId="54FEDC0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Unknown</w:t>
            </w:r>
          </w:p>
        </w:tc>
        <w:tc>
          <w:tcPr>
            <w:tcW w:w="1472" w:type="pct"/>
            <w:tcBorders>
              <w:top w:val="nil"/>
              <w:left w:val="nil"/>
              <w:bottom w:val="nil"/>
              <w:right w:val="nil"/>
            </w:tcBorders>
            <w:shd w:val="clear" w:color="auto" w:fill="auto"/>
            <w:noWrap/>
            <w:vAlign w:val="center"/>
          </w:tcPr>
          <w:p w14:paraId="35C67570">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1516 (22.8)</w:t>
            </w:r>
          </w:p>
        </w:tc>
        <w:tc>
          <w:tcPr>
            <w:tcW w:w="1458" w:type="pct"/>
            <w:tcBorders>
              <w:top w:val="nil"/>
              <w:left w:val="nil"/>
              <w:bottom w:val="nil"/>
              <w:right w:val="nil"/>
            </w:tcBorders>
            <w:shd w:val="clear" w:color="auto" w:fill="auto"/>
            <w:noWrap/>
            <w:vAlign w:val="center"/>
          </w:tcPr>
          <w:p w14:paraId="6B44E229">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7873 (25.3)</w:t>
            </w:r>
          </w:p>
        </w:tc>
      </w:tr>
      <w:tr w14:paraId="393A9F84">
        <w:trPr>
          <w:trHeight w:val="336" w:hRule="atLeast"/>
        </w:trPr>
        <w:tc>
          <w:tcPr>
            <w:tcW w:w="2069" w:type="pct"/>
            <w:tcBorders>
              <w:top w:val="nil"/>
              <w:left w:val="nil"/>
              <w:bottom w:val="nil"/>
              <w:right w:val="nil"/>
            </w:tcBorders>
            <w:shd w:val="clear" w:color="auto" w:fill="auto"/>
            <w:noWrap/>
            <w:vAlign w:val="center"/>
          </w:tcPr>
          <w:p w14:paraId="1B54B71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Alcohol use, No. (%) </w:t>
            </w:r>
          </w:p>
        </w:tc>
        <w:tc>
          <w:tcPr>
            <w:tcW w:w="1472" w:type="pct"/>
            <w:tcBorders>
              <w:top w:val="nil"/>
              <w:left w:val="nil"/>
              <w:bottom w:val="nil"/>
              <w:right w:val="nil"/>
            </w:tcBorders>
            <w:shd w:val="clear" w:color="auto" w:fill="auto"/>
            <w:noWrap/>
            <w:vAlign w:val="center"/>
          </w:tcPr>
          <w:p w14:paraId="78D6FB19">
            <w:pPr>
              <w:jc w:val="left"/>
              <w:rPr>
                <w:rFonts w:hint="default" w:ascii="Times New Roman Regular" w:hAnsi="Times New Roman Regular" w:cs="Times New Roman Regular"/>
                <w:sz w:val="18"/>
                <w:szCs w:val="18"/>
              </w:rPr>
            </w:pPr>
          </w:p>
        </w:tc>
        <w:tc>
          <w:tcPr>
            <w:tcW w:w="1458" w:type="pct"/>
            <w:tcBorders>
              <w:top w:val="nil"/>
              <w:left w:val="nil"/>
              <w:bottom w:val="nil"/>
              <w:right w:val="nil"/>
            </w:tcBorders>
            <w:shd w:val="clear" w:color="auto" w:fill="auto"/>
            <w:noWrap/>
            <w:vAlign w:val="center"/>
          </w:tcPr>
          <w:p w14:paraId="1F387472">
            <w:pPr>
              <w:jc w:val="left"/>
              <w:rPr>
                <w:rFonts w:hint="default" w:ascii="Times New Roman Regular" w:hAnsi="Times New Roman Regular" w:cs="Times New Roman Regular"/>
                <w:sz w:val="18"/>
                <w:szCs w:val="18"/>
              </w:rPr>
            </w:pPr>
          </w:p>
        </w:tc>
      </w:tr>
      <w:tr w14:paraId="471DC80E">
        <w:trPr>
          <w:trHeight w:val="336" w:hRule="atLeast"/>
        </w:trPr>
        <w:tc>
          <w:tcPr>
            <w:tcW w:w="2069" w:type="pct"/>
            <w:tcBorders>
              <w:top w:val="nil"/>
              <w:left w:val="nil"/>
              <w:bottom w:val="nil"/>
              <w:right w:val="nil"/>
            </w:tcBorders>
            <w:shd w:val="clear" w:color="auto" w:fill="auto"/>
            <w:noWrap/>
            <w:vAlign w:val="center"/>
          </w:tcPr>
          <w:p w14:paraId="59882B4A">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Non-drinker</w:t>
            </w:r>
          </w:p>
        </w:tc>
        <w:tc>
          <w:tcPr>
            <w:tcW w:w="1472" w:type="pct"/>
            <w:tcBorders>
              <w:top w:val="nil"/>
              <w:left w:val="nil"/>
              <w:bottom w:val="nil"/>
              <w:right w:val="nil"/>
            </w:tcBorders>
            <w:shd w:val="clear" w:color="auto" w:fill="auto"/>
            <w:noWrap/>
            <w:vAlign w:val="center"/>
          </w:tcPr>
          <w:p w14:paraId="6631EF3C">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589 (8.9)</w:t>
            </w:r>
          </w:p>
        </w:tc>
        <w:tc>
          <w:tcPr>
            <w:tcW w:w="1458" w:type="pct"/>
            <w:tcBorders>
              <w:top w:val="nil"/>
              <w:left w:val="nil"/>
              <w:bottom w:val="nil"/>
              <w:right w:val="nil"/>
            </w:tcBorders>
            <w:shd w:val="clear" w:color="auto" w:fill="auto"/>
            <w:noWrap/>
            <w:vAlign w:val="center"/>
          </w:tcPr>
          <w:p w14:paraId="551F0DE8">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2932 (9.4)</w:t>
            </w:r>
          </w:p>
        </w:tc>
      </w:tr>
      <w:tr w14:paraId="60EFC472">
        <w:trPr>
          <w:trHeight w:val="336" w:hRule="atLeast"/>
        </w:trPr>
        <w:tc>
          <w:tcPr>
            <w:tcW w:w="2069" w:type="pct"/>
            <w:tcBorders>
              <w:top w:val="nil"/>
              <w:left w:val="nil"/>
              <w:bottom w:val="nil"/>
              <w:right w:val="nil"/>
            </w:tcBorders>
            <w:shd w:val="clear" w:color="auto" w:fill="auto"/>
            <w:noWrap/>
            <w:vAlign w:val="center"/>
          </w:tcPr>
          <w:p w14:paraId="0829E9EB">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Ex-drinker</w:t>
            </w:r>
          </w:p>
        </w:tc>
        <w:tc>
          <w:tcPr>
            <w:tcW w:w="1472" w:type="pct"/>
            <w:tcBorders>
              <w:top w:val="nil"/>
              <w:left w:val="nil"/>
              <w:bottom w:val="nil"/>
              <w:right w:val="nil"/>
            </w:tcBorders>
            <w:shd w:val="clear" w:color="auto" w:fill="auto"/>
            <w:noWrap/>
            <w:vAlign w:val="center"/>
          </w:tcPr>
          <w:p w14:paraId="55B86A6C">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20 (0.3)</w:t>
            </w:r>
          </w:p>
        </w:tc>
        <w:tc>
          <w:tcPr>
            <w:tcW w:w="1458" w:type="pct"/>
            <w:tcBorders>
              <w:top w:val="nil"/>
              <w:left w:val="nil"/>
              <w:bottom w:val="nil"/>
              <w:right w:val="nil"/>
            </w:tcBorders>
            <w:shd w:val="clear" w:color="auto" w:fill="auto"/>
            <w:noWrap/>
            <w:vAlign w:val="center"/>
          </w:tcPr>
          <w:p w14:paraId="77B8B48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85 (0.3)</w:t>
            </w:r>
          </w:p>
        </w:tc>
      </w:tr>
      <w:tr w14:paraId="7C36A026">
        <w:trPr>
          <w:trHeight w:val="336" w:hRule="atLeast"/>
        </w:trPr>
        <w:tc>
          <w:tcPr>
            <w:tcW w:w="2069" w:type="pct"/>
            <w:tcBorders>
              <w:top w:val="nil"/>
              <w:left w:val="nil"/>
              <w:bottom w:val="nil"/>
              <w:right w:val="nil"/>
            </w:tcBorders>
            <w:shd w:val="clear" w:color="auto" w:fill="auto"/>
            <w:noWrap/>
            <w:vAlign w:val="center"/>
          </w:tcPr>
          <w:p w14:paraId="5FE22E9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Current-drinker</w:t>
            </w:r>
          </w:p>
        </w:tc>
        <w:tc>
          <w:tcPr>
            <w:tcW w:w="1472" w:type="pct"/>
            <w:tcBorders>
              <w:top w:val="nil"/>
              <w:left w:val="nil"/>
              <w:bottom w:val="nil"/>
              <w:right w:val="nil"/>
            </w:tcBorders>
            <w:shd w:val="clear" w:color="auto" w:fill="auto"/>
            <w:noWrap/>
            <w:vAlign w:val="center"/>
          </w:tcPr>
          <w:p w14:paraId="50E7889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4148 (62.4)</w:t>
            </w:r>
          </w:p>
        </w:tc>
        <w:tc>
          <w:tcPr>
            <w:tcW w:w="1458" w:type="pct"/>
            <w:tcBorders>
              <w:top w:val="nil"/>
              <w:left w:val="nil"/>
              <w:bottom w:val="nil"/>
              <w:right w:val="nil"/>
            </w:tcBorders>
            <w:shd w:val="clear" w:color="auto" w:fill="auto"/>
            <w:noWrap/>
            <w:vAlign w:val="center"/>
          </w:tcPr>
          <w:p w14:paraId="0DDBE00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18546 (59.5)</w:t>
            </w:r>
          </w:p>
        </w:tc>
      </w:tr>
      <w:tr w14:paraId="3064C806">
        <w:trPr>
          <w:trHeight w:val="336" w:hRule="atLeast"/>
        </w:trPr>
        <w:tc>
          <w:tcPr>
            <w:tcW w:w="2069" w:type="pct"/>
            <w:tcBorders>
              <w:top w:val="nil"/>
              <w:left w:val="nil"/>
              <w:bottom w:val="nil"/>
              <w:right w:val="nil"/>
            </w:tcBorders>
            <w:shd w:val="clear" w:color="auto" w:fill="auto"/>
            <w:noWrap/>
            <w:vAlign w:val="center"/>
          </w:tcPr>
          <w:p w14:paraId="567C3CB2">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Unknown</w:t>
            </w:r>
          </w:p>
        </w:tc>
        <w:tc>
          <w:tcPr>
            <w:tcW w:w="1472" w:type="pct"/>
            <w:tcBorders>
              <w:top w:val="nil"/>
              <w:left w:val="nil"/>
              <w:bottom w:val="nil"/>
              <w:right w:val="nil"/>
            </w:tcBorders>
            <w:shd w:val="clear" w:color="auto" w:fill="auto"/>
            <w:noWrap/>
            <w:vAlign w:val="center"/>
          </w:tcPr>
          <w:p w14:paraId="1260B400">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1892 (28.5)</w:t>
            </w:r>
          </w:p>
        </w:tc>
        <w:tc>
          <w:tcPr>
            <w:tcW w:w="1458" w:type="pct"/>
            <w:tcBorders>
              <w:top w:val="nil"/>
              <w:left w:val="nil"/>
              <w:bottom w:val="nil"/>
              <w:right w:val="nil"/>
            </w:tcBorders>
            <w:shd w:val="clear" w:color="auto" w:fill="auto"/>
            <w:noWrap/>
            <w:vAlign w:val="center"/>
          </w:tcPr>
          <w:p w14:paraId="69CBFEB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9614 (30.8)</w:t>
            </w:r>
          </w:p>
        </w:tc>
      </w:tr>
      <w:tr w14:paraId="4D0CCBF6">
        <w:trPr>
          <w:trHeight w:val="336" w:hRule="atLeast"/>
        </w:trPr>
        <w:tc>
          <w:tcPr>
            <w:tcW w:w="2069" w:type="pct"/>
            <w:tcBorders>
              <w:top w:val="nil"/>
              <w:left w:val="nil"/>
              <w:bottom w:val="nil"/>
              <w:right w:val="nil"/>
            </w:tcBorders>
            <w:shd w:val="clear" w:color="auto" w:fill="auto"/>
            <w:noWrap/>
            <w:vAlign w:val="center"/>
          </w:tcPr>
          <w:p w14:paraId="4FC8AF9F">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Physical activity, No. (%) </w:t>
            </w:r>
          </w:p>
        </w:tc>
        <w:tc>
          <w:tcPr>
            <w:tcW w:w="1472" w:type="pct"/>
            <w:tcBorders>
              <w:top w:val="nil"/>
              <w:left w:val="nil"/>
              <w:bottom w:val="nil"/>
              <w:right w:val="nil"/>
            </w:tcBorders>
            <w:shd w:val="clear" w:color="auto" w:fill="auto"/>
            <w:noWrap/>
            <w:vAlign w:val="center"/>
          </w:tcPr>
          <w:p w14:paraId="6BCF650B">
            <w:pPr>
              <w:jc w:val="left"/>
              <w:rPr>
                <w:rFonts w:hint="default" w:ascii="Times New Roman Regular" w:hAnsi="Times New Roman Regular" w:cs="Times New Roman Regular"/>
                <w:sz w:val="18"/>
                <w:szCs w:val="18"/>
              </w:rPr>
            </w:pPr>
          </w:p>
        </w:tc>
        <w:tc>
          <w:tcPr>
            <w:tcW w:w="1458" w:type="pct"/>
            <w:tcBorders>
              <w:top w:val="nil"/>
              <w:left w:val="nil"/>
              <w:bottom w:val="nil"/>
              <w:right w:val="nil"/>
            </w:tcBorders>
            <w:shd w:val="clear" w:color="auto" w:fill="auto"/>
            <w:noWrap/>
            <w:vAlign w:val="center"/>
          </w:tcPr>
          <w:p w14:paraId="2A2A1297">
            <w:pPr>
              <w:jc w:val="left"/>
              <w:rPr>
                <w:rFonts w:hint="default" w:ascii="Times New Roman Regular" w:hAnsi="Times New Roman Regular" w:cs="Times New Roman Regular"/>
                <w:sz w:val="18"/>
                <w:szCs w:val="18"/>
              </w:rPr>
            </w:pPr>
          </w:p>
        </w:tc>
      </w:tr>
      <w:tr w14:paraId="4F09FDE2">
        <w:trPr>
          <w:trHeight w:val="336" w:hRule="atLeast"/>
        </w:trPr>
        <w:tc>
          <w:tcPr>
            <w:tcW w:w="2069" w:type="pct"/>
            <w:tcBorders>
              <w:top w:val="nil"/>
              <w:left w:val="nil"/>
              <w:bottom w:val="nil"/>
              <w:right w:val="nil"/>
            </w:tcBorders>
            <w:shd w:val="clear" w:color="auto" w:fill="auto"/>
            <w:noWrap/>
            <w:vAlign w:val="center"/>
          </w:tcPr>
          <w:p w14:paraId="7CDDA57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Limited/light exercise</w:t>
            </w:r>
          </w:p>
        </w:tc>
        <w:tc>
          <w:tcPr>
            <w:tcW w:w="1472" w:type="pct"/>
            <w:tcBorders>
              <w:top w:val="nil"/>
              <w:left w:val="nil"/>
              <w:bottom w:val="nil"/>
              <w:right w:val="nil"/>
            </w:tcBorders>
            <w:shd w:val="clear" w:color="auto" w:fill="auto"/>
            <w:noWrap/>
            <w:vAlign w:val="center"/>
          </w:tcPr>
          <w:p w14:paraId="0540623F">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1555 (23.4)</w:t>
            </w:r>
          </w:p>
        </w:tc>
        <w:tc>
          <w:tcPr>
            <w:tcW w:w="1458" w:type="pct"/>
            <w:tcBorders>
              <w:top w:val="nil"/>
              <w:left w:val="nil"/>
              <w:bottom w:val="nil"/>
              <w:right w:val="nil"/>
            </w:tcBorders>
            <w:shd w:val="clear" w:color="auto" w:fill="auto"/>
            <w:noWrap/>
            <w:vAlign w:val="center"/>
          </w:tcPr>
          <w:p w14:paraId="13BCBBEA">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6828 (21.9)</w:t>
            </w:r>
          </w:p>
        </w:tc>
      </w:tr>
      <w:tr w14:paraId="37C55C01">
        <w:trPr>
          <w:trHeight w:val="336" w:hRule="atLeast"/>
        </w:trPr>
        <w:tc>
          <w:tcPr>
            <w:tcW w:w="2069" w:type="pct"/>
            <w:tcBorders>
              <w:top w:val="nil"/>
              <w:left w:val="nil"/>
              <w:bottom w:val="nil"/>
              <w:right w:val="nil"/>
            </w:tcBorders>
            <w:shd w:val="clear" w:color="auto" w:fill="auto"/>
            <w:noWrap/>
            <w:vAlign w:val="center"/>
          </w:tcPr>
          <w:p w14:paraId="4A08219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Regular exercise</w:t>
            </w:r>
          </w:p>
        </w:tc>
        <w:tc>
          <w:tcPr>
            <w:tcW w:w="1472" w:type="pct"/>
            <w:tcBorders>
              <w:top w:val="nil"/>
              <w:left w:val="nil"/>
              <w:bottom w:val="nil"/>
              <w:right w:val="nil"/>
            </w:tcBorders>
            <w:shd w:val="clear" w:color="auto" w:fill="auto"/>
            <w:noWrap/>
            <w:vAlign w:val="center"/>
          </w:tcPr>
          <w:p w14:paraId="41DD82A0">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697 (10.5)</w:t>
            </w:r>
          </w:p>
        </w:tc>
        <w:tc>
          <w:tcPr>
            <w:tcW w:w="1458" w:type="pct"/>
            <w:tcBorders>
              <w:top w:val="nil"/>
              <w:left w:val="nil"/>
              <w:bottom w:val="nil"/>
              <w:right w:val="nil"/>
            </w:tcBorders>
            <w:shd w:val="clear" w:color="auto" w:fill="auto"/>
            <w:noWrap/>
            <w:vAlign w:val="center"/>
          </w:tcPr>
          <w:p w14:paraId="388ABA6F">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3183 (10.2)</w:t>
            </w:r>
          </w:p>
        </w:tc>
      </w:tr>
      <w:tr w14:paraId="2876370E">
        <w:trPr>
          <w:trHeight w:val="336" w:hRule="atLeast"/>
        </w:trPr>
        <w:tc>
          <w:tcPr>
            <w:tcW w:w="2069" w:type="pct"/>
            <w:tcBorders>
              <w:top w:val="nil"/>
              <w:left w:val="nil"/>
              <w:bottom w:val="nil"/>
              <w:right w:val="nil"/>
            </w:tcBorders>
            <w:shd w:val="clear" w:color="auto" w:fill="auto"/>
            <w:noWrap/>
            <w:vAlign w:val="center"/>
          </w:tcPr>
          <w:p w14:paraId="103BD13D">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    Unknown</w:t>
            </w:r>
          </w:p>
        </w:tc>
        <w:tc>
          <w:tcPr>
            <w:tcW w:w="1472" w:type="pct"/>
            <w:tcBorders>
              <w:top w:val="nil"/>
              <w:left w:val="nil"/>
              <w:bottom w:val="nil"/>
              <w:right w:val="nil"/>
            </w:tcBorders>
            <w:shd w:val="clear" w:color="auto" w:fill="auto"/>
            <w:noWrap/>
            <w:vAlign w:val="center"/>
          </w:tcPr>
          <w:p w14:paraId="71CC0F88">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4397 (66.1)</w:t>
            </w:r>
          </w:p>
        </w:tc>
        <w:tc>
          <w:tcPr>
            <w:tcW w:w="1458" w:type="pct"/>
            <w:tcBorders>
              <w:top w:val="nil"/>
              <w:left w:val="nil"/>
              <w:bottom w:val="nil"/>
              <w:right w:val="nil"/>
            </w:tcBorders>
            <w:shd w:val="clear" w:color="auto" w:fill="auto"/>
            <w:noWrap/>
            <w:vAlign w:val="center"/>
          </w:tcPr>
          <w:p w14:paraId="0BC4B5CB">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21166 (67.9)</w:t>
            </w:r>
          </w:p>
        </w:tc>
      </w:tr>
      <w:tr w14:paraId="4F4ADD4D">
        <w:trPr>
          <w:trHeight w:val="336" w:hRule="atLeast"/>
        </w:trPr>
        <w:tc>
          <w:tcPr>
            <w:tcW w:w="2069" w:type="pct"/>
            <w:tcBorders>
              <w:top w:val="nil"/>
              <w:left w:val="nil"/>
              <w:bottom w:val="nil"/>
              <w:right w:val="nil"/>
            </w:tcBorders>
            <w:shd w:val="clear" w:color="auto" w:fill="auto"/>
            <w:noWrap/>
            <w:vAlign w:val="center"/>
          </w:tcPr>
          <w:p w14:paraId="4D41AB8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 xml:space="preserve">Obesity-related comorbidity, No. (%) </w:t>
            </w:r>
          </w:p>
        </w:tc>
        <w:tc>
          <w:tcPr>
            <w:tcW w:w="1472" w:type="pct"/>
            <w:tcBorders>
              <w:top w:val="nil"/>
              <w:left w:val="nil"/>
              <w:bottom w:val="nil"/>
              <w:right w:val="nil"/>
            </w:tcBorders>
            <w:shd w:val="clear" w:color="auto" w:fill="auto"/>
            <w:noWrap/>
            <w:vAlign w:val="center"/>
          </w:tcPr>
          <w:p w14:paraId="43E26FC0">
            <w:pPr>
              <w:jc w:val="left"/>
              <w:rPr>
                <w:rFonts w:hint="default" w:ascii="Times New Roman Regular" w:hAnsi="Times New Roman Regular" w:cs="Times New Roman Regular"/>
                <w:sz w:val="18"/>
                <w:szCs w:val="18"/>
              </w:rPr>
            </w:pPr>
          </w:p>
        </w:tc>
        <w:tc>
          <w:tcPr>
            <w:tcW w:w="1458" w:type="pct"/>
            <w:tcBorders>
              <w:top w:val="nil"/>
              <w:left w:val="nil"/>
              <w:bottom w:val="nil"/>
              <w:right w:val="nil"/>
            </w:tcBorders>
            <w:shd w:val="clear" w:color="auto" w:fill="auto"/>
            <w:noWrap/>
            <w:vAlign w:val="center"/>
          </w:tcPr>
          <w:p w14:paraId="7F231A5A">
            <w:pPr>
              <w:jc w:val="left"/>
              <w:rPr>
                <w:rFonts w:hint="default" w:ascii="Times New Roman Regular" w:hAnsi="Times New Roman Regular" w:cs="Times New Roman Regular"/>
                <w:sz w:val="18"/>
                <w:szCs w:val="18"/>
              </w:rPr>
            </w:pPr>
          </w:p>
        </w:tc>
      </w:tr>
      <w:tr w14:paraId="0D7FB577">
        <w:trPr>
          <w:trHeight w:val="336" w:hRule="atLeast"/>
        </w:trPr>
        <w:tc>
          <w:tcPr>
            <w:tcW w:w="2069" w:type="pct"/>
            <w:tcBorders>
              <w:top w:val="nil"/>
              <w:left w:val="nil"/>
              <w:bottom w:val="nil"/>
              <w:right w:val="nil"/>
            </w:tcBorders>
            <w:shd w:val="clear" w:color="auto" w:fill="auto"/>
            <w:noWrap/>
            <w:vAlign w:val="center"/>
          </w:tcPr>
          <w:p w14:paraId="6C59DCD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Cardiovascular disease</w:t>
            </w:r>
          </w:p>
        </w:tc>
        <w:tc>
          <w:tcPr>
            <w:tcW w:w="1472" w:type="pct"/>
            <w:tcBorders>
              <w:top w:val="nil"/>
              <w:left w:val="nil"/>
              <w:bottom w:val="nil"/>
              <w:right w:val="nil"/>
            </w:tcBorders>
            <w:shd w:val="clear" w:color="auto" w:fill="auto"/>
            <w:noWrap/>
            <w:vAlign w:val="center"/>
          </w:tcPr>
          <w:p w14:paraId="3FB2AF9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435 (6.5)</w:t>
            </w:r>
          </w:p>
        </w:tc>
        <w:tc>
          <w:tcPr>
            <w:tcW w:w="1458" w:type="pct"/>
            <w:tcBorders>
              <w:top w:val="nil"/>
              <w:left w:val="nil"/>
              <w:bottom w:val="nil"/>
              <w:right w:val="nil"/>
            </w:tcBorders>
            <w:shd w:val="clear" w:color="auto" w:fill="auto"/>
            <w:noWrap/>
            <w:vAlign w:val="center"/>
          </w:tcPr>
          <w:p w14:paraId="5B9636E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1788 (5.7)</w:t>
            </w:r>
          </w:p>
        </w:tc>
      </w:tr>
      <w:tr w14:paraId="24996ADB">
        <w:trPr>
          <w:trHeight w:val="336" w:hRule="atLeast"/>
        </w:trPr>
        <w:tc>
          <w:tcPr>
            <w:tcW w:w="2069" w:type="pct"/>
            <w:tcBorders>
              <w:top w:val="nil"/>
              <w:left w:val="nil"/>
              <w:bottom w:val="nil"/>
              <w:right w:val="nil"/>
            </w:tcBorders>
            <w:shd w:val="clear" w:color="auto" w:fill="auto"/>
            <w:noWrap/>
            <w:vAlign w:val="center"/>
          </w:tcPr>
          <w:p w14:paraId="5C1785E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Type 2 diabetes</w:t>
            </w:r>
          </w:p>
        </w:tc>
        <w:tc>
          <w:tcPr>
            <w:tcW w:w="1472" w:type="pct"/>
            <w:tcBorders>
              <w:top w:val="nil"/>
              <w:left w:val="nil"/>
              <w:bottom w:val="nil"/>
              <w:right w:val="nil"/>
            </w:tcBorders>
            <w:shd w:val="clear" w:color="auto" w:fill="auto"/>
            <w:noWrap/>
            <w:vAlign w:val="center"/>
          </w:tcPr>
          <w:p w14:paraId="4CDA7C39">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1569 (23.6)</w:t>
            </w:r>
          </w:p>
        </w:tc>
        <w:tc>
          <w:tcPr>
            <w:tcW w:w="1458" w:type="pct"/>
            <w:tcBorders>
              <w:top w:val="nil"/>
              <w:left w:val="nil"/>
              <w:bottom w:val="nil"/>
              <w:right w:val="nil"/>
            </w:tcBorders>
            <w:shd w:val="clear" w:color="auto" w:fill="auto"/>
            <w:noWrap/>
            <w:vAlign w:val="center"/>
          </w:tcPr>
          <w:p w14:paraId="44EB9F8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4725 (15.2)</w:t>
            </w:r>
          </w:p>
        </w:tc>
      </w:tr>
      <w:tr w14:paraId="248E089F">
        <w:trPr>
          <w:trHeight w:val="336" w:hRule="atLeast"/>
        </w:trPr>
        <w:tc>
          <w:tcPr>
            <w:tcW w:w="2069" w:type="pct"/>
            <w:tcBorders>
              <w:top w:val="nil"/>
              <w:left w:val="nil"/>
              <w:bottom w:val="nil"/>
              <w:right w:val="nil"/>
            </w:tcBorders>
            <w:shd w:val="clear" w:color="auto" w:fill="auto"/>
            <w:noWrap/>
            <w:vAlign w:val="center"/>
          </w:tcPr>
          <w:p w14:paraId="0B3F00ED">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Hypertension</w:t>
            </w:r>
          </w:p>
        </w:tc>
        <w:tc>
          <w:tcPr>
            <w:tcW w:w="1472" w:type="pct"/>
            <w:tcBorders>
              <w:top w:val="nil"/>
              <w:left w:val="nil"/>
              <w:bottom w:val="nil"/>
              <w:right w:val="nil"/>
            </w:tcBorders>
            <w:shd w:val="clear" w:color="auto" w:fill="auto"/>
            <w:noWrap/>
            <w:vAlign w:val="center"/>
          </w:tcPr>
          <w:p w14:paraId="508C8EB2">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2417 (36.4)</w:t>
            </w:r>
          </w:p>
        </w:tc>
        <w:tc>
          <w:tcPr>
            <w:tcW w:w="1458" w:type="pct"/>
            <w:tcBorders>
              <w:top w:val="nil"/>
              <w:left w:val="nil"/>
              <w:bottom w:val="nil"/>
              <w:right w:val="nil"/>
            </w:tcBorders>
            <w:shd w:val="clear" w:color="auto" w:fill="auto"/>
            <w:noWrap/>
            <w:vAlign w:val="center"/>
          </w:tcPr>
          <w:p w14:paraId="232ECD07">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10568 (33.9)</w:t>
            </w:r>
          </w:p>
        </w:tc>
      </w:tr>
      <w:tr w14:paraId="10550F56">
        <w:trPr>
          <w:trHeight w:val="336" w:hRule="atLeast"/>
        </w:trPr>
        <w:tc>
          <w:tcPr>
            <w:tcW w:w="2069" w:type="pct"/>
            <w:tcBorders>
              <w:top w:val="nil"/>
              <w:left w:val="nil"/>
              <w:bottom w:val="nil"/>
              <w:right w:val="nil"/>
            </w:tcBorders>
            <w:shd w:val="clear" w:color="auto" w:fill="auto"/>
            <w:noWrap/>
            <w:vAlign w:val="center"/>
          </w:tcPr>
          <w:p w14:paraId="7C49B3CB">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Eczema</w:t>
            </w:r>
          </w:p>
        </w:tc>
        <w:tc>
          <w:tcPr>
            <w:tcW w:w="1472" w:type="pct"/>
            <w:tcBorders>
              <w:top w:val="nil"/>
              <w:left w:val="nil"/>
              <w:bottom w:val="nil"/>
              <w:right w:val="nil"/>
            </w:tcBorders>
            <w:shd w:val="clear" w:color="auto" w:fill="auto"/>
            <w:noWrap/>
            <w:vAlign w:val="center"/>
          </w:tcPr>
          <w:p w14:paraId="276D808B">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1349 (20.3)</w:t>
            </w:r>
          </w:p>
        </w:tc>
        <w:tc>
          <w:tcPr>
            <w:tcW w:w="1458" w:type="pct"/>
            <w:tcBorders>
              <w:top w:val="nil"/>
              <w:left w:val="nil"/>
              <w:bottom w:val="nil"/>
              <w:right w:val="nil"/>
            </w:tcBorders>
            <w:shd w:val="clear" w:color="auto" w:fill="auto"/>
            <w:noWrap/>
            <w:vAlign w:val="center"/>
          </w:tcPr>
          <w:p w14:paraId="758F0EC0">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6065 (19.5)</w:t>
            </w:r>
          </w:p>
        </w:tc>
      </w:tr>
      <w:tr w14:paraId="5A446FBF">
        <w:trPr>
          <w:trHeight w:val="336" w:hRule="atLeast"/>
        </w:trPr>
        <w:tc>
          <w:tcPr>
            <w:tcW w:w="2069" w:type="pct"/>
            <w:tcBorders>
              <w:top w:val="nil"/>
              <w:left w:val="nil"/>
              <w:bottom w:val="nil"/>
              <w:right w:val="nil"/>
            </w:tcBorders>
            <w:shd w:val="clear" w:color="auto" w:fill="auto"/>
            <w:noWrap/>
            <w:vAlign w:val="center"/>
          </w:tcPr>
          <w:p w14:paraId="3F83FA8F">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Chronic obstructive pulmonary disease</w:t>
            </w:r>
          </w:p>
        </w:tc>
        <w:tc>
          <w:tcPr>
            <w:tcW w:w="1472" w:type="pct"/>
            <w:tcBorders>
              <w:top w:val="nil"/>
              <w:left w:val="nil"/>
              <w:bottom w:val="nil"/>
              <w:right w:val="nil"/>
            </w:tcBorders>
            <w:shd w:val="clear" w:color="auto" w:fill="auto"/>
            <w:noWrap/>
            <w:vAlign w:val="center"/>
          </w:tcPr>
          <w:p w14:paraId="40FEB549">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131 (2.0)</w:t>
            </w:r>
          </w:p>
        </w:tc>
        <w:tc>
          <w:tcPr>
            <w:tcW w:w="1458" w:type="pct"/>
            <w:tcBorders>
              <w:top w:val="nil"/>
              <w:left w:val="nil"/>
              <w:bottom w:val="nil"/>
              <w:right w:val="nil"/>
            </w:tcBorders>
            <w:shd w:val="clear" w:color="auto" w:fill="auto"/>
            <w:noWrap/>
            <w:vAlign w:val="center"/>
          </w:tcPr>
          <w:p w14:paraId="6EBDFE7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637 (2.0)</w:t>
            </w:r>
          </w:p>
        </w:tc>
      </w:tr>
      <w:tr w14:paraId="213476C7">
        <w:trPr>
          <w:trHeight w:val="336" w:hRule="atLeast"/>
        </w:trPr>
        <w:tc>
          <w:tcPr>
            <w:tcW w:w="2069" w:type="pct"/>
            <w:tcBorders>
              <w:top w:val="nil"/>
              <w:left w:val="nil"/>
              <w:bottom w:val="nil"/>
              <w:right w:val="nil"/>
            </w:tcBorders>
            <w:shd w:val="clear" w:color="auto" w:fill="auto"/>
            <w:noWrap/>
            <w:vAlign w:val="center"/>
          </w:tcPr>
          <w:p w14:paraId="408225E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Obstructive sleep apnoea</w:t>
            </w:r>
          </w:p>
        </w:tc>
        <w:tc>
          <w:tcPr>
            <w:tcW w:w="1472" w:type="pct"/>
            <w:tcBorders>
              <w:top w:val="nil"/>
              <w:left w:val="nil"/>
              <w:bottom w:val="nil"/>
              <w:right w:val="nil"/>
            </w:tcBorders>
            <w:shd w:val="clear" w:color="auto" w:fill="auto"/>
            <w:noWrap/>
            <w:vAlign w:val="center"/>
          </w:tcPr>
          <w:p w14:paraId="335C90EA">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700 (10.5)</w:t>
            </w:r>
          </w:p>
        </w:tc>
        <w:tc>
          <w:tcPr>
            <w:tcW w:w="1458" w:type="pct"/>
            <w:tcBorders>
              <w:top w:val="nil"/>
              <w:left w:val="nil"/>
              <w:bottom w:val="nil"/>
              <w:right w:val="nil"/>
            </w:tcBorders>
            <w:shd w:val="clear" w:color="auto" w:fill="auto"/>
            <w:noWrap/>
            <w:vAlign w:val="center"/>
          </w:tcPr>
          <w:p w14:paraId="7C9BD1E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781 (2.5)</w:t>
            </w:r>
          </w:p>
        </w:tc>
      </w:tr>
      <w:tr w14:paraId="36F478C8">
        <w:trPr>
          <w:trHeight w:val="336" w:hRule="atLeast"/>
        </w:trPr>
        <w:tc>
          <w:tcPr>
            <w:tcW w:w="2069" w:type="pct"/>
            <w:tcBorders>
              <w:top w:val="nil"/>
              <w:left w:val="nil"/>
              <w:bottom w:val="nil"/>
              <w:right w:val="nil"/>
            </w:tcBorders>
            <w:shd w:val="clear" w:color="auto" w:fill="auto"/>
            <w:noWrap/>
            <w:vAlign w:val="center"/>
          </w:tcPr>
          <w:p w14:paraId="4D642248">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Inflammatory bowel disease</w:t>
            </w:r>
          </w:p>
        </w:tc>
        <w:tc>
          <w:tcPr>
            <w:tcW w:w="1472" w:type="pct"/>
            <w:tcBorders>
              <w:top w:val="nil"/>
              <w:left w:val="nil"/>
              <w:bottom w:val="nil"/>
              <w:right w:val="nil"/>
            </w:tcBorders>
            <w:shd w:val="clear" w:color="auto" w:fill="auto"/>
            <w:noWrap/>
            <w:vAlign w:val="center"/>
          </w:tcPr>
          <w:p w14:paraId="03A31C7F">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352 (5.3)</w:t>
            </w:r>
          </w:p>
        </w:tc>
        <w:tc>
          <w:tcPr>
            <w:tcW w:w="1458" w:type="pct"/>
            <w:tcBorders>
              <w:top w:val="nil"/>
              <w:left w:val="nil"/>
              <w:bottom w:val="nil"/>
              <w:right w:val="nil"/>
            </w:tcBorders>
            <w:shd w:val="clear" w:color="auto" w:fill="auto"/>
            <w:noWrap/>
            <w:vAlign w:val="center"/>
          </w:tcPr>
          <w:p w14:paraId="412232ED">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1672 (5.4)</w:t>
            </w:r>
          </w:p>
        </w:tc>
      </w:tr>
      <w:tr w14:paraId="415203FD">
        <w:trPr>
          <w:trHeight w:val="336" w:hRule="atLeast"/>
        </w:trPr>
        <w:tc>
          <w:tcPr>
            <w:tcW w:w="2069" w:type="pct"/>
            <w:tcBorders>
              <w:top w:val="nil"/>
              <w:left w:val="nil"/>
              <w:bottom w:val="nil"/>
              <w:right w:val="nil"/>
            </w:tcBorders>
            <w:shd w:val="clear" w:color="auto" w:fill="auto"/>
            <w:noWrap/>
            <w:vAlign w:val="center"/>
          </w:tcPr>
          <w:p w14:paraId="242C765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Anaemia</w:t>
            </w:r>
          </w:p>
        </w:tc>
        <w:tc>
          <w:tcPr>
            <w:tcW w:w="1472" w:type="pct"/>
            <w:tcBorders>
              <w:top w:val="nil"/>
              <w:left w:val="nil"/>
              <w:bottom w:val="nil"/>
              <w:right w:val="nil"/>
            </w:tcBorders>
            <w:shd w:val="clear" w:color="auto" w:fill="auto"/>
            <w:noWrap/>
            <w:vAlign w:val="center"/>
          </w:tcPr>
          <w:p w14:paraId="335D842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436 (6.6)</w:t>
            </w:r>
          </w:p>
        </w:tc>
        <w:tc>
          <w:tcPr>
            <w:tcW w:w="1458" w:type="pct"/>
            <w:tcBorders>
              <w:top w:val="nil"/>
              <w:left w:val="nil"/>
              <w:bottom w:val="nil"/>
              <w:right w:val="nil"/>
            </w:tcBorders>
            <w:shd w:val="clear" w:color="auto" w:fill="auto"/>
            <w:noWrap/>
            <w:vAlign w:val="center"/>
          </w:tcPr>
          <w:p w14:paraId="2367CAB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2155 (6.9)</w:t>
            </w:r>
          </w:p>
        </w:tc>
      </w:tr>
      <w:tr w14:paraId="46B22811">
        <w:trPr>
          <w:trHeight w:val="336" w:hRule="atLeast"/>
        </w:trPr>
        <w:tc>
          <w:tcPr>
            <w:tcW w:w="2069" w:type="pct"/>
            <w:tcBorders>
              <w:top w:val="nil"/>
              <w:left w:val="nil"/>
              <w:bottom w:val="nil"/>
              <w:right w:val="nil"/>
            </w:tcBorders>
            <w:shd w:val="clear" w:color="auto" w:fill="auto"/>
            <w:noWrap/>
            <w:vAlign w:val="center"/>
          </w:tcPr>
          <w:p w14:paraId="1C0D21CE">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Non-diabetic hyperglycemia</w:t>
            </w:r>
          </w:p>
        </w:tc>
        <w:tc>
          <w:tcPr>
            <w:tcW w:w="1472" w:type="pct"/>
            <w:tcBorders>
              <w:top w:val="nil"/>
              <w:left w:val="nil"/>
              <w:bottom w:val="nil"/>
              <w:right w:val="nil"/>
            </w:tcBorders>
            <w:shd w:val="clear" w:color="auto" w:fill="auto"/>
            <w:noWrap/>
            <w:vAlign w:val="center"/>
          </w:tcPr>
          <w:p w14:paraId="0863A10D">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187 (2.8)</w:t>
            </w:r>
          </w:p>
        </w:tc>
        <w:tc>
          <w:tcPr>
            <w:tcW w:w="1458" w:type="pct"/>
            <w:tcBorders>
              <w:top w:val="nil"/>
              <w:left w:val="nil"/>
              <w:bottom w:val="nil"/>
              <w:right w:val="nil"/>
            </w:tcBorders>
            <w:shd w:val="clear" w:color="auto" w:fill="auto"/>
            <w:noWrap/>
            <w:vAlign w:val="center"/>
          </w:tcPr>
          <w:p w14:paraId="09EA343D">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778 (2.5)</w:t>
            </w:r>
          </w:p>
        </w:tc>
      </w:tr>
      <w:tr w14:paraId="7BF8EFB9">
        <w:trPr>
          <w:trHeight w:val="336" w:hRule="atLeast"/>
        </w:trPr>
        <w:tc>
          <w:tcPr>
            <w:tcW w:w="2069" w:type="pct"/>
            <w:tcBorders>
              <w:top w:val="nil"/>
              <w:left w:val="nil"/>
              <w:bottom w:val="nil"/>
              <w:right w:val="nil"/>
            </w:tcBorders>
            <w:shd w:val="clear" w:color="auto" w:fill="auto"/>
            <w:noWrap/>
            <w:vAlign w:val="center"/>
          </w:tcPr>
          <w:p w14:paraId="6794AF7A">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Renal failure</w:t>
            </w:r>
          </w:p>
        </w:tc>
        <w:tc>
          <w:tcPr>
            <w:tcW w:w="1472" w:type="pct"/>
            <w:tcBorders>
              <w:top w:val="nil"/>
              <w:left w:val="nil"/>
              <w:bottom w:val="nil"/>
              <w:right w:val="nil"/>
            </w:tcBorders>
            <w:shd w:val="clear" w:color="auto" w:fill="auto"/>
            <w:noWrap/>
            <w:vAlign w:val="center"/>
          </w:tcPr>
          <w:p w14:paraId="444E13F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294 (4.4)</w:t>
            </w:r>
          </w:p>
        </w:tc>
        <w:tc>
          <w:tcPr>
            <w:tcW w:w="1458" w:type="pct"/>
            <w:tcBorders>
              <w:top w:val="nil"/>
              <w:left w:val="nil"/>
              <w:bottom w:val="nil"/>
              <w:right w:val="nil"/>
            </w:tcBorders>
            <w:shd w:val="clear" w:color="auto" w:fill="auto"/>
            <w:noWrap/>
            <w:vAlign w:val="center"/>
          </w:tcPr>
          <w:p w14:paraId="5F394F33">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943 (3.0)</w:t>
            </w:r>
          </w:p>
        </w:tc>
      </w:tr>
      <w:tr w14:paraId="2F5CA9A1">
        <w:trPr>
          <w:trHeight w:val="336" w:hRule="atLeast"/>
        </w:trPr>
        <w:tc>
          <w:tcPr>
            <w:tcW w:w="2069" w:type="pct"/>
            <w:tcBorders>
              <w:top w:val="nil"/>
              <w:left w:val="nil"/>
              <w:bottom w:val="nil"/>
              <w:right w:val="nil"/>
            </w:tcBorders>
            <w:shd w:val="clear" w:color="auto" w:fill="auto"/>
            <w:noWrap/>
            <w:vAlign w:val="center"/>
          </w:tcPr>
          <w:p w14:paraId="6D0C19B5">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Thyroid disorders</w:t>
            </w:r>
          </w:p>
        </w:tc>
        <w:tc>
          <w:tcPr>
            <w:tcW w:w="1472" w:type="pct"/>
            <w:tcBorders>
              <w:top w:val="nil"/>
              <w:left w:val="nil"/>
              <w:bottom w:val="nil"/>
              <w:right w:val="nil"/>
            </w:tcBorders>
            <w:shd w:val="clear" w:color="auto" w:fill="auto"/>
            <w:noWrap/>
            <w:vAlign w:val="center"/>
          </w:tcPr>
          <w:p w14:paraId="7BA1AE29">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656 (9.9)</w:t>
            </w:r>
          </w:p>
        </w:tc>
        <w:tc>
          <w:tcPr>
            <w:tcW w:w="1458" w:type="pct"/>
            <w:tcBorders>
              <w:top w:val="nil"/>
              <w:left w:val="nil"/>
              <w:bottom w:val="nil"/>
              <w:right w:val="nil"/>
            </w:tcBorders>
            <w:shd w:val="clear" w:color="auto" w:fill="auto"/>
            <w:noWrap/>
            <w:vAlign w:val="center"/>
          </w:tcPr>
          <w:p w14:paraId="1EC44A51">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2302 (7.4)</w:t>
            </w:r>
          </w:p>
        </w:tc>
      </w:tr>
      <w:tr w14:paraId="18CB909D">
        <w:trPr>
          <w:trHeight w:val="336" w:hRule="atLeast"/>
        </w:trPr>
        <w:tc>
          <w:tcPr>
            <w:tcW w:w="2069" w:type="pct"/>
            <w:tcBorders>
              <w:top w:val="nil"/>
              <w:left w:val="nil"/>
              <w:bottom w:val="single" w:color="000000" w:sz="4" w:space="0"/>
              <w:right w:val="nil"/>
            </w:tcBorders>
            <w:shd w:val="clear" w:color="auto" w:fill="auto"/>
            <w:noWrap/>
            <w:vAlign w:val="center"/>
          </w:tcPr>
          <w:p w14:paraId="4D48D46D">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Multiple sclerosis</w:t>
            </w:r>
          </w:p>
        </w:tc>
        <w:tc>
          <w:tcPr>
            <w:tcW w:w="1472" w:type="pct"/>
            <w:tcBorders>
              <w:top w:val="nil"/>
              <w:left w:val="nil"/>
              <w:bottom w:val="single" w:color="000000" w:sz="4" w:space="0"/>
              <w:right w:val="nil"/>
            </w:tcBorders>
            <w:shd w:val="clear" w:color="auto" w:fill="auto"/>
            <w:noWrap/>
            <w:vAlign w:val="center"/>
          </w:tcPr>
          <w:p w14:paraId="76C0ED54">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9 (0.1)</w:t>
            </w:r>
          </w:p>
        </w:tc>
        <w:tc>
          <w:tcPr>
            <w:tcW w:w="1458" w:type="pct"/>
            <w:tcBorders>
              <w:top w:val="nil"/>
              <w:left w:val="nil"/>
              <w:bottom w:val="single" w:color="000000" w:sz="4" w:space="0"/>
              <w:right w:val="nil"/>
            </w:tcBorders>
            <w:shd w:val="clear" w:color="auto" w:fill="auto"/>
            <w:noWrap/>
            <w:vAlign w:val="center"/>
          </w:tcPr>
          <w:p w14:paraId="5D835596">
            <w:pPr>
              <w:jc w:val="left"/>
              <w:rPr>
                <w:rFonts w:hint="default" w:ascii="Times New Roman Regular" w:hAnsi="Times New Roman Regular" w:cs="Times New Roman Regular"/>
                <w:sz w:val="18"/>
                <w:szCs w:val="18"/>
              </w:rPr>
            </w:pPr>
            <w:r>
              <w:rPr>
                <w:rFonts w:hint="default" w:ascii="Times New Roman Regular" w:hAnsi="Times New Roman Regular" w:cs="Times New Roman Regular"/>
                <w:sz w:val="18"/>
                <w:szCs w:val="18"/>
                <w:lang w:val="en-US" w:eastAsia="zh-CN"/>
              </w:rPr>
              <w:t>50 (0.2)</w:t>
            </w:r>
          </w:p>
        </w:tc>
      </w:tr>
    </w:tbl>
    <w:p w14:paraId="67FB455F">
      <w:pPr>
        <w:rPr>
          <w:rFonts w:ascii="Times New Roman" w:hAnsi="Times New Roman" w:cs="Times New Roman"/>
        </w:rPr>
      </w:pPr>
    </w:p>
    <w:p w14:paraId="1A0781EF">
      <w:pPr>
        <w:pStyle w:val="2"/>
        <w:bidi w:val="0"/>
        <w:rPr>
          <w:rFonts w:hint="default" w:ascii="Times New Roman Bold" w:hAnsi="Times New Roman Bold" w:cs="Times New Roman Bold"/>
          <w:b/>
          <w:bCs/>
          <w:color w:val="auto"/>
          <w:sz w:val="24"/>
          <w:szCs w:val="24"/>
          <w:lang w:val="en-US" w:eastAsia="zh-CN"/>
        </w:rPr>
        <w:sectPr>
          <w:pgSz w:w="11906" w:h="16838"/>
          <w:pgMar w:top="1440" w:right="1440" w:bottom="1440" w:left="1440" w:header="708" w:footer="708" w:gutter="0"/>
          <w:cols w:space="708" w:num="1"/>
          <w:docGrid w:linePitch="360" w:charSpace="0"/>
        </w:sectPr>
      </w:pPr>
      <w:bookmarkStart w:id="8" w:name="_Toc209433815"/>
    </w:p>
    <w:p w14:paraId="0835605B">
      <w:pPr>
        <w:pStyle w:val="2"/>
        <w:bidi w:val="0"/>
        <w:rPr>
          <w:rFonts w:hint="default" w:ascii="Times New Roman Bold" w:hAnsi="Times New Roman Bold" w:cs="Times New Roman Bold"/>
          <w:b/>
          <w:bCs/>
          <w:color w:val="auto"/>
          <w:sz w:val="24"/>
          <w:szCs w:val="24"/>
          <w:lang w:val="en-US" w:eastAsia="zh-CN"/>
        </w:rPr>
      </w:pPr>
      <w:bookmarkStart w:id="9" w:name="_Toc2092815414"/>
      <w:r>
        <w:rPr>
          <w:rFonts w:hint="default" w:ascii="Times New Roman Bold" w:hAnsi="Times New Roman Bold" w:cs="Times New Roman Bold"/>
          <w:b/>
          <w:bCs/>
          <w:color w:val="auto"/>
          <w:sz w:val="24"/>
          <w:szCs w:val="24"/>
          <w:lang w:val="en-US" w:eastAsia="zh-CN"/>
        </w:rPr>
        <w:t>Table S5. Baseline characteristics of the full eligible cohort before matching</w:t>
      </w:r>
      <w:bookmarkEnd w:id="9"/>
    </w:p>
    <w:tbl>
      <w:tblPr>
        <w:tblStyle w:val="18"/>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692"/>
        <w:gridCol w:w="2934"/>
        <w:gridCol w:w="2614"/>
      </w:tblGrid>
      <w:tr w14:paraId="754B6387">
        <w:trPr>
          <w:trHeight w:val="336" w:hRule="atLeast"/>
        </w:trPr>
        <w:tc>
          <w:tcPr>
            <w:tcW w:w="2018" w:type="pct"/>
            <w:tcBorders>
              <w:top w:val="single" w:color="000000" w:sz="4" w:space="0"/>
              <w:left w:val="nil"/>
              <w:bottom w:val="single" w:color="000000" w:sz="4" w:space="0"/>
              <w:right w:val="nil"/>
            </w:tcBorders>
            <w:shd w:val="clear" w:color="auto" w:fill="auto"/>
            <w:noWrap/>
            <w:vAlign w:val="bottom"/>
          </w:tcPr>
          <w:p w14:paraId="5DA50A6B">
            <w:pPr>
              <w:rPr>
                <w:rFonts w:hint="default" w:ascii="Times New Roman Regular" w:hAnsi="Times New Roman Regular" w:eastAsia="Times New Roman Regular" w:cs="Times New Roman Regular"/>
                <w:i w:val="0"/>
                <w:iCs w:val="0"/>
                <w:color w:val="000000"/>
                <w:sz w:val="18"/>
                <w:szCs w:val="18"/>
                <w:u w:val="none"/>
              </w:rPr>
            </w:pPr>
          </w:p>
        </w:tc>
        <w:tc>
          <w:tcPr>
            <w:tcW w:w="1545" w:type="pct"/>
            <w:tcBorders>
              <w:top w:val="single" w:color="000000" w:sz="4" w:space="0"/>
              <w:left w:val="nil"/>
              <w:bottom w:val="single" w:color="000000" w:sz="4" w:space="0"/>
              <w:right w:val="nil"/>
            </w:tcBorders>
            <w:shd w:val="clear" w:color="auto" w:fill="auto"/>
            <w:noWrap/>
            <w:vAlign w:val="bottom"/>
          </w:tcPr>
          <w:p w14:paraId="13F6AA89">
            <w:pPr>
              <w:keepNext w:val="0"/>
              <w:keepLines w:val="0"/>
              <w:widowControl/>
              <w:suppressLineNumbers w:val="0"/>
              <w:jc w:val="left"/>
              <w:textAlignment w:val="bottom"/>
              <w:rPr>
                <w:rFonts w:hint="default" w:ascii="Times New Roman Regular" w:hAnsi="Times New Roman Regular" w:eastAsia="Times New Roman Regular" w:cs="Times New Roman Regular"/>
                <w:b/>
                <w:bCs/>
                <w:i w:val="0"/>
                <w:iCs w:val="0"/>
                <w:color w:val="000000"/>
                <w:sz w:val="18"/>
                <w:szCs w:val="18"/>
                <w:u w:val="none"/>
              </w:rPr>
            </w:pPr>
            <w:r>
              <w:rPr>
                <w:rFonts w:hint="default" w:ascii="Times New Roman Regular" w:hAnsi="Times New Roman Regular" w:eastAsia="Times New Roman Regular" w:cs="Times New Roman Regular"/>
                <w:b/>
                <w:bCs/>
                <w:i w:val="0"/>
                <w:iCs w:val="0"/>
                <w:color w:val="000000"/>
                <w:kern w:val="0"/>
                <w:sz w:val="18"/>
                <w:szCs w:val="18"/>
                <w:u w:val="none"/>
                <w:lang w:val="en-US" w:eastAsia="zh-CN" w:bidi="ar"/>
                <w14:ligatures w14:val="standardContextual"/>
              </w:rPr>
              <w:t>Bariatric surgery patients (n=8486)</w:t>
            </w:r>
          </w:p>
        </w:tc>
        <w:tc>
          <w:tcPr>
            <w:tcW w:w="1435" w:type="pct"/>
            <w:tcBorders>
              <w:top w:val="single" w:color="000000" w:sz="4" w:space="0"/>
              <w:left w:val="nil"/>
              <w:bottom w:val="single" w:color="000000" w:sz="4" w:space="0"/>
              <w:right w:val="nil"/>
            </w:tcBorders>
            <w:shd w:val="clear" w:color="auto" w:fill="auto"/>
            <w:noWrap/>
            <w:vAlign w:val="bottom"/>
          </w:tcPr>
          <w:p w14:paraId="79E9D5D1">
            <w:pPr>
              <w:keepNext w:val="0"/>
              <w:keepLines w:val="0"/>
              <w:widowControl/>
              <w:suppressLineNumbers w:val="0"/>
              <w:jc w:val="left"/>
              <w:textAlignment w:val="bottom"/>
              <w:rPr>
                <w:rFonts w:hint="default" w:ascii="Times New Roman Regular" w:hAnsi="Times New Roman Regular" w:eastAsia="Times New Roman Regular" w:cs="Times New Roman Regular"/>
                <w:b/>
                <w:bCs/>
                <w:i w:val="0"/>
                <w:iCs w:val="0"/>
                <w:color w:val="000000"/>
                <w:sz w:val="18"/>
                <w:szCs w:val="18"/>
                <w:u w:val="none"/>
              </w:rPr>
            </w:pPr>
            <w:r>
              <w:rPr>
                <w:rFonts w:hint="default" w:ascii="Times New Roman Regular" w:hAnsi="Times New Roman Regular" w:eastAsia="Times New Roman Regular" w:cs="Times New Roman Regular"/>
                <w:b/>
                <w:bCs/>
                <w:i w:val="0"/>
                <w:iCs w:val="0"/>
                <w:color w:val="000000"/>
                <w:kern w:val="0"/>
                <w:sz w:val="18"/>
                <w:szCs w:val="18"/>
                <w:u w:val="none"/>
                <w:lang w:val="en-US" w:eastAsia="zh-CN" w:bidi="ar"/>
                <w14:ligatures w14:val="standardContextual"/>
              </w:rPr>
              <w:t>Matched controls (n=173360)</w:t>
            </w:r>
          </w:p>
        </w:tc>
      </w:tr>
      <w:tr w14:paraId="3D676942">
        <w:trPr>
          <w:trHeight w:val="336" w:hRule="atLeast"/>
        </w:trPr>
        <w:tc>
          <w:tcPr>
            <w:tcW w:w="2018" w:type="pct"/>
            <w:tcBorders>
              <w:top w:val="nil"/>
              <w:left w:val="nil"/>
              <w:bottom w:val="nil"/>
              <w:right w:val="nil"/>
            </w:tcBorders>
            <w:shd w:val="clear" w:color="auto" w:fill="auto"/>
            <w:noWrap/>
            <w:vAlign w:val="bottom"/>
          </w:tcPr>
          <w:p w14:paraId="685775E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Index year, median (IQR)</w:t>
            </w:r>
          </w:p>
        </w:tc>
        <w:tc>
          <w:tcPr>
            <w:tcW w:w="1545" w:type="pct"/>
            <w:tcBorders>
              <w:top w:val="nil"/>
              <w:left w:val="nil"/>
              <w:bottom w:val="nil"/>
              <w:right w:val="nil"/>
            </w:tcBorders>
            <w:shd w:val="clear" w:color="auto" w:fill="auto"/>
            <w:noWrap/>
            <w:vAlign w:val="bottom"/>
          </w:tcPr>
          <w:p w14:paraId="1C451CB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2014 (2010 to 2018)</w:t>
            </w:r>
          </w:p>
        </w:tc>
        <w:tc>
          <w:tcPr>
            <w:tcW w:w="1435" w:type="pct"/>
            <w:tcBorders>
              <w:top w:val="nil"/>
              <w:left w:val="nil"/>
              <w:bottom w:val="nil"/>
              <w:right w:val="nil"/>
            </w:tcBorders>
            <w:shd w:val="clear" w:color="auto" w:fill="auto"/>
            <w:noWrap/>
            <w:vAlign w:val="bottom"/>
          </w:tcPr>
          <w:p w14:paraId="66D132F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2015 (2010 to 2018)</w:t>
            </w:r>
          </w:p>
        </w:tc>
      </w:tr>
      <w:tr w14:paraId="5207671B">
        <w:trPr>
          <w:trHeight w:val="336" w:hRule="atLeast"/>
        </w:trPr>
        <w:tc>
          <w:tcPr>
            <w:tcW w:w="2018" w:type="pct"/>
            <w:tcBorders>
              <w:top w:val="nil"/>
              <w:left w:val="nil"/>
              <w:bottom w:val="nil"/>
              <w:right w:val="nil"/>
            </w:tcBorders>
            <w:shd w:val="clear" w:color="auto" w:fill="auto"/>
            <w:noWrap/>
            <w:vAlign w:val="bottom"/>
          </w:tcPr>
          <w:p w14:paraId="2190F88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Age, median (IQR), y</w:t>
            </w:r>
          </w:p>
        </w:tc>
        <w:tc>
          <w:tcPr>
            <w:tcW w:w="1545" w:type="pct"/>
            <w:tcBorders>
              <w:top w:val="nil"/>
              <w:left w:val="nil"/>
              <w:bottom w:val="nil"/>
              <w:right w:val="nil"/>
            </w:tcBorders>
            <w:shd w:val="clear" w:color="auto" w:fill="auto"/>
            <w:noWrap/>
            <w:vAlign w:val="bottom"/>
          </w:tcPr>
          <w:p w14:paraId="5867C05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44.3 (40.8 to 48.3)</w:t>
            </w:r>
          </w:p>
        </w:tc>
        <w:tc>
          <w:tcPr>
            <w:tcW w:w="1435" w:type="pct"/>
            <w:tcBorders>
              <w:top w:val="nil"/>
              <w:left w:val="nil"/>
              <w:bottom w:val="nil"/>
              <w:right w:val="nil"/>
            </w:tcBorders>
            <w:shd w:val="clear" w:color="auto" w:fill="auto"/>
            <w:noWrap/>
            <w:vAlign w:val="bottom"/>
          </w:tcPr>
          <w:p w14:paraId="2606F1F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45.4 (40.5 to 48.7)</w:t>
            </w:r>
          </w:p>
        </w:tc>
      </w:tr>
      <w:tr w14:paraId="6D8C40CD">
        <w:trPr>
          <w:trHeight w:val="336" w:hRule="atLeast"/>
        </w:trPr>
        <w:tc>
          <w:tcPr>
            <w:tcW w:w="2018" w:type="pct"/>
            <w:tcBorders>
              <w:top w:val="nil"/>
              <w:left w:val="nil"/>
              <w:bottom w:val="nil"/>
              <w:right w:val="nil"/>
            </w:tcBorders>
            <w:shd w:val="clear" w:color="auto" w:fill="auto"/>
            <w:noWrap/>
            <w:vAlign w:val="bottom"/>
          </w:tcPr>
          <w:p w14:paraId="7F9F76F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Body mass index, median (IQR)</w:t>
            </w:r>
          </w:p>
        </w:tc>
        <w:tc>
          <w:tcPr>
            <w:tcW w:w="1545" w:type="pct"/>
            <w:tcBorders>
              <w:top w:val="nil"/>
              <w:left w:val="nil"/>
              <w:bottom w:val="nil"/>
              <w:right w:val="nil"/>
            </w:tcBorders>
            <w:shd w:val="clear" w:color="auto" w:fill="auto"/>
            <w:noWrap/>
            <w:vAlign w:val="bottom"/>
          </w:tcPr>
          <w:p w14:paraId="62AA28E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44.8 (40.4 to 50.4)</w:t>
            </w:r>
          </w:p>
        </w:tc>
        <w:tc>
          <w:tcPr>
            <w:tcW w:w="1435" w:type="pct"/>
            <w:tcBorders>
              <w:top w:val="nil"/>
              <w:left w:val="nil"/>
              <w:bottom w:val="nil"/>
              <w:right w:val="nil"/>
            </w:tcBorders>
            <w:shd w:val="clear" w:color="auto" w:fill="auto"/>
            <w:noWrap/>
            <w:vAlign w:val="bottom"/>
          </w:tcPr>
          <w:p w14:paraId="7E922C8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38.6 (36.5 to 42.1)</w:t>
            </w:r>
          </w:p>
        </w:tc>
      </w:tr>
      <w:tr w14:paraId="640D3D66">
        <w:trPr>
          <w:trHeight w:val="336" w:hRule="atLeast"/>
        </w:trPr>
        <w:tc>
          <w:tcPr>
            <w:tcW w:w="2018" w:type="pct"/>
            <w:tcBorders>
              <w:top w:val="nil"/>
              <w:left w:val="nil"/>
              <w:bottom w:val="nil"/>
              <w:right w:val="nil"/>
            </w:tcBorders>
            <w:shd w:val="clear" w:color="auto" w:fill="auto"/>
            <w:noWrap/>
            <w:vAlign w:val="bottom"/>
          </w:tcPr>
          <w:p w14:paraId="06AC49D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BMI category, No. (%) </w:t>
            </w:r>
          </w:p>
        </w:tc>
        <w:tc>
          <w:tcPr>
            <w:tcW w:w="1545" w:type="pct"/>
            <w:tcBorders>
              <w:top w:val="nil"/>
              <w:left w:val="nil"/>
              <w:bottom w:val="nil"/>
              <w:right w:val="nil"/>
            </w:tcBorders>
            <w:shd w:val="clear" w:color="auto" w:fill="auto"/>
            <w:noWrap/>
            <w:vAlign w:val="bottom"/>
          </w:tcPr>
          <w:p w14:paraId="42276D50">
            <w:pPr>
              <w:rPr>
                <w:rFonts w:hint="default" w:ascii="Times New Roman Regular" w:hAnsi="Times New Roman Regular" w:eastAsia="Times New Roman Regular" w:cs="Times New Roman Regular"/>
                <w:i w:val="0"/>
                <w:iCs w:val="0"/>
                <w:color w:val="000000"/>
                <w:sz w:val="18"/>
                <w:szCs w:val="18"/>
                <w:u w:val="none"/>
              </w:rPr>
            </w:pPr>
          </w:p>
        </w:tc>
        <w:tc>
          <w:tcPr>
            <w:tcW w:w="1435" w:type="pct"/>
            <w:tcBorders>
              <w:top w:val="nil"/>
              <w:left w:val="nil"/>
              <w:bottom w:val="nil"/>
              <w:right w:val="nil"/>
            </w:tcBorders>
            <w:shd w:val="clear" w:color="auto" w:fill="auto"/>
            <w:noWrap/>
            <w:vAlign w:val="bottom"/>
          </w:tcPr>
          <w:p w14:paraId="799E5B92">
            <w:pPr>
              <w:rPr>
                <w:rFonts w:hint="default" w:ascii="Times New Roman Regular" w:hAnsi="Times New Roman Regular" w:eastAsia="Times New Roman Regular" w:cs="Times New Roman Regular"/>
                <w:i w:val="0"/>
                <w:iCs w:val="0"/>
                <w:color w:val="000000"/>
                <w:sz w:val="18"/>
                <w:szCs w:val="18"/>
                <w:u w:val="none"/>
              </w:rPr>
            </w:pPr>
          </w:p>
        </w:tc>
      </w:tr>
      <w:tr w14:paraId="1494A2AA">
        <w:trPr>
          <w:trHeight w:val="336" w:hRule="atLeast"/>
        </w:trPr>
        <w:tc>
          <w:tcPr>
            <w:tcW w:w="2018" w:type="pct"/>
            <w:tcBorders>
              <w:top w:val="nil"/>
              <w:left w:val="nil"/>
              <w:bottom w:val="nil"/>
              <w:right w:val="nil"/>
            </w:tcBorders>
            <w:shd w:val="clear" w:color="auto" w:fill="auto"/>
            <w:noWrap/>
            <w:vAlign w:val="bottom"/>
          </w:tcPr>
          <w:p w14:paraId="50609BA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35-39.9</w:t>
            </w:r>
          </w:p>
        </w:tc>
        <w:tc>
          <w:tcPr>
            <w:tcW w:w="1545" w:type="pct"/>
            <w:tcBorders>
              <w:top w:val="nil"/>
              <w:left w:val="nil"/>
              <w:bottom w:val="nil"/>
              <w:right w:val="nil"/>
            </w:tcBorders>
            <w:shd w:val="clear" w:color="auto" w:fill="auto"/>
            <w:noWrap/>
            <w:vAlign w:val="bottom"/>
          </w:tcPr>
          <w:p w14:paraId="0F9575D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433 (5.1)</w:t>
            </w:r>
          </w:p>
        </w:tc>
        <w:tc>
          <w:tcPr>
            <w:tcW w:w="1435" w:type="pct"/>
            <w:tcBorders>
              <w:top w:val="nil"/>
              <w:left w:val="nil"/>
              <w:bottom w:val="nil"/>
              <w:right w:val="nil"/>
            </w:tcBorders>
            <w:shd w:val="clear" w:color="auto" w:fill="auto"/>
            <w:noWrap/>
            <w:vAlign w:val="bottom"/>
          </w:tcPr>
          <w:p w14:paraId="2CC3A59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1400 (0.8)</w:t>
            </w:r>
          </w:p>
        </w:tc>
      </w:tr>
      <w:tr w14:paraId="16B9EFC8">
        <w:trPr>
          <w:trHeight w:val="336" w:hRule="atLeast"/>
        </w:trPr>
        <w:tc>
          <w:tcPr>
            <w:tcW w:w="2018" w:type="pct"/>
            <w:tcBorders>
              <w:top w:val="nil"/>
              <w:left w:val="nil"/>
              <w:bottom w:val="nil"/>
              <w:right w:val="nil"/>
            </w:tcBorders>
            <w:shd w:val="clear" w:color="auto" w:fill="auto"/>
            <w:noWrap/>
            <w:vAlign w:val="bottom"/>
          </w:tcPr>
          <w:p w14:paraId="7945D97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40-44.9</w:t>
            </w:r>
          </w:p>
        </w:tc>
        <w:tc>
          <w:tcPr>
            <w:tcW w:w="1545" w:type="pct"/>
            <w:tcBorders>
              <w:top w:val="nil"/>
              <w:left w:val="nil"/>
              <w:bottom w:val="nil"/>
              <w:right w:val="nil"/>
            </w:tcBorders>
            <w:shd w:val="clear" w:color="auto" w:fill="auto"/>
            <w:noWrap/>
            <w:vAlign w:val="bottom"/>
          </w:tcPr>
          <w:p w14:paraId="1A6F195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1919 (22.6)</w:t>
            </w:r>
          </w:p>
        </w:tc>
        <w:tc>
          <w:tcPr>
            <w:tcW w:w="1435" w:type="pct"/>
            <w:tcBorders>
              <w:top w:val="nil"/>
              <w:left w:val="nil"/>
              <w:bottom w:val="nil"/>
              <w:right w:val="nil"/>
            </w:tcBorders>
            <w:shd w:val="clear" w:color="auto" w:fill="auto"/>
            <w:noWrap/>
            <w:vAlign w:val="bottom"/>
          </w:tcPr>
          <w:p w14:paraId="09A254C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106561 (61.5)</w:t>
            </w:r>
          </w:p>
        </w:tc>
      </w:tr>
      <w:tr w14:paraId="197D3D65">
        <w:trPr>
          <w:trHeight w:val="336" w:hRule="atLeast"/>
        </w:trPr>
        <w:tc>
          <w:tcPr>
            <w:tcW w:w="2018" w:type="pct"/>
            <w:tcBorders>
              <w:top w:val="nil"/>
              <w:left w:val="nil"/>
              <w:bottom w:val="nil"/>
              <w:right w:val="nil"/>
            </w:tcBorders>
            <w:shd w:val="clear" w:color="auto" w:fill="auto"/>
            <w:noWrap/>
            <w:vAlign w:val="bottom"/>
          </w:tcPr>
          <w:p w14:paraId="17C7CBC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45-49.9</w:t>
            </w:r>
          </w:p>
        </w:tc>
        <w:tc>
          <w:tcPr>
            <w:tcW w:w="1545" w:type="pct"/>
            <w:tcBorders>
              <w:top w:val="nil"/>
              <w:left w:val="nil"/>
              <w:bottom w:val="nil"/>
              <w:right w:val="nil"/>
            </w:tcBorders>
            <w:shd w:val="clear" w:color="auto" w:fill="auto"/>
            <w:noWrap/>
            <w:vAlign w:val="bottom"/>
          </w:tcPr>
          <w:p w14:paraId="7353B46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2392 (28.2)</w:t>
            </w:r>
          </w:p>
        </w:tc>
        <w:tc>
          <w:tcPr>
            <w:tcW w:w="1435" w:type="pct"/>
            <w:tcBorders>
              <w:top w:val="nil"/>
              <w:left w:val="nil"/>
              <w:bottom w:val="nil"/>
              <w:right w:val="nil"/>
            </w:tcBorders>
            <w:shd w:val="clear" w:color="auto" w:fill="auto"/>
            <w:noWrap/>
            <w:vAlign w:val="bottom"/>
          </w:tcPr>
          <w:p w14:paraId="2C53387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42910 (24.8)</w:t>
            </w:r>
          </w:p>
        </w:tc>
      </w:tr>
      <w:tr w14:paraId="63DCCD73">
        <w:trPr>
          <w:trHeight w:val="336" w:hRule="atLeast"/>
        </w:trPr>
        <w:tc>
          <w:tcPr>
            <w:tcW w:w="2018" w:type="pct"/>
            <w:tcBorders>
              <w:top w:val="nil"/>
              <w:left w:val="nil"/>
              <w:bottom w:val="nil"/>
              <w:right w:val="nil"/>
            </w:tcBorders>
            <w:shd w:val="clear" w:color="auto" w:fill="auto"/>
            <w:noWrap/>
            <w:vAlign w:val="bottom"/>
          </w:tcPr>
          <w:p w14:paraId="4535192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50-54.9</w:t>
            </w:r>
          </w:p>
        </w:tc>
        <w:tc>
          <w:tcPr>
            <w:tcW w:w="1545" w:type="pct"/>
            <w:tcBorders>
              <w:top w:val="nil"/>
              <w:left w:val="nil"/>
              <w:bottom w:val="nil"/>
              <w:right w:val="nil"/>
            </w:tcBorders>
            <w:shd w:val="clear" w:color="auto" w:fill="auto"/>
            <w:noWrap/>
            <w:vAlign w:val="bottom"/>
          </w:tcPr>
          <w:p w14:paraId="591DD76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1909 (22.5)</w:t>
            </w:r>
          </w:p>
        </w:tc>
        <w:tc>
          <w:tcPr>
            <w:tcW w:w="1435" w:type="pct"/>
            <w:tcBorders>
              <w:top w:val="nil"/>
              <w:left w:val="nil"/>
              <w:bottom w:val="nil"/>
              <w:right w:val="nil"/>
            </w:tcBorders>
            <w:shd w:val="clear" w:color="auto" w:fill="auto"/>
            <w:noWrap/>
            <w:vAlign w:val="bottom"/>
          </w:tcPr>
          <w:p w14:paraId="2A8CFFF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15386 (8.9)</w:t>
            </w:r>
          </w:p>
        </w:tc>
      </w:tr>
      <w:tr w14:paraId="086D2B26">
        <w:trPr>
          <w:trHeight w:val="336" w:hRule="atLeast"/>
        </w:trPr>
        <w:tc>
          <w:tcPr>
            <w:tcW w:w="2018" w:type="pct"/>
            <w:tcBorders>
              <w:top w:val="nil"/>
              <w:left w:val="nil"/>
              <w:bottom w:val="nil"/>
              <w:right w:val="nil"/>
            </w:tcBorders>
            <w:shd w:val="clear" w:color="auto" w:fill="auto"/>
            <w:noWrap/>
            <w:vAlign w:val="bottom"/>
          </w:tcPr>
          <w:p w14:paraId="168D003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55-59.9</w:t>
            </w:r>
          </w:p>
        </w:tc>
        <w:tc>
          <w:tcPr>
            <w:tcW w:w="1545" w:type="pct"/>
            <w:tcBorders>
              <w:top w:val="nil"/>
              <w:left w:val="nil"/>
              <w:bottom w:val="nil"/>
              <w:right w:val="nil"/>
            </w:tcBorders>
            <w:shd w:val="clear" w:color="auto" w:fill="auto"/>
            <w:noWrap/>
            <w:vAlign w:val="bottom"/>
          </w:tcPr>
          <w:p w14:paraId="63F4118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1253 (14.8)</w:t>
            </w:r>
          </w:p>
        </w:tc>
        <w:tc>
          <w:tcPr>
            <w:tcW w:w="1435" w:type="pct"/>
            <w:tcBorders>
              <w:top w:val="nil"/>
              <w:left w:val="nil"/>
              <w:bottom w:val="nil"/>
              <w:right w:val="nil"/>
            </w:tcBorders>
            <w:shd w:val="clear" w:color="auto" w:fill="auto"/>
            <w:noWrap/>
            <w:vAlign w:val="bottom"/>
          </w:tcPr>
          <w:p w14:paraId="4FFEF62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5325 (3.1)</w:t>
            </w:r>
          </w:p>
        </w:tc>
      </w:tr>
      <w:tr w14:paraId="3F787733">
        <w:trPr>
          <w:trHeight w:val="336" w:hRule="atLeast"/>
        </w:trPr>
        <w:tc>
          <w:tcPr>
            <w:tcW w:w="2018" w:type="pct"/>
            <w:tcBorders>
              <w:top w:val="nil"/>
              <w:left w:val="nil"/>
              <w:bottom w:val="nil"/>
              <w:right w:val="nil"/>
            </w:tcBorders>
            <w:shd w:val="clear" w:color="auto" w:fill="auto"/>
            <w:noWrap/>
            <w:vAlign w:val="bottom"/>
          </w:tcPr>
          <w:p w14:paraId="33B4AD1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60-80</w:t>
            </w:r>
          </w:p>
        </w:tc>
        <w:tc>
          <w:tcPr>
            <w:tcW w:w="1545" w:type="pct"/>
            <w:tcBorders>
              <w:top w:val="nil"/>
              <w:left w:val="nil"/>
              <w:bottom w:val="nil"/>
              <w:right w:val="nil"/>
            </w:tcBorders>
            <w:shd w:val="clear" w:color="auto" w:fill="auto"/>
            <w:noWrap/>
            <w:vAlign w:val="bottom"/>
          </w:tcPr>
          <w:p w14:paraId="050B357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580 (6.8)</w:t>
            </w:r>
          </w:p>
        </w:tc>
        <w:tc>
          <w:tcPr>
            <w:tcW w:w="1435" w:type="pct"/>
            <w:tcBorders>
              <w:top w:val="nil"/>
              <w:left w:val="nil"/>
              <w:bottom w:val="nil"/>
              <w:right w:val="nil"/>
            </w:tcBorders>
            <w:shd w:val="clear" w:color="auto" w:fill="auto"/>
            <w:noWrap/>
            <w:vAlign w:val="bottom"/>
          </w:tcPr>
          <w:p w14:paraId="40E92E6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1778 (1.0)</w:t>
            </w:r>
          </w:p>
        </w:tc>
      </w:tr>
      <w:tr w14:paraId="56B59F97">
        <w:trPr>
          <w:trHeight w:val="336" w:hRule="atLeast"/>
        </w:trPr>
        <w:tc>
          <w:tcPr>
            <w:tcW w:w="2018" w:type="pct"/>
            <w:tcBorders>
              <w:top w:val="nil"/>
              <w:left w:val="nil"/>
              <w:bottom w:val="nil"/>
              <w:right w:val="nil"/>
            </w:tcBorders>
            <w:shd w:val="clear" w:color="auto" w:fill="auto"/>
            <w:noWrap/>
            <w:vAlign w:val="bottom"/>
          </w:tcPr>
          <w:p w14:paraId="29E36B7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Sex, No. (%) </w:t>
            </w:r>
          </w:p>
        </w:tc>
        <w:tc>
          <w:tcPr>
            <w:tcW w:w="1545" w:type="pct"/>
            <w:tcBorders>
              <w:top w:val="nil"/>
              <w:left w:val="nil"/>
              <w:bottom w:val="nil"/>
              <w:right w:val="nil"/>
            </w:tcBorders>
            <w:shd w:val="clear" w:color="auto" w:fill="auto"/>
            <w:noWrap/>
            <w:vAlign w:val="bottom"/>
          </w:tcPr>
          <w:p w14:paraId="440D6AEF">
            <w:pPr>
              <w:rPr>
                <w:rFonts w:hint="default" w:ascii="Times New Roman Regular" w:hAnsi="Times New Roman Regular" w:eastAsia="Times New Roman Regular" w:cs="Times New Roman Regular"/>
                <w:i w:val="0"/>
                <w:iCs w:val="0"/>
                <w:color w:val="000000"/>
                <w:sz w:val="18"/>
                <w:szCs w:val="18"/>
                <w:u w:val="none"/>
              </w:rPr>
            </w:pPr>
          </w:p>
        </w:tc>
        <w:tc>
          <w:tcPr>
            <w:tcW w:w="1435" w:type="pct"/>
            <w:tcBorders>
              <w:top w:val="nil"/>
              <w:left w:val="nil"/>
              <w:bottom w:val="nil"/>
              <w:right w:val="nil"/>
            </w:tcBorders>
            <w:shd w:val="clear" w:color="auto" w:fill="auto"/>
            <w:noWrap/>
            <w:vAlign w:val="bottom"/>
          </w:tcPr>
          <w:p w14:paraId="2160FA37">
            <w:pPr>
              <w:rPr>
                <w:rFonts w:hint="default" w:ascii="Times New Roman Regular" w:hAnsi="Times New Roman Regular" w:eastAsia="Times New Roman Regular" w:cs="Times New Roman Regular"/>
                <w:i w:val="0"/>
                <w:iCs w:val="0"/>
                <w:color w:val="000000"/>
                <w:sz w:val="18"/>
                <w:szCs w:val="18"/>
                <w:u w:val="none"/>
              </w:rPr>
            </w:pPr>
          </w:p>
        </w:tc>
      </w:tr>
      <w:tr w14:paraId="2975BAA8">
        <w:trPr>
          <w:trHeight w:val="336" w:hRule="atLeast"/>
        </w:trPr>
        <w:tc>
          <w:tcPr>
            <w:tcW w:w="2018" w:type="pct"/>
            <w:tcBorders>
              <w:top w:val="nil"/>
              <w:left w:val="nil"/>
              <w:bottom w:val="nil"/>
              <w:right w:val="nil"/>
            </w:tcBorders>
            <w:shd w:val="clear" w:color="auto" w:fill="auto"/>
            <w:noWrap/>
            <w:vAlign w:val="bottom"/>
          </w:tcPr>
          <w:p w14:paraId="0FE250E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Women</w:t>
            </w:r>
          </w:p>
        </w:tc>
        <w:tc>
          <w:tcPr>
            <w:tcW w:w="1545" w:type="pct"/>
            <w:tcBorders>
              <w:top w:val="nil"/>
              <w:left w:val="nil"/>
              <w:bottom w:val="nil"/>
              <w:right w:val="nil"/>
            </w:tcBorders>
            <w:shd w:val="clear" w:color="auto" w:fill="auto"/>
            <w:noWrap/>
            <w:vAlign w:val="bottom"/>
          </w:tcPr>
          <w:p w14:paraId="6BF9212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6139 (72.3)</w:t>
            </w:r>
          </w:p>
        </w:tc>
        <w:tc>
          <w:tcPr>
            <w:tcW w:w="1435" w:type="pct"/>
            <w:tcBorders>
              <w:top w:val="nil"/>
              <w:left w:val="nil"/>
              <w:bottom w:val="nil"/>
              <w:right w:val="nil"/>
            </w:tcBorders>
            <w:shd w:val="clear" w:color="auto" w:fill="auto"/>
            <w:noWrap/>
            <w:vAlign w:val="bottom"/>
          </w:tcPr>
          <w:p w14:paraId="6D87B95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102326 (59.0)</w:t>
            </w:r>
          </w:p>
        </w:tc>
      </w:tr>
      <w:tr w14:paraId="1AD05B57">
        <w:trPr>
          <w:trHeight w:val="336" w:hRule="atLeast"/>
        </w:trPr>
        <w:tc>
          <w:tcPr>
            <w:tcW w:w="2018" w:type="pct"/>
            <w:tcBorders>
              <w:top w:val="nil"/>
              <w:left w:val="nil"/>
              <w:bottom w:val="nil"/>
              <w:right w:val="nil"/>
            </w:tcBorders>
            <w:shd w:val="clear" w:color="auto" w:fill="auto"/>
            <w:noWrap/>
            <w:vAlign w:val="bottom"/>
          </w:tcPr>
          <w:p w14:paraId="50FC7AC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Men</w:t>
            </w:r>
          </w:p>
        </w:tc>
        <w:tc>
          <w:tcPr>
            <w:tcW w:w="1545" w:type="pct"/>
            <w:tcBorders>
              <w:top w:val="nil"/>
              <w:left w:val="nil"/>
              <w:bottom w:val="nil"/>
              <w:right w:val="nil"/>
            </w:tcBorders>
            <w:shd w:val="clear" w:color="auto" w:fill="auto"/>
            <w:noWrap/>
            <w:vAlign w:val="bottom"/>
          </w:tcPr>
          <w:p w14:paraId="6B68A38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2347 (27.7)</w:t>
            </w:r>
          </w:p>
        </w:tc>
        <w:tc>
          <w:tcPr>
            <w:tcW w:w="1435" w:type="pct"/>
            <w:tcBorders>
              <w:top w:val="nil"/>
              <w:left w:val="nil"/>
              <w:bottom w:val="nil"/>
              <w:right w:val="nil"/>
            </w:tcBorders>
            <w:shd w:val="clear" w:color="auto" w:fill="auto"/>
            <w:noWrap/>
            <w:vAlign w:val="bottom"/>
          </w:tcPr>
          <w:p w14:paraId="7E85E3B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71034 (41.0)</w:t>
            </w:r>
          </w:p>
        </w:tc>
      </w:tr>
      <w:tr w14:paraId="15F05ABF">
        <w:trPr>
          <w:trHeight w:val="336" w:hRule="atLeast"/>
        </w:trPr>
        <w:tc>
          <w:tcPr>
            <w:tcW w:w="2018" w:type="pct"/>
            <w:tcBorders>
              <w:top w:val="nil"/>
              <w:left w:val="nil"/>
              <w:bottom w:val="nil"/>
              <w:right w:val="nil"/>
            </w:tcBorders>
            <w:shd w:val="clear" w:color="auto" w:fill="auto"/>
            <w:noWrap/>
            <w:vAlign w:val="bottom"/>
          </w:tcPr>
          <w:p w14:paraId="34713FF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Ethnicity, No. (%) </w:t>
            </w:r>
          </w:p>
        </w:tc>
        <w:tc>
          <w:tcPr>
            <w:tcW w:w="1545" w:type="pct"/>
            <w:tcBorders>
              <w:top w:val="nil"/>
              <w:left w:val="nil"/>
              <w:bottom w:val="nil"/>
              <w:right w:val="nil"/>
            </w:tcBorders>
            <w:shd w:val="clear" w:color="auto" w:fill="auto"/>
            <w:noWrap/>
            <w:vAlign w:val="bottom"/>
          </w:tcPr>
          <w:p w14:paraId="04CEA204">
            <w:pPr>
              <w:rPr>
                <w:rFonts w:hint="default" w:ascii="Times New Roman Regular" w:hAnsi="Times New Roman Regular" w:eastAsia="Times New Roman Regular" w:cs="Times New Roman Regular"/>
                <w:i w:val="0"/>
                <w:iCs w:val="0"/>
                <w:color w:val="000000"/>
                <w:sz w:val="18"/>
                <w:szCs w:val="18"/>
                <w:u w:val="none"/>
              </w:rPr>
            </w:pPr>
          </w:p>
        </w:tc>
        <w:tc>
          <w:tcPr>
            <w:tcW w:w="1435" w:type="pct"/>
            <w:tcBorders>
              <w:top w:val="nil"/>
              <w:left w:val="nil"/>
              <w:bottom w:val="nil"/>
              <w:right w:val="nil"/>
            </w:tcBorders>
            <w:shd w:val="clear" w:color="auto" w:fill="auto"/>
            <w:noWrap/>
            <w:vAlign w:val="bottom"/>
          </w:tcPr>
          <w:p w14:paraId="507670B4">
            <w:pPr>
              <w:rPr>
                <w:rFonts w:hint="default" w:ascii="Times New Roman Regular" w:hAnsi="Times New Roman Regular" w:eastAsia="Times New Roman Regular" w:cs="Times New Roman Regular"/>
                <w:i w:val="0"/>
                <w:iCs w:val="0"/>
                <w:color w:val="000000"/>
                <w:sz w:val="18"/>
                <w:szCs w:val="18"/>
                <w:u w:val="none"/>
              </w:rPr>
            </w:pPr>
          </w:p>
        </w:tc>
      </w:tr>
      <w:tr w14:paraId="6AEE6D1F">
        <w:trPr>
          <w:trHeight w:val="336" w:hRule="atLeast"/>
        </w:trPr>
        <w:tc>
          <w:tcPr>
            <w:tcW w:w="2018" w:type="pct"/>
            <w:tcBorders>
              <w:top w:val="nil"/>
              <w:left w:val="nil"/>
              <w:bottom w:val="nil"/>
              <w:right w:val="nil"/>
            </w:tcBorders>
            <w:shd w:val="clear" w:color="auto" w:fill="auto"/>
            <w:noWrap/>
            <w:vAlign w:val="bottom"/>
          </w:tcPr>
          <w:p w14:paraId="222077E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White</w:t>
            </w:r>
          </w:p>
        </w:tc>
        <w:tc>
          <w:tcPr>
            <w:tcW w:w="1545" w:type="pct"/>
            <w:tcBorders>
              <w:top w:val="nil"/>
              <w:left w:val="nil"/>
              <w:bottom w:val="nil"/>
              <w:right w:val="nil"/>
            </w:tcBorders>
            <w:shd w:val="clear" w:color="auto" w:fill="auto"/>
            <w:noWrap/>
            <w:vAlign w:val="bottom"/>
          </w:tcPr>
          <w:p w14:paraId="6F8438C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6051 (71.3)</w:t>
            </w:r>
          </w:p>
        </w:tc>
        <w:tc>
          <w:tcPr>
            <w:tcW w:w="1435" w:type="pct"/>
            <w:tcBorders>
              <w:top w:val="nil"/>
              <w:left w:val="nil"/>
              <w:bottom w:val="nil"/>
              <w:right w:val="nil"/>
            </w:tcBorders>
            <w:shd w:val="clear" w:color="auto" w:fill="auto"/>
            <w:noWrap/>
            <w:vAlign w:val="bottom"/>
          </w:tcPr>
          <w:p w14:paraId="481142A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126012 (72.7)</w:t>
            </w:r>
          </w:p>
        </w:tc>
      </w:tr>
      <w:tr w14:paraId="6A3AEE25">
        <w:trPr>
          <w:trHeight w:val="336" w:hRule="atLeast"/>
        </w:trPr>
        <w:tc>
          <w:tcPr>
            <w:tcW w:w="2018" w:type="pct"/>
            <w:tcBorders>
              <w:top w:val="nil"/>
              <w:left w:val="nil"/>
              <w:bottom w:val="nil"/>
              <w:right w:val="nil"/>
            </w:tcBorders>
            <w:shd w:val="clear" w:color="auto" w:fill="auto"/>
            <w:noWrap/>
            <w:vAlign w:val="bottom"/>
          </w:tcPr>
          <w:p w14:paraId="378E247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Asian</w:t>
            </w:r>
          </w:p>
        </w:tc>
        <w:tc>
          <w:tcPr>
            <w:tcW w:w="1545" w:type="pct"/>
            <w:tcBorders>
              <w:top w:val="nil"/>
              <w:left w:val="nil"/>
              <w:bottom w:val="nil"/>
              <w:right w:val="nil"/>
            </w:tcBorders>
            <w:shd w:val="clear" w:color="auto" w:fill="auto"/>
            <w:noWrap/>
            <w:vAlign w:val="bottom"/>
          </w:tcPr>
          <w:p w14:paraId="74F2C76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388 (4.6)</w:t>
            </w:r>
          </w:p>
        </w:tc>
        <w:tc>
          <w:tcPr>
            <w:tcW w:w="1435" w:type="pct"/>
            <w:tcBorders>
              <w:top w:val="nil"/>
              <w:left w:val="nil"/>
              <w:bottom w:val="nil"/>
              <w:right w:val="nil"/>
            </w:tcBorders>
            <w:shd w:val="clear" w:color="auto" w:fill="auto"/>
            <w:noWrap/>
            <w:vAlign w:val="bottom"/>
          </w:tcPr>
          <w:p w14:paraId="1B8BCA8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11213 (6.5)</w:t>
            </w:r>
          </w:p>
        </w:tc>
      </w:tr>
      <w:tr w14:paraId="0E26301F">
        <w:trPr>
          <w:trHeight w:val="336" w:hRule="atLeast"/>
        </w:trPr>
        <w:tc>
          <w:tcPr>
            <w:tcW w:w="2018" w:type="pct"/>
            <w:tcBorders>
              <w:top w:val="nil"/>
              <w:left w:val="nil"/>
              <w:bottom w:val="nil"/>
              <w:right w:val="nil"/>
            </w:tcBorders>
            <w:shd w:val="clear" w:color="auto" w:fill="auto"/>
            <w:noWrap/>
            <w:vAlign w:val="bottom"/>
          </w:tcPr>
          <w:p w14:paraId="34DED5A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Black</w:t>
            </w:r>
          </w:p>
        </w:tc>
        <w:tc>
          <w:tcPr>
            <w:tcW w:w="1545" w:type="pct"/>
            <w:tcBorders>
              <w:top w:val="nil"/>
              <w:left w:val="nil"/>
              <w:bottom w:val="nil"/>
              <w:right w:val="nil"/>
            </w:tcBorders>
            <w:shd w:val="clear" w:color="auto" w:fill="auto"/>
            <w:noWrap/>
            <w:vAlign w:val="bottom"/>
          </w:tcPr>
          <w:p w14:paraId="5C8E6A2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696 (8.2)</w:t>
            </w:r>
          </w:p>
        </w:tc>
        <w:tc>
          <w:tcPr>
            <w:tcW w:w="1435" w:type="pct"/>
            <w:tcBorders>
              <w:top w:val="nil"/>
              <w:left w:val="nil"/>
              <w:bottom w:val="nil"/>
              <w:right w:val="nil"/>
            </w:tcBorders>
            <w:shd w:val="clear" w:color="auto" w:fill="auto"/>
            <w:noWrap/>
            <w:vAlign w:val="bottom"/>
          </w:tcPr>
          <w:p w14:paraId="66908CF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13920 (8.0)</w:t>
            </w:r>
          </w:p>
        </w:tc>
      </w:tr>
      <w:tr w14:paraId="3A85C266">
        <w:trPr>
          <w:trHeight w:val="336" w:hRule="atLeast"/>
        </w:trPr>
        <w:tc>
          <w:tcPr>
            <w:tcW w:w="2018" w:type="pct"/>
            <w:tcBorders>
              <w:top w:val="nil"/>
              <w:left w:val="nil"/>
              <w:bottom w:val="nil"/>
              <w:right w:val="nil"/>
            </w:tcBorders>
            <w:shd w:val="clear" w:color="auto" w:fill="auto"/>
            <w:noWrap/>
            <w:vAlign w:val="bottom"/>
          </w:tcPr>
          <w:p w14:paraId="309ADDE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Other</w:t>
            </w:r>
          </w:p>
        </w:tc>
        <w:tc>
          <w:tcPr>
            <w:tcW w:w="1545" w:type="pct"/>
            <w:tcBorders>
              <w:top w:val="nil"/>
              <w:left w:val="nil"/>
              <w:bottom w:val="nil"/>
              <w:right w:val="nil"/>
            </w:tcBorders>
            <w:shd w:val="clear" w:color="auto" w:fill="auto"/>
            <w:noWrap/>
            <w:vAlign w:val="bottom"/>
          </w:tcPr>
          <w:p w14:paraId="60FCD06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161 (1.9)</w:t>
            </w:r>
          </w:p>
        </w:tc>
        <w:tc>
          <w:tcPr>
            <w:tcW w:w="1435" w:type="pct"/>
            <w:tcBorders>
              <w:top w:val="nil"/>
              <w:left w:val="nil"/>
              <w:bottom w:val="nil"/>
              <w:right w:val="nil"/>
            </w:tcBorders>
            <w:shd w:val="clear" w:color="auto" w:fill="auto"/>
            <w:noWrap/>
            <w:vAlign w:val="bottom"/>
          </w:tcPr>
          <w:p w14:paraId="24CE283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1610 (0.9)</w:t>
            </w:r>
          </w:p>
        </w:tc>
      </w:tr>
      <w:tr w14:paraId="7B2D57DF">
        <w:trPr>
          <w:trHeight w:val="336" w:hRule="atLeast"/>
        </w:trPr>
        <w:tc>
          <w:tcPr>
            <w:tcW w:w="2018" w:type="pct"/>
            <w:tcBorders>
              <w:top w:val="nil"/>
              <w:left w:val="nil"/>
              <w:bottom w:val="nil"/>
              <w:right w:val="nil"/>
            </w:tcBorders>
            <w:shd w:val="clear" w:color="auto" w:fill="auto"/>
            <w:noWrap/>
            <w:vAlign w:val="bottom"/>
          </w:tcPr>
          <w:p w14:paraId="1EAA9EA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Mixed</w:t>
            </w:r>
          </w:p>
        </w:tc>
        <w:tc>
          <w:tcPr>
            <w:tcW w:w="1545" w:type="pct"/>
            <w:tcBorders>
              <w:top w:val="nil"/>
              <w:left w:val="nil"/>
              <w:bottom w:val="nil"/>
              <w:right w:val="nil"/>
            </w:tcBorders>
            <w:shd w:val="clear" w:color="auto" w:fill="auto"/>
            <w:noWrap/>
            <w:vAlign w:val="bottom"/>
          </w:tcPr>
          <w:p w14:paraId="1CE1F99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158 (1.9)</w:t>
            </w:r>
          </w:p>
        </w:tc>
        <w:tc>
          <w:tcPr>
            <w:tcW w:w="1435" w:type="pct"/>
            <w:tcBorders>
              <w:top w:val="nil"/>
              <w:left w:val="nil"/>
              <w:bottom w:val="nil"/>
              <w:right w:val="nil"/>
            </w:tcBorders>
            <w:shd w:val="clear" w:color="auto" w:fill="auto"/>
            <w:noWrap/>
            <w:vAlign w:val="bottom"/>
          </w:tcPr>
          <w:p w14:paraId="16643DF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2363 (1.4)</w:t>
            </w:r>
          </w:p>
        </w:tc>
      </w:tr>
      <w:tr w14:paraId="2EC4F2EF">
        <w:trPr>
          <w:trHeight w:val="336" w:hRule="atLeast"/>
        </w:trPr>
        <w:tc>
          <w:tcPr>
            <w:tcW w:w="2018" w:type="pct"/>
            <w:tcBorders>
              <w:top w:val="nil"/>
              <w:left w:val="nil"/>
              <w:bottom w:val="nil"/>
              <w:right w:val="nil"/>
            </w:tcBorders>
            <w:shd w:val="clear" w:color="auto" w:fill="auto"/>
            <w:noWrap/>
            <w:vAlign w:val="bottom"/>
          </w:tcPr>
          <w:p w14:paraId="09CFC30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Unknown</w:t>
            </w:r>
          </w:p>
        </w:tc>
        <w:tc>
          <w:tcPr>
            <w:tcW w:w="1545" w:type="pct"/>
            <w:tcBorders>
              <w:top w:val="nil"/>
              <w:left w:val="nil"/>
              <w:bottom w:val="nil"/>
              <w:right w:val="nil"/>
            </w:tcBorders>
            <w:shd w:val="clear" w:color="auto" w:fill="auto"/>
            <w:noWrap/>
            <w:vAlign w:val="bottom"/>
          </w:tcPr>
          <w:p w14:paraId="77140A6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1032 (12.2)</w:t>
            </w:r>
          </w:p>
        </w:tc>
        <w:tc>
          <w:tcPr>
            <w:tcW w:w="1435" w:type="pct"/>
            <w:tcBorders>
              <w:top w:val="nil"/>
              <w:left w:val="nil"/>
              <w:bottom w:val="nil"/>
              <w:right w:val="nil"/>
            </w:tcBorders>
            <w:shd w:val="clear" w:color="auto" w:fill="auto"/>
            <w:noWrap/>
            <w:vAlign w:val="bottom"/>
          </w:tcPr>
          <w:p w14:paraId="221404A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18242 (10.5)</w:t>
            </w:r>
          </w:p>
        </w:tc>
      </w:tr>
      <w:tr w14:paraId="4219A3FC">
        <w:trPr>
          <w:trHeight w:val="336" w:hRule="atLeast"/>
        </w:trPr>
        <w:tc>
          <w:tcPr>
            <w:tcW w:w="2018" w:type="pct"/>
            <w:tcBorders>
              <w:top w:val="nil"/>
              <w:left w:val="nil"/>
              <w:bottom w:val="nil"/>
              <w:right w:val="nil"/>
            </w:tcBorders>
            <w:shd w:val="clear" w:color="auto" w:fill="auto"/>
            <w:noWrap/>
            <w:vAlign w:val="bottom"/>
          </w:tcPr>
          <w:p w14:paraId="68357B9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Marital Status, No. (%) </w:t>
            </w:r>
          </w:p>
        </w:tc>
        <w:tc>
          <w:tcPr>
            <w:tcW w:w="1545" w:type="pct"/>
            <w:tcBorders>
              <w:top w:val="nil"/>
              <w:left w:val="nil"/>
              <w:bottom w:val="nil"/>
              <w:right w:val="nil"/>
            </w:tcBorders>
            <w:shd w:val="clear" w:color="auto" w:fill="auto"/>
            <w:noWrap/>
            <w:vAlign w:val="bottom"/>
          </w:tcPr>
          <w:p w14:paraId="49A3AF59">
            <w:pPr>
              <w:rPr>
                <w:rFonts w:hint="default" w:ascii="Times New Roman Regular" w:hAnsi="Times New Roman Regular" w:eastAsia="Times New Roman Regular" w:cs="Times New Roman Regular"/>
                <w:i w:val="0"/>
                <w:iCs w:val="0"/>
                <w:color w:val="000000"/>
                <w:sz w:val="18"/>
                <w:szCs w:val="18"/>
                <w:u w:val="none"/>
              </w:rPr>
            </w:pPr>
          </w:p>
        </w:tc>
        <w:tc>
          <w:tcPr>
            <w:tcW w:w="1435" w:type="pct"/>
            <w:tcBorders>
              <w:top w:val="nil"/>
              <w:left w:val="nil"/>
              <w:bottom w:val="nil"/>
              <w:right w:val="nil"/>
            </w:tcBorders>
            <w:shd w:val="clear" w:color="auto" w:fill="auto"/>
            <w:noWrap/>
            <w:vAlign w:val="bottom"/>
          </w:tcPr>
          <w:p w14:paraId="6D111C85">
            <w:pPr>
              <w:rPr>
                <w:rFonts w:hint="default" w:ascii="Times New Roman Regular" w:hAnsi="Times New Roman Regular" w:eastAsia="Times New Roman Regular" w:cs="Times New Roman Regular"/>
                <w:i w:val="0"/>
                <w:iCs w:val="0"/>
                <w:color w:val="000000"/>
                <w:sz w:val="18"/>
                <w:szCs w:val="18"/>
                <w:u w:val="none"/>
              </w:rPr>
            </w:pPr>
          </w:p>
        </w:tc>
      </w:tr>
      <w:tr w14:paraId="11B9EBAF">
        <w:trPr>
          <w:trHeight w:val="336" w:hRule="atLeast"/>
        </w:trPr>
        <w:tc>
          <w:tcPr>
            <w:tcW w:w="2018" w:type="pct"/>
            <w:tcBorders>
              <w:top w:val="nil"/>
              <w:left w:val="nil"/>
              <w:bottom w:val="nil"/>
              <w:right w:val="nil"/>
            </w:tcBorders>
            <w:shd w:val="clear" w:color="auto" w:fill="auto"/>
            <w:noWrap/>
            <w:vAlign w:val="bottom"/>
          </w:tcPr>
          <w:p w14:paraId="20C9461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Single</w:t>
            </w:r>
          </w:p>
        </w:tc>
        <w:tc>
          <w:tcPr>
            <w:tcW w:w="1545" w:type="pct"/>
            <w:tcBorders>
              <w:top w:val="nil"/>
              <w:left w:val="nil"/>
              <w:bottom w:val="nil"/>
              <w:right w:val="nil"/>
            </w:tcBorders>
            <w:shd w:val="clear" w:color="auto" w:fill="auto"/>
            <w:noWrap/>
            <w:vAlign w:val="bottom"/>
          </w:tcPr>
          <w:p w14:paraId="1E1976B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331 (3.9)</w:t>
            </w:r>
          </w:p>
        </w:tc>
        <w:tc>
          <w:tcPr>
            <w:tcW w:w="1435" w:type="pct"/>
            <w:tcBorders>
              <w:top w:val="nil"/>
              <w:left w:val="nil"/>
              <w:bottom w:val="nil"/>
              <w:right w:val="nil"/>
            </w:tcBorders>
            <w:shd w:val="clear" w:color="auto" w:fill="auto"/>
            <w:noWrap/>
            <w:vAlign w:val="bottom"/>
          </w:tcPr>
          <w:p w14:paraId="511111A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5514 (3.2)</w:t>
            </w:r>
          </w:p>
        </w:tc>
      </w:tr>
      <w:tr w14:paraId="69F3530D">
        <w:trPr>
          <w:trHeight w:val="336" w:hRule="atLeast"/>
        </w:trPr>
        <w:tc>
          <w:tcPr>
            <w:tcW w:w="2018" w:type="pct"/>
            <w:tcBorders>
              <w:top w:val="nil"/>
              <w:left w:val="nil"/>
              <w:bottom w:val="nil"/>
              <w:right w:val="nil"/>
            </w:tcBorders>
            <w:shd w:val="clear" w:color="auto" w:fill="auto"/>
            <w:noWrap/>
            <w:vAlign w:val="bottom"/>
          </w:tcPr>
          <w:p w14:paraId="678CFBB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Married</w:t>
            </w:r>
          </w:p>
        </w:tc>
        <w:tc>
          <w:tcPr>
            <w:tcW w:w="1545" w:type="pct"/>
            <w:tcBorders>
              <w:top w:val="nil"/>
              <w:left w:val="nil"/>
              <w:bottom w:val="nil"/>
              <w:right w:val="nil"/>
            </w:tcBorders>
            <w:shd w:val="clear" w:color="auto" w:fill="auto"/>
            <w:noWrap/>
            <w:vAlign w:val="bottom"/>
          </w:tcPr>
          <w:p w14:paraId="7AE3251C">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572 (6.7)</w:t>
            </w:r>
          </w:p>
        </w:tc>
        <w:tc>
          <w:tcPr>
            <w:tcW w:w="1435" w:type="pct"/>
            <w:tcBorders>
              <w:top w:val="nil"/>
              <w:left w:val="nil"/>
              <w:bottom w:val="nil"/>
              <w:right w:val="nil"/>
            </w:tcBorders>
            <w:shd w:val="clear" w:color="auto" w:fill="auto"/>
            <w:noWrap/>
            <w:vAlign w:val="bottom"/>
          </w:tcPr>
          <w:p w14:paraId="3F95672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11692 (6.7)</w:t>
            </w:r>
          </w:p>
        </w:tc>
      </w:tr>
      <w:tr w14:paraId="6341EDE4">
        <w:trPr>
          <w:trHeight w:val="336" w:hRule="atLeast"/>
        </w:trPr>
        <w:tc>
          <w:tcPr>
            <w:tcW w:w="2018" w:type="pct"/>
            <w:tcBorders>
              <w:top w:val="nil"/>
              <w:left w:val="nil"/>
              <w:bottom w:val="nil"/>
              <w:right w:val="nil"/>
            </w:tcBorders>
            <w:shd w:val="clear" w:color="auto" w:fill="auto"/>
            <w:noWrap/>
            <w:vAlign w:val="bottom"/>
          </w:tcPr>
          <w:p w14:paraId="76CA469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Widowed</w:t>
            </w:r>
          </w:p>
        </w:tc>
        <w:tc>
          <w:tcPr>
            <w:tcW w:w="1545" w:type="pct"/>
            <w:tcBorders>
              <w:top w:val="nil"/>
              <w:left w:val="nil"/>
              <w:bottom w:val="nil"/>
              <w:right w:val="nil"/>
            </w:tcBorders>
            <w:shd w:val="clear" w:color="auto" w:fill="auto"/>
            <w:noWrap/>
            <w:vAlign w:val="bottom"/>
          </w:tcPr>
          <w:p w14:paraId="0381EEF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64 (0.8)</w:t>
            </w:r>
          </w:p>
        </w:tc>
        <w:tc>
          <w:tcPr>
            <w:tcW w:w="1435" w:type="pct"/>
            <w:tcBorders>
              <w:top w:val="nil"/>
              <w:left w:val="nil"/>
              <w:bottom w:val="nil"/>
              <w:right w:val="nil"/>
            </w:tcBorders>
            <w:shd w:val="clear" w:color="auto" w:fill="auto"/>
            <w:noWrap/>
            <w:vAlign w:val="bottom"/>
          </w:tcPr>
          <w:p w14:paraId="38D583C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1581 (0.9)</w:t>
            </w:r>
          </w:p>
        </w:tc>
      </w:tr>
      <w:tr w14:paraId="3EA84AD9">
        <w:trPr>
          <w:trHeight w:val="336" w:hRule="atLeast"/>
        </w:trPr>
        <w:tc>
          <w:tcPr>
            <w:tcW w:w="2018" w:type="pct"/>
            <w:tcBorders>
              <w:top w:val="nil"/>
              <w:left w:val="nil"/>
              <w:bottom w:val="nil"/>
              <w:right w:val="nil"/>
            </w:tcBorders>
            <w:shd w:val="clear" w:color="auto" w:fill="auto"/>
            <w:noWrap/>
            <w:vAlign w:val="bottom"/>
          </w:tcPr>
          <w:p w14:paraId="06BFB62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Divorced</w:t>
            </w:r>
          </w:p>
        </w:tc>
        <w:tc>
          <w:tcPr>
            <w:tcW w:w="1545" w:type="pct"/>
            <w:tcBorders>
              <w:top w:val="nil"/>
              <w:left w:val="nil"/>
              <w:bottom w:val="nil"/>
              <w:right w:val="nil"/>
            </w:tcBorders>
            <w:shd w:val="clear" w:color="auto" w:fill="auto"/>
            <w:noWrap/>
            <w:vAlign w:val="bottom"/>
          </w:tcPr>
          <w:p w14:paraId="6E355B1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64 (0.8)</w:t>
            </w:r>
          </w:p>
        </w:tc>
        <w:tc>
          <w:tcPr>
            <w:tcW w:w="1435" w:type="pct"/>
            <w:tcBorders>
              <w:top w:val="nil"/>
              <w:left w:val="nil"/>
              <w:bottom w:val="nil"/>
              <w:right w:val="nil"/>
            </w:tcBorders>
            <w:shd w:val="clear" w:color="auto" w:fill="auto"/>
            <w:noWrap/>
            <w:vAlign w:val="bottom"/>
          </w:tcPr>
          <w:p w14:paraId="7EB186D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1133 (0.7)</w:t>
            </w:r>
          </w:p>
        </w:tc>
      </w:tr>
      <w:tr w14:paraId="247394F5">
        <w:trPr>
          <w:trHeight w:val="336" w:hRule="atLeast"/>
        </w:trPr>
        <w:tc>
          <w:tcPr>
            <w:tcW w:w="2018" w:type="pct"/>
            <w:tcBorders>
              <w:top w:val="nil"/>
              <w:left w:val="nil"/>
              <w:bottom w:val="nil"/>
              <w:right w:val="nil"/>
            </w:tcBorders>
            <w:shd w:val="clear" w:color="auto" w:fill="auto"/>
            <w:noWrap/>
            <w:vAlign w:val="bottom"/>
          </w:tcPr>
          <w:p w14:paraId="12A10CF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Separated</w:t>
            </w:r>
          </w:p>
        </w:tc>
        <w:tc>
          <w:tcPr>
            <w:tcW w:w="1545" w:type="pct"/>
            <w:tcBorders>
              <w:top w:val="nil"/>
              <w:left w:val="nil"/>
              <w:bottom w:val="nil"/>
              <w:right w:val="nil"/>
            </w:tcBorders>
            <w:shd w:val="clear" w:color="auto" w:fill="auto"/>
            <w:noWrap/>
            <w:vAlign w:val="bottom"/>
          </w:tcPr>
          <w:p w14:paraId="6DA6816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30 (0.4)</w:t>
            </w:r>
          </w:p>
        </w:tc>
        <w:tc>
          <w:tcPr>
            <w:tcW w:w="1435" w:type="pct"/>
            <w:tcBorders>
              <w:top w:val="nil"/>
              <w:left w:val="nil"/>
              <w:bottom w:val="nil"/>
              <w:right w:val="nil"/>
            </w:tcBorders>
            <w:shd w:val="clear" w:color="auto" w:fill="auto"/>
            <w:noWrap/>
            <w:vAlign w:val="bottom"/>
          </w:tcPr>
          <w:p w14:paraId="104CFDA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523 (0.3)</w:t>
            </w:r>
          </w:p>
        </w:tc>
      </w:tr>
      <w:tr w14:paraId="5A717254">
        <w:trPr>
          <w:trHeight w:val="336" w:hRule="atLeast"/>
        </w:trPr>
        <w:tc>
          <w:tcPr>
            <w:tcW w:w="2018" w:type="pct"/>
            <w:tcBorders>
              <w:top w:val="nil"/>
              <w:left w:val="nil"/>
              <w:bottom w:val="nil"/>
              <w:right w:val="nil"/>
            </w:tcBorders>
            <w:shd w:val="clear" w:color="auto" w:fill="auto"/>
            <w:noWrap/>
            <w:vAlign w:val="bottom"/>
          </w:tcPr>
          <w:p w14:paraId="32109B2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Unknown</w:t>
            </w:r>
          </w:p>
        </w:tc>
        <w:tc>
          <w:tcPr>
            <w:tcW w:w="1545" w:type="pct"/>
            <w:tcBorders>
              <w:top w:val="nil"/>
              <w:left w:val="nil"/>
              <w:bottom w:val="nil"/>
              <w:right w:val="nil"/>
            </w:tcBorders>
            <w:shd w:val="clear" w:color="auto" w:fill="auto"/>
            <w:noWrap/>
            <w:vAlign w:val="bottom"/>
          </w:tcPr>
          <w:p w14:paraId="619C94F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7425 (87.5)</w:t>
            </w:r>
          </w:p>
        </w:tc>
        <w:tc>
          <w:tcPr>
            <w:tcW w:w="1435" w:type="pct"/>
            <w:tcBorders>
              <w:top w:val="nil"/>
              <w:left w:val="nil"/>
              <w:bottom w:val="nil"/>
              <w:right w:val="nil"/>
            </w:tcBorders>
            <w:shd w:val="clear" w:color="auto" w:fill="auto"/>
            <w:noWrap/>
            <w:vAlign w:val="bottom"/>
          </w:tcPr>
          <w:p w14:paraId="7F88010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152917 (88.2)</w:t>
            </w:r>
          </w:p>
        </w:tc>
      </w:tr>
      <w:tr w14:paraId="55F7580F">
        <w:trPr>
          <w:trHeight w:val="336" w:hRule="atLeast"/>
        </w:trPr>
        <w:tc>
          <w:tcPr>
            <w:tcW w:w="2018" w:type="pct"/>
            <w:tcBorders>
              <w:top w:val="nil"/>
              <w:left w:val="nil"/>
              <w:bottom w:val="nil"/>
              <w:right w:val="nil"/>
            </w:tcBorders>
            <w:shd w:val="clear" w:color="auto" w:fill="auto"/>
            <w:noWrap/>
            <w:vAlign w:val="bottom"/>
          </w:tcPr>
          <w:p w14:paraId="15AC4FB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Index of Multiple Deprivation quintile, No. (%)</w:t>
            </w:r>
          </w:p>
        </w:tc>
        <w:tc>
          <w:tcPr>
            <w:tcW w:w="1545" w:type="pct"/>
            <w:tcBorders>
              <w:top w:val="nil"/>
              <w:left w:val="nil"/>
              <w:bottom w:val="nil"/>
              <w:right w:val="nil"/>
            </w:tcBorders>
            <w:shd w:val="clear" w:color="auto" w:fill="auto"/>
            <w:noWrap/>
            <w:vAlign w:val="bottom"/>
          </w:tcPr>
          <w:p w14:paraId="58C0F14D">
            <w:pPr>
              <w:rPr>
                <w:rFonts w:hint="default" w:ascii="Times New Roman Regular" w:hAnsi="Times New Roman Regular" w:eastAsia="Times New Roman Regular" w:cs="Times New Roman Regular"/>
                <w:i w:val="0"/>
                <w:iCs w:val="0"/>
                <w:color w:val="000000"/>
                <w:sz w:val="18"/>
                <w:szCs w:val="18"/>
                <w:u w:val="none"/>
              </w:rPr>
            </w:pPr>
          </w:p>
        </w:tc>
        <w:tc>
          <w:tcPr>
            <w:tcW w:w="1435" w:type="pct"/>
            <w:tcBorders>
              <w:top w:val="nil"/>
              <w:left w:val="nil"/>
              <w:bottom w:val="nil"/>
              <w:right w:val="nil"/>
            </w:tcBorders>
            <w:shd w:val="clear" w:color="auto" w:fill="auto"/>
            <w:noWrap/>
            <w:vAlign w:val="bottom"/>
          </w:tcPr>
          <w:p w14:paraId="675B0564">
            <w:pPr>
              <w:rPr>
                <w:rFonts w:hint="default" w:ascii="Times New Roman Regular" w:hAnsi="Times New Roman Regular" w:eastAsia="Times New Roman Regular" w:cs="Times New Roman Regular"/>
                <w:i w:val="0"/>
                <w:iCs w:val="0"/>
                <w:color w:val="000000"/>
                <w:sz w:val="18"/>
                <w:szCs w:val="18"/>
                <w:u w:val="none"/>
              </w:rPr>
            </w:pPr>
          </w:p>
        </w:tc>
      </w:tr>
      <w:tr w14:paraId="084E5AC8">
        <w:trPr>
          <w:trHeight w:val="336" w:hRule="atLeast"/>
        </w:trPr>
        <w:tc>
          <w:tcPr>
            <w:tcW w:w="2018" w:type="pct"/>
            <w:tcBorders>
              <w:top w:val="nil"/>
              <w:left w:val="nil"/>
              <w:bottom w:val="nil"/>
              <w:right w:val="nil"/>
            </w:tcBorders>
            <w:shd w:val="clear" w:color="auto" w:fill="auto"/>
            <w:noWrap/>
            <w:vAlign w:val="bottom"/>
          </w:tcPr>
          <w:p w14:paraId="4B15677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Quintile 1 (most affluent)</w:t>
            </w:r>
          </w:p>
        </w:tc>
        <w:tc>
          <w:tcPr>
            <w:tcW w:w="1545" w:type="pct"/>
            <w:tcBorders>
              <w:top w:val="nil"/>
              <w:left w:val="nil"/>
              <w:bottom w:val="nil"/>
              <w:right w:val="nil"/>
            </w:tcBorders>
            <w:shd w:val="clear" w:color="auto" w:fill="auto"/>
            <w:noWrap/>
            <w:vAlign w:val="bottom"/>
          </w:tcPr>
          <w:p w14:paraId="0A05592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1249 (14.7)</w:t>
            </w:r>
          </w:p>
        </w:tc>
        <w:tc>
          <w:tcPr>
            <w:tcW w:w="1435" w:type="pct"/>
            <w:tcBorders>
              <w:top w:val="nil"/>
              <w:left w:val="nil"/>
              <w:bottom w:val="nil"/>
              <w:right w:val="nil"/>
            </w:tcBorders>
            <w:shd w:val="clear" w:color="auto" w:fill="auto"/>
            <w:noWrap/>
            <w:vAlign w:val="bottom"/>
          </w:tcPr>
          <w:p w14:paraId="50F9EDC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25648 (14.8)</w:t>
            </w:r>
          </w:p>
        </w:tc>
      </w:tr>
      <w:tr w14:paraId="6E2C60F9">
        <w:trPr>
          <w:trHeight w:val="336" w:hRule="atLeast"/>
        </w:trPr>
        <w:tc>
          <w:tcPr>
            <w:tcW w:w="2018" w:type="pct"/>
            <w:tcBorders>
              <w:top w:val="nil"/>
              <w:left w:val="nil"/>
              <w:bottom w:val="nil"/>
              <w:right w:val="nil"/>
            </w:tcBorders>
            <w:shd w:val="clear" w:color="auto" w:fill="auto"/>
            <w:noWrap/>
            <w:vAlign w:val="bottom"/>
          </w:tcPr>
          <w:p w14:paraId="30120D5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Quintile 2</w:t>
            </w:r>
          </w:p>
        </w:tc>
        <w:tc>
          <w:tcPr>
            <w:tcW w:w="1545" w:type="pct"/>
            <w:tcBorders>
              <w:top w:val="nil"/>
              <w:left w:val="nil"/>
              <w:bottom w:val="nil"/>
              <w:right w:val="nil"/>
            </w:tcBorders>
            <w:shd w:val="clear" w:color="auto" w:fill="auto"/>
            <w:noWrap/>
            <w:vAlign w:val="bottom"/>
          </w:tcPr>
          <w:p w14:paraId="6FF0814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1509 (17.8)</w:t>
            </w:r>
          </w:p>
        </w:tc>
        <w:tc>
          <w:tcPr>
            <w:tcW w:w="1435" w:type="pct"/>
            <w:tcBorders>
              <w:top w:val="nil"/>
              <w:left w:val="nil"/>
              <w:bottom w:val="nil"/>
              <w:right w:val="nil"/>
            </w:tcBorders>
            <w:shd w:val="clear" w:color="auto" w:fill="auto"/>
            <w:noWrap/>
            <w:vAlign w:val="bottom"/>
          </w:tcPr>
          <w:p w14:paraId="7FBF7F9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29806 (17.2)</w:t>
            </w:r>
          </w:p>
        </w:tc>
      </w:tr>
      <w:tr w14:paraId="34EACC3D">
        <w:trPr>
          <w:trHeight w:val="336" w:hRule="atLeast"/>
        </w:trPr>
        <w:tc>
          <w:tcPr>
            <w:tcW w:w="2018" w:type="pct"/>
            <w:tcBorders>
              <w:top w:val="nil"/>
              <w:left w:val="nil"/>
              <w:bottom w:val="nil"/>
              <w:right w:val="nil"/>
            </w:tcBorders>
            <w:shd w:val="clear" w:color="auto" w:fill="auto"/>
            <w:noWrap/>
            <w:vAlign w:val="bottom"/>
          </w:tcPr>
          <w:p w14:paraId="301F171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Quintile 3</w:t>
            </w:r>
          </w:p>
        </w:tc>
        <w:tc>
          <w:tcPr>
            <w:tcW w:w="1545" w:type="pct"/>
            <w:tcBorders>
              <w:top w:val="nil"/>
              <w:left w:val="nil"/>
              <w:bottom w:val="nil"/>
              <w:right w:val="nil"/>
            </w:tcBorders>
            <w:shd w:val="clear" w:color="auto" w:fill="auto"/>
            <w:noWrap/>
            <w:vAlign w:val="bottom"/>
          </w:tcPr>
          <w:p w14:paraId="20FD8DD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1603 (18.9)</w:t>
            </w:r>
          </w:p>
        </w:tc>
        <w:tc>
          <w:tcPr>
            <w:tcW w:w="1435" w:type="pct"/>
            <w:tcBorders>
              <w:top w:val="nil"/>
              <w:left w:val="nil"/>
              <w:bottom w:val="nil"/>
              <w:right w:val="nil"/>
            </w:tcBorders>
            <w:shd w:val="clear" w:color="auto" w:fill="auto"/>
            <w:noWrap/>
            <w:vAlign w:val="bottom"/>
          </w:tcPr>
          <w:p w14:paraId="1326308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32040 (18.5)</w:t>
            </w:r>
          </w:p>
        </w:tc>
      </w:tr>
      <w:tr w14:paraId="690B4EEF">
        <w:trPr>
          <w:trHeight w:val="336" w:hRule="atLeast"/>
        </w:trPr>
        <w:tc>
          <w:tcPr>
            <w:tcW w:w="2018" w:type="pct"/>
            <w:tcBorders>
              <w:top w:val="nil"/>
              <w:left w:val="nil"/>
              <w:bottom w:val="nil"/>
              <w:right w:val="nil"/>
            </w:tcBorders>
            <w:shd w:val="clear" w:color="auto" w:fill="auto"/>
            <w:noWrap/>
            <w:vAlign w:val="bottom"/>
          </w:tcPr>
          <w:p w14:paraId="7D852B4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Quintile 4</w:t>
            </w:r>
          </w:p>
        </w:tc>
        <w:tc>
          <w:tcPr>
            <w:tcW w:w="1545" w:type="pct"/>
            <w:tcBorders>
              <w:top w:val="nil"/>
              <w:left w:val="nil"/>
              <w:bottom w:val="nil"/>
              <w:right w:val="nil"/>
            </w:tcBorders>
            <w:shd w:val="clear" w:color="auto" w:fill="auto"/>
            <w:noWrap/>
            <w:vAlign w:val="bottom"/>
          </w:tcPr>
          <w:p w14:paraId="26F3B99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2054 (24.2)</w:t>
            </w:r>
          </w:p>
        </w:tc>
        <w:tc>
          <w:tcPr>
            <w:tcW w:w="1435" w:type="pct"/>
            <w:tcBorders>
              <w:top w:val="nil"/>
              <w:left w:val="nil"/>
              <w:bottom w:val="nil"/>
              <w:right w:val="nil"/>
            </w:tcBorders>
            <w:shd w:val="clear" w:color="auto" w:fill="auto"/>
            <w:noWrap/>
            <w:vAlign w:val="bottom"/>
          </w:tcPr>
          <w:p w14:paraId="7E1457A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40373 (23.3)</w:t>
            </w:r>
          </w:p>
        </w:tc>
      </w:tr>
      <w:tr w14:paraId="6B3ED05E">
        <w:trPr>
          <w:trHeight w:val="336" w:hRule="atLeast"/>
        </w:trPr>
        <w:tc>
          <w:tcPr>
            <w:tcW w:w="2018" w:type="pct"/>
            <w:tcBorders>
              <w:top w:val="nil"/>
              <w:left w:val="nil"/>
              <w:bottom w:val="nil"/>
              <w:right w:val="nil"/>
            </w:tcBorders>
            <w:shd w:val="clear" w:color="auto" w:fill="auto"/>
            <w:noWrap/>
            <w:vAlign w:val="bottom"/>
          </w:tcPr>
          <w:p w14:paraId="35D36AE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Quintile 5 (most deprived)</w:t>
            </w:r>
          </w:p>
        </w:tc>
        <w:tc>
          <w:tcPr>
            <w:tcW w:w="1545" w:type="pct"/>
            <w:tcBorders>
              <w:top w:val="nil"/>
              <w:left w:val="nil"/>
              <w:bottom w:val="nil"/>
              <w:right w:val="nil"/>
            </w:tcBorders>
            <w:shd w:val="clear" w:color="auto" w:fill="auto"/>
            <w:noWrap/>
            <w:vAlign w:val="bottom"/>
          </w:tcPr>
          <w:p w14:paraId="62BF8F8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2063 (24.3)</w:t>
            </w:r>
          </w:p>
        </w:tc>
        <w:tc>
          <w:tcPr>
            <w:tcW w:w="1435" w:type="pct"/>
            <w:tcBorders>
              <w:top w:val="nil"/>
              <w:left w:val="nil"/>
              <w:bottom w:val="nil"/>
              <w:right w:val="nil"/>
            </w:tcBorders>
            <w:shd w:val="clear" w:color="auto" w:fill="auto"/>
            <w:noWrap/>
            <w:vAlign w:val="bottom"/>
          </w:tcPr>
          <w:p w14:paraId="3E0352E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45364 (26.2)</w:t>
            </w:r>
          </w:p>
        </w:tc>
      </w:tr>
      <w:tr w14:paraId="17FE27A4">
        <w:trPr>
          <w:trHeight w:val="336" w:hRule="atLeast"/>
        </w:trPr>
        <w:tc>
          <w:tcPr>
            <w:tcW w:w="2018" w:type="pct"/>
            <w:tcBorders>
              <w:top w:val="nil"/>
              <w:left w:val="nil"/>
              <w:bottom w:val="nil"/>
              <w:right w:val="nil"/>
            </w:tcBorders>
            <w:shd w:val="clear" w:color="auto" w:fill="auto"/>
            <w:noWrap/>
            <w:vAlign w:val="bottom"/>
          </w:tcPr>
          <w:p w14:paraId="2E319BE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Unknown</w:t>
            </w:r>
          </w:p>
        </w:tc>
        <w:tc>
          <w:tcPr>
            <w:tcW w:w="1545" w:type="pct"/>
            <w:tcBorders>
              <w:top w:val="nil"/>
              <w:left w:val="nil"/>
              <w:bottom w:val="nil"/>
              <w:right w:val="nil"/>
            </w:tcBorders>
            <w:shd w:val="clear" w:color="auto" w:fill="auto"/>
            <w:noWrap/>
            <w:vAlign w:val="bottom"/>
          </w:tcPr>
          <w:p w14:paraId="49A3F3D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8 (0.1)</w:t>
            </w:r>
          </w:p>
        </w:tc>
        <w:tc>
          <w:tcPr>
            <w:tcW w:w="1435" w:type="pct"/>
            <w:tcBorders>
              <w:top w:val="nil"/>
              <w:left w:val="nil"/>
              <w:bottom w:val="nil"/>
              <w:right w:val="nil"/>
            </w:tcBorders>
            <w:shd w:val="clear" w:color="auto" w:fill="auto"/>
            <w:noWrap/>
            <w:vAlign w:val="bottom"/>
          </w:tcPr>
          <w:p w14:paraId="390CD16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129 (0.1)</w:t>
            </w:r>
          </w:p>
        </w:tc>
      </w:tr>
      <w:tr w14:paraId="0E23F69D">
        <w:trPr>
          <w:trHeight w:val="336" w:hRule="atLeast"/>
        </w:trPr>
        <w:tc>
          <w:tcPr>
            <w:tcW w:w="2018" w:type="pct"/>
            <w:tcBorders>
              <w:top w:val="nil"/>
              <w:left w:val="nil"/>
              <w:bottom w:val="nil"/>
              <w:right w:val="nil"/>
            </w:tcBorders>
            <w:shd w:val="clear" w:color="auto" w:fill="auto"/>
            <w:noWrap/>
            <w:vAlign w:val="bottom"/>
          </w:tcPr>
          <w:p w14:paraId="314A176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Smoking status, No. (%) </w:t>
            </w:r>
          </w:p>
        </w:tc>
        <w:tc>
          <w:tcPr>
            <w:tcW w:w="1545" w:type="pct"/>
            <w:tcBorders>
              <w:top w:val="nil"/>
              <w:left w:val="nil"/>
              <w:bottom w:val="nil"/>
              <w:right w:val="nil"/>
            </w:tcBorders>
            <w:shd w:val="clear" w:color="auto" w:fill="auto"/>
            <w:noWrap/>
            <w:vAlign w:val="bottom"/>
          </w:tcPr>
          <w:p w14:paraId="05941163">
            <w:pPr>
              <w:rPr>
                <w:rFonts w:hint="default" w:ascii="Times New Roman Regular" w:hAnsi="Times New Roman Regular" w:eastAsia="Times New Roman Regular" w:cs="Times New Roman Regular"/>
                <w:i w:val="0"/>
                <w:iCs w:val="0"/>
                <w:color w:val="000000"/>
                <w:sz w:val="18"/>
                <w:szCs w:val="18"/>
                <w:u w:val="none"/>
              </w:rPr>
            </w:pPr>
          </w:p>
        </w:tc>
        <w:tc>
          <w:tcPr>
            <w:tcW w:w="1435" w:type="pct"/>
            <w:tcBorders>
              <w:top w:val="nil"/>
              <w:left w:val="nil"/>
              <w:bottom w:val="nil"/>
              <w:right w:val="nil"/>
            </w:tcBorders>
            <w:shd w:val="clear" w:color="auto" w:fill="auto"/>
            <w:noWrap/>
            <w:vAlign w:val="bottom"/>
          </w:tcPr>
          <w:p w14:paraId="4F012704">
            <w:pPr>
              <w:rPr>
                <w:rFonts w:hint="default" w:ascii="Times New Roman Regular" w:hAnsi="Times New Roman Regular" w:eastAsia="Times New Roman Regular" w:cs="Times New Roman Regular"/>
                <w:i w:val="0"/>
                <w:iCs w:val="0"/>
                <w:color w:val="000000"/>
                <w:sz w:val="18"/>
                <w:szCs w:val="18"/>
                <w:u w:val="none"/>
              </w:rPr>
            </w:pPr>
          </w:p>
        </w:tc>
      </w:tr>
      <w:tr w14:paraId="5605A701">
        <w:trPr>
          <w:trHeight w:val="336" w:hRule="atLeast"/>
        </w:trPr>
        <w:tc>
          <w:tcPr>
            <w:tcW w:w="2018" w:type="pct"/>
            <w:tcBorders>
              <w:top w:val="nil"/>
              <w:left w:val="nil"/>
              <w:bottom w:val="nil"/>
              <w:right w:val="nil"/>
            </w:tcBorders>
            <w:shd w:val="clear" w:color="auto" w:fill="auto"/>
            <w:noWrap/>
            <w:vAlign w:val="bottom"/>
          </w:tcPr>
          <w:p w14:paraId="085DC99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Non-smoker</w:t>
            </w:r>
          </w:p>
        </w:tc>
        <w:tc>
          <w:tcPr>
            <w:tcW w:w="1545" w:type="pct"/>
            <w:tcBorders>
              <w:top w:val="nil"/>
              <w:left w:val="nil"/>
              <w:bottom w:val="nil"/>
              <w:right w:val="nil"/>
            </w:tcBorders>
            <w:shd w:val="clear" w:color="auto" w:fill="auto"/>
            <w:noWrap/>
            <w:vAlign w:val="bottom"/>
          </w:tcPr>
          <w:p w14:paraId="0ECC6DC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3242 (38.2)</w:t>
            </w:r>
          </w:p>
        </w:tc>
        <w:tc>
          <w:tcPr>
            <w:tcW w:w="1435" w:type="pct"/>
            <w:tcBorders>
              <w:top w:val="nil"/>
              <w:left w:val="nil"/>
              <w:bottom w:val="nil"/>
              <w:right w:val="nil"/>
            </w:tcBorders>
            <w:shd w:val="clear" w:color="auto" w:fill="auto"/>
            <w:noWrap/>
            <w:vAlign w:val="bottom"/>
          </w:tcPr>
          <w:p w14:paraId="19E7E12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64480 (37.2)</w:t>
            </w:r>
          </w:p>
        </w:tc>
      </w:tr>
      <w:tr w14:paraId="1466AB37">
        <w:trPr>
          <w:trHeight w:val="336" w:hRule="atLeast"/>
        </w:trPr>
        <w:tc>
          <w:tcPr>
            <w:tcW w:w="2018" w:type="pct"/>
            <w:tcBorders>
              <w:top w:val="nil"/>
              <w:left w:val="nil"/>
              <w:bottom w:val="nil"/>
              <w:right w:val="nil"/>
            </w:tcBorders>
            <w:shd w:val="clear" w:color="auto" w:fill="auto"/>
            <w:noWrap/>
            <w:vAlign w:val="bottom"/>
          </w:tcPr>
          <w:p w14:paraId="415485B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Ex-smoker</w:t>
            </w:r>
          </w:p>
        </w:tc>
        <w:tc>
          <w:tcPr>
            <w:tcW w:w="1545" w:type="pct"/>
            <w:tcBorders>
              <w:top w:val="nil"/>
              <w:left w:val="nil"/>
              <w:bottom w:val="nil"/>
              <w:right w:val="nil"/>
            </w:tcBorders>
            <w:shd w:val="clear" w:color="auto" w:fill="auto"/>
            <w:noWrap/>
            <w:vAlign w:val="bottom"/>
          </w:tcPr>
          <w:p w14:paraId="6A559C4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1475 (17.4)</w:t>
            </w:r>
          </w:p>
        </w:tc>
        <w:tc>
          <w:tcPr>
            <w:tcW w:w="1435" w:type="pct"/>
            <w:tcBorders>
              <w:top w:val="nil"/>
              <w:left w:val="nil"/>
              <w:bottom w:val="nil"/>
              <w:right w:val="nil"/>
            </w:tcBorders>
            <w:shd w:val="clear" w:color="auto" w:fill="auto"/>
            <w:noWrap/>
            <w:vAlign w:val="bottom"/>
          </w:tcPr>
          <w:p w14:paraId="2E647A2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27941 (16.1)</w:t>
            </w:r>
          </w:p>
        </w:tc>
      </w:tr>
      <w:tr w14:paraId="0765C7B3">
        <w:trPr>
          <w:trHeight w:val="336" w:hRule="atLeast"/>
        </w:trPr>
        <w:tc>
          <w:tcPr>
            <w:tcW w:w="2018" w:type="pct"/>
            <w:tcBorders>
              <w:top w:val="nil"/>
              <w:left w:val="nil"/>
              <w:bottom w:val="nil"/>
              <w:right w:val="nil"/>
            </w:tcBorders>
            <w:shd w:val="clear" w:color="auto" w:fill="auto"/>
            <w:noWrap/>
            <w:vAlign w:val="bottom"/>
          </w:tcPr>
          <w:p w14:paraId="2DC84DB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Current-smoker</w:t>
            </w:r>
          </w:p>
        </w:tc>
        <w:tc>
          <w:tcPr>
            <w:tcW w:w="1545" w:type="pct"/>
            <w:tcBorders>
              <w:top w:val="nil"/>
              <w:left w:val="nil"/>
              <w:bottom w:val="nil"/>
              <w:right w:val="nil"/>
            </w:tcBorders>
            <w:shd w:val="clear" w:color="auto" w:fill="auto"/>
            <w:noWrap/>
            <w:vAlign w:val="bottom"/>
          </w:tcPr>
          <w:p w14:paraId="399AB77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1872 (22.1)</w:t>
            </w:r>
          </w:p>
        </w:tc>
        <w:tc>
          <w:tcPr>
            <w:tcW w:w="1435" w:type="pct"/>
            <w:tcBorders>
              <w:top w:val="nil"/>
              <w:left w:val="nil"/>
              <w:bottom w:val="nil"/>
              <w:right w:val="nil"/>
            </w:tcBorders>
            <w:shd w:val="clear" w:color="auto" w:fill="auto"/>
            <w:noWrap/>
            <w:vAlign w:val="bottom"/>
          </w:tcPr>
          <w:p w14:paraId="2B9B9BA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37144 (21.4)</w:t>
            </w:r>
          </w:p>
        </w:tc>
      </w:tr>
      <w:tr w14:paraId="7211A4C3">
        <w:trPr>
          <w:trHeight w:val="336" w:hRule="atLeast"/>
        </w:trPr>
        <w:tc>
          <w:tcPr>
            <w:tcW w:w="2018" w:type="pct"/>
            <w:tcBorders>
              <w:top w:val="nil"/>
              <w:left w:val="nil"/>
              <w:bottom w:val="nil"/>
              <w:right w:val="nil"/>
            </w:tcBorders>
            <w:shd w:val="clear" w:color="auto" w:fill="auto"/>
            <w:noWrap/>
            <w:vAlign w:val="bottom"/>
          </w:tcPr>
          <w:p w14:paraId="4C6ACCF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Unknown</w:t>
            </w:r>
          </w:p>
        </w:tc>
        <w:tc>
          <w:tcPr>
            <w:tcW w:w="1545" w:type="pct"/>
            <w:tcBorders>
              <w:top w:val="nil"/>
              <w:left w:val="nil"/>
              <w:bottom w:val="nil"/>
              <w:right w:val="nil"/>
            </w:tcBorders>
            <w:shd w:val="clear" w:color="auto" w:fill="auto"/>
            <w:noWrap/>
            <w:vAlign w:val="bottom"/>
          </w:tcPr>
          <w:p w14:paraId="47B2150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1897 (22.4)</w:t>
            </w:r>
          </w:p>
        </w:tc>
        <w:tc>
          <w:tcPr>
            <w:tcW w:w="1435" w:type="pct"/>
            <w:tcBorders>
              <w:top w:val="nil"/>
              <w:left w:val="nil"/>
              <w:bottom w:val="nil"/>
              <w:right w:val="nil"/>
            </w:tcBorders>
            <w:shd w:val="clear" w:color="auto" w:fill="auto"/>
            <w:noWrap/>
            <w:vAlign w:val="bottom"/>
          </w:tcPr>
          <w:p w14:paraId="1F6CDA7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43795 (25.3)</w:t>
            </w:r>
          </w:p>
        </w:tc>
      </w:tr>
      <w:tr w14:paraId="4475E87D">
        <w:trPr>
          <w:trHeight w:val="336" w:hRule="atLeast"/>
        </w:trPr>
        <w:tc>
          <w:tcPr>
            <w:tcW w:w="2018" w:type="pct"/>
            <w:tcBorders>
              <w:top w:val="nil"/>
              <w:left w:val="nil"/>
              <w:bottom w:val="nil"/>
              <w:right w:val="nil"/>
            </w:tcBorders>
            <w:shd w:val="clear" w:color="auto" w:fill="auto"/>
            <w:noWrap/>
            <w:vAlign w:val="bottom"/>
          </w:tcPr>
          <w:p w14:paraId="3664BA5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Alcohol use, No. (%) </w:t>
            </w:r>
          </w:p>
        </w:tc>
        <w:tc>
          <w:tcPr>
            <w:tcW w:w="1545" w:type="pct"/>
            <w:tcBorders>
              <w:top w:val="nil"/>
              <w:left w:val="nil"/>
              <w:bottom w:val="nil"/>
              <w:right w:val="nil"/>
            </w:tcBorders>
            <w:shd w:val="clear" w:color="auto" w:fill="auto"/>
            <w:noWrap/>
            <w:vAlign w:val="bottom"/>
          </w:tcPr>
          <w:p w14:paraId="0125BEDD">
            <w:pPr>
              <w:rPr>
                <w:rFonts w:hint="default" w:ascii="Times New Roman Regular" w:hAnsi="Times New Roman Regular" w:eastAsia="Times New Roman Regular" w:cs="Times New Roman Regular"/>
                <w:i w:val="0"/>
                <w:iCs w:val="0"/>
                <w:color w:val="000000"/>
                <w:sz w:val="18"/>
                <w:szCs w:val="18"/>
                <w:u w:val="none"/>
              </w:rPr>
            </w:pPr>
          </w:p>
        </w:tc>
        <w:tc>
          <w:tcPr>
            <w:tcW w:w="1435" w:type="pct"/>
            <w:tcBorders>
              <w:top w:val="nil"/>
              <w:left w:val="nil"/>
              <w:bottom w:val="nil"/>
              <w:right w:val="nil"/>
            </w:tcBorders>
            <w:shd w:val="clear" w:color="auto" w:fill="auto"/>
            <w:noWrap/>
            <w:vAlign w:val="bottom"/>
          </w:tcPr>
          <w:p w14:paraId="36BDD23B">
            <w:pPr>
              <w:rPr>
                <w:rFonts w:hint="default" w:ascii="Times New Roman Regular" w:hAnsi="Times New Roman Regular" w:eastAsia="Times New Roman Regular" w:cs="Times New Roman Regular"/>
                <w:i w:val="0"/>
                <w:iCs w:val="0"/>
                <w:color w:val="000000"/>
                <w:sz w:val="18"/>
                <w:szCs w:val="18"/>
                <w:u w:val="none"/>
              </w:rPr>
            </w:pPr>
          </w:p>
        </w:tc>
      </w:tr>
      <w:tr w14:paraId="708B641B">
        <w:trPr>
          <w:trHeight w:val="336" w:hRule="atLeast"/>
        </w:trPr>
        <w:tc>
          <w:tcPr>
            <w:tcW w:w="2018" w:type="pct"/>
            <w:tcBorders>
              <w:top w:val="nil"/>
              <w:left w:val="nil"/>
              <w:bottom w:val="nil"/>
              <w:right w:val="nil"/>
            </w:tcBorders>
            <w:shd w:val="clear" w:color="auto" w:fill="auto"/>
            <w:noWrap/>
            <w:vAlign w:val="bottom"/>
          </w:tcPr>
          <w:p w14:paraId="1386C32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Non-drinker</w:t>
            </w:r>
          </w:p>
        </w:tc>
        <w:tc>
          <w:tcPr>
            <w:tcW w:w="1545" w:type="pct"/>
            <w:tcBorders>
              <w:top w:val="nil"/>
              <w:left w:val="nil"/>
              <w:bottom w:val="nil"/>
              <w:right w:val="nil"/>
            </w:tcBorders>
            <w:shd w:val="clear" w:color="auto" w:fill="auto"/>
            <w:noWrap/>
            <w:vAlign w:val="bottom"/>
          </w:tcPr>
          <w:p w14:paraId="7FF6E34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752 (8.9)</w:t>
            </w:r>
          </w:p>
        </w:tc>
        <w:tc>
          <w:tcPr>
            <w:tcW w:w="1435" w:type="pct"/>
            <w:tcBorders>
              <w:top w:val="nil"/>
              <w:left w:val="nil"/>
              <w:bottom w:val="nil"/>
              <w:right w:val="nil"/>
            </w:tcBorders>
            <w:shd w:val="clear" w:color="auto" w:fill="auto"/>
            <w:noWrap/>
            <w:vAlign w:val="bottom"/>
          </w:tcPr>
          <w:p w14:paraId="378D9B8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14808 (8.5)</w:t>
            </w:r>
          </w:p>
        </w:tc>
      </w:tr>
      <w:tr w14:paraId="7EE9724A">
        <w:trPr>
          <w:trHeight w:val="336" w:hRule="atLeast"/>
        </w:trPr>
        <w:tc>
          <w:tcPr>
            <w:tcW w:w="2018" w:type="pct"/>
            <w:tcBorders>
              <w:top w:val="nil"/>
              <w:left w:val="nil"/>
              <w:bottom w:val="nil"/>
              <w:right w:val="nil"/>
            </w:tcBorders>
            <w:shd w:val="clear" w:color="auto" w:fill="auto"/>
            <w:noWrap/>
            <w:vAlign w:val="bottom"/>
          </w:tcPr>
          <w:p w14:paraId="6F1C596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Ex-drinker</w:t>
            </w:r>
          </w:p>
        </w:tc>
        <w:tc>
          <w:tcPr>
            <w:tcW w:w="1545" w:type="pct"/>
            <w:tcBorders>
              <w:top w:val="nil"/>
              <w:left w:val="nil"/>
              <w:bottom w:val="nil"/>
              <w:right w:val="nil"/>
            </w:tcBorders>
            <w:shd w:val="clear" w:color="auto" w:fill="auto"/>
            <w:noWrap/>
            <w:vAlign w:val="bottom"/>
          </w:tcPr>
          <w:p w14:paraId="5E110CF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27 (0.3)</w:t>
            </w:r>
          </w:p>
        </w:tc>
        <w:tc>
          <w:tcPr>
            <w:tcW w:w="1435" w:type="pct"/>
            <w:tcBorders>
              <w:top w:val="nil"/>
              <w:left w:val="nil"/>
              <w:bottom w:val="nil"/>
              <w:right w:val="nil"/>
            </w:tcBorders>
            <w:shd w:val="clear" w:color="auto" w:fill="auto"/>
            <w:noWrap/>
            <w:vAlign w:val="bottom"/>
          </w:tcPr>
          <w:p w14:paraId="4D0774D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437 (0.3)</w:t>
            </w:r>
          </w:p>
        </w:tc>
      </w:tr>
      <w:tr w14:paraId="5A13274C">
        <w:trPr>
          <w:trHeight w:val="336" w:hRule="atLeast"/>
        </w:trPr>
        <w:tc>
          <w:tcPr>
            <w:tcW w:w="2018" w:type="pct"/>
            <w:tcBorders>
              <w:top w:val="nil"/>
              <w:left w:val="nil"/>
              <w:bottom w:val="nil"/>
              <w:right w:val="nil"/>
            </w:tcBorders>
            <w:shd w:val="clear" w:color="auto" w:fill="auto"/>
            <w:noWrap/>
            <w:vAlign w:val="bottom"/>
          </w:tcPr>
          <w:p w14:paraId="4D303B0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Current-drinker</w:t>
            </w:r>
          </w:p>
        </w:tc>
        <w:tc>
          <w:tcPr>
            <w:tcW w:w="1545" w:type="pct"/>
            <w:tcBorders>
              <w:top w:val="nil"/>
              <w:left w:val="nil"/>
              <w:bottom w:val="nil"/>
              <w:right w:val="nil"/>
            </w:tcBorders>
            <w:shd w:val="clear" w:color="auto" w:fill="auto"/>
            <w:noWrap/>
            <w:vAlign w:val="bottom"/>
          </w:tcPr>
          <w:p w14:paraId="4C314BE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5254 (61.9)</w:t>
            </w:r>
          </w:p>
        </w:tc>
        <w:tc>
          <w:tcPr>
            <w:tcW w:w="1435" w:type="pct"/>
            <w:tcBorders>
              <w:top w:val="nil"/>
              <w:left w:val="nil"/>
              <w:bottom w:val="nil"/>
              <w:right w:val="nil"/>
            </w:tcBorders>
            <w:shd w:val="clear" w:color="auto" w:fill="auto"/>
            <w:noWrap/>
            <w:vAlign w:val="bottom"/>
          </w:tcPr>
          <w:p w14:paraId="775B9C1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107022 (61.7)</w:t>
            </w:r>
          </w:p>
        </w:tc>
      </w:tr>
      <w:tr w14:paraId="02694D1E">
        <w:trPr>
          <w:trHeight w:val="336" w:hRule="atLeast"/>
        </w:trPr>
        <w:tc>
          <w:tcPr>
            <w:tcW w:w="2018" w:type="pct"/>
            <w:tcBorders>
              <w:top w:val="nil"/>
              <w:left w:val="nil"/>
              <w:bottom w:val="nil"/>
              <w:right w:val="nil"/>
            </w:tcBorders>
            <w:shd w:val="clear" w:color="auto" w:fill="auto"/>
            <w:noWrap/>
            <w:vAlign w:val="bottom"/>
          </w:tcPr>
          <w:p w14:paraId="3173036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Unknown</w:t>
            </w:r>
          </w:p>
        </w:tc>
        <w:tc>
          <w:tcPr>
            <w:tcW w:w="1545" w:type="pct"/>
            <w:tcBorders>
              <w:top w:val="nil"/>
              <w:left w:val="nil"/>
              <w:bottom w:val="nil"/>
              <w:right w:val="nil"/>
            </w:tcBorders>
            <w:shd w:val="clear" w:color="auto" w:fill="auto"/>
            <w:noWrap/>
            <w:vAlign w:val="bottom"/>
          </w:tcPr>
          <w:p w14:paraId="7F3F69A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2453 (28.9)</w:t>
            </w:r>
          </w:p>
        </w:tc>
        <w:tc>
          <w:tcPr>
            <w:tcW w:w="1435" w:type="pct"/>
            <w:tcBorders>
              <w:top w:val="nil"/>
              <w:left w:val="nil"/>
              <w:bottom w:val="nil"/>
              <w:right w:val="nil"/>
            </w:tcBorders>
            <w:shd w:val="clear" w:color="auto" w:fill="auto"/>
            <w:noWrap/>
            <w:vAlign w:val="bottom"/>
          </w:tcPr>
          <w:p w14:paraId="3587CEEC">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51093 (29.5)</w:t>
            </w:r>
          </w:p>
        </w:tc>
      </w:tr>
      <w:tr w14:paraId="0F05FFAC">
        <w:trPr>
          <w:trHeight w:val="336" w:hRule="atLeast"/>
        </w:trPr>
        <w:tc>
          <w:tcPr>
            <w:tcW w:w="2018" w:type="pct"/>
            <w:tcBorders>
              <w:top w:val="nil"/>
              <w:left w:val="nil"/>
              <w:bottom w:val="nil"/>
              <w:right w:val="nil"/>
            </w:tcBorders>
            <w:shd w:val="clear" w:color="auto" w:fill="auto"/>
            <w:noWrap/>
            <w:vAlign w:val="bottom"/>
          </w:tcPr>
          <w:p w14:paraId="10110FD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Physical activity, No. (%) </w:t>
            </w:r>
          </w:p>
        </w:tc>
        <w:tc>
          <w:tcPr>
            <w:tcW w:w="1545" w:type="pct"/>
            <w:tcBorders>
              <w:top w:val="nil"/>
              <w:left w:val="nil"/>
              <w:bottom w:val="nil"/>
              <w:right w:val="nil"/>
            </w:tcBorders>
            <w:shd w:val="clear" w:color="auto" w:fill="auto"/>
            <w:noWrap/>
            <w:vAlign w:val="bottom"/>
          </w:tcPr>
          <w:p w14:paraId="0A778DEC">
            <w:pPr>
              <w:rPr>
                <w:rFonts w:hint="default" w:ascii="Times New Roman Regular" w:hAnsi="Times New Roman Regular" w:eastAsia="Times New Roman Regular" w:cs="Times New Roman Regular"/>
                <w:i w:val="0"/>
                <w:iCs w:val="0"/>
                <w:color w:val="000000"/>
                <w:sz w:val="18"/>
                <w:szCs w:val="18"/>
                <w:u w:val="none"/>
              </w:rPr>
            </w:pPr>
          </w:p>
        </w:tc>
        <w:tc>
          <w:tcPr>
            <w:tcW w:w="1435" w:type="pct"/>
            <w:tcBorders>
              <w:top w:val="nil"/>
              <w:left w:val="nil"/>
              <w:bottom w:val="nil"/>
              <w:right w:val="nil"/>
            </w:tcBorders>
            <w:shd w:val="clear" w:color="auto" w:fill="auto"/>
            <w:noWrap/>
            <w:vAlign w:val="bottom"/>
          </w:tcPr>
          <w:p w14:paraId="3DC46AC3">
            <w:pPr>
              <w:rPr>
                <w:rFonts w:hint="default" w:ascii="Times New Roman Regular" w:hAnsi="Times New Roman Regular" w:eastAsia="Times New Roman Regular" w:cs="Times New Roman Regular"/>
                <w:i w:val="0"/>
                <w:iCs w:val="0"/>
                <w:color w:val="000000"/>
                <w:sz w:val="18"/>
                <w:szCs w:val="18"/>
                <w:u w:val="none"/>
              </w:rPr>
            </w:pPr>
          </w:p>
        </w:tc>
      </w:tr>
      <w:tr w14:paraId="4EC735BE">
        <w:trPr>
          <w:trHeight w:val="336" w:hRule="atLeast"/>
        </w:trPr>
        <w:tc>
          <w:tcPr>
            <w:tcW w:w="2018" w:type="pct"/>
            <w:tcBorders>
              <w:top w:val="nil"/>
              <w:left w:val="nil"/>
              <w:bottom w:val="nil"/>
              <w:right w:val="nil"/>
            </w:tcBorders>
            <w:shd w:val="clear" w:color="auto" w:fill="auto"/>
            <w:noWrap/>
            <w:vAlign w:val="bottom"/>
          </w:tcPr>
          <w:p w14:paraId="216F853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Limited/light exercise</w:t>
            </w:r>
          </w:p>
        </w:tc>
        <w:tc>
          <w:tcPr>
            <w:tcW w:w="1545" w:type="pct"/>
            <w:tcBorders>
              <w:top w:val="nil"/>
              <w:left w:val="nil"/>
              <w:bottom w:val="nil"/>
              <w:right w:val="nil"/>
            </w:tcBorders>
            <w:shd w:val="clear" w:color="auto" w:fill="auto"/>
            <w:noWrap/>
            <w:vAlign w:val="bottom"/>
          </w:tcPr>
          <w:p w14:paraId="1F716E9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2020 (23.8)</w:t>
            </w:r>
          </w:p>
        </w:tc>
        <w:tc>
          <w:tcPr>
            <w:tcW w:w="1435" w:type="pct"/>
            <w:tcBorders>
              <w:top w:val="nil"/>
              <w:left w:val="nil"/>
              <w:bottom w:val="nil"/>
              <w:right w:val="nil"/>
            </w:tcBorders>
            <w:shd w:val="clear" w:color="auto" w:fill="auto"/>
            <w:noWrap/>
            <w:vAlign w:val="bottom"/>
          </w:tcPr>
          <w:p w14:paraId="4BCA93C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38047 (21.9)</w:t>
            </w:r>
          </w:p>
        </w:tc>
      </w:tr>
      <w:tr w14:paraId="3AD04BBF">
        <w:trPr>
          <w:trHeight w:val="336" w:hRule="atLeast"/>
        </w:trPr>
        <w:tc>
          <w:tcPr>
            <w:tcW w:w="2018" w:type="pct"/>
            <w:tcBorders>
              <w:top w:val="nil"/>
              <w:left w:val="nil"/>
              <w:bottom w:val="nil"/>
              <w:right w:val="nil"/>
            </w:tcBorders>
            <w:shd w:val="clear" w:color="auto" w:fill="auto"/>
            <w:noWrap/>
            <w:vAlign w:val="bottom"/>
          </w:tcPr>
          <w:p w14:paraId="3013E57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Regular exercise</w:t>
            </w:r>
          </w:p>
        </w:tc>
        <w:tc>
          <w:tcPr>
            <w:tcW w:w="1545" w:type="pct"/>
            <w:tcBorders>
              <w:top w:val="nil"/>
              <w:left w:val="nil"/>
              <w:bottom w:val="nil"/>
              <w:right w:val="nil"/>
            </w:tcBorders>
            <w:shd w:val="clear" w:color="auto" w:fill="auto"/>
            <w:noWrap/>
            <w:vAlign w:val="bottom"/>
          </w:tcPr>
          <w:p w14:paraId="54B54D5C">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923 (10.9)</w:t>
            </w:r>
          </w:p>
        </w:tc>
        <w:tc>
          <w:tcPr>
            <w:tcW w:w="1435" w:type="pct"/>
            <w:tcBorders>
              <w:top w:val="nil"/>
              <w:left w:val="nil"/>
              <w:bottom w:val="nil"/>
              <w:right w:val="nil"/>
            </w:tcBorders>
            <w:shd w:val="clear" w:color="auto" w:fill="auto"/>
            <w:noWrap/>
            <w:vAlign w:val="bottom"/>
          </w:tcPr>
          <w:p w14:paraId="75E5132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19230 (11.1)</w:t>
            </w:r>
          </w:p>
        </w:tc>
      </w:tr>
      <w:tr w14:paraId="7B7C4ECD">
        <w:trPr>
          <w:trHeight w:val="336" w:hRule="atLeast"/>
        </w:trPr>
        <w:tc>
          <w:tcPr>
            <w:tcW w:w="2018" w:type="pct"/>
            <w:tcBorders>
              <w:top w:val="nil"/>
              <w:left w:val="nil"/>
              <w:bottom w:val="nil"/>
              <w:right w:val="nil"/>
            </w:tcBorders>
            <w:shd w:val="clear" w:color="auto" w:fill="auto"/>
            <w:noWrap/>
            <w:vAlign w:val="bottom"/>
          </w:tcPr>
          <w:p w14:paraId="649B87F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Unknown</w:t>
            </w:r>
          </w:p>
        </w:tc>
        <w:tc>
          <w:tcPr>
            <w:tcW w:w="1545" w:type="pct"/>
            <w:tcBorders>
              <w:top w:val="nil"/>
              <w:left w:val="nil"/>
              <w:bottom w:val="nil"/>
              <w:right w:val="nil"/>
            </w:tcBorders>
            <w:shd w:val="clear" w:color="auto" w:fill="auto"/>
            <w:noWrap/>
            <w:vAlign w:val="bottom"/>
          </w:tcPr>
          <w:p w14:paraId="3D2D854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5543 (65.3)</w:t>
            </w:r>
          </w:p>
        </w:tc>
        <w:tc>
          <w:tcPr>
            <w:tcW w:w="1435" w:type="pct"/>
            <w:tcBorders>
              <w:top w:val="nil"/>
              <w:left w:val="nil"/>
              <w:bottom w:val="nil"/>
              <w:right w:val="nil"/>
            </w:tcBorders>
            <w:shd w:val="clear" w:color="auto" w:fill="auto"/>
            <w:noWrap/>
            <w:vAlign w:val="bottom"/>
          </w:tcPr>
          <w:p w14:paraId="04C0D36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116083 (67.0)</w:t>
            </w:r>
          </w:p>
        </w:tc>
      </w:tr>
      <w:tr w14:paraId="3FC8F1B0">
        <w:trPr>
          <w:trHeight w:val="336" w:hRule="atLeast"/>
        </w:trPr>
        <w:tc>
          <w:tcPr>
            <w:tcW w:w="2018" w:type="pct"/>
            <w:tcBorders>
              <w:top w:val="nil"/>
              <w:left w:val="nil"/>
              <w:bottom w:val="nil"/>
              <w:right w:val="nil"/>
            </w:tcBorders>
            <w:shd w:val="clear" w:color="auto" w:fill="auto"/>
            <w:noWrap/>
            <w:vAlign w:val="bottom"/>
          </w:tcPr>
          <w:p w14:paraId="5AF127B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Obesity-related comorbidity, No. (%) </w:t>
            </w:r>
          </w:p>
        </w:tc>
        <w:tc>
          <w:tcPr>
            <w:tcW w:w="1545" w:type="pct"/>
            <w:tcBorders>
              <w:top w:val="nil"/>
              <w:left w:val="nil"/>
              <w:bottom w:val="nil"/>
              <w:right w:val="nil"/>
            </w:tcBorders>
            <w:shd w:val="clear" w:color="auto" w:fill="auto"/>
            <w:noWrap/>
            <w:vAlign w:val="bottom"/>
          </w:tcPr>
          <w:p w14:paraId="0D669B46">
            <w:pPr>
              <w:rPr>
                <w:rFonts w:hint="default" w:ascii="Times New Roman Regular" w:hAnsi="Times New Roman Regular" w:eastAsia="Times New Roman Regular" w:cs="Times New Roman Regular"/>
                <w:i w:val="0"/>
                <w:iCs w:val="0"/>
                <w:color w:val="000000"/>
                <w:sz w:val="18"/>
                <w:szCs w:val="18"/>
                <w:u w:val="none"/>
              </w:rPr>
            </w:pPr>
          </w:p>
        </w:tc>
        <w:tc>
          <w:tcPr>
            <w:tcW w:w="1435" w:type="pct"/>
            <w:tcBorders>
              <w:top w:val="nil"/>
              <w:left w:val="nil"/>
              <w:bottom w:val="nil"/>
              <w:right w:val="nil"/>
            </w:tcBorders>
            <w:shd w:val="clear" w:color="auto" w:fill="auto"/>
            <w:noWrap/>
            <w:vAlign w:val="bottom"/>
          </w:tcPr>
          <w:p w14:paraId="150D0519">
            <w:pPr>
              <w:rPr>
                <w:rFonts w:hint="default" w:ascii="Times New Roman Regular" w:hAnsi="Times New Roman Regular" w:eastAsia="Times New Roman Regular" w:cs="Times New Roman Regular"/>
                <w:i w:val="0"/>
                <w:iCs w:val="0"/>
                <w:color w:val="000000"/>
                <w:sz w:val="18"/>
                <w:szCs w:val="18"/>
                <w:u w:val="none"/>
              </w:rPr>
            </w:pPr>
          </w:p>
        </w:tc>
      </w:tr>
      <w:tr w14:paraId="12297134">
        <w:trPr>
          <w:trHeight w:val="336" w:hRule="atLeast"/>
        </w:trPr>
        <w:tc>
          <w:tcPr>
            <w:tcW w:w="2018" w:type="pct"/>
            <w:tcBorders>
              <w:top w:val="nil"/>
              <w:left w:val="nil"/>
              <w:bottom w:val="nil"/>
              <w:right w:val="nil"/>
            </w:tcBorders>
            <w:shd w:val="clear" w:color="auto" w:fill="auto"/>
            <w:noWrap/>
            <w:vAlign w:val="bottom"/>
          </w:tcPr>
          <w:p w14:paraId="13D389A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Cardiovascular disease</w:t>
            </w:r>
          </w:p>
        </w:tc>
        <w:tc>
          <w:tcPr>
            <w:tcW w:w="1545" w:type="pct"/>
            <w:tcBorders>
              <w:top w:val="nil"/>
              <w:left w:val="nil"/>
              <w:bottom w:val="nil"/>
              <w:right w:val="nil"/>
            </w:tcBorders>
            <w:shd w:val="clear" w:color="auto" w:fill="auto"/>
            <w:noWrap/>
            <w:vAlign w:val="bottom"/>
          </w:tcPr>
          <w:p w14:paraId="42FB5AD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546 (6.4)</w:t>
            </w:r>
          </w:p>
        </w:tc>
        <w:tc>
          <w:tcPr>
            <w:tcW w:w="1435" w:type="pct"/>
            <w:tcBorders>
              <w:top w:val="nil"/>
              <w:left w:val="nil"/>
              <w:bottom w:val="nil"/>
              <w:right w:val="nil"/>
            </w:tcBorders>
            <w:shd w:val="clear" w:color="auto" w:fill="auto"/>
            <w:noWrap/>
            <w:vAlign w:val="bottom"/>
          </w:tcPr>
          <w:p w14:paraId="74EEDF1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17779 (10.3)</w:t>
            </w:r>
          </w:p>
        </w:tc>
      </w:tr>
      <w:tr w14:paraId="424002FC">
        <w:trPr>
          <w:trHeight w:val="336" w:hRule="atLeast"/>
        </w:trPr>
        <w:tc>
          <w:tcPr>
            <w:tcW w:w="2018" w:type="pct"/>
            <w:tcBorders>
              <w:top w:val="nil"/>
              <w:left w:val="nil"/>
              <w:bottom w:val="nil"/>
              <w:right w:val="nil"/>
            </w:tcBorders>
            <w:shd w:val="clear" w:color="auto" w:fill="auto"/>
            <w:noWrap/>
            <w:vAlign w:val="bottom"/>
          </w:tcPr>
          <w:p w14:paraId="2858B39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Type 2 diabetes</w:t>
            </w:r>
          </w:p>
        </w:tc>
        <w:tc>
          <w:tcPr>
            <w:tcW w:w="1545" w:type="pct"/>
            <w:tcBorders>
              <w:top w:val="nil"/>
              <w:left w:val="nil"/>
              <w:bottom w:val="nil"/>
              <w:right w:val="nil"/>
            </w:tcBorders>
            <w:shd w:val="clear" w:color="auto" w:fill="auto"/>
            <w:noWrap/>
            <w:vAlign w:val="bottom"/>
          </w:tcPr>
          <w:p w14:paraId="1738512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1966 (23.2)</w:t>
            </w:r>
          </w:p>
        </w:tc>
        <w:tc>
          <w:tcPr>
            <w:tcW w:w="1435" w:type="pct"/>
            <w:tcBorders>
              <w:top w:val="nil"/>
              <w:left w:val="nil"/>
              <w:bottom w:val="nil"/>
              <w:right w:val="nil"/>
            </w:tcBorders>
            <w:shd w:val="clear" w:color="auto" w:fill="auto"/>
            <w:noWrap/>
            <w:vAlign w:val="bottom"/>
          </w:tcPr>
          <w:p w14:paraId="14B885E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32122 (18.5)</w:t>
            </w:r>
          </w:p>
        </w:tc>
      </w:tr>
      <w:tr w14:paraId="4DDF39E9">
        <w:trPr>
          <w:trHeight w:val="336" w:hRule="atLeast"/>
        </w:trPr>
        <w:tc>
          <w:tcPr>
            <w:tcW w:w="2018" w:type="pct"/>
            <w:tcBorders>
              <w:top w:val="nil"/>
              <w:left w:val="nil"/>
              <w:bottom w:val="nil"/>
              <w:right w:val="nil"/>
            </w:tcBorders>
            <w:shd w:val="clear" w:color="auto" w:fill="auto"/>
            <w:noWrap/>
            <w:vAlign w:val="bottom"/>
          </w:tcPr>
          <w:p w14:paraId="76C1494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Hypertension</w:t>
            </w:r>
          </w:p>
        </w:tc>
        <w:tc>
          <w:tcPr>
            <w:tcW w:w="1545" w:type="pct"/>
            <w:tcBorders>
              <w:top w:val="nil"/>
              <w:left w:val="nil"/>
              <w:bottom w:val="nil"/>
              <w:right w:val="nil"/>
            </w:tcBorders>
            <w:shd w:val="clear" w:color="auto" w:fill="auto"/>
            <w:noWrap/>
            <w:vAlign w:val="bottom"/>
          </w:tcPr>
          <w:p w14:paraId="073D247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3045 (35.9)</w:t>
            </w:r>
          </w:p>
        </w:tc>
        <w:tc>
          <w:tcPr>
            <w:tcW w:w="1435" w:type="pct"/>
            <w:tcBorders>
              <w:top w:val="nil"/>
              <w:left w:val="nil"/>
              <w:bottom w:val="nil"/>
              <w:right w:val="nil"/>
            </w:tcBorders>
            <w:shd w:val="clear" w:color="auto" w:fill="auto"/>
            <w:noWrap/>
            <w:vAlign w:val="bottom"/>
          </w:tcPr>
          <w:p w14:paraId="0EFD8F3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72817 (42.0)</w:t>
            </w:r>
          </w:p>
        </w:tc>
      </w:tr>
      <w:tr w14:paraId="7EB980A6">
        <w:trPr>
          <w:trHeight w:val="336" w:hRule="atLeast"/>
        </w:trPr>
        <w:tc>
          <w:tcPr>
            <w:tcW w:w="2018" w:type="pct"/>
            <w:tcBorders>
              <w:top w:val="nil"/>
              <w:left w:val="nil"/>
              <w:bottom w:val="nil"/>
              <w:right w:val="nil"/>
            </w:tcBorders>
            <w:shd w:val="clear" w:color="auto" w:fill="auto"/>
            <w:noWrap/>
            <w:vAlign w:val="bottom"/>
          </w:tcPr>
          <w:p w14:paraId="4BB4627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Eczema</w:t>
            </w:r>
          </w:p>
        </w:tc>
        <w:tc>
          <w:tcPr>
            <w:tcW w:w="1545" w:type="pct"/>
            <w:tcBorders>
              <w:top w:val="nil"/>
              <w:left w:val="nil"/>
              <w:bottom w:val="nil"/>
              <w:right w:val="nil"/>
            </w:tcBorders>
            <w:shd w:val="clear" w:color="auto" w:fill="auto"/>
            <w:noWrap/>
            <w:vAlign w:val="bottom"/>
          </w:tcPr>
          <w:p w14:paraId="3B47D14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1723 (20.3)</w:t>
            </w:r>
          </w:p>
        </w:tc>
        <w:tc>
          <w:tcPr>
            <w:tcW w:w="1435" w:type="pct"/>
            <w:tcBorders>
              <w:top w:val="nil"/>
              <w:left w:val="nil"/>
              <w:bottom w:val="nil"/>
              <w:right w:val="nil"/>
            </w:tcBorders>
            <w:shd w:val="clear" w:color="auto" w:fill="auto"/>
            <w:noWrap/>
            <w:vAlign w:val="bottom"/>
          </w:tcPr>
          <w:p w14:paraId="71C0EF1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33514 (19.3)</w:t>
            </w:r>
          </w:p>
        </w:tc>
      </w:tr>
      <w:tr w14:paraId="2F8AA57F">
        <w:trPr>
          <w:trHeight w:val="336" w:hRule="atLeast"/>
        </w:trPr>
        <w:tc>
          <w:tcPr>
            <w:tcW w:w="2018" w:type="pct"/>
            <w:tcBorders>
              <w:top w:val="nil"/>
              <w:left w:val="nil"/>
              <w:bottom w:val="nil"/>
              <w:right w:val="nil"/>
            </w:tcBorders>
            <w:shd w:val="clear" w:color="auto" w:fill="auto"/>
            <w:noWrap/>
            <w:vAlign w:val="bottom"/>
          </w:tcPr>
          <w:p w14:paraId="762449B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Chronic obstructive pulmonary disease</w:t>
            </w:r>
          </w:p>
        </w:tc>
        <w:tc>
          <w:tcPr>
            <w:tcW w:w="1545" w:type="pct"/>
            <w:tcBorders>
              <w:top w:val="nil"/>
              <w:left w:val="nil"/>
              <w:bottom w:val="nil"/>
              <w:right w:val="nil"/>
            </w:tcBorders>
            <w:shd w:val="clear" w:color="auto" w:fill="auto"/>
            <w:noWrap/>
            <w:vAlign w:val="bottom"/>
          </w:tcPr>
          <w:p w14:paraId="7F4AF21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165 (1.9)</w:t>
            </w:r>
          </w:p>
        </w:tc>
        <w:tc>
          <w:tcPr>
            <w:tcW w:w="1435" w:type="pct"/>
            <w:tcBorders>
              <w:top w:val="nil"/>
              <w:left w:val="nil"/>
              <w:bottom w:val="nil"/>
              <w:right w:val="nil"/>
            </w:tcBorders>
            <w:shd w:val="clear" w:color="auto" w:fill="auto"/>
            <w:noWrap/>
            <w:vAlign w:val="bottom"/>
          </w:tcPr>
          <w:p w14:paraId="3682E35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6156 (3.6)</w:t>
            </w:r>
          </w:p>
        </w:tc>
      </w:tr>
      <w:tr w14:paraId="53C1A226">
        <w:trPr>
          <w:trHeight w:val="336" w:hRule="atLeast"/>
        </w:trPr>
        <w:tc>
          <w:tcPr>
            <w:tcW w:w="2018" w:type="pct"/>
            <w:tcBorders>
              <w:top w:val="nil"/>
              <w:left w:val="nil"/>
              <w:bottom w:val="nil"/>
              <w:right w:val="nil"/>
            </w:tcBorders>
            <w:shd w:val="clear" w:color="auto" w:fill="auto"/>
            <w:noWrap/>
            <w:vAlign w:val="bottom"/>
          </w:tcPr>
          <w:p w14:paraId="66D436F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Obstructive sleep apnoea</w:t>
            </w:r>
          </w:p>
        </w:tc>
        <w:tc>
          <w:tcPr>
            <w:tcW w:w="1545" w:type="pct"/>
            <w:tcBorders>
              <w:top w:val="nil"/>
              <w:left w:val="nil"/>
              <w:bottom w:val="nil"/>
              <w:right w:val="nil"/>
            </w:tcBorders>
            <w:shd w:val="clear" w:color="auto" w:fill="auto"/>
            <w:noWrap/>
            <w:vAlign w:val="bottom"/>
          </w:tcPr>
          <w:p w14:paraId="197DB30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918 (10.8)</w:t>
            </w:r>
          </w:p>
        </w:tc>
        <w:tc>
          <w:tcPr>
            <w:tcW w:w="1435" w:type="pct"/>
            <w:tcBorders>
              <w:top w:val="nil"/>
              <w:left w:val="nil"/>
              <w:bottom w:val="nil"/>
              <w:right w:val="nil"/>
            </w:tcBorders>
            <w:shd w:val="clear" w:color="auto" w:fill="auto"/>
            <w:noWrap/>
            <w:vAlign w:val="bottom"/>
          </w:tcPr>
          <w:p w14:paraId="6A118F0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4200 (2.4)</w:t>
            </w:r>
          </w:p>
        </w:tc>
      </w:tr>
      <w:tr w14:paraId="3A2A8467">
        <w:trPr>
          <w:trHeight w:val="336" w:hRule="atLeast"/>
        </w:trPr>
        <w:tc>
          <w:tcPr>
            <w:tcW w:w="2018" w:type="pct"/>
            <w:tcBorders>
              <w:top w:val="nil"/>
              <w:left w:val="nil"/>
              <w:bottom w:val="nil"/>
              <w:right w:val="nil"/>
            </w:tcBorders>
            <w:shd w:val="clear" w:color="auto" w:fill="auto"/>
            <w:noWrap/>
            <w:vAlign w:val="bottom"/>
          </w:tcPr>
          <w:p w14:paraId="0F89BDA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Inflammatory bowel disease</w:t>
            </w:r>
          </w:p>
        </w:tc>
        <w:tc>
          <w:tcPr>
            <w:tcW w:w="1545" w:type="pct"/>
            <w:tcBorders>
              <w:top w:val="nil"/>
              <w:left w:val="nil"/>
              <w:bottom w:val="nil"/>
              <w:right w:val="nil"/>
            </w:tcBorders>
            <w:shd w:val="clear" w:color="auto" w:fill="auto"/>
            <w:noWrap/>
            <w:vAlign w:val="bottom"/>
          </w:tcPr>
          <w:p w14:paraId="14FA26B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449 (5.3)</w:t>
            </w:r>
          </w:p>
        </w:tc>
        <w:tc>
          <w:tcPr>
            <w:tcW w:w="1435" w:type="pct"/>
            <w:tcBorders>
              <w:top w:val="nil"/>
              <w:left w:val="nil"/>
              <w:bottom w:val="nil"/>
              <w:right w:val="nil"/>
            </w:tcBorders>
            <w:shd w:val="clear" w:color="auto" w:fill="auto"/>
            <w:noWrap/>
            <w:vAlign w:val="bottom"/>
          </w:tcPr>
          <w:p w14:paraId="29D4006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8523 (4.9)</w:t>
            </w:r>
          </w:p>
        </w:tc>
      </w:tr>
      <w:tr w14:paraId="3C726287">
        <w:trPr>
          <w:trHeight w:val="336" w:hRule="atLeast"/>
        </w:trPr>
        <w:tc>
          <w:tcPr>
            <w:tcW w:w="2018" w:type="pct"/>
            <w:tcBorders>
              <w:top w:val="nil"/>
              <w:left w:val="nil"/>
              <w:bottom w:val="nil"/>
              <w:right w:val="nil"/>
            </w:tcBorders>
            <w:shd w:val="clear" w:color="auto" w:fill="auto"/>
            <w:noWrap/>
            <w:vAlign w:val="bottom"/>
          </w:tcPr>
          <w:p w14:paraId="424FEFA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Anaemia</w:t>
            </w:r>
          </w:p>
        </w:tc>
        <w:tc>
          <w:tcPr>
            <w:tcW w:w="1545" w:type="pct"/>
            <w:tcBorders>
              <w:top w:val="nil"/>
              <w:left w:val="nil"/>
              <w:bottom w:val="nil"/>
              <w:right w:val="nil"/>
            </w:tcBorders>
            <w:shd w:val="clear" w:color="auto" w:fill="auto"/>
            <w:noWrap/>
            <w:vAlign w:val="bottom"/>
          </w:tcPr>
          <w:p w14:paraId="28CAA8C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572 (6.7)</w:t>
            </w:r>
          </w:p>
        </w:tc>
        <w:tc>
          <w:tcPr>
            <w:tcW w:w="1435" w:type="pct"/>
            <w:tcBorders>
              <w:top w:val="nil"/>
              <w:left w:val="nil"/>
              <w:bottom w:val="nil"/>
              <w:right w:val="nil"/>
            </w:tcBorders>
            <w:shd w:val="clear" w:color="auto" w:fill="auto"/>
            <w:noWrap/>
            <w:vAlign w:val="bottom"/>
          </w:tcPr>
          <w:p w14:paraId="1126740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10812 (6.2)</w:t>
            </w:r>
          </w:p>
        </w:tc>
      </w:tr>
      <w:tr w14:paraId="62BA6C6D">
        <w:trPr>
          <w:trHeight w:val="336" w:hRule="atLeast"/>
        </w:trPr>
        <w:tc>
          <w:tcPr>
            <w:tcW w:w="2018" w:type="pct"/>
            <w:tcBorders>
              <w:top w:val="nil"/>
              <w:left w:val="nil"/>
              <w:bottom w:val="nil"/>
              <w:right w:val="nil"/>
            </w:tcBorders>
            <w:shd w:val="clear" w:color="auto" w:fill="auto"/>
            <w:noWrap/>
            <w:vAlign w:val="bottom"/>
          </w:tcPr>
          <w:p w14:paraId="5EF2EFE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Non-diabetic hyperglycemia</w:t>
            </w:r>
          </w:p>
        </w:tc>
        <w:tc>
          <w:tcPr>
            <w:tcW w:w="1545" w:type="pct"/>
            <w:tcBorders>
              <w:top w:val="nil"/>
              <w:left w:val="nil"/>
              <w:bottom w:val="nil"/>
              <w:right w:val="nil"/>
            </w:tcBorders>
            <w:shd w:val="clear" w:color="auto" w:fill="auto"/>
            <w:noWrap/>
            <w:vAlign w:val="bottom"/>
          </w:tcPr>
          <w:p w14:paraId="10920C6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239 (2.8)</w:t>
            </w:r>
          </w:p>
        </w:tc>
        <w:tc>
          <w:tcPr>
            <w:tcW w:w="1435" w:type="pct"/>
            <w:tcBorders>
              <w:top w:val="nil"/>
              <w:left w:val="nil"/>
              <w:bottom w:val="nil"/>
              <w:right w:val="nil"/>
            </w:tcBorders>
            <w:shd w:val="clear" w:color="auto" w:fill="auto"/>
            <w:noWrap/>
            <w:vAlign w:val="bottom"/>
          </w:tcPr>
          <w:p w14:paraId="09E65C3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4913 (2.8)</w:t>
            </w:r>
          </w:p>
        </w:tc>
      </w:tr>
      <w:tr w14:paraId="0B9E4357">
        <w:trPr>
          <w:trHeight w:val="336" w:hRule="atLeast"/>
        </w:trPr>
        <w:tc>
          <w:tcPr>
            <w:tcW w:w="2018" w:type="pct"/>
            <w:tcBorders>
              <w:top w:val="nil"/>
              <w:left w:val="nil"/>
              <w:bottom w:val="nil"/>
              <w:right w:val="nil"/>
            </w:tcBorders>
            <w:shd w:val="clear" w:color="auto" w:fill="auto"/>
            <w:noWrap/>
            <w:vAlign w:val="bottom"/>
          </w:tcPr>
          <w:p w14:paraId="5AAEF64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Renal failure</w:t>
            </w:r>
          </w:p>
        </w:tc>
        <w:tc>
          <w:tcPr>
            <w:tcW w:w="1545" w:type="pct"/>
            <w:tcBorders>
              <w:top w:val="nil"/>
              <w:left w:val="nil"/>
              <w:bottom w:val="nil"/>
              <w:right w:val="nil"/>
            </w:tcBorders>
            <w:shd w:val="clear" w:color="auto" w:fill="auto"/>
            <w:noWrap/>
            <w:vAlign w:val="bottom"/>
          </w:tcPr>
          <w:p w14:paraId="06F6D25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358 (4.2)</w:t>
            </w:r>
          </w:p>
        </w:tc>
        <w:tc>
          <w:tcPr>
            <w:tcW w:w="1435" w:type="pct"/>
            <w:tcBorders>
              <w:top w:val="nil"/>
              <w:left w:val="nil"/>
              <w:bottom w:val="nil"/>
              <w:right w:val="nil"/>
            </w:tcBorders>
            <w:shd w:val="clear" w:color="auto" w:fill="auto"/>
            <w:noWrap/>
            <w:vAlign w:val="bottom"/>
          </w:tcPr>
          <w:p w14:paraId="73E3288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9971 (5.8)</w:t>
            </w:r>
          </w:p>
        </w:tc>
      </w:tr>
      <w:tr w14:paraId="17C9A0B9">
        <w:trPr>
          <w:trHeight w:val="336" w:hRule="atLeast"/>
        </w:trPr>
        <w:tc>
          <w:tcPr>
            <w:tcW w:w="2018" w:type="pct"/>
            <w:tcBorders>
              <w:top w:val="nil"/>
              <w:left w:val="nil"/>
              <w:bottom w:val="nil"/>
              <w:right w:val="nil"/>
            </w:tcBorders>
            <w:shd w:val="clear" w:color="auto" w:fill="auto"/>
            <w:noWrap/>
            <w:vAlign w:val="bottom"/>
          </w:tcPr>
          <w:p w14:paraId="54F3D13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Thyroid disorders</w:t>
            </w:r>
          </w:p>
        </w:tc>
        <w:tc>
          <w:tcPr>
            <w:tcW w:w="1545" w:type="pct"/>
            <w:tcBorders>
              <w:top w:val="nil"/>
              <w:left w:val="nil"/>
              <w:bottom w:val="nil"/>
              <w:right w:val="nil"/>
            </w:tcBorders>
            <w:shd w:val="clear" w:color="auto" w:fill="auto"/>
            <w:noWrap/>
            <w:vAlign w:val="bottom"/>
          </w:tcPr>
          <w:p w14:paraId="4CE7860C">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837 (9.9)</w:t>
            </w:r>
          </w:p>
        </w:tc>
        <w:tc>
          <w:tcPr>
            <w:tcW w:w="1435" w:type="pct"/>
            <w:tcBorders>
              <w:top w:val="nil"/>
              <w:left w:val="nil"/>
              <w:bottom w:val="nil"/>
              <w:right w:val="nil"/>
            </w:tcBorders>
            <w:shd w:val="clear" w:color="auto" w:fill="auto"/>
            <w:noWrap/>
            <w:vAlign w:val="bottom"/>
          </w:tcPr>
          <w:p w14:paraId="3C7EB14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13709 (7.9)</w:t>
            </w:r>
          </w:p>
        </w:tc>
      </w:tr>
      <w:tr w14:paraId="7762EB7F">
        <w:trPr>
          <w:trHeight w:val="336" w:hRule="atLeast"/>
        </w:trPr>
        <w:tc>
          <w:tcPr>
            <w:tcW w:w="2018" w:type="pct"/>
            <w:tcBorders>
              <w:top w:val="nil"/>
              <w:left w:val="nil"/>
              <w:bottom w:val="single" w:color="000000" w:sz="4" w:space="0"/>
              <w:right w:val="nil"/>
            </w:tcBorders>
            <w:shd w:val="clear" w:color="auto" w:fill="auto"/>
            <w:noWrap/>
            <w:vAlign w:val="bottom"/>
          </w:tcPr>
          <w:p w14:paraId="2A6625B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Multiple sclerosis</w:t>
            </w:r>
          </w:p>
        </w:tc>
        <w:tc>
          <w:tcPr>
            <w:tcW w:w="1545" w:type="pct"/>
            <w:tcBorders>
              <w:top w:val="nil"/>
              <w:left w:val="nil"/>
              <w:bottom w:val="single" w:color="000000" w:sz="4" w:space="0"/>
              <w:right w:val="nil"/>
            </w:tcBorders>
            <w:shd w:val="clear" w:color="auto" w:fill="auto"/>
            <w:noWrap/>
            <w:vAlign w:val="bottom"/>
          </w:tcPr>
          <w:p w14:paraId="164D946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15 (0.2)</w:t>
            </w:r>
          </w:p>
        </w:tc>
        <w:tc>
          <w:tcPr>
            <w:tcW w:w="1435" w:type="pct"/>
            <w:tcBorders>
              <w:top w:val="nil"/>
              <w:left w:val="nil"/>
              <w:bottom w:val="single" w:color="000000" w:sz="4" w:space="0"/>
              <w:right w:val="nil"/>
            </w:tcBorders>
            <w:shd w:val="clear" w:color="auto" w:fill="auto"/>
            <w:noWrap/>
            <w:vAlign w:val="bottom"/>
          </w:tcPr>
          <w:p w14:paraId="503A509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253 (0.1)</w:t>
            </w:r>
          </w:p>
        </w:tc>
      </w:tr>
    </w:tbl>
    <w:p w14:paraId="5559DE12">
      <w:pPr>
        <w:pStyle w:val="2"/>
        <w:bidi w:val="0"/>
        <w:rPr>
          <w:rFonts w:hint="default" w:ascii="Times New Roman Bold" w:hAnsi="Times New Roman Bold" w:cs="Times New Roman Bold"/>
          <w:b/>
          <w:bCs/>
          <w:color w:val="auto"/>
          <w:sz w:val="24"/>
          <w:szCs w:val="24"/>
          <w:lang w:val="en-US"/>
        </w:rPr>
        <w:sectPr>
          <w:pgSz w:w="11906" w:h="16838"/>
          <w:pgMar w:top="1440" w:right="1440" w:bottom="1440" w:left="1440" w:header="708" w:footer="708" w:gutter="0"/>
          <w:cols w:space="708" w:num="1"/>
          <w:docGrid w:linePitch="360" w:charSpace="0"/>
        </w:sectPr>
      </w:pPr>
    </w:p>
    <w:p w14:paraId="0CB5E67B">
      <w:pPr>
        <w:pStyle w:val="2"/>
        <w:bidi w:val="0"/>
        <w:rPr>
          <w:rFonts w:hint="default" w:ascii="Times New Roman Bold" w:hAnsi="Times New Roman Bold" w:cs="Times New Roman Bold"/>
          <w:b/>
          <w:bCs/>
          <w:color w:val="auto"/>
          <w:sz w:val="24"/>
          <w:szCs w:val="24"/>
          <w:lang w:val="en-US" w:eastAsia="zh-CN"/>
        </w:rPr>
      </w:pPr>
      <w:bookmarkStart w:id="10" w:name="_Toc314008885"/>
      <w:r>
        <w:rPr>
          <w:rFonts w:hint="default" w:ascii="Times New Roman Bold" w:hAnsi="Times New Roman Bold" w:cs="Times New Roman Bold"/>
          <w:b/>
          <w:bCs/>
          <w:color w:val="auto"/>
          <w:sz w:val="24"/>
          <w:szCs w:val="24"/>
          <w:lang w:val="en-US"/>
        </w:rPr>
        <w:t>Table S6.</w:t>
      </w:r>
      <w:r>
        <w:rPr>
          <w:rFonts w:hint="default" w:ascii="Times New Roman Bold" w:hAnsi="Times New Roman Bold" w:cs="Times New Roman Bold"/>
          <w:b/>
          <w:bCs/>
          <w:color w:val="auto"/>
          <w:sz w:val="24"/>
          <w:szCs w:val="24"/>
          <w:lang w:val="en-US" w:eastAsia="zh-CN"/>
        </w:rPr>
        <w:t xml:space="preserve"> Baseline characteristics of patients with a baseline BMI recorded within three months before the index date</w:t>
      </w:r>
      <w:bookmarkEnd w:id="10"/>
    </w:p>
    <w:tbl>
      <w:tblPr>
        <w:tblStyle w:val="18"/>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48"/>
        <w:gridCol w:w="2934"/>
        <w:gridCol w:w="2558"/>
      </w:tblGrid>
      <w:tr w14:paraId="04DF6C2C">
        <w:trPr>
          <w:trHeight w:val="336" w:hRule="atLeast"/>
        </w:trPr>
        <w:tc>
          <w:tcPr>
            <w:tcW w:w="2040" w:type="pct"/>
            <w:tcBorders>
              <w:top w:val="single" w:color="000000" w:sz="4" w:space="0"/>
              <w:left w:val="nil"/>
              <w:bottom w:val="single" w:color="000000" w:sz="4" w:space="0"/>
              <w:right w:val="nil"/>
            </w:tcBorders>
            <w:shd w:val="clear" w:color="auto" w:fill="auto"/>
            <w:noWrap/>
            <w:vAlign w:val="bottom"/>
          </w:tcPr>
          <w:p w14:paraId="1E7BC95C">
            <w:pPr>
              <w:rPr>
                <w:rFonts w:hint="default" w:ascii="Times New Roman Regular" w:hAnsi="Times New Roman Regular" w:eastAsia="Times New Roman Regular" w:cs="Times New Roman Regular"/>
                <w:i w:val="0"/>
                <w:iCs w:val="0"/>
                <w:color w:val="000000"/>
                <w:sz w:val="18"/>
                <w:szCs w:val="18"/>
                <w:u w:val="none"/>
              </w:rPr>
            </w:pPr>
          </w:p>
        </w:tc>
        <w:tc>
          <w:tcPr>
            <w:tcW w:w="1562" w:type="pct"/>
            <w:tcBorders>
              <w:top w:val="single" w:color="000000" w:sz="4" w:space="0"/>
              <w:left w:val="nil"/>
              <w:bottom w:val="single" w:color="000000" w:sz="4" w:space="0"/>
              <w:right w:val="nil"/>
            </w:tcBorders>
            <w:shd w:val="clear" w:color="auto" w:fill="auto"/>
            <w:noWrap/>
            <w:vAlign w:val="bottom"/>
          </w:tcPr>
          <w:p w14:paraId="500D7F77">
            <w:pPr>
              <w:keepNext w:val="0"/>
              <w:keepLines w:val="0"/>
              <w:widowControl/>
              <w:suppressLineNumbers w:val="0"/>
              <w:jc w:val="left"/>
              <w:textAlignment w:val="bottom"/>
              <w:rPr>
                <w:rFonts w:hint="default" w:ascii="Times New Roman Regular" w:hAnsi="Times New Roman Regular" w:eastAsia="Times New Roman Regular" w:cs="Times New Roman Regular"/>
                <w:b/>
                <w:bCs/>
                <w:i w:val="0"/>
                <w:iCs w:val="0"/>
                <w:color w:val="000000"/>
                <w:sz w:val="18"/>
                <w:szCs w:val="18"/>
                <w:u w:val="none"/>
              </w:rPr>
            </w:pPr>
            <w:r>
              <w:rPr>
                <w:rFonts w:hint="default" w:ascii="Times New Roman Regular" w:hAnsi="Times New Roman Regular" w:eastAsia="Times New Roman Regular" w:cs="Times New Roman Regular"/>
                <w:b/>
                <w:bCs/>
                <w:i w:val="0"/>
                <w:iCs w:val="0"/>
                <w:color w:val="000000"/>
                <w:kern w:val="0"/>
                <w:sz w:val="18"/>
                <w:szCs w:val="18"/>
                <w:u w:val="none"/>
                <w:lang w:val="en-US" w:eastAsia="zh-CN" w:bidi="ar"/>
                <w14:ligatures w14:val="standardContextual"/>
              </w:rPr>
              <w:t>Bariatric surgery patients (n=3279)</w:t>
            </w:r>
          </w:p>
        </w:tc>
        <w:tc>
          <w:tcPr>
            <w:tcW w:w="1396" w:type="pct"/>
            <w:tcBorders>
              <w:top w:val="single" w:color="000000" w:sz="4" w:space="0"/>
              <w:left w:val="nil"/>
              <w:bottom w:val="single" w:color="000000" w:sz="4" w:space="0"/>
              <w:right w:val="nil"/>
            </w:tcBorders>
            <w:shd w:val="clear" w:color="auto" w:fill="auto"/>
            <w:noWrap/>
            <w:vAlign w:val="bottom"/>
          </w:tcPr>
          <w:p w14:paraId="25BFFA10">
            <w:pPr>
              <w:keepNext w:val="0"/>
              <w:keepLines w:val="0"/>
              <w:widowControl/>
              <w:suppressLineNumbers w:val="0"/>
              <w:jc w:val="left"/>
              <w:textAlignment w:val="bottom"/>
              <w:rPr>
                <w:rFonts w:hint="default" w:ascii="Times New Roman Regular" w:hAnsi="Times New Roman Regular" w:eastAsia="Times New Roman Regular" w:cs="Times New Roman Regular"/>
                <w:b/>
                <w:bCs/>
                <w:i w:val="0"/>
                <w:iCs w:val="0"/>
                <w:color w:val="000000"/>
                <w:sz w:val="18"/>
                <w:szCs w:val="18"/>
                <w:u w:val="none"/>
              </w:rPr>
            </w:pPr>
            <w:r>
              <w:rPr>
                <w:rFonts w:hint="default" w:ascii="Times New Roman Regular" w:hAnsi="Times New Roman Regular" w:eastAsia="Times New Roman Regular" w:cs="Times New Roman Regular"/>
                <w:b/>
                <w:bCs/>
                <w:i w:val="0"/>
                <w:iCs w:val="0"/>
                <w:color w:val="000000"/>
                <w:kern w:val="0"/>
                <w:sz w:val="18"/>
                <w:szCs w:val="18"/>
                <w:u w:val="none"/>
                <w:lang w:val="en-US" w:eastAsia="zh-CN" w:bidi="ar"/>
                <w14:ligatures w14:val="standardContextual"/>
              </w:rPr>
              <w:t>Matched controls (n=15677)</w:t>
            </w:r>
          </w:p>
        </w:tc>
      </w:tr>
      <w:tr w14:paraId="6EB1ACD8">
        <w:trPr>
          <w:trHeight w:val="336" w:hRule="atLeast"/>
        </w:trPr>
        <w:tc>
          <w:tcPr>
            <w:tcW w:w="2040" w:type="pct"/>
            <w:tcBorders>
              <w:top w:val="nil"/>
              <w:left w:val="nil"/>
              <w:bottom w:val="nil"/>
              <w:right w:val="nil"/>
            </w:tcBorders>
            <w:shd w:val="clear" w:color="auto" w:fill="auto"/>
            <w:noWrap/>
            <w:vAlign w:val="bottom"/>
          </w:tcPr>
          <w:p w14:paraId="41EADB4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Index year, median (IQR)</w:t>
            </w:r>
          </w:p>
        </w:tc>
        <w:tc>
          <w:tcPr>
            <w:tcW w:w="1562" w:type="pct"/>
            <w:tcBorders>
              <w:top w:val="nil"/>
              <w:left w:val="nil"/>
              <w:bottom w:val="nil"/>
              <w:right w:val="nil"/>
            </w:tcBorders>
            <w:shd w:val="clear" w:color="auto" w:fill="auto"/>
            <w:noWrap/>
            <w:vAlign w:val="bottom"/>
          </w:tcPr>
          <w:p w14:paraId="33F9888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2014 (2010 to 2018)</w:t>
            </w:r>
          </w:p>
        </w:tc>
        <w:tc>
          <w:tcPr>
            <w:tcW w:w="1396" w:type="pct"/>
            <w:tcBorders>
              <w:top w:val="nil"/>
              <w:left w:val="nil"/>
              <w:bottom w:val="nil"/>
              <w:right w:val="nil"/>
            </w:tcBorders>
            <w:shd w:val="clear" w:color="auto" w:fill="auto"/>
            <w:noWrap/>
            <w:vAlign w:val="bottom"/>
          </w:tcPr>
          <w:p w14:paraId="5652885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2014 (2010 to 2018)</w:t>
            </w:r>
          </w:p>
        </w:tc>
      </w:tr>
      <w:tr w14:paraId="4240F31B">
        <w:trPr>
          <w:trHeight w:val="336" w:hRule="atLeast"/>
        </w:trPr>
        <w:tc>
          <w:tcPr>
            <w:tcW w:w="2040" w:type="pct"/>
            <w:tcBorders>
              <w:top w:val="nil"/>
              <w:left w:val="nil"/>
              <w:bottom w:val="nil"/>
              <w:right w:val="nil"/>
            </w:tcBorders>
            <w:shd w:val="clear" w:color="auto" w:fill="auto"/>
            <w:noWrap/>
            <w:vAlign w:val="bottom"/>
          </w:tcPr>
          <w:p w14:paraId="71BCDDE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Age, median (IQR), y</w:t>
            </w:r>
          </w:p>
        </w:tc>
        <w:tc>
          <w:tcPr>
            <w:tcW w:w="1562" w:type="pct"/>
            <w:tcBorders>
              <w:top w:val="nil"/>
              <w:left w:val="nil"/>
              <w:bottom w:val="nil"/>
              <w:right w:val="nil"/>
            </w:tcBorders>
            <w:shd w:val="clear" w:color="auto" w:fill="auto"/>
            <w:noWrap/>
            <w:vAlign w:val="bottom"/>
          </w:tcPr>
          <w:p w14:paraId="0FEE22A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44.0 (40.5 to 48.3)</w:t>
            </w:r>
          </w:p>
        </w:tc>
        <w:tc>
          <w:tcPr>
            <w:tcW w:w="1396" w:type="pct"/>
            <w:tcBorders>
              <w:top w:val="nil"/>
              <w:left w:val="nil"/>
              <w:bottom w:val="nil"/>
              <w:right w:val="nil"/>
            </w:tcBorders>
            <w:shd w:val="clear" w:color="auto" w:fill="auto"/>
            <w:noWrap/>
            <w:vAlign w:val="bottom"/>
          </w:tcPr>
          <w:p w14:paraId="6D8BD41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44.3 (40.5 to 48.3)</w:t>
            </w:r>
          </w:p>
        </w:tc>
      </w:tr>
      <w:tr w14:paraId="4D109AEE">
        <w:trPr>
          <w:trHeight w:val="336" w:hRule="atLeast"/>
        </w:trPr>
        <w:tc>
          <w:tcPr>
            <w:tcW w:w="2040" w:type="pct"/>
            <w:tcBorders>
              <w:top w:val="nil"/>
              <w:left w:val="nil"/>
              <w:bottom w:val="nil"/>
              <w:right w:val="nil"/>
            </w:tcBorders>
            <w:shd w:val="clear" w:color="auto" w:fill="auto"/>
            <w:noWrap/>
            <w:vAlign w:val="bottom"/>
          </w:tcPr>
          <w:p w14:paraId="463A8D9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Body mass index, median (IQR)</w:t>
            </w:r>
          </w:p>
        </w:tc>
        <w:tc>
          <w:tcPr>
            <w:tcW w:w="1562" w:type="pct"/>
            <w:tcBorders>
              <w:top w:val="nil"/>
              <w:left w:val="nil"/>
              <w:bottom w:val="nil"/>
              <w:right w:val="nil"/>
            </w:tcBorders>
            <w:shd w:val="clear" w:color="auto" w:fill="auto"/>
            <w:noWrap/>
            <w:vAlign w:val="bottom"/>
          </w:tcPr>
          <w:p w14:paraId="2E5F95AC">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44.3 (40.0 to 49.4)</w:t>
            </w:r>
          </w:p>
        </w:tc>
        <w:tc>
          <w:tcPr>
            <w:tcW w:w="1396" w:type="pct"/>
            <w:tcBorders>
              <w:top w:val="nil"/>
              <w:left w:val="nil"/>
              <w:bottom w:val="nil"/>
              <w:right w:val="nil"/>
            </w:tcBorders>
            <w:shd w:val="clear" w:color="auto" w:fill="auto"/>
            <w:noWrap/>
            <w:vAlign w:val="bottom"/>
          </w:tcPr>
          <w:p w14:paraId="03C939E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43.9 (39.8 to 48.4)</w:t>
            </w:r>
          </w:p>
        </w:tc>
      </w:tr>
      <w:tr w14:paraId="2B1AFE33">
        <w:trPr>
          <w:trHeight w:val="336" w:hRule="atLeast"/>
        </w:trPr>
        <w:tc>
          <w:tcPr>
            <w:tcW w:w="2040" w:type="pct"/>
            <w:tcBorders>
              <w:top w:val="nil"/>
              <w:left w:val="nil"/>
              <w:bottom w:val="nil"/>
              <w:right w:val="nil"/>
            </w:tcBorders>
            <w:shd w:val="clear" w:color="auto" w:fill="auto"/>
            <w:noWrap/>
            <w:vAlign w:val="bottom"/>
          </w:tcPr>
          <w:p w14:paraId="338C3B9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BMI category, No. (%) </w:t>
            </w:r>
          </w:p>
        </w:tc>
        <w:tc>
          <w:tcPr>
            <w:tcW w:w="1562" w:type="pct"/>
            <w:tcBorders>
              <w:top w:val="nil"/>
              <w:left w:val="nil"/>
              <w:bottom w:val="nil"/>
              <w:right w:val="nil"/>
            </w:tcBorders>
            <w:shd w:val="clear" w:color="auto" w:fill="auto"/>
            <w:noWrap/>
            <w:vAlign w:val="bottom"/>
          </w:tcPr>
          <w:p w14:paraId="0E2BDD19">
            <w:pPr>
              <w:rPr>
                <w:rFonts w:hint="default" w:ascii="Times New Roman Regular" w:hAnsi="Times New Roman Regular" w:eastAsia="Times New Roman Regular" w:cs="Times New Roman Regular"/>
                <w:i w:val="0"/>
                <w:iCs w:val="0"/>
                <w:color w:val="000000"/>
                <w:sz w:val="18"/>
                <w:szCs w:val="18"/>
                <w:u w:val="none"/>
              </w:rPr>
            </w:pPr>
          </w:p>
        </w:tc>
        <w:tc>
          <w:tcPr>
            <w:tcW w:w="1396" w:type="pct"/>
            <w:tcBorders>
              <w:top w:val="nil"/>
              <w:left w:val="nil"/>
              <w:bottom w:val="nil"/>
              <w:right w:val="nil"/>
            </w:tcBorders>
            <w:shd w:val="clear" w:color="auto" w:fill="auto"/>
            <w:noWrap/>
            <w:vAlign w:val="bottom"/>
          </w:tcPr>
          <w:p w14:paraId="0A563CF8">
            <w:pPr>
              <w:rPr>
                <w:rFonts w:hint="default" w:ascii="Times New Roman Regular" w:hAnsi="Times New Roman Regular" w:eastAsia="Times New Roman Regular" w:cs="Times New Roman Regular"/>
                <w:i w:val="0"/>
                <w:iCs w:val="0"/>
                <w:color w:val="000000"/>
                <w:sz w:val="18"/>
                <w:szCs w:val="18"/>
                <w:u w:val="none"/>
              </w:rPr>
            </w:pPr>
          </w:p>
        </w:tc>
      </w:tr>
      <w:tr w14:paraId="68C2696F">
        <w:trPr>
          <w:trHeight w:val="336" w:hRule="atLeast"/>
        </w:trPr>
        <w:tc>
          <w:tcPr>
            <w:tcW w:w="2040" w:type="pct"/>
            <w:tcBorders>
              <w:top w:val="nil"/>
              <w:left w:val="nil"/>
              <w:bottom w:val="nil"/>
              <w:right w:val="nil"/>
            </w:tcBorders>
            <w:shd w:val="clear" w:color="auto" w:fill="auto"/>
            <w:noWrap/>
            <w:vAlign w:val="bottom"/>
          </w:tcPr>
          <w:p w14:paraId="0734F18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35-39.9</w:t>
            </w:r>
          </w:p>
        </w:tc>
        <w:tc>
          <w:tcPr>
            <w:tcW w:w="1562" w:type="pct"/>
            <w:tcBorders>
              <w:top w:val="nil"/>
              <w:left w:val="nil"/>
              <w:bottom w:val="nil"/>
              <w:right w:val="nil"/>
            </w:tcBorders>
            <w:shd w:val="clear" w:color="auto" w:fill="auto"/>
            <w:noWrap/>
            <w:vAlign w:val="bottom"/>
          </w:tcPr>
          <w:p w14:paraId="265DF18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122 (3.7)</w:t>
            </w:r>
          </w:p>
        </w:tc>
        <w:tc>
          <w:tcPr>
            <w:tcW w:w="1396" w:type="pct"/>
            <w:tcBorders>
              <w:top w:val="nil"/>
              <w:left w:val="nil"/>
              <w:bottom w:val="nil"/>
              <w:right w:val="nil"/>
            </w:tcBorders>
            <w:shd w:val="clear" w:color="auto" w:fill="auto"/>
            <w:noWrap/>
            <w:vAlign w:val="bottom"/>
          </w:tcPr>
          <w:p w14:paraId="5009464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298 (1.9)</w:t>
            </w:r>
          </w:p>
        </w:tc>
      </w:tr>
      <w:tr w14:paraId="687B4AF6">
        <w:trPr>
          <w:trHeight w:val="336" w:hRule="atLeast"/>
        </w:trPr>
        <w:tc>
          <w:tcPr>
            <w:tcW w:w="2040" w:type="pct"/>
            <w:tcBorders>
              <w:top w:val="nil"/>
              <w:left w:val="nil"/>
              <w:bottom w:val="nil"/>
              <w:right w:val="nil"/>
            </w:tcBorders>
            <w:shd w:val="clear" w:color="auto" w:fill="auto"/>
            <w:noWrap/>
            <w:vAlign w:val="bottom"/>
          </w:tcPr>
          <w:p w14:paraId="11FF9B6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40-44.9</w:t>
            </w:r>
          </w:p>
        </w:tc>
        <w:tc>
          <w:tcPr>
            <w:tcW w:w="1562" w:type="pct"/>
            <w:tcBorders>
              <w:top w:val="nil"/>
              <w:left w:val="nil"/>
              <w:bottom w:val="nil"/>
              <w:right w:val="nil"/>
            </w:tcBorders>
            <w:shd w:val="clear" w:color="auto" w:fill="auto"/>
            <w:noWrap/>
            <w:vAlign w:val="bottom"/>
          </w:tcPr>
          <w:p w14:paraId="0DF4CEEC">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804 (24.5)</w:t>
            </w:r>
          </w:p>
        </w:tc>
        <w:tc>
          <w:tcPr>
            <w:tcW w:w="1396" w:type="pct"/>
            <w:tcBorders>
              <w:top w:val="nil"/>
              <w:left w:val="nil"/>
              <w:bottom w:val="nil"/>
              <w:right w:val="nil"/>
            </w:tcBorders>
            <w:shd w:val="clear" w:color="auto" w:fill="auto"/>
            <w:noWrap/>
            <w:vAlign w:val="bottom"/>
          </w:tcPr>
          <w:p w14:paraId="66F386C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4018 (25.6)</w:t>
            </w:r>
          </w:p>
        </w:tc>
      </w:tr>
      <w:tr w14:paraId="4F0456F3">
        <w:trPr>
          <w:trHeight w:val="336" w:hRule="atLeast"/>
        </w:trPr>
        <w:tc>
          <w:tcPr>
            <w:tcW w:w="2040" w:type="pct"/>
            <w:tcBorders>
              <w:top w:val="nil"/>
              <w:left w:val="nil"/>
              <w:bottom w:val="nil"/>
              <w:right w:val="nil"/>
            </w:tcBorders>
            <w:shd w:val="clear" w:color="auto" w:fill="auto"/>
            <w:noWrap/>
            <w:vAlign w:val="bottom"/>
          </w:tcPr>
          <w:p w14:paraId="74CE5AD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45-49.9</w:t>
            </w:r>
          </w:p>
        </w:tc>
        <w:tc>
          <w:tcPr>
            <w:tcW w:w="1562" w:type="pct"/>
            <w:tcBorders>
              <w:top w:val="nil"/>
              <w:left w:val="nil"/>
              <w:bottom w:val="nil"/>
              <w:right w:val="nil"/>
            </w:tcBorders>
            <w:shd w:val="clear" w:color="auto" w:fill="auto"/>
            <w:noWrap/>
            <w:vAlign w:val="bottom"/>
          </w:tcPr>
          <w:p w14:paraId="46D21EF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939 (28.6)</w:t>
            </w:r>
          </w:p>
        </w:tc>
        <w:tc>
          <w:tcPr>
            <w:tcW w:w="1396" w:type="pct"/>
            <w:tcBorders>
              <w:top w:val="nil"/>
              <w:left w:val="nil"/>
              <w:bottom w:val="nil"/>
              <w:right w:val="nil"/>
            </w:tcBorders>
            <w:shd w:val="clear" w:color="auto" w:fill="auto"/>
            <w:noWrap/>
            <w:vAlign w:val="bottom"/>
          </w:tcPr>
          <w:p w14:paraId="7870F51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4790 (30.6)</w:t>
            </w:r>
          </w:p>
        </w:tc>
      </w:tr>
      <w:tr w14:paraId="34953A14">
        <w:trPr>
          <w:trHeight w:val="336" w:hRule="atLeast"/>
        </w:trPr>
        <w:tc>
          <w:tcPr>
            <w:tcW w:w="2040" w:type="pct"/>
            <w:tcBorders>
              <w:top w:val="nil"/>
              <w:left w:val="nil"/>
              <w:bottom w:val="nil"/>
              <w:right w:val="nil"/>
            </w:tcBorders>
            <w:shd w:val="clear" w:color="auto" w:fill="auto"/>
            <w:noWrap/>
            <w:vAlign w:val="bottom"/>
          </w:tcPr>
          <w:p w14:paraId="39042E1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50-54.9</w:t>
            </w:r>
          </w:p>
        </w:tc>
        <w:tc>
          <w:tcPr>
            <w:tcW w:w="1562" w:type="pct"/>
            <w:tcBorders>
              <w:top w:val="nil"/>
              <w:left w:val="nil"/>
              <w:bottom w:val="nil"/>
              <w:right w:val="nil"/>
            </w:tcBorders>
            <w:shd w:val="clear" w:color="auto" w:fill="auto"/>
            <w:noWrap/>
            <w:vAlign w:val="bottom"/>
          </w:tcPr>
          <w:p w14:paraId="28DCAF5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784 (23.9)</w:t>
            </w:r>
          </w:p>
        </w:tc>
        <w:tc>
          <w:tcPr>
            <w:tcW w:w="1396" w:type="pct"/>
            <w:tcBorders>
              <w:top w:val="nil"/>
              <w:left w:val="nil"/>
              <w:bottom w:val="nil"/>
              <w:right w:val="nil"/>
            </w:tcBorders>
            <w:shd w:val="clear" w:color="auto" w:fill="auto"/>
            <w:noWrap/>
            <w:vAlign w:val="bottom"/>
          </w:tcPr>
          <w:p w14:paraId="02C0AA9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3953 (25.2)</w:t>
            </w:r>
          </w:p>
        </w:tc>
      </w:tr>
      <w:tr w14:paraId="62043733">
        <w:trPr>
          <w:trHeight w:val="336" w:hRule="atLeast"/>
        </w:trPr>
        <w:tc>
          <w:tcPr>
            <w:tcW w:w="2040" w:type="pct"/>
            <w:tcBorders>
              <w:top w:val="nil"/>
              <w:left w:val="nil"/>
              <w:bottom w:val="nil"/>
              <w:right w:val="nil"/>
            </w:tcBorders>
            <w:shd w:val="clear" w:color="auto" w:fill="auto"/>
            <w:noWrap/>
            <w:vAlign w:val="bottom"/>
          </w:tcPr>
          <w:p w14:paraId="0F02300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55-59.9</w:t>
            </w:r>
          </w:p>
        </w:tc>
        <w:tc>
          <w:tcPr>
            <w:tcW w:w="1562" w:type="pct"/>
            <w:tcBorders>
              <w:top w:val="nil"/>
              <w:left w:val="nil"/>
              <w:bottom w:val="nil"/>
              <w:right w:val="nil"/>
            </w:tcBorders>
            <w:shd w:val="clear" w:color="auto" w:fill="auto"/>
            <w:noWrap/>
            <w:vAlign w:val="bottom"/>
          </w:tcPr>
          <w:p w14:paraId="0EBBF70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438 (13.4)</w:t>
            </w:r>
          </w:p>
        </w:tc>
        <w:tc>
          <w:tcPr>
            <w:tcW w:w="1396" w:type="pct"/>
            <w:tcBorders>
              <w:top w:val="nil"/>
              <w:left w:val="nil"/>
              <w:bottom w:val="nil"/>
              <w:right w:val="nil"/>
            </w:tcBorders>
            <w:shd w:val="clear" w:color="auto" w:fill="auto"/>
            <w:noWrap/>
            <w:vAlign w:val="bottom"/>
          </w:tcPr>
          <w:p w14:paraId="1BAEDC2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1946 (12.4)</w:t>
            </w:r>
          </w:p>
        </w:tc>
      </w:tr>
      <w:tr w14:paraId="5D4C4DAB">
        <w:trPr>
          <w:trHeight w:val="336" w:hRule="atLeast"/>
        </w:trPr>
        <w:tc>
          <w:tcPr>
            <w:tcW w:w="2040" w:type="pct"/>
            <w:tcBorders>
              <w:top w:val="nil"/>
              <w:left w:val="nil"/>
              <w:bottom w:val="nil"/>
              <w:right w:val="nil"/>
            </w:tcBorders>
            <w:shd w:val="clear" w:color="auto" w:fill="auto"/>
            <w:noWrap/>
            <w:vAlign w:val="bottom"/>
          </w:tcPr>
          <w:p w14:paraId="46D66D8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60-80</w:t>
            </w:r>
          </w:p>
        </w:tc>
        <w:tc>
          <w:tcPr>
            <w:tcW w:w="1562" w:type="pct"/>
            <w:tcBorders>
              <w:top w:val="nil"/>
              <w:left w:val="nil"/>
              <w:bottom w:val="nil"/>
              <w:right w:val="nil"/>
            </w:tcBorders>
            <w:shd w:val="clear" w:color="auto" w:fill="auto"/>
            <w:noWrap/>
            <w:vAlign w:val="bottom"/>
          </w:tcPr>
          <w:p w14:paraId="439D244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192 (5.9)</w:t>
            </w:r>
          </w:p>
        </w:tc>
        <w:tc>
          <w:tcPr>
            <w:tcW w:w="1396" w:type="pct"/>
            <w:tcBorders>
              <w:top w:val="nil"/>
              <w:left w:val="nil"/>
              <w:bottom w:val="nil"/>
              <w:right w:val="nil"/>
            </w:tcBorders>
            <w:shd w:val="clear" w:color="auto" w:fill="auto"/>
            <w:noWrap/>
            <w:vAlign w:val="bottom"/>
          </w:tcPr>
          <w:p w14:paraId="06DF3D2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672 (4.3)</w:t>
            </w:r>
          </w:p>
        </w:tc>
      </w:tr>
      <w:tr w14:paraId="07328B48">
        <w:trPr>
          <w:trHeight w:val="336" w:hRule="atLeast"/>
        </w:trPr>
        <w:tc>
          <w:tcPr>
            <w:tcW w:w="2040" w:type="pct"/>
            <w:tcBorders>
              <w:top w:val="nil"/>
              <w:left w:val="nil"/>
              <w:bottom w:val="nil"/>
              <w:right w:val="nil"/>
            </w:tcBorders>
            <w:shd w:val="clear" w:color="auto" w:fill="auto"/>
            <w:noWrap/>
            <w:vAlign w:val="bottom"/>
          </w:tcPr>
          <w:p w14:paraId="7838563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Sex, No. (%) </w:t>
            </w:r>
          </w:p>
        </w:tc>
        <w:tc>
          <w:tcPr>
            <w:tcW w:w="1562" w:type="pct"/>
            <w:tcBorders>
              <w:top w:val="nil"/>
              <w:left w:val="nil"/>
              <w:bottom w:val="nil"/>
              <w:right w:val="nil"/>
            </w:tcBorders>
            <w:shd w:val="clear" w:color="auto" w:fill="auto"/>
            <w:noWrap/>
            <w:vAlign w:val="bottom"/>
          </w:tcPr>
          <w:p w14:paraId="1D5137CD">
            <w:pPr>
              <w:rPr>
                <w:rFonts w:hint="default" w:ascii="Times New Roman Regular" w:hAnsi="Times New Roman Regular" w:eastAsia="Times New Roman Regular" w:cs="Times New Roman Regular"/>
                <w:i w:val="0"/>
                <w:iCs w:val="0"/>
                <w:color w:val="000000"/>
                <w:sz w:val="18"/>
                <w:szCs w:val="18"/>
                <w:u w:val="none"/>
              </w:rPr>
            </w:pPr>
          </w:p>
        </w:tc>
        <w:tc>
          <w:tcPr>
            <w:tcW w:w="1396" w:type="pct"/>
            <w:tcBorders>
              <w:top w:val="nil"/>
              <w:left w:val="nil"/>
              <w:bottom w:val="nil"/>
              <w:right w:val="nil"/>
            </w:tcBorders>
            <w:shd w:val="clear" w:color="auto" w:fill="auto"/>
            <w:noWrap/>
            <w:vAlign w:val="bottom"/>
          </w:tcPr>
          <w:p w14:paraId="49DD339E">
            <w:pPr>
              <w:rPr>
                <w:rFonts w:hint="default" w:ascii="Times New Roman Regular" w:hAnsi="Times New Roman Regular" w:eastAsia="Times New Roman Regular" w:cs="Times New Roman Regular"/>
                <w:i w:val="0"/>
                <w:iCs w:val="0"/>
                <w:color w:val="000000"/>
                <w:sz w:val="18"/>
                <w:szCs w:val="18"/>
                <w:u w:val="none"/>
              </w:rPr>
            </w:pPr>
          </w:p>
        </w:tc>
      </w:tr>
      <w:tr w14:paraId="774F54FC">
        <w:trPr>
          <w:trHeight w:val="336" w:hRule="atLeast"/>
        </w:trPr>
        <w:tc>
          <w:tcPr>
            <w:tcW w:w="2040" w:type="pct"/>
            <w:tcBorders>
              <w:top w:val="nil"/>
              <w:left w:val="nil"/>
              <w:bottom w:val="nil"/>
              <w:right w:val="nil"/>
            </w:tcBorders>
            <w:shd w:val="clear" w:color="auto" w:fill="auto"/>
            <w:noWrap/>
            <w:vAlign w:val="bottom"/>
          </w:tcPr>
          <w:p w14:paraId="1D5754D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Women</w:t>
            </w:r>
          </w:p>
        </w:tc>
        <w:tc>
          <w:tcPr>
            <w:tcW w:w="1562" w:type="pct"/>
            <w:tcBorders>
              <w:top w:val="nil"/>
              <w:left w:val="nil"/>
              <w:bottom w:val="nil"/>
              <w:right w:val="nil"/>
            </w:tcBorders>
            <w:shd w:val="clear" w:color="auto" w:fill="auto"/>
            <w:noWrap/>
            <w:vAlign w:val="bottom"/>
          </w:tcPr>
          <w:p w14:paraId="7C73520C">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2366 (72.2)</w:t>
            </w:r>
          </w:p>
        </w:tc>
        <w:tc>
          <w:tcPr>
            <w:tcW w:w="1396" w:type="pct"/>
            <w:tcBorders>
              <w:top w:val="nil"/>
              <w:left w:val="nil"/>
              <w:bottom w:val="nil"/>
              <w:right w:val="nil"/>
            </w:tcBorders>
            <w:shd w:val="clear" w:color="auto" w:fill="auto"/>
            <w:noWrap/>
            <w:vAlign w:val="bottom"/>
          </w:tcPr>
          <w:p w14:paraId="0382883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11406 (72.8)</w:t>
            </w:r>
          </w:p>
        </w:tc>
      </w:tr>
      <w:tr w14:paraId="3E940133">
        <w:trPr>
          <w:trHeight w:val="336" w:hRule="atLeast"/>
        </w:trPr>
        <w:tc>
          <w:tcPr>
            <w:tcW w:w="2040" w:type="pct"/>
            <w:tcBorders>
              <w:top w:val="nil"/>
              <w:left w:val="nil"/>
              <w:bottom w:val="nil"/>
              <w:right w:val="nil"/>
            </w:tcBorders>
            <w:shd w:val="clear" w:color="auto" w:fill="auto"/>
            <w:noWrap/>
            <w:vAlign w:val="bottom"/>
          </w:tcPr>
          <w:p w14:paraId="3679A75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Men</w:t>
            </w:r>
          </w:p>
        </w:tc>
        <w:tc>
          <w:tcPr>
            <w:tcW w:w="1562" w:type="pct"/>
            <w:tcBorders>
              <w:top w:val="nil"/>
              <w:left w:val="nil"/>
              <w:bottom w:val="nil"/>
              <w:right w:val="nil"/>
            </w:tcBorders>
            <w:shd w:val="clear" w:color="auto" w:fill="auto"/>
            <w:noWrap/>
            <w:vAlign w:val="bottom"/>
          </w:tcPr>
          <w:p w14:paraId="15EA7CE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913 (27.8)</w:t>
            </w:r>
          </w:p>
        </w:tc>
        <w:tc>
          <w:tcPr>
            <w:tcW w:w="1396" w:type="pct"/>
            <w:tcBorders>
              <w:top w:val="nil"/>
              <w:left w:val="nil"/>
              <w:bottom w:val="nil"/>
              <w:right w:val="nil"/>
            </w:tcBorders>
            <w:shd w:val="clear" w:color="auto" w:fill="auto"/>
            <w:noWrap/>
            <w:vAlign w:val="bottom"/>
          </w:tcPr>
          <w:p w14:paraId="190E056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4271 (27.2)</w:t>
            </w:r>
          </w:p>
        </w:tc>
      </w:tr>
      <w:tr w14:paraId="2CCD8E8C">
        <w:trPr>
          <w:trHeight w:val="336" w:hRule="atLeast"/>
        </w:trPr>
        <w:tc>
          <w:tcPr>
            <w:tcW w:w="2040" w:type="pct"/>
            <w:tcBorders>
              <w:top w:val="nil"/>
              <w:left w:val="nil"/>
              <w:bottom w:val="nil"/>
              <w:right w:val="nil"/>
            </w:tcBorders>
            <w:shd w:val="clear" w:color="auto" w:fill="auto"/>
            <w:noWrap/>
            <w:vAlign w:val="bottom"/>
          </w:tcPr>
          <w:p w14:paraId="4ECAE79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Ethnicity, No. (%) </w:t>
            </w:r>
          </w:p>
        </w:tc>
        <w:tc>
          <w:tcPr>
            <w:tcW w:w="1562" w:type="pct"/>
            <w:tcBorders>
              <w:top w:val="nil"/>
              <w:left w:val="nil"/>
              <w:bottom w:val="nil"/>
              <w:right w:val="nil"/>
            </w:tcBorders>
            <w:shd w:val="clear" w:color="auto" w:fill="auto"/>
            <w:noWrap/>
            <w:vAlign w:val="bottom"/>
          </w:tcPr>
          <w:p w14:paraId="36AFA9FC">
            <w:pPr>
              <w:rPr>
                <w:rFonts w:hint="default" w:ascii="Times New Roman Regular" w:hAnsi="Times New Roman Regular" w:eastAsia="Times New Roman Regular" w:cs="Times New Roman Regular"/>
                <w:i w:val="0"/>
                <w:iCs w:val="0"/>
                <w:color w:val="000000"/>
                <w:sz w:val="18"/>
                <w:szCs w:val="18"/>
                <w:u w:val="none"/>
              </w:rPr>
            </w:pPr>
          </w:p>
        </w:tc>
        <w:tc>
          <w:tcPr>
            <w:tcW w:w="1396" w:type="pct"/>
            <w:tcBorders>
              <w:top w:val="nil"/>
              <w:left w:val="nil"/>
              <w:bottom w:val="nil"/>
              <w:right w:val="nil"/>
            </w:tcBorders>
            <w:shd w:val="clear" w:color="auto" w:fill="auto"/>
            <w:noWrap/>
            <w:vAlign w:val="bottom"/>
          </w:tcPr>
          <w:p w14:paraId="4F688351">
            <w:pPr>
              <w:rPr>
                <w:rFonts w:hint="default" w:ascii="Times New Roman Regular" w:hAnsi="Times New Roman Regular" w:eastAsia="Times New Roman Regular" w:cs="Times New Roman Regular"/>
                <w:i w:val="0"/>
                <w:iCs w:val="0"/>
                <w:color w:val="000000"/>
                <w:sz w:val="18"/>
                <w:szCs w:val="18"/>
                <w:u w:val="none"/>
              </w:rPr>
            </w:pPr>
          </w:p>
        </w:tc>
      </w:tr>
      <w:tr w14:paraId="33A9FAE0">
        <w:trPr>
          <w:trHeight w:val="336" w:hRule="atLeast"/>
        </w:trPr>
        <w:tc>
          <w:tcPr>
            <w:tcW w:w="2040" w:type="pct"/>
            <w:tcBorders>
              <w:top w:val="nil"/>
              <w:left w:val="nil"/>
              <w:bottom w:val="nil"/>
              <w:right w:val="nil"/>
            </w:tcBorders>
            <w:shd w:val="clear" w:color="auto" w:fill="auto"/>
            <w:noWrap/>
            <w:vAlign w:val="bottom"/>
          </w:tcPr>
          <w:p w14:paraId="11DCD28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White</w:t>
            </w:r>
          </w:p>
        </w:tc>
        <w:tc>
          <w:tcPr>
            <w:tcW w:w="1562" w:type="pct"/>
            <w:tcBorders>
              <w:top w:val="nil"/>
              <w:left w:val="nil"/>
              <w:bottom w:val="nil"/>
              <w:right w:val="nil"/>
            </w:tcBorders>
            <w:shd w:val="clear" w:color="auto" w:fill="auto"/>
            <w:noWrap/>
            <w:vAlign w:val="bottom"/>
          </w:tcPr>
          <w:p w14:paraId="13B66E4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2358 (71.9)</w:t>
            </w:r>
          </w:p>
        </w:tc>
        <w:tc>
          <w:tcPr>
            <w:tcW w:w="1396" w:type="pct"/>
            <w:tcBorders>
              <w:top w:val="nil"/>
              <w:left w:val="nil"/>
              <w:bottom w:val="nil"/>
              <w:right w:val="nil"/>
            </w:tcBorders>
            <w:shd w:val="clear" w:color="auto" w:fill="auto"/>
            <w:noWrap/>
            <w:vAlign w:val="bottom"/>
          </w:tcPr>
          <w:p w14:paraId="6E6FA30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11133 (71.0)</w:t>
            </w:r>
          </w:p>
        </w:tc>
      </w:tr>
      <w:tr w14:paraId="78D6864D">
        <w:trPr>
          <w:trHeight w:val="336" w:hRule="atLeast"/>
        </w:trPr>
        <w:tc>
          <w:tcPr>
            <w:tcW w:w="2040" w:type="pct"/>
            <w:tcBorders>
              <w:top w:val="nil"/>
              <w:left w:val="nil"/>
              <w:bottom w:val="nil"/>
              <w:right w:val="nil"/>
            </w:tcBorders>
            <w:shd w:val="clear" w:color="auto" w:fill="auto"/>
            <w:noWrap/>
            <w:vAlign w:val="bottom"/>
          </w:tcPr>
          <w:p w14:paraId="5715E75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Asian</w:t>
            </w:r>
          </w:p>
        </w:tc>
        <w:tc>
          <w:tcPr>
            <w:tcW w:w="1562" w:type="pct"/>
            <w:tcBorders>
              <w:top w:val="nil"/>
              <w:left w:val="nil"/>
              <w:bottom w:val="nil"/>
              <w:right w:val="nil"/>
            </w:tcBorders>
            <w:shd w:val="clear" w:color="auto" w:fill="auto"/>
            <w:noWrap/>
            <w:vAlign w:val="bottom"/>
          </w:tcPr>
          <w:p w14:paraId="69B79B1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153 (4.7)</w:t>
            </w:r>
          </w:p>
        </w:tc>
        <w:tc>
          <w:tcPr>
            <w:tcW w:w="1396" w:type="pct"/>
            <w:tcBorders>
              <w:top w:val="nil"/>
              <w:left w:val="nil"/>
              <w:bottom w:val="nil"/>
              <w:right w:val="nil"/>
            </w:tcBorders>
            <w:shd w:val="clear" w:color="auto" w:fill="auto"/>
            <w:noWrap/>
            <w:vAlign w:val="bottom"/>
          </w:tcPr>
          <w:p w14:paraId="00A5874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1004 (6.4)</w:t>
            </w:r>
          </w:p>
        </w:tc>
      </w:tr>
      <w:tr w14:paraId="05DFBA62">
        <w:trPr>
          <w:trHeight w:val="336" w:hRule="atLeast"/>
        </w:trPr>
        <w:tc>
          <w:tcPr>
            <w:tcW w:w="2040" w:type="pct"/>
            <w:tcBorders>
              <w:top w:val="nil"/>
              <w:left w:val="nil"/>
              <w:bottom w:val="nil"/>
              <w:right w:val="nil"/>
            </w:tcBorders>
            <w:shd w:val="clear" w:color="auto" w:fill="auto"/>
            <w:noWrap/>
            <w:vAlign w:val="bottom"/>
          </w:tcPr>
          <w:p w14:paraId="37E4CD1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Black</w:t>
            </w:r>
          </w:p>
        </w:tc>
        <w:tc>
          <w:tcPr>
            <w:tcW w:w="1562" w:type="pct"/>
            <w:tcBorders>
              <w:top w:val="nil"/>
              <w:left w:val="nil"/>
              <w:bottom w:val="nil"/>
              <w:right w:val="nil"/>
            </w:tcBorders>
            <w:shd w:val="clear" w:color="auto" w:fill="auto"/>
            <w:noWrap/>
            <w:vAlign w:val="bottom"/>
          </w:tcPr>
          <w:p w14:paraId="308006B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254 (7.7)</w:t>
            </w:r>
          </w:p>
        </w:tc>
        <w:tc>
          <w:tcPr>
            <w:tcW w:w="1396" w:type="pct"/>
            <w:tcBorders>
              <w:top w:val="nil"/>
              <w:left w:val="nil"/>
              <w:bottom w:val="nil"/>
              <w:right w:val="nil"/>
            </w:tcBorders>
            <w:shd w:val="clear" w:color="auto" w:fill="auto"/>
            <w:noWrap/>
            <w:vAlign w:val="bottom"/>
          </w:tcPr>
          <w:p w14:paraId="3768B46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1541 (9.8)</w:t>
            </w:r>
          </w:p>
        </w:tc>
      </w:tr>
      <w:tr w14:paraId="1AEB609D">
        <w:trPr>
          <w:trHeight w:val="336" w:hRule="atLeast"/>
        </w:trPr>
        <w:tc>
          <w:tcPr>
            <w:tcW w:w="2040" w:type="pct"/>
            <w:tcBorders>
              <w:top w:val="nil"/>
              <w:left w:val="nil"/>
              <w:bottom w:val="nil"/>
              <w:right w:val="nil"/>
            </w:tcBorders>
            <w:shd w:val="clear" w:color="auto" w:fill="auto"/>
            <w:noWrap/>
            <w:vAlign w:val="bottom"/>
          </w:tcPr>
          <w:p w14:paraId="42A280D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Other</w:t>
            </w:r>
          </w:p>
        </w:tc>
        <w:tc>
          <w:tcPr>
            <w:tcW w:w="1562" w:type="pct"/>
            <w:tcBorders>
              <w:top w:val="nil"/>
              <w:left w:val="nil"/>
              <w:bottom w:val="nil"/>
              <w:right w:val="nil"/>
            </w:tcBorders>
            <w:shd w:val="clear" w:color="auto" w:fill="auto"/>
            <w:noWrap/>
            <w:vAlign w:val="bottom"/>
          </w:tcPr>
          <w:p w14:paraId="0B1D43E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63 (1.9)</w:t>
            </w:r>
          </w:p>
        </w:tc>
        <w:tc>
          <w:tcPr>
            <w:tcW w:w="1396" w:type="pct"/>
            <w:tcBorders>
              <w:top w:val="nil"/>
              <w:left w:val="nil"/>
              <w:bottom w:val="nil"/>
              <w:right w:val="nil"/>
            </w:tcBorders>
            <w:shd w:val="clear" w:color="auto" w:fill="auto"/>
            <w:noWrap/>
            <w:vAlign w:val="bottom"/>
          </w:tcPr>
          <w:p w14:paraId="41ECBCF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140 (0.9)</w:t>
            </w:r>
          </w:p>
        </w:tc>
      </w:tr>
      <w:tr w14:paraId="66A01794">
        <w:trPr>
          <w:trHeight w:val="336" w:hRule="atLeast"/>
        </w:trPr>
        <w:tc>
          <w:tcPr>
            <w:tcW w:w="2040" w:type="pct"/>
            <w:tcBorders>
              <w:top w:val="nil"/>
              <w:left w:val="nil"/>
              <w:bottom w:val="nil"/>
              <w:right w:val="nil"/>
            </w:tcBorders>
            <w:shd w:val="clear" w:color="auto" w:fill="auto"/>
            <w:noWrap/>
            <w:vAlign w:val="bottom"/>
          </w:tcPr>
          <w:p w14:paraId="3C91C91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Mixed</w:t>
            </w:r>
          </w:p>
        </w:tc>
        <w:tc>
          <w:tcPr>
            <w:tcW w:w="1562" w:type="pct"/>
            <w:tcBorders>
              <w:top w:val="nil"/>
              <w:left w:val="nil"/>
              <w:bottom w:val="nil"/>
              <w:right w:val="nil"/>
            </w:tcBorders>
            <w:shd w:val="clear" w:color="auto" w:fill="auto"/>
            <w:noWrap/>
            <w:vAlign w:val="bottom"/>
          </w:tcPr>
          <w:p w14:paraId="115C7B4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60 (1.8)</w:t>
            </w:r>
          </w:p>
        </w:tc>
        <w:tc>
          <w:tcPr>
            <w:tcW w:w="1396" w:type="pct"/>
            <w:tcBorders>
              <w:top w:val="nil"/>
              <w:left w:val="nil"/>
              <w:bottom w:val="nil"/>
              <w:right w:val="nil"/>
            </w:tcBorders>
            <w:shd w:val="clear" w:color="auto" w:fill="auto"/>
            <w:noWrap/>
            <w:vAlign w:val="bottom"/>
          </w:tcPr>
          <w:p w14:paraId="522613C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292 (1.9)</w:t>
            </w:r>
          </w:p>
        </w:tc>
      </w:tr>
      <w:tr w14:paraId="07E0F4F4">
        <w:trPr>
          <w:trHeight w:val="336" w:hRule="atLeast"/>
        </w:trPr>
        <w:tc>
          <w:tcPr>
            <w:tcW w:w="2040" w:type="pct"/>
            <w:tcBorders>
              <w:top w:val="nil"/>
              <w:left w:val="nil"/>
              <w:bottom w:val="nil"/>
              <w:right w:val="nil"/>
            </w:tcBorders>
            <w:shd w:val="clear" w:color="auto" w:fill="auto"/>
            <w:noWrap/>
            <w:vAlign w:val="bottom"/>
          </w:tcPr>
          <w:p w14:paraId="510DB25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Unknown</w:t>
            </w:r>
          </w:p>
        </w:tc>
        <w:tc>
          <w:tcPr>
            <w:tcW w:w="1562" w:type="pct"/>
            <w:tcBorders>
              <w:top w:val="nil"/>
              <w:left w:val="nil"/>
              <w:bottom w:val="nil"/>
              <w:right w:val="nil"/>
            </w:tcBorders>
            <w:shd w:val="clear" w:color="auto" w:fill="auto"/>
            <w:noWrap/>
            <w:vAlign w:val="bottom"/>
          </w:tcPr>
          <w:p w14:paraId="6A8B66C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391 (11.9)</w:t>
            </w:r>
          </w:p>
        </w:tc>
        <w:tc>
          <w:tcPr>
            <w:tcW w:w="1396" w:type="pct"/>
            <w:tcBorders>
              <w:top w:val="nil"/>
              <w:left w:val="nil"/>
              <w:bottom w:val="nil"/>
              <w:right w:val="nil"/>
            </w:tcBorders>
            <w:shd w:val="clear" w:color="auto" w:fill="auto"/>
            <w:noWrap/>
            <w:vAlign w:val="bottom"/>
          </w:tcPr>
          <w:p w14:paraId="7D354D0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1567 (10.0)</w:t>
            </w:r>
          </w:p>
        </w:tc>
      </w:tr>
      <w:tr w14:paraId="03CAAF6F">
        <w:trPr>
          <w:trHeight w:val="336" w:hRule="atLeast"/>
        </w:trPr>
        <w:tc>
          <w:tcPr>
            <w:tcW w:w="2040" w:type="pct"/>
            <w:tcBorders>
              <w:top w:val="nil"/>
              <w:left w:val="nil"/>
              <w:bottom w:val="nil"/>
              <w:right w:val="nil"/>
            </w:tcBorders>
            <w:shd w:val="clear" w:color="auto" w:fill="auto"/>
            <w:noWrap/>
            <w:vAlign w:val="bottom"/>
          </w:tcPr>
          <w:p w14:paraId="21C8F50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Marital Status, No. (%) </w:t>
            </w:r>
          </w:p>
        </w:tc>
        <w:tc>
          <w:tcPr>
            <w:tcW w:w="1562" w:type="pct"/>
            <w:tcBorders>
              <w:top w:val="nil"/>
              <w:left w:val="nil"/>
              <w:bottom w:val="nil"/>
              <w:right w:val="nil"/>
            </w:tcBorders>
            <w:shd w:val="clear" w:color="auto" w:fill="auto"/>
            <w:noWrap/>
            <w:vAlign w:val="bottom"/>
          </w:tcPr>
          <w:p w14:paraId="6EB04749">
            <w:pPr>
              <w:rPr>
                <w:rFonts w:hint="default" w:ascii="Times New Roman Regular" w:hAnsi="Times New Roman Regular" w:eastAsia="Times New Roman Regular" w:cs="Times New Roman Regular"/>
                <w:i w:val="0"/>
                <w:iCs w:val="0"/>
                <w:color w:val="000000"/>
                <w:sz w:val="18"/>
                <w:szCs w:val="18"/>
                <w:u w:val="none"/>
              </w:rPr>
            </w:pPr>
          </w:p>
        </w:tc>
        <w:tc>
          <w:tcPr>
            <w:tcW w:w="1396" w:type="pct"/>
            <w:tcBorders>
              <w:top w:val="nil"/>
              <w:left w:val="nil"/>
              <w:bottom w:val="nil"/>
              <w:right w:val="nil"/>
            </w:tcBorders>
            <w:shd w:val="clear" w:color="auto" w:fill="auto"/>
            <w:noWrap/>
            <w:vAlign w:val="bottom"/>
          </w:tcPr>
          <w:p w14:paraId="34E3983E">
            <w:pPr>
              <w:rPr>
                <w:rFonts w:hint="default" w:ascii="Times New Roman Regular" w:hAnsi="Times New Roman Regular" w:eastAsia="Times New Roman Regular" w:cs="Times New Roman Regular"/>
                <w:i w:val="0"/>
                <w:iCs w:val="0"/>
                <w:color w:val="000000"/>
                <w:sz w:val="18"/>
                <w:szCs w:val="18"/>
                <w:u w:val="none"/>
              </w:rPr>
            </w:pPr>
          </w:p>
        </w:tc>
      </w:tr>
      <w:tr w14:paraId="5BFBD013">
        <w:trPr>
          <w:trHeight w:val="336" w:hRule="atLeast"/>
        </w:trPr>
        <w:tc>
          <w:tcPr>
            <w:tcW w:w="2040" w:type="pct"/>
            <w:tcBorders>
              <w:top w:val="nil"/>
              <w:left w:val="nil"/>
              <w:bottom w:val="nil"/>
              <w:right w:val="nil"/>
            </w:tcBorders>
            <w:shd w:val="clear" w:color="auto" w:fill="auto"/>
            <w:noWrap/>
            <w:vAlign w:val="bottom"/>
          </w:tcPr>
          <w:p w14:paraId="17D7052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Single</w:t>
            </w:r>
          </w:p>
        </w:tc>
        <w:tc>
          <w:tcPr>
            <w:tcW w:w="1562" w:type="pct"/>
            <w:tcBorders>
              <w:top w:val="nil"/>
              <w:left w:val="nil"/>
              <w:bottom w:val="nil"/>
              <w:right w:val="nil"/>
            </w:tcBorders>
            <w:shd w:val="clear" w:color="auto" w:fill="auto"/>
            <w:noWrap/>
            <w:vAlign w:val="bottom"/>
          </w:tcPr>
          <w:p w14:paraId="4F0AEB3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108 (3.3)</w:t>
            </w:r>
          </w:p>
        </w:tc>
        <w:tc>
          <w:tcPr>
            <w:tcW w:w="1396" w:type="pct"/>
            <w:tcBorders>
              <w:top w:val="nil"/>
              <w:left w:val="nil"/>
              <w:bottom w:val="nil"/>
              <w:right w:val="nil"/>
            </w:tcBorders>
            <w:shd w:val="clear" w:color="auto" w:fill="auto"/>
            <w:noWrap/>
            <w:vAlign w:val="bottom"/>
          </w:tcPr>
          <w:p w14:paraId="05E81FE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610 (3.9)</w:t>
            </w:r>
          </w:p>
        </w:tc>
      </w:tr>
      <w:tr w14:paraId="54D74E09">
        <w:trPr>
          <w:trHeight w:val="336" w:hRule="atLeast"/>
        </w:trPr>
        <w:tc>
          <w:tcPr>
            <w:tcW w:w="2040" w:type="pct"/>
            <w:tcBorders>
              <w:top w:val="nil"/>
              <w:left w:val="nil"/>
              <w:bottom w:val="nil"/>
              <w:right w:val="nil"/>
            </w:tcBorders>
            <w:shd w:val="clear" w:color="auto" w:fill="auto"/>
            <w:noWrap/>
            <w:vAlign w:val="bottom"/>
          </w:tcPr>
          <w:p w14:paraId="7911739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Married</w:t>
            </w:r>
          </w:p>
        </w:tc>
        <w:tc>
          <w:tcPr>
            <w:tcW w:w="1562" w:type="pct"/>
            <w:tcBorders>
              <w:top w:val="nil"/>
              <w:left w:val="nil"/>
              <w:bottom w:val="nil"/>
              <w:right w:val="nil"/>
            </w:tcBorders>
            <w:shd w:val="clear" w:color="auto" w:fill="auto"/>
            <w:noWrap/>
            <w:vAlign w:val="bottom"/>
          </w:tcPr>
          <w:p w14:paraId="1610E4B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227 (6.9)</w:t>
            </w:r>
          </w:p>
        </w:tc>
        <w:tc>
          <w:tcPr>
            <w:tcW w:w="1396" w:type="pct"/>
            <w:tcBorders>
              <w:top w:val="nil"/>
              <w:left w:val="nil"/>
              <w:bottom w:val="nil"/>
              <w:right w:val="nil"/>
            </w:tcBorders>
            <w:shd w:val="clear" w:color="auto" w:fill="auto"/>
            <w:noWrap/>
            <w:vAlign w:val="bottom"/>
          </w:tcPr>
          <w:p w14:paraId="7444526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1039 (6.6)</w:t>
            </w:r>
          </w:p>
        </w:tc>
      </w:tr>
      <w:tr w14:paraId="08040B2B">
        <w:trPr>
          <w:trHeight w:val="336" w:hRule="atLeast"/>
        </w:trPr>
        <w:tc>
          <w:tcPr>
            <w:tcW w:w="2040" w:type="pct"/>
            <w:tcBorders>
              <w:top w:val="nil"/>
              <w:left w:val="nil"/>
              <w:bottom w:val="nil"/>
              <w:right w:val="nil"/>
            </w:tcBorders>
            <w:shd w:val="clear" w:color="auto" w:fill="auto"/>
            <w:noWrap/>
            <w:vAlign w:val="bottom"/>
          </w:tcPr>
          <w:p w14:paraId="2B5900E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Widowed</w:t>
            </w:r>
          </w:p>
        </w:tc>
        <w:tc>
          <w:tcPr>
            <w:tcW w:w="1562" w:type="pct"/>
            <w:tcBorders>
              <w:top w:val="nil"/>
              <w:left w:val="nil"/>
              <w:bottom w:val="nil"/>
              <w:right w:val="nil"/>
            </w:tcBorders>
            <w:shd w:val="clear" w:color="auto" w:fill="auto"/>
            <w:noWrap/>
            <w:vAlign w:val="bottom"/>
          </w:tcPr>
          <w:p w14:paraId="64D3D07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20 (0.6)</w:t>
            </w:r>
          </w:p>
        </w:tc>
        <w:tc>
          <w:tcPr>
            <w:tcW w:w="1396" w:type="pct"/>
            <w:tcBorders>
              <w:top w:val="nil"/>
              <w:left w:val="nil"/>
              <w:bottom w:val="nil"/>
              <w:right w:val="nil"/>
            </w:tcBorders>
            <w:shd w:val="clear" w:color="auto" w:fill="auto"/>
            <w:noWrap/>
            <w:vAlign w:val="bottom"/>
          </w:tcPr>
          <w:p w14:paraId="6E28ECC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114 (0.7)</w:t>
            </w:r>
          </w:p>
        </w:tc>
      </w:tr>
      <w:tr w14:paraId="25B626DD">
        <w:trPr>
          <w:trHeight w:val="336" w:hRule="atLeast"/>
        </w:trPr>
        <w:tc>
          <w:tcPr>
            <w:tcW w:w="2040" w:type="pct"/>
            <w:tcBorders>
              <w:top w:val="nil"/>
              <w:left w:val="nil"/>
              <w:bottom w:val="nil"/>
              <w:right w:val="nil"/>
            </w:tcBorders>
            <w:shd w:val="clear" w:color="auto" w:fill="auto"/>
            <w:noWrap/>
            <w:vAlign w:val="bottom"/>
          </w:tcPr>
          <w:p w14:paraId="0B8E82E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Divorced</w:t>
            </w:r>
          </w:p>
        </w:tc>
        <w:tc>
          <w:tcPr>
            <w:tcW w:w="1562" w:type="pct"/>
            <w:tcBorders>
              <w:top w:val="nil"/>
              <w:left w:val="nil"/>
              <w:bottom w:val="nil"/>
              <w:right w:val="nil"/>
            </w:tcBorders>
            <w:shd w:val="clear" w:color="auto" w:fill="auto"/>
            <w:noWrap/>
            <w:vAlign w:val="bottom"/>
          </w:tcPr>
          <w:p w14:paraId="58D7758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24 (0.7)</w:t>
            </w:r>
          </w:p>
        </w:tc>
        <w:tc>
          <w:tcPr>
            <w:tcW w:w="1396" w:type="pct"/>
            <w:tcBorders>
              <w:top w:val="nil"/>
              <w:left w:val="nil"/>
              <w:bottom w:val="nil"/>
              <w:right w:val="nil"/>
            </w:tcBorders>
            <w:shd w:val="clear" w:color="auto" w:fill="auto"/>
            <w:noWrap/>
            <w:vAlign w:val="bottom"/>
          </w:tcPr>
          <w:p w14:paraId="39B4AAC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99 (0.6)</w:t>
            </w:r>
          </w:p>
        </w:tc>
      </w:tr>
      <w:tr w14:paraId="26FB1214">
        <w:trPr>
          <w:trHeight w:val="336" w:hRule="atLeast"/>
        </w:trPr>
        <w:tc>
          <w:tcPr>
            <w:tcW w:w="2040" w:type="pct"/>
            <w:tcBorders>
              <w:top w:val="nil"/>
              <w:left w:val="nil"/>
              <w:bottom w:val="nil"/>
              <w:right w:val="nil"/>
            </w:tcBorders>
            <w:shd w:val="clear" w:color="auto" w:fill="auto"/>
            <w:noWrap/>
            <w:vAlign w:val="bottom"/>
          </w:tcPr>
          <w:p w14:paraId="080E213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Separated</w:t>
            </w:r>
          </w:p>
        </w:tc>
        <w:tc>
          <w:tcPr>
            <w:tcW w:w="1562" w:type="pct"/>
            <w:tcBorders>
              <w:top w:val="nil"/>
              <w:left w:val="nil"/>
              <w:bottom w:val="nil"/>
              <w:right w:val="nil"/>
            </w:tcBorders>
            <w:shd w:val="clear" w:color="auto" w:fill="auto"/>
            <w:noWrap/>
            <w:vAlign w:val="bottom"/>
          </w:tcPr>
          <w:p w14:paraId="6F0E7FA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17 (0.5)</w:t>
            </w:r>
          </w:p>
        </w:tc>
        <w:tc>
          <w:tcPr>
            <w:tcW w:w="1396" w:type="pct"/>
            <w:tcBorders>
              <w:top w:val="nil"/>
              <w:left w:val="nil"/>
              <w:bottom w:val="nil"/>
              <w:right w:val="nil"/>
            </w:tcBorders>
            <w:shd w:val="clear" w:color="auto" w:fill="auto"/>
            <w:noWrap/>
            <w:vAlign w:val="bottom"/>
          </w:tcPr>
          <w:p w14:paraId="0206E8B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62 (0.4)</w:t>
            </w:r>
          </w:p>
        </w:tc>
      </w:tr>
      <w:tr w14:paraId="224099A7">
        <w:trPr>
          <w:trHeight w:val="336" w:hRule="atLeast"/>
        </w:trPr>
        <w:tc>
          <w:tcPr>
            <w:tcW w:w="2040" w:type="pct"/>
            <w:tcBorders>
              <w:top w:val="nil"/>
              <w:left w:val="nil"/>
              <w:bottom w:val="nil"/>
              <w:right w:val="nil"/>
            </w:tcBorders>
            <w:shd w:val="clear" w:color="auto" w:fill="auto"/>
            <w:noWrap/>
            <w:vAlign w:val="bottom"/>
          </w:tcPr>
          <w:p w14:paraId="00D3324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Unknown</w:t>
            </w:r>
          </w:p>
        </w:tc>
        <w:tc>
          <w:tcPr>
            <w:tcW w:w="1562" w:type="pct"/>
            <w:tcBorders>
              <w:top w:val="nil"/>
              <w:left w:val="nil"/>
              <w:bottom w:val="nil"/>
              <w:right w:val="nil"/>
            </w:tcBorders>
            <w:shd w:val="clear" w:color="auto" w:fill="auto"/>
            <w:noWrap/>
            <w:vAlign w:val="bottom"/>
          </w:tcPr>
          <w:p w14:paraId="30A1E1F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2883 (87.9)</w:t>
            </w:r>
          </w:p>
        </w:tc>
        <w:tc>
          <w:tcPr>
            <w:tcW w:w="1396" w:type="pct"/>
            <w:tcBorders>
              <w:top w:val="nil"/>
              <w:left w:val="nil"/>
              <w:bottom w:val="nil"/>
              <w:right w:val="nil"/>
            </w:tcBorders>
            <w:shd w:val="clear" w:color="auto" w:fill="auto"/>
            <w:noWrap/>
            <w:vAlign w:val="bottom"/>
          </w:tcPr>
          <w:p w14:paraId="079D3E1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13753 (87.7)</w:t>
            </w:r>
          </w:p>
        </w:tc>
      </w:tr>
      <w:tr w14:paraId="5BC17823">
        <w:trPr>
          <w:trHeight w:val="336" w:hRule="atLeast"/>
        </w:trPr>
        <w:tc>
          <w:tcPr>
            <w:tcW w:w="2040" w:type="pct"/>
            <w:tcBorders>
              <w:top w:val="nil"/>
              <w:left w:val="nil"/>
              <w:bottom w:val="nil"/>
              <w:right w:val="nil"/>
            </w:tcBorders>
            <w:shd w:val="clear" w:color="auto" w:fill="auto"/>
            <w:noWrap/>
            <w:vAlign w:val="bottom"/>
          </w:tcPr>
          <w:p w14:paraId="3E0F8DFC">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Index of Multiple Deprivation quintile, No. (%)</w:t>
            </w:r>
          </w:p>
        </w:tc>
        <w:tc>
          <w:tcPr>
            <w:tcW w:w="1562" w:type="pct"/>
            <w:tcBorders>
              <w:top w:val="nil"/>
              <w:left w:val="nil"/>
              <w:bottom w:val="nil"/>
              <w:right w:val="nil"/>
            </w:tcBorders>
            <w:shd w:val="clear" w:color="auto" w:fill="auto"/>
            <w:noWrap/>
            <w:vAlign w:val="bottom"/>
          </w:tcPr>
          <w:p w14:paraId="197E1432">
            <w:pPr>
              <w:rPr>
                <w:rFonts w:hint="default" w:ascii="Times New Roman Regular" w:hAnsi="Times New Roman Regular" w:eastAsia="Times New Roman Regular" w:cs="Times New Roman Regular"/>
                <w:i w:val="0"/>
                <w:iCs w:val="0"/>
                <w:color w:val="000000"/>
                <w:sz w:val="18"/>
                <w:szCs w:val="18"/>
                <w:u w:val="none"/>
              </w:rPr>
            </w:pPr>
          </w:p>
        </w:tc>
        <w:tc>
          <w:tcPr>
            <w:tcW w:w="1396" w:type="pct"/>
            <w:tcBorders>
              <w:top w:val="nil"/>
              <w:left w:val="nil"/>
              <w:bottom w:val="nil"/>
              <w:right w:val="nil"/>
            </w:tcBorders>
            <w:shd w:val="clear" w:color="auto" w:fill="auto"/>
            <w:noWrap/>
            <w:vAlign w:val="bottom"/>
          </w:tcPr>
          <w:p w14:paraId="713C3397">
            <w:pPr>
              <w:rPr>
                <w:rFonts w:hint="default" w:ascii="Times New Roman Regular" w:hAnsi="Times New Roman Regular" w:eastAsia="Times New Roman Regular" w:cs="Times New Roman Regular"/>
                <w:i w:val="0"/>
                <w:iCs w:val="0"/>
                <w:color w:val="000000"/>
                <w:sz w:val="18"/>
                <w:szCs w:val="18"/>
                <w:u w:val="none"/>
              </w:rPr>
            </w:pPr>
          </w:p>
        </w:tc>
      </w:tr>
      <w:tr w14:paraId="17A23658">
        <w:trPr>
          <w:trHeight w:val="336" w:hRule="atLeast"/>
        </w:trPr>
        <w:tc>
          <w:tcPr>
            <w:tcW w:w="2040" w:type="pct"/>
            <w:tcBorders>
              <w:top w:val="nil"/>
              <w:left w:val="nil"/>
              <w:bottom w:val="nil"/>
              <w:right w:val="nil"/>
            </w:tcBorders>
            <w:shd w:val="clear" w:color="auto" w:fill="auto"/>
            <w:noWrap/>
            <w:vAlign w:val="bottom"/>
          </w:tcPr>
          <w:p w14:paraId="0AA4A71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Quintile 1 (most affluent)</w:t>
            </w:r>
          </w:p>
        </w:tc>
        <w:tc>
          <w:tcPr>
            <w:tcW w:w="1562" w:type="pct"/>
            <w:tcBorders>
              <w:top w:val="nil"/>
              <w:left w:val="nil"/>
              <w:bottom w:val="nil"/>
              <w:right w:val="nil"/>
            </w:tcBorders>
            <w:shd w:val="clear" w:color="auto" w:fill="auto"/>
            <w:noWrap/>
            <w:vAlign w:val="bottom"/>
          </w:tcPr>
          <w:p w14:paraId="25C91C5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469 (14.3)</w:t>
            </w:r>
          </w:p>
        </w:tc>
        <w:tc>
          <w:tcPr>
            <w:tcW w:w="1396" w:type="pct"/>
            <w:tcBorders>
              <w:top w:val="nil"/>
              <w:left w:val="nil"/>
              <w:bottom w:val="nil"/>
              <w:right w:val="nil"/>
            </w:tcBorders>
            <w:shd w:val="clear" w:color="auto" w:fill="auto"/>
            <w:noWrap/>
            <w:vAlign w:val="bottom"/>
          </w:tcPr>
          <w:p w14:paraId="1A0748C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1985 (12.7)</w:t>
            </w:r>
          </w:p>
        </w:tc>
      </w:tr>
      <w:tr w14:paraId="5E6AD94D">
        <w:trPr>
          <w:trHeight w:val="336" w:hRule="atLeast"/>
        </w:trPr>
        <w:tc>
          <w:tcPr>
            <w:tcW w:w="2040" w:type="pct"/>
            <w:tcBorders>
              <w:top w:val="nil"/>
              <w:left w:val="nil"/>
              <w:bottom w:val="nil"/>
              <w:right w:val="nil"/>
            </w:tcBorders>
            <w:shd w:val="clear" w:color="auto" w:fill="auto"/>
            <w:noWrap/>
            <w:vAlign w:val="bottom"/>
          </w:tcPr>
          <w:p w14:paraId="387D42B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Quintile 2</w:t>
            </w:r>
          </w:p>
        </w:tc>
        <w:tc>
          <w:tcPr>
            <w:tcW w:w="1562" w:type="pct"/>
            <w:tcBorders>
              <w:top w:val="nil"/>
              <w:left w:val="nil"/>
              <w:bottom w:val="nil"/>
              <w:right w:val="nil"/>
            </w:tcBorders>
            <w:shd w:val="clear" w:color="auto" w:fill="auto"/>
            <w:noWrap/>
            <w:vAlign w:val="bottom"/>
          </w:tcPr>
          <w:p w14:paraId="75FF40A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554 (16.9)</w:t>
            </w:r>
          </w:p>
        </w:tc>
        <w:tc>
          <w:tcPr>
            <w:tcW w:w="1396" w:type="pct"/>
            <w:tcBorders>
              <w:top w:val="nil"/>
              <w:left w:val="nil"/>
              <w:bottom w:val="nil"/>
              <w:right w:val="nil"/>
            </w:tcBorders>
            <w:shd w:val="clear" w:color="auto" w:fill="auto"/>
            <w:noWrap/>
            <w:vAlign w:val="bottom"/>
          </w:tcPr>
          <w:p w14:paraId="0E09B79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2404 (15.3)</w:t>
            </w:r>
          </w:p>
        </w:tc>
      </w:tr>
      <w:tr w14:paraId="136A36ED">
        <w:trPr>
          <w:trHeight w:val="336" w:hRule="atLeast"/>
        </w:trPr>
        <w:tc>
          <w:tcPr>
            <w:tcW w:w="2040" w:type="pct"/>
            <w:tcBorders>
              <w:top w:val="nil"/>
              <w:left w:val="nil"/>
              <w:bottom w:val="nil"/>
              <w:right w:val="nil"/>
            </w:tcBorders>
            <w:shd w:val="clear" w:color="auto" w:fill="auto"/>
            <w:noWrap/>
            <w:vAlign w:val="bottom"/>
          </w:tcPr>
          <w:p w14:paraId="046BA77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Quintile 3</w:t>
            </w:r>
          </w:p>
        </w:tc>
        <w:tc>
          <w:tcPr>
            <w:tcW w:w="1562" w:type="pct"/>
            <w:tcBorders>
              <w:top w:val="nil"/>
              <w:left w:val="nil"/>
              <w:bottom w:val="nil"/>
              <w:right w:val="nil"/>
            </w:tcBorders>
            <w:shd w:val="clear" w:color="auto" w:fill="auto"/>
            <w:noWrap/>
            <w:vAlign w:val="bottom"/>
          </w:tcPr>
          <w:p w14:paraId="684028D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617 (18.8)</w:t>
            </w:r>
          </w:p>
        </w:tc>
        <w:tc>
          <w:tcPr>
            <w:tcW w:w="1396" w:type="pct"/>
            <w:tcBorders>
              <w:top w:val="nil"/>
              <w:left w:val="nil"/>
              <w:bottom w:val="nil"/>
              <w:right w:val="nil"/>
            </w:tcBorders>
            <w:shd w:val="clear" w:color="auto" w:fill="auto"/>
            <w:noWrap/>
            <w:vAlign w:val="bottom"/>
          </w:tcPr>
          <w:p w14:paraId="68E9083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2784 (17.8)</w:t>
            </w:r>
          </w:p>
        </w:tc>
      </w:tr>
      <w:tr w14:paraId="6D327BA1">
        <w:trPr>
          <w:trHeight w:val="336" w:hRule="atLeast"/>
        </w:trPr>
        <w:tc>
          <w:tcPr>
            <w:tcW w:w="2040" w:type="pct"/>
            <w:tcBorders>
              <w:top w:val="nil"/>
              <w:left w:val="nil"/>
              <w:bottom w:val="nil"/>
              <w:right w:val="nil"/>
            </w:tcBorders>
            <w:shd w:val="clear" w:color="auto" w:fill="auto"/>
            <w:noWrap/>
            <w:vAlign w:val="bottom"/>
          </w:tcPr>
          <w:p w14:paraId="5E2A3E7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Quintile 4</w:t>
            </w:r>
          </w:p>
        </w:tc>
        <w:tc>
          <w:tcPr>
            <w:tcW w:w="1562" w:type="pct"/>
            <w:tcBorders>
              <w:top w:val="nil"/>
              <w:left w:val="nil"/>
              <w:bottom w:val="nil"/>
              <w:right w:val="nil"/>
            </w:tcBorders>
            <w:shd w:val="clear" w:color="auto" w:fill="auto"/>
            <w:noWrap/>
            <w:vAlign w:val="bottom"/>
          </w:tcPr>
          <w:p w14:paraId="0B7B09F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837 (25.5)</w:t>
            </w:r>
          </w:p>
        </w:tc>
        <w:tc>
          <w:tcPr>
            <w:tcW w:w="1396" w:type="pct"/>
            <w:tcBorders>
              <w:top w:val="nil"/>
              <w:left w:val="nil"/>
              <w:bottom w:val="nil"/>
              <w:right w:val="nil"/>
            </w:tcBorders>
            <w:shd w:val="clear" w:color="auto" w:fill="auto"/>
            <w:noWrap/>
            <w:vAlign w:val="bottom"/>
          </w:tcPr>
          <w:p w14:paraId="76CD2D1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3808 (24.3)</w:t>
            </w:r>
          </w:p>
        </w:tc>
      </w:tr>
      <w:tr w14:paraId="3A3DF9BA">
        <w:trPr>
          <w:trHeight w:val="336" w:hRule="atLeast"/>
        </w:trPr>
        <w:tc>
          <w:tcPr>
            <w:tcW w:w="2040" w:type="pct"/>
            <w:tcBorders>
              <w:top w:val="nil"/>
              <w:left w:val="nil"/>
              <w:bottom w:val="nil"/>
              <w:right w:val="nil"/>
            </w:tcBorders>
            <w:shd w:val="clear" w:color="auto" w:fill="auto"/>
            <w:noWrap/>
            <w:vAlign w:val="bottom"/>
          </w:tcPr>
          <w:p w14:paraId="02CB645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Quintile 5 (most deprived)</w:t>
            </w:r>
          </w:p>
        </w:tc>
        <w:tc>
          <w:tcPr>
            <w:tcW w:w="1562" w:type="pct"/>
            <w:tcBorders>
              <w:top w:val="nil"/>
              <w:left w:val="nil"/>
              <w:bottom w:val="nil"/>
              <w:right w:val="nil"/>
            </w:tcBorders>
            <w:shd w:val="clear" w:color="auto" w:fill="auto"/>
            <w:noWrap/>
            <w:vAlign w:val="bottom"/>
          </w:tcPr>
          <w:p w14:paraId="05B97FFC">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800 (24.4)</w:t>
            </w:r>
          </w:p>
        </w:tc>
        <w:tc>
          <w:tcPr>
            <w:tcW w:w="1396" w:type="pct"/>
            <w:tcBorders>
              <w:top w:val="nil"/>
              <w:left w:val="nil"/>
              <w:bottom w:val="nil"/>
              <w:right w:val="nil"/>
            </w:tcBorders>
            <w:shd w:val="clear" w:color="auto" w:fill="auto"/>
            <w:noWrap/>
            <w:vAlign w:val="bottom"/>
          </w:tcPr>
          <w:p w14:paraId="3C33E19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4686 (29.9)</w:t>
            </w:r>
          </w:p>
        </w:tc>
      </w:tr>
      <w:tr w14:paraId="7D70B2BF">
        <w:trPr>
          <w:trHeight w:val="336" w:hRule="atLeast"/>
        </w:trPr>
        <w:tc>
          <w:tcPr>
            <w:tcW w:w="2040" w:type="pct"/>
            <w:tcBorders>
              <w:top w:val="nil"/>
              <w:left w:val="nil"/>
              <w:bottom w:val="nil"/>
              <w:right w:val="nil"/>
            </w:tcBorders>
            <w:shd w:val="clear" w:color="auto" w:fill="auto"/>
            <w:noWrap/>
            <w:vAlign w:val="bottom"/>
          </w:tcPr>
          <w:p w14:paraId="7F285F9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Unknown</w:t>
            </w:r>
          </w:p>
        </w:tc>
        <w:tc>
          <w:tcPr>
            <w:tcW w:w="1562" w:type="pct"/>
            <w:tcBorders>
              <w:top w:val="nil"/>
              <w:left w:val="nil"/>
              <w:bottom w:val="nil"/>
              <w:right w:val="nil"/>
            </w:tcBorders>
            <w:shd w:val="clear" w:color="auto" w:fill="auto"/>
            <w:noWrap/>
            <w:vAlign w:val="bottom"/>
          </w:tcPr>
          <w:p w14:paraId="337EDF0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 (0.1)</w:t>
            </w:r>
          </w:p>
        </w:tc>
        <w:tc>
          <w:tcPr>
            <w:tcW w:w="1396" w:type="pct"/>
            <w:tcBorders>
              <w:top w:val="nil"/>
              <w:left w:val="nil"/>
              <w:bottom w:val="nil"/>
              <w:right w:val="nil"/>
            </w:tcBorders>
            <w:shd w:val="clear" w:color="auto" w:fill="auto"/>
            <w:noWrap/>
            <w:vAlign w:val="bottom"/>
          </w:tcPr>
          <w:p w14:paraId="25B35A6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10 (0.1)</w:t>
            </w:r>
          </w:p>
        </w:tc>
      </w:tr>
      <w:tr w14:paraId="5E0DDA39">
        <w:trPr>
          <w:trHeight w:val="336" w:hRule="atLeast"/>
        </w:trPr>
        <w:tc>
          <w:tcPr>
            <w:tcW w:w="2040" w:type="pct"/>
            <w:tcBorders>
              <w:top w:val="nil"/>
              <w:left w:val="nil"/>
              <w:bottom w:val="nil"/>
              <w:right w:val="nil"/>
            </w:tcBorders>
            <w:shd w:val="clear" w:color="auto" w:fill="auto"/>
            <w:noWrap/>
            <w:vAlign w:val="bottom"/>
          </w:tcPr>
          <w:p w14:paraId="5FCF965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Smoking status, No. (%) </w:t>
            </w:r>
          </w:p>
        </w:tc>
        <w:tc>
          <w:tcPr>
            <w:tcW w:w="1562" w:type="pct"/>
            <w:tcBorders>
              <w:top w:val="nil"/>
              <w:left w:val="nil"/>
              <w:bottom w:val="nil"/>
              <w:right w:val="nil"/>
            </w:tcBorders>
            <w:shd w:val="clear" w:color="auto" w:fill="auto"/>
            <w:noWrap/>
            <w:vAlign w:val="bottom"/>
          </w:tcPr>
          <w:p w14:paraId="19F816A4">
            <w:pPr>
              <w:rPr>
                <w:rFonts w:hint="default" w:ascii="Times New Roman Regular" w:hAnsi="Times New Roman Regular" w:eastAsia="Times New Roman Regular" w:cs="Times New Roman Regular"/>
                <w:i w:val="0"/>
                <w:iCs w:val="0"/>
                <w:color w:val="000000"/>
                <w:sz w:val="18"/>
                <w:szCs w:val="18"/>
                <w:u w:val="none"/>
              </w:rPr>
            </w:pPr>
          </w:p>
        </w:tc>
        <w:tc>
          <w:tcPr>
            <w:tcW w:w="1396" w:type="pct"/>
            <w:tcBorders>
              <w:top w:val="nil"/>
              <w:left w:val="nil"/>
              <w:bottom w:val="nil"/>
              <w:right w:val="nil"/>
            </w:tcBorders>
            <w:shd w:val="clear" w:color="auto" w:fill="auto"/>
            <w:noWrap/>
            <w:vAlign w:val="bottom"/>
          </w:tcPr>
          <w:p w14:paraId="370F1BA4">
            <w:pPr>
              <w:rPr>
                <w:rFonts w:hint="default" w:ascii="Times New Roman Regular" w:hAnsi="Times New Roman Regular" w:eastAsia="Times New Roman Regular" w:cs="Times New Roman Regular"/>
                <w:i w:val="0"/>
                <w:iCs w:val="0"/>
                <w:color w:val="000000"/>
                <w:sz w:val="18"/>
                <w:szCs w:val="18"/>
                <w:u w:val="none"/>
              </w:rPr>
            </w:pPr>
          </w:p>
        </w:tc>
      </w:tr>
      <w:tr w14:paraId="0FE94533">
        <w:trPr>
          <w:trHeight w:val="336" w:hRule="atLeast"/>
        </w:trPr>
        <w:tc>
          <w:tcPr>
            <w:tcW w:w="2040" w:type="pct"/>
            <w:tcBorders>
              <w:top w:val="nil"/>
              <w:left w:val="nil"/>
              <w:bottom w:val="nil"/>
              <w:right w:val="nil"/>
            </w:tcBorders>
            <w:shd w:val="clear" w:color="auto" w:fill="auto"/>
            <w:noWrap/>
            <w:vAlign w:val="bottom"/>
          </w:tcPr>
          <w:p w14:paraId="78149BF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Non-smoker</w:t>
            </w:r>
          </w:p>
        </w:tc>
        <w:tc>
          <w:tcPr>
            <w:tcW w:w="1562" w:type="pct"/>
            <w:tcBorders>
              <w:top w:val="nil"/>
              <w:left w:val="nil"/>
              <w:bottom w:val="nil"/>
              <w:right w:val="nil"/>
            </w:tcBorders>
            <w:shd w:val="clear" w:color="auto" w:fill="auto"/>
            <w:noWrap/>
            <w:vAlign w:val="bottom"/>
          </w:tcPr>
          <w:p w14:paraId="6F52AD5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1272 (38.8)</w:t>
            </w:r>
          </w:p>
        </w:tc>
        <w:tc>
          <w:tcPr>
            <w:tcW w:w="1396" w:type="pct"/>
            <w:tcBorders>
              <w:top w:val="nil"/>
              <w:left w:val="nil"/>
              <w:bottom w:val="nil"/>
              <w:right w:val="nil"/>
            </w:tcBorders>
            <w:shd w:val="clear" w:color="auto" w:fill="auto"/>
            <w:noWrap/>
            <w:vAlign w:val="bottom"/>
          </w:tcPr>
          <w:p w14:paraId="6E33FC3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6311 (40.3)</w:t>
            </w:r>
          </w:p>
        </w:tc>
      </w:tr>
      <w:tr w14:paraId="0BF9D161">
        <w:trPr>
          <w:trHeight w:val="336" w:hRule="atLeast"/>
        </w:trPr>
        <w:tc>
          <w:tcPr>
            <w:tcW w:w="2040" w:type="pct"/>
            <w:tcBorders>
              <w:top w:val="nil"/>
              <w:left w:val="nil"/>
              <w:bottom w:val="nil"/>
              <w:right w:val="nil"/>
            </w:tcBorders>
            <w:shd w:val="clear" w:color="auto" w:fill="auto"/>
            <w:noWrap/>
            <w:vAlign w:val="bottom"/>
          </w:tcPr>
          <w:p w14:paraId="4216D7B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Ex-smoker</w:t>
            </w:r>
          </w:p>
        </w:tc>
        <w:tc>
          <w:tcPr>
            <w:tcW w:w="1562" w:type="pct"/>
            <w:tcBorders>
              <w:top w:val="nil"/>
              <w:left w:val="nil"/>
              <w:bottom w:val="nil"/>
              <w:right w:val="nil"/>
            </w:tcBorders>
            <w:shd w:val="clear" w:color="auto" w:fill="auto"/>
            <w:noWrap/>
            <w:vAlign w:val="bottom"/>
          </w:tcPr>
          <w:p w14:paraId="221D184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557 (17.0)</w:t>
            </w:r>
          </w:p>
        </w:tc>
        <w:tc>
          <w:tcPr>
            <w:tcW w:w="1396" w:type="pct"/>
            <w:tcBorders>
              <w:top w:val="nil"/>
              <w:left w:val="nil"/>
              <w:bottom w:val="nil"/>
              <w:right w:val="nil"/>
            </w:tcBorders>
            <w:shd w:val="clear" w:color="auto" w:fill="auto"/>
            <w:noWrap/>
            <w:vAlign w:val="bottom"/>
          </w:tcPr>
          <w:p w14:paraId="5BFB667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2134 (13.6)</w:t>
            </w:r>
          </w:p>
        </w:tc>
      </w:tr>
      <w:tr w14:paraId="08F9285D">
        <w:trPr>
          <w:trHeight w:val="336" w:hRule="atLeast"/>
        </w:trPr>
        <w:tc>
          <w:tcPr>
            <w:tcW w:w="2040" w:type="pct"/>
            <w:tcBorders>
              <w:top w:val="nil"/>
              <w:left w:val="nil"/>
              <w:bottom w:val="nil"/>
              <w:right w:val="nil"/>
            </w:tcBorders>
            <w:shd w:val="clear" w:color="auto" w:fill="auto"/>
            <w:noWrap/>
            <w:vAlign w:val="bottom"/>
          </w:tcPr>
          <w:p w14:paraId="131F210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Current-smoker</w:t>
            </w:r>
          </w:p>
        </w:tc>
        <w:tc>
          <w:tcPr>
            <w:tcW w:w="1562" w:type="pct"/>
            <w:tcBorders>
              <w:top w:val="nil"/>
              <w:left w:val="nil"/>
              <w:bottom w:val="nil"/>
              <w:right w:val="nil"/>
            </w:tcBorders>
            <w:shd w:val="clear" w:color="auto" w:fill="auto"/>
            <w:noWrap/>
            <w:vAlign w:val="bottom"/>
          </w:tcPr>
          <w:p w14:paraId="02E4E16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746 (22.8)</w:t>
            </w:r>
          </w:p>
        </w:tc>
        <w:tc>
          <w:tcPr>
            <w:tcW w:w="1396" w:type="pct"/>
            <w:tcBorders>
              <w:top w:val="nil"/>
              <w:left w:val="nil"/>
              <w:bottom w:val="nil"/>
              <w:right w:val="nil"/>
            </w:tcBorders>
            <w:shd w:val="clear" w:color="auto" w:fill="auto"/>
            <w:noWrap/>
            <w:vAlign w:val="bottom"/>
          </w:tcPr>
          <w:p w14:paraId="7A216E1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3411 (21.8)</w:t>
            </w:r>
          </w:p>
        </w:tc>
      </w:tr>
      <w:tr w14:paraId="68258446">
        <w:trPr>
          <w:trHeight w:val="336" w:hRule="atLeast"/>
        </w:trPr>
        <w:tc>
          <w:tcPr>
            <w:tcW w:w="2040" w:type="pct"/>
            <w:tcBorders>
              <w:top w:val="nil"/>
              <w:left w:val="nil"/>
              <w:bottom w:val="nil"/>
              <w:right w:val="nil"/>
            </w:tcBorders>
            <w:shd w:val="clear" w:color="auto" w:fill="auto"/>
            <w:noWrap/>
            <w:vAlign w:val="bottom"/>
          </w:tcPr>
          <w:p w14:paraId="45A439C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Unknown</w:t>
            </w:r>
          </w:p>
        </w:tc>
        <w:tc>
          <w:tcPr>
            <w:tcW w:w="1562" w:type="pct"/>
            <w:tcBorders>
              <w:top w:val="nil"/>
              <w:left w:val="nil"/>
              <w:bottom w:val="nil"/>
              <w:right w:val="nil"/>
            </w:tcBorders>
            <w:shd w:val="clear" w:color="auto" w:fill="auto"/>
            <w:noWrap/>
            <w:vAlign w:val="bottom"/>
          </w:tcPr>
          <w:p w14:paraId="7A620F8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704 (21.5)</w:t>
            </w:r>
          </w:p>
        </w:tc>
        <w:tc>
          <w:tcPr>
            <w:tcW w:w="1396" w:type="pct"/>
            <w:tcBorders>
              <w:top w:val="nil"/>
              <w:left w:val="nil"/>
              <w:bottom w:val="nil"/>
              <w:right w:val="nil"/>
            </w:tcBorders>
            <w:shd w:val="clear" w:color="auto" w:fill="auto"/>
            <w:noWrap/>
            <w:vAlign w:val="bottom"/>
          </w:tcPr>
          <w:p w14:paraId="6257B7BC">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3821 (24.4)</w:t>
            </w:r>
          </w:p>
        </w:tc>
      </w:tr>
      <w:tr w14:paraId="42B97080">
        <w:trPr>
          <w:trHeight w:val="336" w:hRule="atLeast"/>
        </w:trPr>
        <w:tc>
          <w:tcPr>
            <w:tcW w:w="2040" w:type="pct"/>
            <w:tcBorders>
              <w:top w:val="nil"/>
              <w:left w:val="nil"/>
              <w:bottom w:val="nil"/>
              <w:right w:val="nil"/>
            </w:tcBorders>
            <w:shd w:val="clear" w:color="auto" w:fill="auto"/>
            <w:noWrap/>
            <w:vAlign w:val="bottom"/>
          </w:tcPr>
          <w:p w14:paraId="592F3A1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Alcohol use, No. (%) </w:t>
            </w:r>
          </w:p>
        </w:tc>
        <w:tc>
          <w:tcPr>
            <w:tcW w:w="1562" w:type="pct"/>
            <w:tcBorders>
              <w:top w:val="nil"/>
              <w:left w:val="nil"/>
              <w:bottom w:val="nil"/>
              <w:right w:val="nil"/>
            </w:tcBorders>
            <w:shd w:val="clear" w:color="auto" w:fill="auto"/>
            <w:noWrap/>
            <w:vAlign w:val="bottom"/>
          </w:tcPr>
          <w:p w14:paraId="0DE7DC86">
            <w:pPr>
              <w:rPr>
                <w:rFonts w:hint="default" w:ascii="Times New Roman Regular" w:hAnsi="Times New Roman Regular" w:eastAsia="Times New Roman Regular" w:cs="Times New Roman Regular"/>
                <w:i w:val="0"/>
                <w:iCs w:val="0"/>
                <w:color w:val="000000"/>
                <w:sz w:val="18"/>
                <w:szCs w:val="18"/>
                <w:u w:val="none"/>
              </w:rPr>
            </w:pPr>
          </w:p>
        </w:tc>
        <w:tc>
          <w:tcPr>
            <w:tcW w:w="1396" w:type="pct"/>
            <w:tcBorders>
              <w:top w:val="nil"/>
              <w:left w:val="nil"/>
              <w:bottom w:val="nil"/>
              <w:right w:val="nil"/>
            </w:tcBorders>
            <w:shd w:val="clear" w:color="auto" w:fill="auto"/>
            <w:noWrap/>
            <w:vAlign w:val="bottom"/>
          </w:tcPr>
          <w:p w14:paraId="190CC68A">
            <w:pPr>
              <w:rPr>
                <w:rFonts w:hint="default" w:ascii="Times New Roman Regular" w:hAnsi="Times New Roman Regular" w:eastAsia="Times New Roman Regular" w:cs="Times New Roman Regular"/>
                <w:i w:val="0"/>
                <w:iCs w:val="0"/>
                <w:color w:val="000000"/>
                <w:sz w:val="18"/>
                <w:szCs w:val="18"/>
                <w:u w:val="none"/>
              </w:rPr>
            </w:pPr>
          </w:p>
        </w:tc>
      </w:tr>
      <w:tr w14:paraId="3D1ECD55">
        <w:trPr>
          <w:trHeight w:val="336" w:hRule="atLeast"/>
        </w:trPr>
        <w:tc>
          <w:tcPr>
            <w:tcW w:w="2040" w:type="pct"/>
            <w:tcBorders>
              <w:top w:val="nil"/>
              <w:left w:val="nil"/>
              <w:bottom w:val="nil"/>
              <w:right w:val="nil"/>
            </w:tcBorders>
            <w:shd w:val="clear" w:color="auto" w:fill="auto"/>
            <w:noWrap/>
            <w:vAlign w:val="bottom"/>
          </w:tcPr>
          <w:p w14:paraId="01ECCC4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Non-drinker</w:t>
            </w:r>
          </w:p>
        </w:tc>
        <w:tc>
          <w:tcPr>
            <w:tcW w:w="1562" w:type="pct"/>
            <w:tcBorders>
              <w:top w:val="nil"/>
              <w:left w:val="nil"/>
              <w:bottom w:val="nil"/>
              <w:right w:val="nil"/>
            </w:tcBorders>
            <w:shd w:val="clear" w:color="auto" w:fill="auto"/>
            <w:noWrap/>
            <w:vAlign w:val="bottom"/>
          </w:tcPr>
          <w:p w14:paraId="4C79AC6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290 (8.8)</w:t>
            </w:r>
          </w:p>
        </w:tc>
        <w:tc>
          <w:tcPr>
            <w:tcW w:w="1396" w:type="pct"/>
            <w:tcBorders>
              <w:top w:val="nil"/>
              <w:left w:val="nil"/>
              <w:bottom w:val="nil"/>
              <w:right w:val="nil"/>
            </w:tcBorders>
            <w:shd w:val="clear" w:color="auto" w:fill="auto"/>
            <w:noWrap/>
            <w:vAlign w:val="bottom"/>
          </w:tcPr>
          <w:p w14:paraId="12298C0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1447 (9.2)</w:t>
            </w:r>
          </w:p>
        </w:tc>
      </w:tr>
      <w:tr w14:paraId="3EB1665E">
        <w:trPr>
          <w:trHeight w:val="336" w:hRule="atLeast"/>
        </w:trPr>
        <w:tc>
          <w:tcPr>
            <w:tcW w:w="2040" w:type="pct"/>
            <w:tcBorders>
              <w:top w:val="nil"/>
              <w:left w:val="nil"/>
              <w:bottom w:val="nil"/>
              <w:right w:val="nil"/>
            </w:tcBorders>
            <w:shd w:val="clear" w:color="auto" w:fill="auto"/>
            <w:noWrap/>
            <w:vAlign w:val="bottom"/>
          </w:tcPr>
          <w:p w14:paraId="374E0DF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Ex-drinker</w:t>
            </w:r>
          </w:p>
        </w:tc>
        <w:tc>
          <w:tcPr>
            <w:tcW w:w="1562" w:type="pct"/>
            <w:tcBorders>
              <w:top w:val="nil"/>
              <w:left w:val="nil"/>
              <w:bottom w:val="nil"/>
              <w:right w:val="nil"/>
            </w:tcBorders>
            <w:shd w:val="clear" w:color="auto" w:fill="auto"/>
            <w:noWrap/>
            <w:vAlign w:val="bottom"/>
          </w:tcPr>
          <w:p w14:paraId="27E947C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 (0.2)</w:t>
            </w:r>
          </w:p>
        </w:tc>
        <w:tc>
          <w:tcPr>
            <w:tcW w:w="1396" w:type="pct"/>
            <w:tcBorders>
              <w:top w:val="nil"/>
              <w:left w:val="nil"/>
              <w:bottom w:val="nil"/>
              <w:right w:val="nil"/>
            </w:tcBorders>
            <w:shd w:val="clear" w:color="auto" w:fill="auto"/>
            <w:noWrap/>
            <w:vAlign w:val="bottom"/>
          </w:tcPr>
          <w:p w14:paraId="2E8EA0E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37 (0.2)</w:t>
            </w:r>
          </w:p>
        </w:tc>
      </w:tr>
      <w:tr w14:paraId="66491439">
        <w:trPr>
          <w:trHeight w:val="336" w:hRule="atLeast"/>
        </w:trPr>
        <w:tc>
          <w:tcPr>
            <w:tcW w:w="2040" w:type="pct"/>
            <w:tcBorders>
              <w:top w:val="nil"/>
              <w:left w:val="nil"/>
              <w:bottom w:val="nil"/>
              <w:right w:val="nil"/>
            </w:tcBorders>
            <w:shd w:val="clear" w:color="auto" w:fill="auto"/>
            <w:noWrap/>
            <w:vAlign w:val="bottom"/>
          </w:tcPr>
          <w:p w14:paraId="53162B1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Current-drinker</w:t>
            </w:r>
          </w:p>
        </w:tc>
        <w:tc>
          <w:tcPr>
            <w:tcW w:w="1562" w:type="pct"/>
            <w:tcBorders>
              <w:top w:val="nil"/>
              <w:left w:val="nil"/>
              <w:bottom w:val="nil"/>
              <w:right w:val="nil"/>
            </w:tcBorders>
            <w:shd w:val="clear" w:color="auto" w:fill="auto"/>
            <w:noWrap/>
            <w:vAlign w:val="bottom"/>
          </w:tcPr>
          <w:p w14:paraId="0520B79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2079 (63.4)</w:t>
            </w:r>
          </w:p>
        </w:tc>
        <w:tc>
          <w:tcPr>
            <w:tcW w:w="1396" w:type="pct"/>
            <w:tcBorders>
              <w:top w:val="nil"/>
              <w:left w:val="nil"/>
              <w:bottom w:val="nil"/>
              <w:right w:val="nil"/>
            </w:tcBorders>
            <w:shd w:val="clear" w:color="auto" w:fill="auto"/>
            <w:noWrap/>
            <w:vAlign w:val="bottom"/>
          </w:tcPr>
          <w:p w14:paraId="5C7B964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9478 (60.5)</w:t>
            </w:r>
          </w:p>
        </w:tc>
      </w:tr>
      <w:tr w14:paraId="48608550">
        <w:trPr>
          <w:trHeight w:val="336" w:hRule="atLeast"/>
        </w:trPr>
        <w:tc>
          <w:tcPr>
            <w:tcW w:w="2040" w:type="pct"/>
            <w:tcBorders>
              <w:top w:val="nil"/>
              <w:left w:val="nil"/>
              <w:bottom w:val="nil"/>
              <w:right w:val="nil"/>
            </w:tcBorders>
            <w:shd w:val="clear" w:color="auto" w:fill="auto"/>
            <w:noWrap/>
            <w:vAlign w:val="bottom"/>
          </w:tcPr>
          <w:p w14:paraId="3510B86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Unknown</w:t>
            </w:r>
          </w:p>
        </w:tc>
        <w:tc>
          <w:tcPr>
            <w:tcW w:w="1562" w:type="pct"/>
            <w:tcBorders>
              <w:top w:val="nil"/>
              <w:left w:val="nil"/>
              <w:bottom w:val="nil"/>
              <w:right w:val="nil"/>
            </w:tcBorders>
            <w:shd w:val="clear" w:color="auto" w:fill="auto"/>
            <w:noWrap/>
            <w:vAlign w:val="bottom"/>
          </w:tcPr>
          <w:p w14:paraId="7D35CB5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904 (27.6)</w:t>
            </w:r>
          </w:p>
        </w:tc>
        <w:tc>
          <w:tcPr>
            <w:tcW w:w="1396" w:type="pct"/>
            <w:tcBorders>
              <w:top w:val="nil"/>
              <w:left w:val="nil"/>
              <w:bottom w:val="nil"/>
              <w:right w:val="nil"/>
            </w:tcBorders>
            <w:shd w:val="clear" w:color="auto" w:fill="auto"/>
            <w:noWrap/>
            <w:vAlign w:val="bottom"/>
          </w:tcPr>
          <w:p w14:paraId="29C0D96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4715 (30.1)</w:t>
            </w:r>
          </w:p>
        </w:tc>
      </w:tr>
      <w:tr w14:paraId="45D8205E">
        <w:trPr>
          <w:trHeight w:val="336" w:hRule="atLeast"/>
        </w:trPr>
        <w:tc>
          <w:tcPr>
            <w:tcW w:w="2040" w:type="pct"/>
            <w:tcBorders>
              <w:top w:val="nil"/>
              <w:left w:val="nil"/>
              <w:bottom w:val="nil"/>
              <w:right w:val="nil"/>
            </w:tcBorders>
            <w:shd w:val="clear" w:color="auto" w:fill="auto"/>
            <w:noWrap/>
            <w:vAlign w:val="bottom"/>
          </w:tcPr>
          <w:p w14:paraId="0093071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Physical activity, No. (%) </w:t>
            </w:r>
          </w:p>
        </w:tc>
        <w:tc>
          <w:tcPr>
            <w:tcW w:w="1562" w:type="pct"/>
            <w:tcBorders>
              <w:top w:val="nil"/>
              <w:left w:val="nil"/>
              <w:bottom w:val="nil"/>
              <w:right w:val="nil"/>
            </w:tcBorders>
            <w:shd w:val="clear" w:color="auto" w:fill="auto"/>
            <w:noWrap/>
            <w:vAlign w:val="bottom"/>
          </w:tcPr>
          <w:p w14:paraId="4967E92D">
            <w:pPr>
              <w:rPr>
                <w:rFonts w:hint="default" w:ascii="Times New Roman Regular" w:hAnsi="Times New Roman Regular" w:eastAsia="Times New Roman Regular" w:cs="Times New Roman Regular"/>
                <w:i w:val="0"/>
                <w:iCs w:val="0"/>
                <w:color w:val="000000"/>
                <w:sz w:val="18"/>
                <w:szCs w:val="18"/>
                <w:u w:val="none"/>
              </w:rPr>
            </w:pPr>
          </w:p>
        </w:tc>
        <w:tc>
          <w:tcPr>
            <w:tcW w:w="1396" w:type="pct"/>
            <w:tcBorders>
              <w:top w:val="nil"/>
              <w:left w:val="nil"/>
              <w:bottom w:val="nil"/>
              <w:right w:val="nil"/>
            </w:tcBorders>
            <w:shd w:val="clear" w:color="auto" w:fill="auto"/>
            <w:noWrap/>
            <w:vAlign w:val="bottom"/>
          </w:tcPr>
          <w:p w14:paraId="19A3701C">
            <w:pPr>
              <w:rPr>
                <w:rFonts w:hint="default" w:ascii="Times New Roman Regular" w:hAnsi="Times New Roman Regular" w:eastAsia="Times New Roman Regular" w:cs="Times New Roman Regular"/>
                <w:i w:val="0"/>
                <w:iCs w:val="0"/>
                <w:color w:val="000000"/>
                <w:sz w:val="18"/>
                <w:szCs w:val="18"/>
                <w:u w:val="none"/>
              </w:rPr>
            </w:pPr>
          </w:p>
        </w:tc>
      </w:tr>
      <w:tr w14:paraId="068B710F">
        <w:trPr>
          <w:trHeight w:val="336" w:hRule="atLeast"/>
        </w:trPr>
        <w:tc>
          <w:tcPr>
            <w:tcW w:w="2040" w:type="pct"/>
            <w:tcBorders>
              <w:top w:val="nil"/>
              <w:left w:val="nil"/>
              <w:bottom w:val="nil"/>
              <w:right w:val="nil"/>
            </w:tcBorders>
            <w:shd w:val="clear" w:color="auto" w:fill="auto"/>
            <w:noWrap/>
            <w:vAlign w:val="bottom"/>
          </w:tcPr>
          <w:p w14:paraId="6A79B84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Limited/light exercise</w:t>
            </w:r>
          </w:p>
        </w:tc>
        <w:tc>
          <w:tcPr>
            <w:tcW w:w="1562" w:type="pct"/>
            <w:tcBorders>
              <w:top w:val="nil"/>
              <w:left w:val="nil"/>
              <w:bottom w:val="nil"/>
              <w:right w:val="nil"/>
            </w:tcBorders>
            <w:shd w:val="clear" w:color="auto" w:fill="auto"/>
            <w:noWrap/>
            <w:vAlign w:val="bottom"/>
          </w:tcPr>
          <w:p w14:paraId="2314FDF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790 (24.1)</w:t>
            </w:r>
          </w:p>
        </w:tc>
        <w:tc>
          <w:tcPr>
            <w:tcW w:w="1396" w:type="pct"/>
            <w:tcBorders>
              <w:top w:val="nil"/>
              <w:left w:val="nil"/>
              <w:bottom w:val="nil"/>
              <w:right w:val="nil"/>
            </w:tcBorders>
            <w:shd w:val="clear" w:color="auto" w:fill="auto"/>
            <w:noWrap/>
            <w:vAlign w:val="bottom"/>
          </w:tcPr>
          <w:p w14:paraId="748E9CD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3523 (22.5)</w:t>
            </w:r>
          </w:p>
        </w:tc>
      </w:tr>
      <w:tr w14:paraId="35180E2A">
        <w:trPr>
          <w:trHeight w:val="336" w:hRule="atLeast"/>
        </w:trPr>
        <w:tc>
          <w:tcPr>
            <w:tcW w:w="2040" w:type="pct"/>
            <w:tcBorders>
              <w:top w:val="nil"/>
              <w:left w:val="nil"/>
              <w:bottom w:val="nil"/>
              <w:right w:val="nil"/>
            </w:tcBorders>
            <w:shd w:val="clear" w:color="auto" w:fill="auto"/>
            <w:noWrap/>
            <w:vAlign w:val="bottom"/>
          </w:tcPr>
          <w:p w14:paraId="4103AAB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Regular exercise</w:t>
            </w:r>
          </w:p>
        </w:tc>
        <w:tc>
          <w:tcPr>
            <w:tcW w:w="1562" w:type="pct"/>
            <w:tcBorders>
              <w:top w:val="nil"/>
              <w:left w:val="nil"/>
              <w:bottom w:val="nil"/>
              <w:right w:val="nil"/>
            </w:tcBorders>
            <w:shd w:val="clear" w:color="auto" w:fill="auto"/>
            <w:noWrap/>
            <w:vAlign w:val="bottom"/>
          </w:tcPr>
          <w:p w14:paraId="150CCD7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353 (10.8)</w:t>
            </w:r>
          </w:p>
        </w:tc>
        <w:tc>
          <w:tcPr>
            <w:tcW w:w="1396" w:type="pct"/>
            <w:tcBorders>
              <w:top w:val="nil"/>
              <w:left w:val="nil"/>
              <w:bottom w:val="nil"/>
              <w:right w:val="nil"/>
            </w:tcBorders>
            <w:shd w:val="clear" w:color="auto" w:fill="auto"/>
            <w:noWrap/>
            <w:vAlign w:val="bottom"/>
          </w:tcPr>
          <w:p w14:paraId="67FE154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1643 (10.5)</w:t>
            </w:r>
          </w:p>
        </w:tc>
      </w:tr>
      <w:tr w14:paraId="652A8B10">
        <w:trPr>
          <w:trHeight w:val="336" w:hRule="atLeast"/>
        </w:trPr>
        <w:tc>
          <w:tcPr>
            <w:tcW w:w="2040" w:type="pct"/>
            <w:tcBorders>
              <w:top w:val="nil"/>
              <w:left w:val="nil"/>
              <w:bottom w:val="nil"/>
              <w:right w:val="nil"/>
            </w:tcBorders>
            <w:shd w:val="clear" w:color="auto" w:fill="auto"/>
            <w:noWrap/>
            <w:vAlign w:val="bottom"/>
          </w:tcPr>
          <w:p w14:paraId="5B1A3BD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    Unknown</w:t>
            </w:r>
          </w:p>
        </w:tc>
        <w:tc>
          <w:tcPr>
            <w:tcW w:w="1562" w:type="pct"/>
            <w:tcBorders>
              <w:top w:val="nil"/>
              <w:left w:val="nil"/>
              <w:bottom w:val="nil"/>
              <w:right w:val="nil"/>
            </w:tcBorders>
            <w:shd w:val="clear" w:color="auto" w:fill="auto"/>
            <w:noWrap/>
            <w:vAlign w:val="bottom"/>
          </w:tcPr>
          <w:p w14:paraId="35452AC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2136 (65.1)</w:t>
            </w:r>
          </w:p>
        </w:tc>
        <w:tc>
          <w:tcPr>
            <w:tcW w:w="1396" w:type="pct"/>
            <w:tcBorders>
              <w:top w:val="nil"/>
              <w:left w:val="nil"/>
              <w:bottom w:val="nil"/>
              <w:right w:val="nil"/>
            </w:tcBorders>
            <w:shd w:val="clear" w:color="auto" w:fill="auto"/>
            <w:noWrap/>
            <w:vAlign w:val="bottom"/>
          </w:tcPr>
          <w:p w14:paraId="75DB848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10511 (67.0)</w:t>
            </w:r>
          </w:p>
        </w:tc>
      </w:tr>
      <w:tr w14:paraId="60ECE661">
        <w:trPr>
          <w:trHeight w:val="336" w:hRule="atLeast"/>
        </w:trPr>
        <w:tc>
          <w:tcPr>
            <w:tcW w:w="2040" w:type="pct"/>
            <w:tcBorders>
              <w:top w:val="nil"/>
              <w:left w:val="nil"/>
              <w:bottom w:val="nil"/>
              <w:right w:val="nil"/>
            </w:tcBorders>
            <w:shd w:val="clear" w:color="auto" w:fill="auto"/>
            <w:noWrap/>
            <w:vAlign w:val="bottom"/>
          </w:tcPr>
          <w:p w14:paraId="393CFC0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 xml:space="preserve">Obesity-related comorbidity, No. (%) </w:t>
            </w:r>
          </w:p>
        </w:tc>
        <w:tc>
          <w:tcPr>
            <w:tcW w:w="1562" w:type="pct"/>
            <w:tcBorders>
              <w:top w:val="nil"/>
              <w:left w:val="nil"/>
              <w:bottom w:val="nil"/>
              <w:right w:val="nil"/>
            </w:tcBorders>
            <w:shd w:val="clear" w:color="auto" w:fill="auto"/>
            <w:noWrap/>
            <w:vAlign w:val="bottom"/>
          </w:tcPr>
          <w:p w14:paraId="16D812D8">
            <w:pPr>
              <w:rPr>
                <w:rFonts w:hint="default" w:ascii="Times New Roman Regular" w:hAnsi="Times New Roman Regular" w:eastAsia="Times New Roman Regular" w:cs="Times New Roman Regular"/>
                <w:i w:val="0"/>
                <w:iCs w:val="0"/>
                <w:color w:val="000000"/>
                <w:sz w:val="18"/>
                <w:szCs w:val="18"/>
                <w:u w:val="none"/>
              </w:rPr>
            </w:pPr>
          </w:p>
        </w:tc>
        <w:tc>
          <w:tcPr>
            <w:tcW w:w="1396" w:type="pct"/>
            <w:tcBorders>
              <w:top w:val="nil"/>
              <w:left w:val="nil"/>
              <w:bottom w:val="nil"/>
              <w:right w:val="nil"/>
            </w:tcBorders>
            <w:shd w:val="clear" w:color="auto" w:fill="auto"/>
            <w:noWrap/>
            <w:vAlign w:val="bottom"/>
          </w:tcPr>
          <w:p w14:paraId="1BC07556">
            <w:pPr>
              <w:rPr>
                <w:rFonts w:hint="default" w:ascii="Times New Roman Regular" w:hAnsi="Times New Roman Regular" w:eastAsia="Times New Roman Regular" w:cs="Times New Roman Regular"/>
                <w:i w:val="0"/>
                <w:iCs w:val="0"/>
                <w:color w:val="000000"/>
                <w:sz w:val="18"/>
                <w:szCs w:val="18"/>
                <w:u w:val="none"/>
              </w:rPr>
            </w:pPr>
          </w:p>
        </w:tc>
      </w:tr>
      <w:tr w14:paraId="5946ED96">
        <w:trPr>
          <w:trHeight w:val="336" w:hRule="atLeast"/>
        </w:trPr>
        <w:tc>
          <w:tcPr>
            <w:tcW w:w="2040" w:type="pct"/>
            <w:tcBorders>
              <w:top w:val="nil"/>
              <w:left w:val="nil"/>
              <w:bottom w:val="nil"/>
              <w:right w:val="nil"/>
            </w:tcBorders>
            <w:shd w:val="clear" w:color="auto" w:fill="auto"/>
            <w:noWrap/>
            <w:vAlign w:val="bottom"/>
          </w:tcPr>
          <w:p w14:paraId="759A9EF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Cardiovascular disease</w:t>
            </w:r>
          </w:p>
        </w:tc>
        <w:tc>
          <w:tcPr>
            <w:tcW w:w="1562" w:type="pct"/>
            <w:tcBorders>
              <w:top w:val="nil"/>
              <w:left w:val="nil"/>
              <w:bottom w:val="nil"/>
              <w:right w:val="nil"/>
            </w:tcBorders>
            <w:shd w:val="clear" w:color="auto" w:fill="auto"/>
            <w:noWrap/>
            <w:vAlign w:val="bottom"/>
          </w:tcPr>
          <w:p w14:paraId="32188D1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221 (6.7)</w:t>
            </w:r>
          </w:p>
        </w:tc>
        <w:tc>
          <w:tcPr>
            <w:tcW w:w="1396" w:type="pct"/>
            <w:tcBorders>
              <w:top w:val="nil"/>
              <w:left w:val="nil"/>
              <w:bottom w:val="nil"/>
              <w:right w:val="nil"/>
            </w:tcBorders>
            <w:shd w:val="clear" w:color="auto" w:fill="auto"/>
            <w:noWrap/>
            <w:vAlign w:val="bottom"/>
          </w:tcPr>
          <w:p w14:paraId="437051A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918 (5.9)</w:t>
            </w:r>
          </w:p>
        </w:tc>
      </w:tr>
      <w:tr w14:paraId="54FC216D">
        <w:trPr>
          <w:trHeight w:val="336" w:hRule="atLeast"/>
        </w:trPr>
        <w:tc>
          <w:tcPr>
            <w:tcW w:w="2040" w:type="pct"/>
            <w:tcBorders>
              <w:top w:val="nil"/>
              <w:left w:val="nil"/>
              <w:bottom w:val="nil"/>
              <w:right w:val="nil"/>
            </w:tcBorders>
            <w:shd w:val="clear" w:color="auto" w:fill="auto"/>
            <w:noWrap/>
            <w:vAlign w:val="bottom"/>
          </w:tcPr>
          <w:p w14:paraId="011040A9">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Type 2 diabetes</w:t>
            </w:r>
          </w:p>
        </w:tc>
        <w:tc>
          <w:tcPr>
            <w:tcW w:w="1562" w:type="pct"/>
            <w:tcBorders>
              <w:top w:val="nil"/>
              <w:left w:val="nil"/>
              <w:bottom w:val="nil"/>
              <w:right w:val="nil"/>
            </w:tcBorders>
            <w:shd w:val="clear" w:color="auto" w:fill="auto"/>
            <w:noWrap/>
            <w:vAlign w:val="bottom"/>
          </w:tcPr>
          <w:p w14:paraId="57D9BBE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923 (28.1)</w:t>
            </w:r>
          </w:p>
        </w:tc>
        <w:tc>
          <w:tcPr>
            <w:tcW w:w="1396" w:type="pct"/>
            <w:tcBorders>
              <w:top w:val="nil"/>
              <w:left w:val="nil"/>
              <w:bottom w:val="nil"/>
              <w:right w:val="nil"/>
            </w:tcBorders>
            <w:shd w:val="clear" w:color="auto" w:fill="auto"/>
            <w:noWrap/>
            <w:vAlign w:val="bottom"/>
          </w:tcPr>
          <w:p w14:paraId="0515896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2535 (16.2)</w:t>
            </w:r>
          </w:p>
        </w:tc>
      </w:tr>
      <w:tr w14:paraId="30888CE2">
        <w:trPr>
          <w:trHeight w:val="336" w:hRule="atLeast"/>
        </w:trPr>
        <w:tc>
          <w:tcPr>
            <w:tcW w:w="2040" w:type="pct"/>
            <w:tcBorders>
              <w:top w:val="nil"/>
              <w:left w:val="nil"/>
              <w:bottom w:val="nil"/>
              <w:right w:val="nil"/>
            </w:tcBorders>
            <w:shd w:val="clear" w:color="auto" w:fill="auto"/>
            <w:noWrap/>
            <w:vAlign w:val="bottom"/>
          </w:tcPr>
          <w:p w14:paraId="0636064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Hypertension</w:t>
            </w:r>
          </w:p>
        </w:tc>
        <w:tc>
          <w:tcPr>
            <w:tcW w:w="1562" w:type="pct"/>
            <w:tcBorders>
              <w:top w:val="nil"/>
              <w:left w:val="nil"/>
              <w:bottom w:val="nil"/>
              <w:right w:val="nil"/>
            </w:tcBorders>
            <w:shd w:val="clear" w:color="auto" w:fill="auto"/>
            <w:noWrap/>
            <w:vAlign w:val="bottom"/>
          </w:tcPr>
          <w:p w14:paraId="077C89E0">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1257 (38.3)</w:t>
            </w:r>
          </w:p>
        </w:tc>
        <w:tc>
          <w:tcPr>
            <w:tcW w:w="1396" w:type="pct"/>
            <w:tcBorders>
              <w:top w:val="nil"/>
              <w:left w:val="nil"/>
              <w:bottom w:val="nil"/>
              <w:right w:val="nil"/>
            </w:tcBorders>
            <w:shd w:val="clear" w:color="auto" w:fill="auto"/>
            <w:noWrap/>
            <w:vAlign w:val="bottom"/>
          </w:tcPr>
          <w:p w14:paraId="0018D3E1">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5225 (33.3)</w:t>
            </w:r>
          </w:p>
        </w:tc>
      </w:tr>
      <w:tr w14:paraId="7D8EBFC9">
        <w:trPr>
          <w:trHeight w:val="336" w:hRule="atLeast"/>
        </w:trPr>
        <w:tc>
          <w:tcPr>
            <w:tcW w:w="2040" w:type="pct"/>
            <w:tcBorders>
              <w:top w:val="nil"/>
              <w:left w:val="nil"/>
              <w:bottom w:val="nil"/>
              <w:right w:val="nil"/>
            </w:tcBorders>
            <w:shd w:val="clear" w:color="auto" w:fill="auto"/>
            <w:noWrap/>
            <w:vAlign w:val="bottom"/>
          </w:tcPr>
          <w:p w14:paraId="749080F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Eczema</w:t>
            </w:r>
          </w:p>
        </w:tc>
        <w:tc>
          <w:tcPr>
            <w:tcW w:w="1562" w:type="pct"/>
            <w:tcBorders>
              <w:top w:val="nil"/>
              <w:left w:val="nil"/>
              <w:bottom w:val="nil"/>
              <w:right w:val="nil"/>
            </w:tcBorders>
            <w:shd w:val="clear" w:color="auto" w:fill="auto"/>
            <w:noWrap/>
            <w:vAlign w:val="bottom"/>
          </w:tcPr>
          <w:p w14:paraId="4A7FD71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667 (20.3)</w:t>
            </w:r>
          </w:p>
        </w:tc>
        <w:tc>
          <w:tcPr>
            <w:tcW w:w="1396" w:type="pct"/>
            <w:tcBorders>
              <w:top w:val="nil"/>
              <w:left w:val="nil"/>
              <w:bottom w:val="nil"/>
              <w:right w:val="nil"/>
            </w:tcBorders>
            <w:shd w:val="clear" w:color="auto" w:fill="auto"/>
            <w:noWrap/>
            <w:vAlign w:val="bottom"/>
          </w:tcPr>
          <w:p w14:paraId="36C7C81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3003 (19.2)</w:t>
            </w:r>
          </w:p>
        </w:tc>
      </w:tr>
      <w:tr w14:paraId="49AE4E3F">
        <w:trPr>
          <w:trHeight w:val="336" w:hRule="atLeast"/>
        </w:trPr>
        <w:tc>
          <w:tcPr>
            <w:tcW w:w="2040" w:type="pct"/>
            <w:tcBorders>
              <w:top w:val="nil"/>
              <w:left w:val="nil"/>
              <w:bottom w:val="nil"/>
              <w:right w:val="nil"/>
            </w:tcBorders>
            <w:shd w:val="clear" w:color="auto" w:fill="auto"/>
            <w:noWrap/>
            <w:vAlign w:val="bottom"/>
          </w:tcPr>
          <w:p w14:paraId="775E15C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Chronic obstructive pulmonary disease</w:t>
            </w:r>
          </w:p>
        </w:tc>
        <w:tc>
          <w:tcPr>
            <w:tcW w:w="1562" w:type="pct"/>
            <w:tcBorders>
              <w:top w:val="nil"/>
              <w:left w:val="nil"/>
              <w:bottom w:val="nil"/>
              <w:right w:val="nil"/>
            </w:tcBorders>
            <w:shd w:val="clear" w:color="auto" w:fill="auto"/>
            <w:noWrap/>
            <w:vAlign w:val="bottom"/>
          </w:tcPr>
          <w:p w14:paraId="62DAB9F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58 (1.8)</w:t>
            </w:r>
          </w:p>
        </w:tc>
        <w:tc>
          <w:tcPr>
            <w:tcW w:w="1396" w:type="pct"/>
            <w:tcBorders>
              <w:top w:val="nil"/>
              <w:left w:val="nil"/>
              <w:bottom w:val="nil"/>
              <w:right w:val="nil"/>
            </w:tcBorders>
            <w:shd w:val="clear" w:color="auto" w:fill="auto"/>
            <w:noWrap/>
            <w:vAlign w:val="bottom"/>
          </w:tcPr>
          <w:p w14:paraId="0123D0EE">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354 (2.3)</w:t>
            </w:r>
          </w:p>
        </w:tc>
      </w:tr>
      <w:tr w14:paraId="66C38A7A">
        <w:trPr>
          <w:trHeight w:val="336" w:hRule="atLeast"/>
        </w:trPr>
        <w:tc>
          <w:tcPr>
            <w:tcW w:w="2040" w:type="pct"/>
            <w:tcBorders>
              <w:top w:val="nil"/>
              <w:left w:val="nil"/>
              <w:bottom w:val="nil"/>
              <w:right w:val="nil"/>
            </w:tcBorders>
            <w:shd w:val="clear" w:color="auto" w:fill="auto"/>
            <w:noWrap/>
            <w:vAlign w:val="bottom"/>
          </w:tcPr>
          <w:p w14:paraId="7A2FAF68">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Obstructive sleep apnoea</w:t>
            </w:r>
          </w:p>
        </w:tc>
        <w:tc>
          <w:tcPr>
            <w:tcW w:w="1562" w:type="pct"/>
            <w:tcBorders>
              <w:top w:val="nil"/>
              <w:left w:val="nil"/>
              <w:bottom w:val="nil"/>
              <w:right w:val="nil"/>
            </w:tcBorders>
            <w:shd w:val="clear" w:color="auto" w:fill="auto"/>
            <w:noWrap/>
            <w:vAlign w:val="bottom"/>
          </w:tcPr>
          <w:p w14:paraId="3ABEA98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394 (12.0)</w:t>
            </w:r>
          </w:p>
        </w:tc>
        <w:tc>
          <w:tcPr>
            <w:tcW w:w="1396" w:type="pct"/>
            <w:tcBorders>
              <w:top w:val="nil"/>
              <w:left w:val="nil"/>
              <w:bottom w:val="nil"/>
              <w:right w:val="nil"/>
            </w:tcBorders>
            <w:shd w:val="clear" w:color="auto" w:fill="auto"/>
            <w:noWrap/>
            <w:vAlign w:val="bottom"/>
          </w:tcPr>
          <w:p w14:paraId="26C3870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408 (2.6)</w:t>
            </w:r>
          </w:p>
        </w:tc>
      </w:tr>
      <w:tr w14:paraId="63045636">
        <w:trPr>
          <w:trHeight w:val="336" w:hRule="atLeast"/>
        </w:trPr>
        <w:tc>
          <w:tcPr>
            <w:tcW w:w="2040" w:type="pct"/>
            <w:tcBorders>
              <w:top w:val="nil"/>
              <w:left w:val="nil"/>
              <w:bottom w:val="nil"/>
              <w:right w:val="nil"/>
            </w:tcBorders>
            <w:shd w:val="clear" w:color="auto" w:fill="auto"/>
            <w:noWrap/>
            <w:vAlign w:val="bottom"/>
          </w:tcPr>
          <w:p w14:paraId="57D672F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Inflammatory bowel disease</w:t>
            </w:r>
          </w:p>
        </w:tc>
        <w:tc>
          <w:tcPr>
            <w:tcW w:w="1562" w:type="pct"/>
            <w:tcBorders>
              <w:top w:val="nil"/>
              <w:left w:val="nil"/>
              <w:bottom w:val="nil"/>
              <w:right w:val="nil"/>
            </w:tcBorders>
            <w:shd w:val="clear" w:color="auto" w:fill="auto"/>
            <w:noWrap/>
            <w:vAlign w:val="bottom"/>
          </w:tcPr>
          <w:p w14:paraId="110E40FC">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189 (5.8)</w:t>
            </w:r>
          </w:p>
        </w:tc>
        <w:tc>
          <w:tcPr>
            <w:tcW w:w="1396" w:type="pct"/>
            <w:tcBorders>
              <w:top w:val="nil"/>
              <w:left w:val="nil"/>
              <w:bottom w:val="nil"/>
              <w:right w:val="nil"/>
            </w:tcBorders>
            <w:shd w:val="clear" w:color="auto" w:fill="auto"/>
            <w:noWrap/>
            <w:vAlign w:val="bottom"/>
          </w:tcPr>
          <w:p w14:paraId="4975358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815 (5.2)</w:t>
            </w:r>
          </w:p>
        </w:tc>
      </w:tr>
      <w:tr w14:paraId="2C071A40">
        <w:trPr>
          <w:trHeight w:val="336" w:hRule="atLeast"/>
        </w:trPr>
        <w:tc>
          <w:tcPr>
            <w:tcW w:w="2040" w:type="pct"/>
            <w:tcBorders>
              <w:top w:val="nil"/>
              <w:left w:val="nil"/>
              <w:bottom w:val="nil"/>
              <w:right w:val="nil"/>
            </w:tcBorders>
            <w:shd w:val="clear" w:color="auto" w:fill="auto"/>
            <w:noWrap/>
            <w:vAlign w:val="bottom"/>
          </w:tcPr>
          <w:p w14:paraId="433CF79B">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Anaemia</w:t>
            </w:r>
          </w:p>
        </w:tc>
        <w:tc>
          <w:tcPr>
            <w:tcW w:w="1562" w:type="pct"/>
            <w:tcBorders>
              <w:top w:val="nil"/>
              <w:left w:val="nil"/>
              <w:bottom w:val="nil"/>
              <w:right w:val="nil"/>
            </w:tcBorders>
            <w:shd w:val="clear" w:color="auto" w:fill="auto"/>
            <w:noWrap/>
            <w:vAlign w:val="bottom"/>
          </w:tcPr>
          <w:p w14:paraId="2A0DEC77">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225 (6.9)</w:t>
            </w:r>
          </w:p>
        </w:tc>
        <w:tc>
          <w:tcPr>
            <w:tcW w:w="1396" w:type="pct"/>
            <w:tcBorders>
              <w:top w:val="nil"/>
              <w:left w:val="nil"/>
              <w:bottom w:val="nil"/>
              <w:right w:val="nil"/>
            </w:tcBorders>
            <w:shd w:val="clear" w:color="auto" w:fill="auto"/>
            <w:noWrap/>
            <w:vAlign w:val="bottom"/>
          </w:tcPr>
          <w:p w14:paraId="79E1FA3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1103 (7.0)</w:t>
            </w:r>
          </w:p>
        </w:tc>
      </w:tr>
      <w:tr w14:paraId="61CB7105">
        <w:trPr>
          <w:trHeight w:val="336" w:hRule="atLeast"/>
        </w:trPr>
        <w:tc>
          <w:tcPr>
            <w:tcW w:w="2040" w:type="pct"/>
            <w:tcBorders>
              <w:top w:val="nil"/>
              <w:left w:val="nil"/>
              <w:bottom w:val="nil"/>
              <w:right w:val="nil"/>
            </w:tcBorders>
            <w:shd w:val="clear" w:color="auto" w:fill="auto"/>
            <w:noWrap/>
            <w:vAlign w:val="bottom"/>
          </w:tcPr>
          <w:p w14:paraId="4AC023F6">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Non-diabetic hyperglycemia</w:t>
            </w:r>
          </w:p>
        </w:tc>
        <w:tc>
          <w:tcPr>
            <w:tcW w:w="1562" w:type="pct"/>
            <w:tcBorders>
              <w:top w:val="nil"/>
              <w:left w:val="nil"/>
              <w:bottom w:val="nil"/>
              <w:right w:val="nil"/>
            </w:tcBorders>
            <w:shd w:val="clear" w:color="auto" w:fill="auto"/>
            <w:noWrap/>
            <w:vAlign w:val="bottom"/>
          </w:tcPr>
          <w:p w14:paraId="55D4713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97 (3.0)</w:t>
            </w:r>
          </w:p>
        </w:tc>
        <w:tc>
          <w:tcPr>
            <w:tcW w:w="1396" w:type="pct"/>
            <w:tcBorders>
              <w:top w:val="nil"/>
              <w:left w:val="nil"/>
              <w:bottom w:val="nil"/>
              <w:right w:val="nil"/>
            </w:tcBorders>
            <w:shd w:val="clear" w:color="auto" w:fill="auto"/>
            <w:noWrap/>
            <w:vAlign w:val="bottom"/>
          </w:tcPr>
          <w:p w14:paraId="363160C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360 (2.3)</w:t>
            </w:r>
          </w:p>
        </w:tc>
      </w:tr>
      <w:tr w14:paraId="470413CA">
        <w:trPr>
          <w:trHeight w:val="336" w:hRule="atLeast"/>
        </w:trPr>
        <w:tc>
          <w:tcPr>
            <w:tcW w:w="2040" w:type="pct"/>
            <w:tcBorders>
              <w:top w:val="nil"/>
              <w:left w:val="nil"/>
              <w:bottom w:val="nil"/>
              <w:right w:val="nil"/>
            </w:tcBorders>
            <w:shd w:val="clear" w:color="auto" w:fill="auto"/>
            <w:noWrap/>
            <w:vAlign w:val="bottom"/>
          </w:tcPr>
          <w:p w14:paraId="22F613BC">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Renal failure</w:t>
            </w:r>
          </w:p>
        </w:tc>
        <w:tc>
          <w:tcPr>
            <w:tcW w:w="1562" w:type="pct"/>
            <w:tcBorders>
              <w:top w:val="nil"/>
              <w:left w:val="nil"/>
              <w:bottom w:val="nil"/>
              <w:right w:val="nil"/>
            </w:tcBorders>
            <w:shd w:val="clear" w:color="auto" w:fill="auto"/>
            <w:noWrap/>
            <w:vAlign w:val="bottom"/>
          </w:tcPr>
          <w:p w14:paraId="6506E645">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156 (4.8)</w:t>
            </w:r>
          </w:p>
        </w:tc>
        <w:tc>
          <w:tcPr>
            <w:tcW w:w="1396" w:type="pct"/>
            <w:tcBorders>
              <w:top w:val="nil"/>
              <w:left w:val="nil"/>
              <w:bottom w:val="nil"/>
              <w:right w:val="nil"/>
            </w:tcBorders>
            <w:shd w:val="clear" w:color="auto" w:fill="auto"/>
            <w:noWrap/>
            <w:vAlign w:val="bottom"/>
          </w:tcPr>
          <w:p w14:paraId="6176E74A">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473 (3.0)</w:t>
            </w:r>
          </w:p>
        </w:tc>
      </w:tr>
      <w:tr w14:paraId="529F6469">
        <w:trPr>
          <w:trHeight w:val="336" w:hRule="atLeast"/>
        </w:trPr>
        <w:tc>
          <w:tcPr>
            <w:tcW w:w="2040" w:type="pct"/>
            <w:tcBorders>
              <w:top w:val="nil"/>
              <w:left w:val="nil"/>
              <w:bottom w:val="nil"/>
              <w:right w:val="nil"/>
            </w:tcBorders>
            <w:shd w:val="clear" w:color="auto" w:fill="auto"/>
            <w:noWrap/>
            <w:vAlign w:val="bottom"/>
          </w:tcPr>
          <w:p w14:paraId="02B331D3">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Thyroid disorders</w:t>
            </w:r>
          </w:p>
        </w:tc>
        <w:tc>
          <w:tcPr>
            <w:tcW w:w="1562" w:type="pct"/>
            <w:tcBorders>
              <w:top w:val="nil"/>
              <w:left w:val="nil"/>
              <w:bottom w:val="nil"/>
              <w:right w:val="nil"/>
            </w:tcBorders>
            <w:shd w:val="clear" w:color="auto" w:fill="auto"/>
            <w:noWrap/>
            <w:vAlign w:val="bottom"/>
          </w:tcPr>
          <w:p w14:paraId="6450DC5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328 (10.0)</w:t>
            </w:r>
          </w:p>
        </w:tc>
        <w:tc>
          <w:tcPr>
            <w:tcW w:w="1396" w:type="pct"/>
            <w:tcBorders>
              <w:top w:val="nil"/>
              <w:left w:val="nil"/>
              <w:bottom w:val="nil"/>
              <w:right w:val="nil"/>
            </w:tcBorders>
            <w:shd w:val="clear" w:color="auto" w:fill="auto"/>
            <w:noWrap/>
            <w:vAlign w:val="bottom"/>
          </w:tcPr>
          <w:p w14:paraId="550E2462">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1139 (7.3)</w:t>
            </w:r>
          </w:p>
        </w:tc>
      </w:tr>
      <w:tr w14:paraId="545A093E">
        <w:trPr>
          <w:trHeight w:val="336" w:hRule="atLeast"/>
        </w:trPr>
        <w:tc>
          <w:tcPr>
            <w:tcW w:w="2040" w:type="pct"/>
            <w:tcBorders>
              <w:top w:val="nil"/>
              <w:left w:val="nil"/>
              <w:bottom w:val="single" w:color="000000" w:sz="4" w:space="0"/>
              <w:right w:val="nil"/>
            </w:tcBorders>
            <w:shd w:val="clear" w:color="auto" w:fill="auto"/>
            <w:noWrap/>
            <w:vAlign w:val="bottom"/>
          </w:tcPr>
          <w:p w14:paraId="3DD16884">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Multiple sclerosis</w:t>
            </w:r>
          </w:p>
        </w:tc>
        <w:tc>
          <w:tcPr>
            <w:tcW w:w="1562" w:type="pct"/>
            <w:tcBorders>
              <w:top w:val="nil"/>
              <w:left w:val="nil"/>
              <w:bottom w:val="single" w:color="000000" w:sz="4" w:space="0"/>
              <w:right w:val="nil"/>
            </w:tcBorders>
            <w:shd w:val="clear" w:color="auto" w:fill="auto"/>
            <w:noWrap/>
            <w:vAlign w:val="bottom"/>
          </w:tcPr>
          <w:p w14:paraId="21CB37DF">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6 (0.2)</w:t>
            </w:r>
          </w:p>
        </w:tc>
        <w:tc>
          <w:tcPr>
            <w:tcW w:w="1396" w:type="pct"/>
            <w:tcBorders>
              <w:top w:val="nil"/>
              <w:left w:val="nil"/>
              <w:bottom w:val="single" w:color="000000" w:sz="4" w:space="0"/>
              <w:right w:val="nil"/>
            </w:tcBorders>
            <w:shd w:val="clear" w:color="auto" w:fill="auto"/>
            <w:noWrap/>
            <w:vAlign w:val="bottom"/>
          </w:tcPr>
          <w:p w14:paraId="6D5A267D">
            <w:pPr>
              <w:keepNext w:val="0"/>
              <w:keepLines w:val="0"/>
              <w:widowControl/>
              <w:suppressLineNumbers w:val="0"/>
              <w:jc w:val="left"/>
              <w:textAlignment w:val="bottom"/>
              <w:rPr>
                <w:rFonts w:hint="default" w:ascii="Times New Roman Regular" w:hAnsi="Times New Roman Regular" w:eastAsia="Times New Roman Regular" w:cs="Times New Roman Regular"/>
                <w:i w:val="0"/>
                <w:iCs w:val="0"/>
                <w:color w:val="000000"/>
                <w:sz w:val="18"/>
                <w:szCs w:val="18"/>
                <w:u w:val="none"/>
              </w:rPr>
            </w:pPr>
            <w:r>
              <w:rPr>
                <w:rFonts w:hint="default" w:ascii="Times New Roman Regular" w:hAnsi="Times New Roman Regular" w:eastAsia="Times New Roman Regular" w:cs="Times New Roman Regular"/>
                <w:i w:val="0"/>
                <w:iCs w:val="0"/>
                <w:color w:val="000000"/>
                <w:kern w:val="0"/>
                <w:sz w:val="18"/>
                <w:szCs w:val="18"/>
                <w:u w:val="none"/>
                <w:lang w:val="en-US" w:eastAsia="zh-CN" w:bidi="ar"/>
                <w14:ligatures w14:val="standardContextual"/>
              </w:rPr>
              <w:t>26 (0.2)</w:t>
            </w:r>
          </w:p>
        </w:tc>
      </w:tr>
    </w:tbl>
    <w:p w14:paraId="693CB89D">
      <w:pPr>
        <w:rPr>
          <w:rFonts w:ascii="Times New Roman" w:hAnsi="Times New Roman" w:cs="Times New Roman" w:eastAsiaTheme="majorEastAsia"/>
          <w:b/>
          <w:bCs/>
        </w:rPr>
      </w:pPr>
      <w:r>
        <w:rPr>
          <w:rFonts w:ascii="Times New Roman" w:hAnsi="Times New Roman" w:cs="Times New Roman"/>
          <w:b/>
          <w:bCs/>
        </w:rPr>
        <w:br w:type="page"/>
      </w:r>
    </w:p>
    <w:p w14:paraId="1D41045F">
      <w:pPr>
        <w:pStyle w:val="2"/>
        <w:rPr>
          <w:rFonts w:ascii="Times New Roman" w:hAnsi="Times New Roman" w:cs="Times New Roman"/>
          <w:b/>
          <w:bCs/>
          <w:color w:val="auto"/>
          <w:sz w:val="24"/>
          <w:szCs w:val="24"/>
        </w:rPr>
      </w:pPr>
      <w:bookmarkStart w:id="11" w:name="_Toc1180009516"/>
      <w:r>
        <w:rPr>
          <w:rFonts w:ascii="Times New Roman" w:hAnsi="Times New Roman" w:cs="Times New Roman"/>
          <w:b/>
          <w:bCs/>
          <w:color w:val="auto"/>
          <w:sz w:val="24"/>
          <w:szCs w:val="24"/>
        </w:rPr>
        <w:t xml:space="preserve">Figure </w:t>
      </w:r>
      <w:r>
        <w:rPr>
          <w:rFonts w:hint="eastAsia" w:ascii="Times New Roman" w:hAnsi="Times New Roman" w:cs="Times New Roman"/>
          <w:b/>
          <w:bCs/>
          <w:color w:val="auto"/>
          <w:sz w:val="24"/>
          <w:szCs w:val="24"/>
        </w:rPr>
        <w:t>S</w:t>
      </w:r>
      <w:r>
        <w:rPr>
          <w:rFonts w:ascii="Times New Roman" w:hAnsi="Times New Roman" w:cs="Times New Roman"/>
          <w:b/>
          <w:bCs/>
          <w:color w:val="auto"/>
          <w:sz w:val="24"/>
          <w:szCs w:val="24"/>
        </w:rPr>
        <w:t xml:space="preserve">1. </w:t>
      </w:r>
      <w:bookmarkEnd w:id="8"/>
      <w:r>
        <w:rPr>
          <w:rFonts w:ascii="Times New Roman" w:hAnsi="Times New Roman" w:cs="Times New Roman"/>
          <w:b/>
          <w:bCs/>
          <w:color w:val="auto"/>
          <w:sz w:val="24"/>
          <w:szCs w:val="24"/>
        </w:rPr>
        <w:t xml:space="preserve">Association of Bariatric Surgery </w:t>
      </w:r>
      <w:r>
        <w:rPr>
          <w:rFonts w:hint="eastAsia" w:ascii="Times New Roman" w:hAnsi="Times New Roman" w:cs="Times New Roman"/>
          <w:b/>
          <w:bCs/>
          <w:color w:val="auto"/>
          <w:sz w:val="24"/>
          <w:szCs w:val="24"/>
        </w:rPr>
        <w:t>w</w:t>
      </w:r>
      <w:r>
        <w:rPr>
          <w:rFonts w:ascii="Times New Roman" w:hAnsi="Times New Roman" w:cs="Times New Roman"/>
          <w:b/>
          <w:bCs/>
          <w:color w:val="auto"/>
          <w:sz w:val="24"/>
          <w:szCs w:val="24"/>
        </w:rPr>
        <w:t>ith Incidence of Depression and Anxiety After Excluding Individuals with Events Within 12 Months Before the Index Date</w:t>
      </w:r>
      <w:bookmarkEnd w:id="11"/>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16"/>
      </w:tblGrid>
      <w:tr w14:paraId="5EAF29AA">
        <w:tc>
          <w:tcPr>
            <w:tcW w:w="9016" w:type="dxa"/>
          </w:tcPr>
          <w:p w14:paraId="2303D2E3">
            <w:pPr>
              <w:spacing w:after="0" w:line="240" w:lineRule="auto"/>
              <w:rPr>
                <w:rFonts w:ascii="Times New Roman" w:hAnsi="Times New Roman" w:cs="Times New Roman"/>
              </w:rPr>
            </w:pPr>
            <w:r>
              <w:rPr>
                <w:rFonts w:hint="eastAsia" w:ascii="Times New Roman" w:hAnsi="Times New Roman" w:cs="Times New Roman"/>
              </w:rPr>
              <w:t>A. Depression</w:t>
            </w:r>
          </w:p>
          <w:p w14:paraId="48B4E482">
            <w:pPr>
              <w:spacing w:after="0" w:line="240" w:lineRule="auto"/>
              <w:jc w:val="center"/>
              <w:rPr>
                <w:rFonts w:ascii="Times New Roman" w:hAnsi="Times New Roman" w:cs="Times New Roman"/>
                <w:b/>
                <w:bCs/>
              </w:rPr>
            </w:pPr>
            <w:r>
              <w:rPr>
                <w:rFonts w:ascii="Times New Roman" w:hAnsi="Times New Roman" w:cs="Times New Roman"/>
              </w:rPr>
              <w:drawing>
                <wp:inline distT="0" distB="0" distL="0" distR="0">
                  <wp:extent cx="5192395" cy="330454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196227" cy="3306795"/>
                          </a:xfrm>
                          <a:prstGeom prst="rect">
                            <a:avLst/>
                          </a:prstGeom>
                          <a:noFill/>
                          <a:ln>
                            <a:noFill/>
                          </a:ln>
                        </pic:spPr>
                      </pic:pic>
                    </a:graphicData>
                  </a:graphic>
                </wp:inline>
              </w:drawing>
            </w:r>
          </w:p>
        </w:tc>
      </w:tr>
      <w:tr w14:paraId="698FA758">
        <w:tc>
          <w:tcPr>
            <w:tcW w:w="9016" w:type="dxa"/>
          </w:tcPr>
          <w:p w14:paraId="21CA4A0C">
            <w:pPr>
              <w:spacing w:after="0" w:line="240" w:lineRule="auto"/>
              <w:rPr>
                <w:rFonts w:ascii="Times New Roman" w:hAnsi="Times New Roman" w:cs="Times New Roman"/>
              </w:rPr>
            </w:pPr>
            <w:r>
              <w:rPr>
                <w:rFonts w:hint="eastAsia" w:ascii="Times New Roman" w:hAnsi="Times New Roman" w:cs="Times New Roman"/>
              </w:rPr>
              <w:t>B. Anxiety</w:t>
            </w:r>
          </w:p>
          <w:p w14:paraId="00DE41D1">
            <w:pPr>
              <w:spacing w:after="0" w:line="240" w:lineRule="auto"/>
              <w:jc w:val="center"/>
              <w:rPr>
                <w:rFonts w:ascii="Times New Roman" w:hAnsi="Times New Roman" w:cs="Times New Roman"/>
                <w:b/>
                <w:bCs/>
              </w:rPr>
            </w:pPr>
            <w:r>
              <w:drawing>
                <wp:inline distT="0" distB="0" distL="0" distR="0">
                  <wp:extent cx="5332095" cy="3393440"/>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342195" cy="3399686"/>
                          </a:xfrm>
                          <a:prstGeom prst="rect">
                            <a:avLst/>
                          </a:prstGeom>
                          <a:noFill/>
                          <a:ln>
                            <a:noFill/>
                          </a:ln>
                        </pic:spPr>
                      </pic:pic>
                    </a:graphicData>
                  </a:graphic>
                </wp:inline>
              </w:drawing>
            </w:r>
          </w:p>
        </w:tc>
      </w:tr>
      <w:tr w14:paraId="5E8172FE">
        <w:tc>
          <w:tcPr>
            <w:tcW w:w="9016" w:type="dxa"/>
          </w:tcPr>
          <w:p w14:paraId="4713D28E">
            <w:pPr>
              <w:spacing w:after="0" w:line="240" w:lineRule="auto"/>
              <w:rPr>
                <w:rFonts w:hint="default" w:ascii="Times New Roman" w:hAnsi="Times New Roman" w:cs="Times New Roman"/>
                <w:b/>
                <w:bCs/>
                <w:sz w:val="18"/>
                <w:szCs w:val="18"/>
                <w:lang w:val="en-US"/>
              </w:rPr>
            </w:pPr>
            <w:r>
              <w:rPr>
                <w:rFonts w:ascii="Times New Roman" w:hAnsi="Times New Roman" w:cs="Times New Roman"/>
                <w:sz w:val="18"/>
                <w:szCs w:val="18"/>
              </w:rPr>
              <w:t>Note: Models were adjusted for matching factors, demographic and lifestyle factors, and obesity-related comorbidities.</w:t>
            </w:r>
            <w:r>
              <w:rPr>
                <w:rFonts w:hint="eastAsia" w:ascii="Times New Roman" w:hAnsi="Times New Roman" w:cs="Times New Roman"/>
                <w:sz w:val="18"/>
                <w:szCs w:val="18"/>
              </w:rPr>
              <w:t xml:space="preserve"> </w:t>
            </w:r>
            <w:r>
              <w:rPr>
                <w:rFonts w:ascii="Times New Roman" w:hAnsi="Times New Roman" w:cs="Times New Roman"/>
                <w:sz w:val="18"/>
                <w:szCs w:val="18"/>
              </w:rPr>
              <w:t>Adjusted hazard ratios (HRs) were derived by removing the original variable from the fully adjusted Cox model and replacing it with a dichotomous subgroup variable along with its interaction term with treatment. For example, the continuous age covariate was substituted with a binary version and its interaction with treatment. Age and body mass index were dichotomized using their median values.</w:t>
            </w:r>
            <w:r>
              <w:rPr>
                <w:rFonts w:hint="eastAsia" w:ascii="Times New Roman" w:hAnsi="Times New Roman" w:cs="Times New Roman"/>
                <w:sz w:val="18"/>
                <w:szCs w:val="18"/>
              </w:rPr>
              <w:t xml:space="preserve"> </w:t>
            </w:r>
            <w:r>
              <w:rPr>
                <w:rFonts w:ascii="Times New Roman" w:hAnsi="Times New Roman" w:cs="Times New Roman"/>
                <w:sz w:val="18"/>
                <w:szCs w:val="18"/>
              </w:rPr>
              <w:t>The association of surgery type (gastric bypass, sleeve gastrectomy, gastric banding</w:t>
            </w:r>
            <w:r>
              <w:rPr>
                <w:rFonts w:hint="eastAsia" w:ascii="Times New Roman" w:hAnsi="Times New Roman" w:cs="Times New Roman"/>
                <w:sz w:val="18"/>
                <w:szCs w:val="18"/>
              </w:rPr>
              <w:t>, or unspecified</w:t>
            </w:r>
            <w:r>
              <w:rPr>
                <w:rFonts w:ascii="Times New Roman" w:hAnsi="Times New Roman" w:cs="Times New Roman"/>
                <w:sz w:val="18"/>
                <w:szCs w:val="18"/>
              </w:rPr>
              <w:t>) with the outcomes was examined in separate matched comparisons.</w:t>
            </w:r>
            <w:r>
              <w:rPr>
                <w:rFonts w:hint="default" w:ascii="Times New Roman" w:hAnsi="Times New Roman" w:cs="Times New Roman"/>
                <w:sz w:val="18"/>
                <w:szCs w:val="18"/>
                <w:lang w:val="en-US"/>
              </w:rPr>
              <w:t xml:space="preserve"> </w:t>
            </w:r>
            <w:r>
              <w:rPr>
                <w:rFonts w:hint="eastAsia" w:ascii="Times New Roman" w:hAnsi="Times New Roman" w:cs="Times New Roman"/>
                <w:sz w:val="18"/>
                <w:szCs w:val="18"/>
              </w:rPr>
              <w:t>HR: hazard ratio, CI: confidence interval</w:t>
            </w:r>
          </w:p>
        </w:tc>
      </w:tr>
    </w:tbl>
    <w:p w14:paraId="1C952AEE">
      <w:pPr>
        <w:rPr>
          <w:rFonts w:ascii="Times New Roman" w:hAnsi="Times New Roman" w:cs="Times New Roman"/>
          <w:b/>
          <w:bCs/>
        </w:rPr>
      </w:pPr>
    </w:p>
    <w:p w14:paraId="76C6884E">
      <w:pPr>
        <w:pStyle w:val="2"/>
        <w:rPr>
          <w:rFonts w:ascii="Times New Roman" w:hAnsi="Times New Roman" w:cs="Times New Roman"/>
          <w:b/>
          <w:bCs/>
          <w:color w:val="auto"/>
          <w:sz w:val="24"/>
          <w:szCs w:val="24"/>
        </w:rPr>
      </w:pPr>
      <w:bookmarkStart w:id="12" w:name="_Toc209433816"/>
      <w:bookmarkStart w:id="13" w:name="_Toc408455367"/>
      <w:r>
        <w:rPr>
          <w:rFonts w:ascii="Times New Roman" w:hAnsi="Times New Roman" w:cs="Times New Roman"/>
          <w:b/>
          <w:bCs/>
          <w:color w:val="auto"/>
          <w:sz w:val="24"/>
          <w:szCs w:val="24"/>
        </w:rPr>
        <w:t xml:space="preserve">Figure </w:t>
      </w:r>
      <w:r>
        <w:rPr>
          <w:rFonts w:hint="eastAsia" w:ascii="Times New Roman" w:hAnsi="Times New Roman" w:cs="Times New Roman"/>
          <w:b/>
          <w:bCs/>
          <w:color w:val="auto"/>
          <w:sz w:val="24"/>
          <w:szCs w:val="24"/>
        </w:rPr>
        <w:t>S</w:t>
      </w:r>
      <w:r>
        <w:rPr>
          <w:rFonts w:ascii="Times New Roman" w:hAnsi="Times New Roman" w:cs="Times New Roman"/>
          <w:b/>
          <w:bCs/>
          <w:color w:val="auto"/>
          <w:sz w:val="24"/>
          <w:szCs w:val="24"/>
        </w:rPr>
        <w:t xml:space="preserve">2. Association of Bariatric Surgery with Incidence of Depression and Anxiety by </w:t>
      </w:r>
      <w:r>
        <w:rPr>
          <w:rFonts w:hint="eastAsia" w:ascii="Times New Roman" w:hAnsi="Times New Roman" w:cs="Times New Roman"/>
          <w:b/>
          <w:bCs/>
          <w:color w:val="auto"/>
          <w:sz w:val="24"/>
          <w:szCs w:val="24"/>
        </w:rPr>
        <w:t>F</w:t>
      </w:r>
      <w:r>
        <w:rPr>
          <w:rFonts w:ascii="Times New Roman" w:hAnsi="Times New Roman" w:cs="Times New Roman"/>
          <w:b/>
          <w:bCs/>
          <w:color w:val="auto"/>
          <w:sz w:val="24"/>
          <w:szCs w:val="24"/>
        </w:rPr>
        <w:t xml:space="preserve">ollow-up </w:t>
      </w:r>
      <w:r>
        <w:rPr>
          <w:rFonts w:hint="eastAsia" w:ascii="Times New Roman" w:hAnsi="Times New Roman" w:cs="Times New Roman"/>
          <w:b/>
          <w:bCs/>
          <w:color w:val="auto"/>
          <w:sz w:val="24"/>
          <w:szCs w:val="24"/>
        </w:rPr>
        <w:t>D</w:t>
      </w:r>
      <w:r>
        <w:rPr>
          <w:rFonts w:ascii="Times New Roman" w:hAnsi="Times New Roman" w:cs="Times New Roman"/>
          <w:b/>
          <w:bCs/>
          <w:color w:val="auto"/>
          <w:sz w:val="24"/>
          <w:szCs w:val="24"/>
        </w:rPr>
        <w:t>uration</w:t>
      </w:r>
      <w:bookmarkEnd w:id="12"/>
      <w:r>
        <w:rPr>
          <w:rFonts w:ascii="Times New Roman" w:hAnsi="Times New Roman" w:cs="Times New Roman"/>
          <w:b/>
          <w:bCs/>
          <w:color w:val="auto"/>
          <w:sz w:val="24"/>
          <w:szCs w:val="24"/>
        </w:rPr>
        <w:t>s (</w:t>
      </w:r>
      <w:r>
        <w:rPr>
          <w:rFonts w:hint="eastAsia" w:ascii="Times New Roman" w:hAnsi="Times New Roman" w:cs="Times New Roman"/>
          <w:b/>
          <w:bCs/>
          <w:color w:val="auto"/>
          <w:sz w:val="24"/>
          <w:szCs w:val="24"/>
        </w:rPr>
        <w:t>Y</w:t>
      </w:r>
      <w:r>
        <w:rPr>
          <w:rFonts w:ascii="Times New Roman" w:hAnsi="Times New Roman" w:cs="Times New Roman"/>
          <w:b/>
          <w:bCs/>
          <w:color w:val="auto"/>
          <w:sz w:val="24"/>
          <w:szCs w:val="24"/>
        </w:rPr>
        <w:t>ears)</w:t>
      </w:r>
      <w:bookmarkEnd w:id="13"/>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242"/>
      </w:tblGrid>
      <w:tr w14:paraId="63E03396">
        <w:tc>
          <w:tcPr>
            <w:tcW w:w="9016" w:type="dxa"/>
          </w:tcPr>
          <w:p w14:paraId="7FEB79AA">
            <w:pPr>
              <w:spacing w:after="0" w:line="240" w:lineRule="auto"/>
              <w:rPr>
                <w:rFonts w:ascii="Times New Roman" w:hAnsi="Times New Roman" w:cs="Times New Roman"/>
              </w:rPr>
            </w:pPr>
            <w:r>
              <w:rPr>
                <w:rFonts w:hint="eastAsia" w:ascii="Times New Roman" w:hAnsi="Times New Roman" w:cs="Times New Roman"/>
              </w:rPr>
              <w:t>A. Depression</w:t>
            </w:r>
          </w:p>
          <w:p w14:paraId="49F1FF69">
            <w:pPr>
              <w:spacing w:after="0" w:line="240" w:lineRule="auto"/>
              <w:rPr>
                <w:rFonts w:ascii="Times New Roman" w:hAnsi="Times New Roman" w:cs="Times New Roman"/>
              </w:rPr>
            </w:pPr>
            <w:r>
              <w:rPr>
                <w:rFonts w:ascii="Times New Roman" w:hAnsi="Times New Roman" w:cs="Times New Roman"/>
              </w:rPr>
              <w:drawing>
                <wp:inline distT="0" distB="0" distL="0" distR="0">
                  <wp:extent cx="5731510" cy="156337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731510" cy="1563370"/>
                          </a:xfrm>
                          <a:prstGeom prst="rect">
                            <a:avLst/>
                          </a:prstGeom>
                          <a:noFill/>
                          <a:ln>
                            <a:noFill/>
                          </a:ln>
                        </pic:spPr>
                      </pic:pic>
                    </a:graphicData>
                  </a:graphic>
                </wp:inline>
              </w:drawing>
            </w:r>
          </w:p>
        </w:tc>
      </w:tr>
      <w:tr w14:paraId="37298E9B">
        <w:tc>
          <w:tcPr>
            <w:tcW w:w="9016" w:type="dxa"/>
          </w:tcPr>
          <w:p w14:paraId="27650EC3">
            <w:pPr>
              <w:spacing w:after="0" w:line="240" w:lineRule="auto"/>
              <w:rPr>
                <w:rFonts w:ascii="Times New Roman" w:hAnsi="Times New Roman" w:cs="Times New Roman"/>
              </w:rPr>
            </w:pPr>
            <w:r>
              <w:rPr>
                <w:rFonts w:hint="eastAsia" w:ascii="Times New Roman" w:hAnsi="Times New Roman" w:cs="Times New Roman"/>
              </w:rPr>
              <w:t>B. Anxiety</w:t>
            </w:r>
          </w:p>
          <w:p w14:paraId="2B27F688">
            <w:pPr>
              <w:spacing w:after="0" w:line="240" w:lineRule="auto"/>
              <w:rPr>
                <w:rFonts w:ascii="Times New Roman" w:hAnsi="Times New Roman" w:cs="Times New Roman"/>
              </w:rPr>
            </w:pPr>
            <w:r>
              <w:rPr>
                <w:rFonts w:ascii="Times New Roman" w:hAnsi="Times New Roman" w:cs="Times New Roman"/>
              </w:rPr>
              <w:drawing>
                <wp:inline distT="0" distB="0" distL="0" distR="0">
                  <wp:extent cx="5731510" cy="1563370"/>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5731510" cy="1563370"/>
                          </a:xfrm>
                          <a:prstGeom prst="rect">
                            <a:avLst/>
                          </a:prstGeom>
                          <a:noFill/>
                          <a:ln>
                            <a:noFill/>
                          </a:ln>
                        </pic:spPr>
                      </pic:pic>
                    </a:graphicData>
                  </a:graphic>
                </wp:inline>
              </w:drawing>
            </w:r>
          </w:p>
        </w:tc>
      </w:tr>
      <w:tr w14:paraId="4193A5DD">
        <w:tc>
          <w:tcPr>
            <w:tcW w:w="9016" w:type="dxa"/>
          </w:tcPr>
          <w:p w14:paraId="5050A9EC">
            <w:pPr>
              <w:spacing w:after="0" w:line="240" w:lineRule="auto"/>
              <w:rPr>
                <w:rFonts w:ascii="Times New Roman" w:hAnsi="Times New Roman" w:cs="Times New Roman"/>
                <w:sz w:val="18"/>
                <w:szCs w:val="18"/>
              </w:rPr>
            </w:pPr>
            <w:r>
              <w:rPr>
                <w:rFonts w:ascii="Times New Roman" w:hAnsi="Times New Roman" w:cs="Times New Roman"/>
                <w:sz w:val="18"/>
                <w:szCs w:val="18"/>
              </w:rPr>
              <w:t>Note: Models were adjusted for matching factors, demographic and lifestyle factors, and obesity-related comorbidities.</w:t>
            </w:r>
            <w:r>
              <w:rPr>
                <w:rFonts w:hint="eastAsia" w:ascii="Times New Roman" w:hAnsi="Times New Roman" w:cs="Times New Roman"/>
                <w:sz w:val="18"/>
                <w:szCs w:val="18"/>
              </w:rPr>
              <w:t xml:space="preserve"> HR: hazard ratio, CI: confidence interval</w:t>
            </w:r>
          </w:p>
        </w:tc>
      </w:tr>
    </w:tbl>
    <w:p w14:paraId="39681E75">
      <w:pPr>
        <w:rPr>
          <w:rFonts w:ascii="Times New Roman" w:hAnsi="Times New Roman" w:cs="Times New Roman"/>
        </w:rPr>
      </w:pPr>
    </w:p>
    <w:p w14:paraId="5210F2E2">
      <w:pPr>
        <w:rPr>
          <w:rFonts w:ascii="Times New Roman" w:hAnsi="Times New Roman" w:cs="Times New Roman"/>
        </w:rPr>
      </w:pPr>
    </w:p>
    <w:p w14:paraId="36485EA4">
      <w:pPr>
        <w:rPr>
          <w:rFonts w:ascii="Times New Roman" w:hAnsi="Times New Roman" w:cs="Times New Roman"/>
        </w:rPr>
      </w:pPr>
    </w:p>
    <w:p w14:paraId="3227180C">
      <w:pPr>
        <w:rPr>
          <w:rFonts w:ascii="Times New Roman" w:hAnsi="Times New Roman" w:cs="Times New Roman"/>
        </w:rPr>
      </w:pPr>
    </w:p>
    <w:p w14:paraId="3F9D3169">
      <w:pPr>
        <w:rPr>
          <w:rFonts w:ascii="Times New Roman" w:hAnsi="Times New Roman" w:cs="Times New Roman"/>
        </w:rPr>
      </w:pPr>
    </w:p>
    <w:p w14:paraId="3F068958">
      <w:pPr>
        <w:rPr>
          <w:rFonts w:ascii="Times New Roman" w:hAnsi="Times New Roman" w:cs="Times New Roman"/>
        </w:rPr>
      </w:pPr>
    </w:p>
    <w:p w14:paraId="5571C190">
      <w:pPr>
        <w:rPr>
          <w:rFonts w:ascii="Times New Roman" w:hAnsi="Times New Roman" w:cs="Times New Roman"/>
        </w:rPr>
      </w:pPr>
    </w:p>
    <w:p w14:paraId="24BE9CF2">
      <w:pPr>
        <w:rPr>
          <w:rFonts w:ascii="Times New Roman" w:hAnsi="Times New Roman" w:cs="Times New Roman"/>
        </w:rPr>
      </w:pPr>
    </w:p>
    <w:p w14:paraId="37FF3E04">
      <w:pPr>
        <w:rPr>
          <w:rFonts w:ascii="Times New Roman" w:hAnsi="Times New Roman" w:cs="Times New Roman"/>
        </w:rPr>
      </w:pPr>
    </w:p>
    <w:p w14:paraId="194E7781">
      <w:pPr>
        <w:rPr>
          <w:rFonts w:ascii="Times New Roman" w:hAnsi="Times New Roman" w:cs="Times New Roman"/>
        </w:rPr>
      </w:pPr>
    </w:p>
    <w:p w14:paraId="5045C588">
      <w:pPr>
        <w:rPr>
          <w:rFonts w:ascii="Times New Roman" w:hAnsi="Times New Roman" w:cs="Times New Roman"/>
        </w:rPr>
      </w:pPr>
    </w:p>
    <w:p w14:paraId="681AEA74">
      <w:pPr>
        <w:rPr>
          <w:rFonts w:ascii="Times New Roman" w:hAnsi="Times New Roman" w:cs="Times New Roman"/>
        </w:rPr>
      </w:pPr>
    </w:p>
    <w:p w14:paraId="28D59E2E">
      <w:pPr>
        <w:rPr>
          <w:rFonts w:ascii="Times New Roman" w:hAnsi="Times New Roman" w:cs="Times New Roman"/>
        </w:rPr>
      </w:pPr>
    </w:p>
    <w:p w14:paraId="37A98E96">
      <w:pPr>
        <w:rPr>
          <w:rFonts w:ascii="Times New Roman" w:hAnsi="Times New Roman" w:cs="Times New Roman" w:eastAsiaTheme="majorEastAsia"/>
          <w:b/>
          <w:bCs/>
        </w:rPr>
      </w:pPr>
      <w:r>
        <w:rPr>
          <w:rFonts w:ascii="Times New Roman" w:hAnsi="Times New Roman" w:cs="Times New Roman"/>
          <w:b/>
          <w:bCs/>
        </w:rPr>
        <w:br w:type="page"/>
      </w:r>
    </w:p>
    <w:p w14:paraId="039B17D3">
      <w:pPr>
        <w:pStyle w:val="2"/>
        <w:rPr>
          <w:rFonts w:ascii="Times New Roman" w:hAnsi="Times New Roman" w:cs="Times New Roman"/>
          <w:b/>
          <w:bCs/>
          <w:color w:val="auto"/>
          <w:sz w:val="24"/>
          <w:szCs w:val="24"/>
        </w:rPr>
      </w:pPr>
      <w:bookmarkStart w:id="14" w:name="_Toc209433817"/>
      <w:bookmarkStart w:id="15" w:name="_Toc1551617357"/>
      <w:r>
        <w:rPr>
          <w:rFonts w:ascii="Times New Roman" w:hAnsi="Times New Roman" w:cs="Times New Roman"/>
          <w:b/>
          <w:bCs/>
          <w:color w:val="auto"/>
          <w:sz w:val="24"/>
          <w:szCs w:val="24"/>
        </w:rPr>
        <w:t xml:space="preserve">Figure </w:t>
      </w:r>
      <w:r>
        <w:rPr>
          <w:rFonts w:hint="eastAsia" w:ascii="Times New Roman" w:hAnsi="Times New Roman" w:cs="Times New Roman"/>
          <w:b/>
          <w:bCs/>
          <w:color w:val="auto"/>
          <w:sz w:val="24"/>
          <w:szCs w:val="24"/>
        </w:rPr>
        <w:t>S</w:t>
      </w:r>
      <w:r>
        <w:rPr>
          <w:rFonts w:ascii="Times New Roman" w:hAnsi="Times New Roman" w:cs="Times New Roman"/>
          <w:b/>
          <w:bCs/>
          <w:color w:val="auto"/>
          <w:sz w:val="24"/>
          <w:szCs w:val="24"/>
        </w:rPr>
        <w:t xml:space="preserve">3. Association of Bariatric Surgery with Incidence of Depression and Anxiety </w:t>
      </w:r>
      <w:r>
        <w:rPr>
          <w:rFonts w:hint="eastAsia" w:ascii="Times New Roman" w:hAnsi="Times New Roman" w:cs="Times New Roman"/>
          <w:b/>
          <w:bCs/>
          <w:color w:val="auto"/>
          <w:sz w:val="24"/>
          <w:szCs w:val="24"/>
        </w:rPr>
        <w:t>U</w:t>
      </w:r>
      <w:r>
        <w:rPr>
          <w:rFonts w:ascii="Times New Roman" w:hAnsi="Times New Roman" w:cs="Times New Roman"/>
          <w:b/>
          <w:bCs/>
          <w:color w:val="auto"/>
          <w:sz w:val="24"/>
          <w:szCs w:val="24"/>
        </w:rPr>
        <w:t xml:space="preserve">sing </w:t>
      </w:r>
      <w:r>
        <w:rPr>
          <w:rFonts w:hint="eastAsia" w:ascii="Times New Roman" w:hAnsi="Times New Roman" w:cs="Times New Roman"/>
          <w:b/>
          <w:bCs/>
          <w:color w:val="auto"/>
          <w:sz w:val="24"/>
          <w:szCs w:val="24"/>
        </w:rPr>
        <w:t>t</w:t>
      </w:r>
      <w:r>
        <w:rPr>
          <w:rFonts w:ascii="Times New Roman" w:hAnsi="Times New Roman" w:cs="Times New Roman"/>
          <w:b/>
          <w:bCs/>
          <w:color w:val="auto"/>
          <w:sz w:val="24"/>
          <w:szCs w:val="24"/>
        </w:rPr>
        <w:t xml:space="preserve">he </w:t>
      </w:r>
      <w:r>
        <w:rPr>
          <w:rFonts w:hint="eastAsia" w:ascii="Times New Roman" w:hAnsi="Times New Roman" w:cs="Times New Roman"/>
          <w:b/>
          <w:bCs/>
          <w:color w:val="auto"/>
          <w:sz w:val="24"/>
          <w:szCs w:val="24"/>
        </w:rPr>
        <w:t>F</w:t>
      </w:r>
      <w:r>
        <w:rPr>
          <w:rFonts w:ascii="Times New Roman" w:hAnsi="Times New Roman" w:cs="Times New Roman"/>
          <w:b/>
          <w:bCs/>
          <w:color w:val="auto"/>
          <w:sz w:val="24"/>
          <w:szCs w:val="24"/>
        </w:rPr>
        <w:t xml:space="preserve">ull </w:t>
      </w:r>
      <w:bookmarkEnd w:id="14"/>
      <w:r>
        <w:rPr>
          <w:rFonts w:ascii="Times New Roman" w:hAnsi="Times New Roman" w:cs="Times New Roman"/>
          <w:b/>
          <w:bCs/>
          <w:color w:val="auto"/>
          <w:sz w:val="24"/>
          <w:szCs w:val="24"/>
        </w:rPr>
        <w:t>Unmatched Control Cohort</w:t>
      </w:r>
      <w:bookmarkEnd w:id="15"/>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16"/>
      </w:tblGrid>
      <w:tr w14:paraId="13FC4D13">
        <w:tc>
          <w:tcPr>
            <w:tcW w:w="9016" w:type="dxa"/>
          </w:tcPr>
          <w:p w14:paraId="026B3C63">
            <w:pPr>
              <w:spacing w:after="0" w:line="240" w:lineRule="auto"/>
              <w:rPr>
                <w:rFonts w:ascii="Times New Roman" w:hAnsi="Times New Roman" w:cs="Times New Roman"/>
              </w:rPr>
            </w:pPr>
            <w:r>
              <w:rPr>
                <w:rFonts w:hint="eastAsia" w:ascii="Times New Roman" w:hAnsi="Times New Roman" w:cs="Times New Roman"/>
              </w:rPr>
              <w:t>A. Depression</w:t>
            </w:r>
          </w:p>
          <w:p w14:paraId="1AC50923">
            <w:pPr>
              <w:spacing w:after="0" w:line="240" w:lineRule="auto"/>
              <w:jc w:val="center"/>
              <w:rPr>
                <w:rFonts w:ascii="Times New Roman" w:hAnsi="Times New Roman" w:cs="Times New Roman"/>
              </w:rPr>
            </w:pPr>
            <w:r>
              <w:rPr>
                <w:rFonts w:ascii="Times New Roman" w:hAnsi="Times New Roman" w:cs="Times New Roman"/>
              </w:rPr>
              <w:drawing>
                <wp:inline distT="0" distB="0" distL="0" distR="0">
                  <wp:extent cx="5012690" cy="31902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5020140" cy="3194735"/>
                          </a:xfrm>
                          <a:prstGeom prst="rect">
                            <a:avLst/>
                          </a:prstGeom>
                          <a:noFill/>
                          <a:ln>
                            <a:noFill/>
                          </a:ln>
                        </pic:spPr>
                      </pic:pic>
                    </a:graphicData>
                  </a:graphic>
                </wp:inline>
              </w:drawing>
            </w:r>
          </w:p>
        </w:tc>
      </w:tr>
      <w:tr w14:paraId="267AD76C">
        <w:tc>
          <w:tcPr>
            <w:tcW w:w="9016" w:type="dxa"/>
          </w:tcPr>
          <w:p w14:paraId="48A060FD">
            <w:pPr>
              <w:spacing w:after="0" w:line="240" w:lineRule="auto"/>
              <w:rPr>
                <w:rFonts w:ascii="Times New Roman" w:hAnsi="Times New Roman" w:cs="Times New Roman"/>
              </w:rPr>
            </w:pPr>
            <w:r>
              <w:rPr>
                <w:rFonts w:hint="eastAsia" w:ascii="Times New Roman" w:hAnsi="Times New Roman" w:cs="Times New Roman"/>
              </w:rPr>
              <w:t>B. Anxiety</w:t>
            </w:r>
          </w:p>
          <w:p w14:paraId="51257EB5">
            <w:pPr>
              <w:spacing w:after="0" w:line="240" w:lineRule="auto"/>
              <w:jc w:val="center"/>
              <w:rPr>
                <w:rFonts w:ascii="Times New Roman" w:hAnsi="Times New Roman" w:cs="Times New Roman"/>
              </w:rPr>
            </w:pPr>
            <w:r>
              <w:drawing>
                <wp:inline distT="0" distB="0" distL="0" distR="0">
                  <wp:extent cx="5062220" cy="3221355"/>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5091741" cy="3240301"/>
                          </a:xfrm>
                          <a:prstGeom prst="rect">
                            <a:avLst/>
                          </a:prstGeom>
                          <a:noFill/>
                          <a:ln>
                            <a:noFill/>
                          </a:ln>
                        </pic:spPr>
                      </pic:pic>
                    </a:graphicData>
                  </a:graphic>
                </wp:inline>
              </w:drawing>
            </w:r>
          </w:p>
        </w:tc>
      </w:tr>
      <w:tr w14:paraId="1187BC74">
        <w:tc>
          <w:tcPr>
            <w:tcW w:w="9016" w:type="dxa"/>
          </w:tcPr>
          <w:p w14:paraId="51A712C4">
            <w:pPr>
              <w:spacing w:after="0" w:line="240" w:lineRule="auto"/>
              <w:rPr>
                <w:rFonts w:hint="default" w:ascii="Times New Roman" w:hAnsi="Times New Roman" w:cs="Times New Roman"/>
                <w:sz w:val="18"/>
                <w:szCs w:val="18"/>
                <w:lang w:val="en-US"/>
              </w:rPr>
            </w:pPr>
            <w:r>
              <w:rPr>
                <w:rFonts w:ascii="Times New Roman" w:hAnsi="Times New Roman" w:cs="Times New Roman"/>
                <w:sz w:val="18"/>
                <w:szCs w:val="18"/>
              </w:rPr>
              <w:t>Note: Models were adjusted for matching factors, demographic and lifestyle factors, and obesity-related comorbidities.</w:t>
            </w:r>
            <w:r>
              <w:rPr>
                <w:rFonts w:hint="eastAsia" w:ascii="Times New Roman" w:hAnsi="Times New Roman" w:cs="Times New Roman"/>
                <w:sz w:val="18"/>
                <w:szCs w:val="18"/>
              </w:rPr>
              <w:t xml:space="preserve"> </w:t>
            </w:r>
            <w:r>
              <w:rPr>
                <w:rFonts w:ascii="Times New Roman" w:hAnsi="Times New Roman" w:cs="Times New Roman"/>
                <w:sz w:val="18"/>
                <w:szCs w:val="18"/>
              </w:rPr>
              <w:t>Adjusted hazard ratios (HRs) were derived by removing the original variable from the fully adjusted Cox model and replacing it with a dichotomous subgroup variable along with its interaction term with treatment. For example, the continuous age covariate was substituted with a binary version and its interaction with treatment. Age and body mass index were dichotomized using their median values.</w:t>
            </w:r>
            <w:r>
              <w:rPr>
                <w:rFonts w:hint="eastAsia" w:ascii="Times New Roman" w:hAnsi="Times New Roman" w:cs="Times New Roman"/>
                <w:sz w:val="18"/>
                <w:szCs w:val="18"/>
              </w:rPr>
              <w:t xml:space="preserve"> </w:t>
            </w:r>
            <w:r>
              <w:rPr>
                <w:rFonts w:ascii="Times New Roman" w:hAnsi="Times New Roman" w:cs="Times New Roman"/>
                <w:sz w:val="18"/>
                <w:szCs w:val="18"/>
              </w:rPr>
              <w:t>The association of surgery type (gastric bypass, sleeve gastrectomy, gastric banding</w:t>
            </w:r>
            <w:r>
              <w:rPr>
                <w:rFonts w:hint="eastAsia" w:ascii="Times New Roman" w:hAnsi="Times New Roman" w:cs="Times New Roman"/>
                <w:sz w:val="18"/>
                <w:szCs w:val="18"/>
              </w:rPr>
              <w:t>, or unspecified</w:t>
            </w:r>
            <w:r>
              <w:rPr>
                <w:rFonts w:ascii="Times New Roman" w:hAnsi="Times New Roman" w:cs="Times New Roman"/>
                <w:sz w:val="18"/>
                <w:szCs w:val="18"/>
              </w:rPr>
              <w:t>) with the outcomes was examined in separate matched comparisons.</w:t>
            </w:r>
            <w:r>
              <w:rPr>
                <w:rFonts w:hint="default" w:ascii="Times New Roman" w:hAnsi="Times New Roman" w:cs="Times New Roman"/>
                <w:sz w:val="18"/>
                <w:szCs w:val="18"/>
                <w:lang w:val="en-US"/>
              </w:rPr>
              <w:t xml:space="preserve"> HR: hazard ratio, CI: confidence interval</w:t>
            </w:r>
          </w:p>
        </w:tc>
      </w:tr>
    </w:tbl>
    <w:p w14:paraId="67D735C2">
      <w:pPr>
        <w:rPr>
          <w:rFonts w:ascii="Times New Roman" w:hAnsi="Times New Roman" w:cs="Times New Roman"/>
        </w:rPr>
      </w:pPr>
    </w:p>
    <w:p w14:paraId="329A857E">
      <w:pPr>
        <w:pStyle w:val="2"/>
        <w:rPr>
          <w:rFonts w:ascii="Times New Roman" w:hAnsi="Times New Roman" w:cs="Times New Roman"/>
          <w:b/>
          <w:bCs/>
          <w:color w:val="auto"/>
          <w:sz w:val="24"/>
          <w:szCs w:val="24"/>
        </w:rPr>
      </w:pPr>
      <w:bookmarkStart w:id="16" w:name="_Toc1138993578"/>
      <w:r>
        <w:rPr>
          <w:rFonts w:ascii="Times New Roman" w:hAnsi="Times New Roman" w:cs="Times New Roman"/>
          <w:b/>
          <w:bCs/>
          <w:color w:val="auto"/>
          <w:sz w:val="24"/>
          <w:szCs w:val="24"/>
        </w:rPr>
        <w:t xml:space="preserve">Figure </w:t>
      </w:r>
      <w:r>
        <w:rPr>
          <w:rFonts w:hint="eastAsia" w:ascii="Times New Roman" w:hAnsi="Times New Roman" w:cs="Times New Roman"/>
          <w:b/>
          <w:bCs/>
          <w:color w:val="auto"/>
          <w:sz w:val="24"/>
          <w:szCs w:val="24"/>
        </w:rPr>
        <w:t>S</w:t>
      </w:r>
      <w:r>
        <w:rPr>
          <w:rFonts w:ascii="Times New Roman" w:hAnsi="Times New Roman" w:cs="Times New Roman"/>
          <w:b/>
          <w:bCs/>
          <w:color w:val="auto"/>
          <w:sz w:val="24"/>
          <w:szCs w:val="24"/>
        </w:rPr>
        <w:t xml:space="preserve">4. Association of Bariatric Surgery </w:t>
      </w:r>
      <w:r>
        <w:rPr>
          <w:rFonts w:hint="eastAsia" w:ascii="Times New Roman" w:hAnsi="Times New Roman" w:cs="Times New Roman"/>
          <w:b/>
          <w:bCs/>
          <w:color w:val="auto"/>
          <w:sz w:val="24"/>
          <w:szCs w:val="24"/>
        </w:rPr>
        <w:t>w</w:t>
      </w:r>
      <w:r>
        <w:rPr>
          <w:rFonts w:ascii="Times New Roman" w:hAnsi="Times New Roman" w:cs="Times New Roman"/>
          <w:b/>
          <w:bCs/>
          <w:color w:val="auto"/>
          <w:sz w:val="24"/>
          <w:szCs w:val="24"/>
        </w:rPr>
        <w:t xml:space="preserve">ith Incidence of Depression and Anxiety Among Patients </w:t>
      </w:r>
      <w:r>
        <w:rPr>
          <w:rFonts w:hint="eastAsia" w:ascii="Times New Roman" w:hAnsi="Times New Roman" w:cs="Times New Roman"/>
          <w:b/>
          <w:bCs/>
          <w:color w:val="auto"/>
          <w:sz w:val="24"/>
          <w:szCs w:val="24"/>
        </w:rPr>
        <w:t>w</w:t>
      </w:r>
      <w:r>
        <w:rPr>
          <w:rFonts w:ascii="Times New Roman" w:hAnsi="Times New Roman" w:cs="Times New Roman"/>
          <w:b/>
          <w:bCs/>
          <w:color w:val="auto"/>
          <w:sz w:val="24"/>
          <w:szCs w:val="24"/>
        </w:rPr>
        <w:t>ith a Baseline BMI Record Within 3 Months Before the Index Date</w:t>
      </w:r>
      <w:bookmarkEnd w:id="16"/>
    </w:p>
    <w:tbl>
      <w:tblPr>
        <w:tblStyle w:val="1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16"/>
      </w:tblGrid>
      <w:tr w14:paraId="26DC144E">
        <w:tc>
          <w:tcPr>
            <w:tcW w:w="9016" w:type="dxa"/>
          </w:tcPr>
          <w:p w14:paraId="45077C72">
            <w:pPr>
              <w:spacing w:after="0" w:line="240" w:lineRule="auto"/>
              <w:rPr>
                <w:rFonts w:ascii="Times New Roman" w:hAnsi="Times New Roman" w:cs="Times New Roman"/>
              </w:rPr>
            </w:pPr>
            <w:r>
              <w:rPr>
                <w:rFonts w:hint="eastAsia" w:ascii="Times New Roman" w:hAnsi="Times New Roman" w:cs="Times New Roman"/>
              </w:rPr>
              <w:t>A. Depression</w:t>
            </w:r>
          </w:p>
          <w:p w14:paraId="73C9FC2C">
            <w:pPr>
              <w:spacing w:after="0" w:line="240" w:lineRule="auto"/>
              <w:jc w:val="center"/>
              <w:rPr>
                <w:rFonts w:ascii="Times New Roman" w:hAnsi="Times New Roman" w:cs="Times New Roman"/>
              </w:rPr>
            </w:pPr>
            <w:r>
              <w:rPr>
                <w:rFonts w:ascii="Times New Roman" w:hAnsi="Times New Roman" w:cs="Times New Roman"/>
              </w:rPr>
              <w:drawing>
                <wp:inline distT="0" distB="0" distL="0" distR="0">
                  <wp:extent cx="5184140" cy="3298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223559" cy="3324188"/>
                          </a:xfrm>
                          <a:prstGeom prst="rect">
                            <a:avLst/>
                          </a:prstGeom>
                          <a:noFill/>
                          <a:ln>
                            <a:noFill/>
                          </a:ln>
                        </pic:spPr>
                      </pic:pic>
                    </a:graphicData>
                  </a:graphic>
                </wp:inline>
              </w:drawing>
            </w:r>
          </w:p>
        </w:tc>
      </w:tr>
      <w:tr w14:paraId="7CE7959C">
        <w:tc>
          <w:tcPr>
            <w:tcW w:w="9016" w:type="dxa"/>
          </w:tcPr>
          <w:p w14:paraId="2908D2BF">
            <w:pPr>
              <w:spacing w:after="0" w:line="240" w:lineRule="auto"/>
              <w:rPr>
                <w:rFonts w:ascii="Times New Roman" w:hAnsi="Times New Roman" w:cs="Times New Roman"/>
              </w:rPr>
            </w:pPr>
            <w:r>
              <w:rPr>
                <w:rFonts w:hint="eastAsia" w:ascii="Times New Roman" w:hAnsi="Times New Roman" w:cs="Times New Roman"/>
              </w:rPr>
              <w:t>B. Anxiety</w:t>
            </w:r>
          </w:p>
          <w:p w14:paraId="6403B299">
            <w:pPr>
              <w:spacing w:after="0" w:line="240" w:lineRule="auto"/>
              <w:jc w:val="center"/>
              <w:rPr>
                <w:rFonts w:ascii="Times New Roman" w:hAnsi="Times New Roman" w:cs="Times New Roman"/>
              </w:rPr>
            </w:pPr>
            <w:r>
              <w:drawing>
                <wp:inline distT="0" distB="0" distL="0" distR="0">
                  <wp:extent cx="5312410" cy="338074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321332" cy="3386410"/>
                          </a:xfrm>
                          <a:prstGeom prst="rect">
                            <a:avLst/>
                          </a:prstGeom>
                          <a:noFill/>
                          <a:ln>
                            <a:noFill/>
                          </a:ln>
                        </pic:spPr>
                      </pic:pic>
                    </a:graphicData>
                  </a:graphic>
                </wp:inline>
              </w:drawing>
            </w:r>
          </w:p>
        </w:tc>
      </w:tr>
      <w:tr w14:paraId="10B71FF0">
        <w:tc>
          <w:tcPr>
            <w:tcW w:w="9016" w:type="dxa"/>
          </w:tcPr>
          <w:p w14:paraId="5B636F71">
            <w:pPr>
              <w:spacing w:after="0" w:line="240" w:lineRule="auto"/>
              <w:rPr>
                <w:rFonts w:hint="default" w:ascii="Times New Roman" w:hAnsi="Times New Roman" w:cs="Times New Roman"/>
                <w:sz w:val="18"/>
                <w:szCs w:val="18"/>
                <w:lang w:val="en-US"/>
              </w:rPr>
            </w:pPr>
            <w:r>
              <w:rPr>
                <w:rFonts w:ascii="Times New Roman" w:hAnsi="Times New Roman" w:cs="Times New Roman"/>
                <w:sz w:val="18"/>
                <w:szCs w:val="18"/>
              </w:rPr>
              <w:t>Note: Models were adjusted for matching factors, demographic and lifestyle factors, and obesity-related comorbidities.</w:t>
            </w:r>
            <w:r>
              <w:rPr>
                <w:rFonts w:hint="eastAsia" w:ascii="Times New Roman" w:hAnsi="Times New Roman" w:cs="Times New Roman"/>
                <w:sz w:val="18"/>
                <w:szCs w:val="18"/>
              </w:rPr>
              <w:t xml:space="preserve"> </w:t>
            </w:r>
            <w:r>
              <w:rPr>
                <w:rFonts w:ascii="Times New Roman" w:hAnsi="Times New Roman" w:cs="Times New Roman"/>
                <w:sz w:val="18"/>
                <w:szCs w:val="18"/>
              </w:rPr>
              <w:t>Adjusted hazard ratios (HRs) were derived by removing the original variable from the fully adjusted Cox model and replacing it with a dichotomous subgroup variable along with its interaction term with treatment. For example, the continuous age covariate was substituted with a binary version and its interaction with treatment. Age and body mass index were dichotomized using their median values.</w:t>
            </w:r>
            <w:r>
              <w:rPr>
                <w:rFonts w:hint="eastAsia" w:ascii="Times New Roman" w:hAnsi="Times New Roman" w:cs="Times New Roman"/>
                <w:sz w:val="18"/>
                <w:szCs w:val="18"/>
              </w:rPr>
              <w:t xml:space="preserve"> </w:t>
            </w:r>
            <w:r>
              <w:rPr>
                <w:rFonts w:ascii="Times New Roman" w:hAnsi="Times New Roman" w:cs="Times New Roman"/>
                <w:sz w:val="18"/>
                <w:szCs w:val="18"/>
              </w:rPr>
              <w:t>The association of surgery type (gastric bypass, sleeve gastrectomy, gastric banding</w:t>
            </w:r>
            <w:r>
              <w:rPr>
                <w:rFonts w:hint="eastAsia" w:ascii="Times New Roman" w:hAnsi="Times New Roman" w:cs="Times New Roman"/>
                <w:sz w:val="18"/>
                <w:szCs w:val="18"/>
              </w:rPr>
              <w:t>, or unspecified</w:t>
            </w:r>
            <w:r>
              <w:rPr>
                <w:rFonts w:ascii="Times New Roman" w:hAnsi="Times New Roman" w:cs="Times New Roman"/>
                <w:sz w:val="18"/>
                <w:szCs w:val="18"/>
              </w:rPr>
              <w:t>) with the outcomes was examined in separate matched comparisons.</w:t>
            </w:r>
            <w:r>
              <w:rPr>
                <w:rFonts w:hint="default" w:ascii="Times New Roman" w:hAnsi="Times New Roman" w:cs="Times New Roman"/>
                <w:sz w:val="18"/>
                <w:szCs w:val="18"/>
                <w:lang w:val="en-US"/>
              </w:rPr>
              <w:t xml:space="preserve"> HR: hazard ratio, CI: confidence interval</w:t>
            </w:r>
          </w:p>
        </w:tc>
      </w:tr>
    </w:tbl>
    <w:p w14:paraId="5DF79DB3">
      <w:pPr>
        <w:rPr>
          <w:rFonts w:ascii="Times New Roman" w:hAnsi="Times New Roman" w:cs="Times New Roman"/>
        </w:rPr>
      </w:pPr>
    </w:p>
    <w:sectPr>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Aptos">
    <w:altName w:val="苹方-简"/>
    <w:panose1 w:val="00000000000000000000"/>
    <w:charset w:val="00"/>
    <w:family w:val="swiss"/>
    <w:pitch w:val="default"/>
    <w:sig w:usb0="00000000" w:usb1="00000000" w:usb2="00000000" w:usb3="00000000" w:csb0="0000019F" w:csb1="00000000"/>
  </w:font>
  <w:font w:name="等线">
    <w:altName w:val="汉仪中等线KW"/>
    <w:panose1 w:val="00000000000000000000"/>
    <w:charset w:val="86"/>
    <w:family w:val="auto"/>
    <w:pitch w:val="default"/>
    <w:sig w:usb0="00000000" w:usb1="00000000" w:usb2="00000000" w:usb3="00000000" w:csb0="00000000" w:csb1="00000000"/>
  </w:font>
  <w:font w:name="Aptos Display">
    <w:altName w:val="苹方-简"/>
    <w:panose1 w:val="00000000000000000000"/>
    <w:charset w:val="00"/>
    <w:family w:val="swiss"/>
    <w:pitch w:val="default"/>
    <w:sig w:usb0="00000000" w:usb1="00000000" w:usb2="00000000" w:usb3="00000000" w:csb0="0000019F" w:csb1="00000000"/>
  </w:font>
  <w:font w:name="等线 Light">
    <w:altName w:val="汉仪中等线KW"/>
    <w:panose1 w:val="00000000000000000000"/>
    <w:charset w:val="00"/>
    <w:family w:val="auto"/>
    <w:pitch w:val="default"/>
    <w:sig w:usb0="00000000" w:usb1="00000000" w:usb2="00000000" w:usb3="00000000" w:csb0="00000000"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 w:name="Cambria Math">
    <w:altName w:val="Kingsoft Math"/>
    <w:panose1 w:val="02040503050406030204"/>
    <w:charset w:val="00"/>
    <w:family w:val="roman"/>
    <w:pitch w:val="default"/>
    <w:sig w:usb0="00000000" w:usb1="00000000" w:usb2="02000000" w:usb3="00000000" w:csb0="0000019F" w:csb1="00000000"/>
  </w:font>
  <w:font w:name="汉仪书宋二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Kingsoft Math">
    <w:panose1 w:val="02040503050406030204"/>
    <w:charset w:val="00"/>
    <w:family w:val="auto"/>
    <w:pitch w:val="default"/>
    <w:sig w:usb0="80000087" w:usb1="00002068" w:usb2="00000000" w:usb3="00000000" w:csb0="2000019F" w:csb1="00000000"/>
  </w:font>
  <w:font w:name="DejaVu Math TeX Gyre">
    <w:panose1 w:val="02000503000000000000"/>
    <w:charset w:val="00"/>
    <w:family w:val="auto"/>
    <w:pitch w:val="default"/>
    <w:sig w:usb0="A10000EF" w:usb1="4201F9EE" w:usb2="02000000" w:usb3="00000000" w:csb0="60000193" w:csb1="0DD4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I2Mjk0MGQ1Nzk0NzBhMzgzN2NlOTg5Y2M2MWJiMjUifQ=="/>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f0fsdwpy29vr1ef5frvpraa5s92dadfv2e2&quot;&gt;WP3 references&lt;record-ids&gt;&lt;item&gt;101&lt;/item&gt;&lt;/record-ids&gt;&lt;/item&gt;&lt;/Libraries&gt;"/>
  </w:docVars>
  <w:rsids>
    <w:rsidRoot w:val="00643F50"/>
    <w:rsid w:val="000029C1"/>
    <w:rsid w:val="000064E2"/>
    <w:rsid w:val="0002682B"/>
    <w:rsid w:val="00032CC3"/>
    <w:rsid w:val="00066587"/>
    <w:rsid w:val="00080DD6"/>
    <w:rsid w:val="00080F69"/>
    <w:rsid w:val="000B6186"/>
    <w:rsid w:val="000B6F3F"/>
    <w:rsid w:val="000C2885"/>
    <w:rsid w:val="000F0286"/>
    <w:rsid w:val="001150A8"/>
    <w:rsid w:val="00124B71"/>
    <w:rsid w:val="00126DA6"/>
    <w:rsid w:val="00164711"/>
    <w:rsid w:val="00183305"/>
    <w:rsid w:val="001A2185"/>
    <w:rsid w:val="001A6B06"/>
    <w:rsid w:val="001C1B08"/>
    <w:rsid w:val="001E4361"/>
    <w:rsid w:val="001F15EE"/>
    <w:rsid w:val="001F2B26"/>
    <w:rsid w:val="001F7429"/>
    <w:rsid w:val="00211A0C"/>
    <w:rsid w:val="0021440F"/>
    <w:rsid w:val="00222A5F"/>
    <w:rsid w:val="00243E84"/>
    <w:rsid w:val="00251444"/>
    <w:rsid w:val="00260B98"/>
    <w:rsid w:val="002812F1"/>
    <w:rsid w:val="00290B67"/>
    <w:rsid w:val="002A4799"/>
    <w:rsid w:val="002B051E"/>
    <w:rsid w:val="002C5AE9"/>
    <w:rsid w:val="002C6BDB"/>
    <w:rsid w:val="002E4DA3"/>
    <w:rsid w:val="002E7BF9"/>
    <w:rsid w:val="00304397"/>
    <w:rsid w:val="00304DA4"/>
    <w:rsid w:val="0030638D"/>
    <w:rsid w:val="003140E6"/>
    <w:rsid w:val="00346557"/>
    <w:rsid w:val="0035782F"/>
    <w:rsid w:val="003608A1"/>
    <w:rsid w:val="00361BD2"/>
    <w:rsid w:val="0036439B"/>
    <w:rsid w:val="00380CFA"/>
    <w:rsid w:val="00384BB4"/>
    <w:rsid w:val="003F0817"/>
    <w:rsid w:val="004145AB"/>
    <w:rsid w:val="004249F8"/>
    <w:rsid w:val="004448E4"/>
    <w:rsid w:val="0047278D"/>
    <w:rsid w:val="0054655B"/>
    <w:rsid w:val="00570432"/>
    <w:rsid w:val="005875B9"/>
    <w:rsid w:val="005C2BF9"/>
    <w:rsid w:val="005C61CB"/>
    <w:rsid w:val="006017B4"/>
    <w:rsid w:val="00604272"/>
    <w:rsid w:val="00610341"/>
    <w:rsid w:val="0061144F"/>
    <w:rsid w:val="006347A9"/>
    <w:rsid w:val="00643F50"/>
    <w:rsid w:val="00660FA2"/>
    <w:rsid w:val="00671860"/>
    <w:rsid w:val="00673D8A"/>
    <w:rsid w:val="00675410"/>
    <w:rsid w:val="006E3181"/>
    <w:rsid w:val="006F07BD"/>
    <w:rsid w:val="007351EB"/>
    <w:rsid w:val="00776DE5"/>
    <w:rsid w:val="007A1256"/>
    <w:rsid w:val="007E00DA"/>
    <w:rsid w:val="00813F94"/>
    <w:rsid w:val="0081513B"/>
    <w:rsid w:val="00816732"/>
    <w:rsid w:val="00825E25"/>
    <w:rsid w:val="00841A91"/>
    <w:rsid w:val="00841ED2"/>
    <w:rsid w:val="00847884"/>
    <w:rsid w:val="00851C4D"/>
    <w:rsid w:val="00851D54"/>
    <w:rsid w:val="00860416"/>
    <w:rsid w:val="008840BA"/>
    <w:rsid w:val="008959F6"/>
    <w:rsid w:val="008B116E"/>
    <w:rsid w:val="008D03B7"/>
    <w:rsid w:val="008E4F3F"/>
    <w:rsid w:val="008F08B8"/>
    <w:rsid w:val="00907FEF"/>
    <w:rsid w:val="00915FF8"/>
    <w:rsid w:val="009371BD"/>
    <w:rsid w:val="00943446"/>
    <w:rsid w:val="00950CC7"/>
    <w:rsid w:val="009551A5"/>
    <w:rsid w:val="009560EC"/>
    <w:rsid w:val="00975986"/>
    <w:rsid w:val="00980D9F"/>
    <w:rsid w:val="009B45EA"/>
    <w:rsid w:val="009B5A07"/>
    <w:rsid w:val="009C4B89"/>
    <w:rsid w:val="009C523D"/>
    <w:rsid w:val="009D4A71"/>
    <w:rsid w:val="009E3361"/>
    <w:rsid w:val="009E4BA2"/>
    <w:rsid w:val="009F5FCE"/>
    <w:rsid w:val="00A03985"/>
    <w:rsid w:val="00A14C4C"/>
    <w:rsid w:val="00A20812"/>
    <w:rsid w:val="00A215C4"/>
    <w:rsid w:val="00A55932"/>
    <w:rsid w:val="00AA5867"/>
    <w:rsid w:val="00AC5141"/>
    <w:rsid w:val="00AC6127"/>
    <w:rsid w:val="00AD0676"/>
    <w:rsid w:val="00B11CF4"/>
    <w:rsid w:val="00B12A97"/>
    <w:rsid w:val="00B22EB4"/>
    <w:rsid w:val="00B42E97"/>
    <w:rsid w:val="00B44CC7"/>
    <w:rsid w:val="00B477B6"/>
    <w:rsid w:val="00B50DB8"/>
    <w:rsid w:val="00B612AB"/>
    <w:rsid w:val="00B8407F"/>
    <w:rsid w:val="00B95CD9"/>
    <w:rsid w:val="00BB4C9D"/>
    <w:rsid w:val="00C110EC"/>
    <w:rsid w:val="00C16D6F"/>
    <w:rsid w:val="00C305ED"/>
    <w:rsid w:val="00C31FCE"/>
    <w:rsid w:val="00C40C05"/>
    <w:rsid w:val="00C6287D"/>
    <w:rsid w:val="00C678B1"/>
    <w:rsid w:val="00C70CAC"/>
    <w:rsid w:val="00CA277E"/>
    <w:rsid w:val="00CA5517"/>
    <w:rsid w:val="00CB49E2"/>
    <w:rsid w:val="00CB7E67"/>
    <w:rsid w:val="00CD35AC"/>
    <w:rsid w:val="00CE5BB9"/>
    <w:rsid w:val="00CF3DC9"/>
    <w:rsid w:val="00CF3F84"/>
    <w:rsid w:val="00D21853"/>
    <w:rsid w:val="00D22354"/>
    <w:rsid w:val="00D603C6"/>
    <w:rsid w:val="00D721E6"/>
    <w:rsid w:val="00D95AA3"/>
    <w:rsid w:val="00DA4E74"/>
    <w:rsid w:val="00DC0A9C"/>
    <w:rsid w:val="00DC7BC8"/>
    <w:rsid w:val="00DD745A"/>
    <w:rsid w:val="00E10A43"/>
    <w:rsid w:val="00E238CC"/>
    <w:rsid w:val="00E55C3E"/>
    <w:rsid w:val="00E6522E"/>
    <w:rsid w:val="00E75BD6"/>
    <w:rsid w:val="00E81FD8"/>
    <w:rsid w:val="00EA4FCF"/>
    <w:rsid w:val="00EB793F"/>
    <w:rsid w:val="00EC0342"/>
    <w:rsid w:val="00EC7EA8"/>
    <w:rsid w:val="00EF0491"/>
    <w:rsid w:val="00F01A7D"/>
    <w:rsid w:val="00F2193C"/>
    <w:rsid w:val="00F45791"/>
    <w:rsid w:val="00F54316"/>
    <w:rsid w:val="00F54D39"/>
    <w:rsid w:val="00F558C1"/>
    <w:rsid w:val="00FE39D9"/>
    <w:rsid w:val="00FF1540"/>
    <w:rsid w:val="0AEBC395"/>
    <w:rsid w:val="121C68E8"/>
    <w:rsid w:val="12F893EF"/>
    <w:rsid w:val="44EF6876"/>
    <w:rsid w:val="46D5D383"/>
    <w:rsid w:val="4C370FE7"/>
    <w:rsid w:val="5EFB0944"/>
    <w:rsid w:val="6BFA544B"/>
    <w:rsid w:val="6F57BB73"/>
    <w:rsid w:val="79390BC8"/>
    <w:rsid w:val="DFBF6D38"/>
    <w:rsid w:val="EFFBEBD7"/>
    <w:rsid w:val="FF5560D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EastAsia" w:cstheme="minorBidi"/>
      <w:kern w:val="2"/>
      <w:sz w:val="24"/>
      <w:szCs w:val="24"/>
      <w:lang w:val="en-GB" w:eastAsia="zh-CN" w:bidi="ar-SA"/>
      <w14:ligatures w14:val="standardContextual"/>
    </w:rPr>
  </w:style>
  <w:style w:type="paragraph" w:styleId="2">
    <w:name w:val="heading 1"/>
    <w:basedOn w:val="1"/>
    <w:next w:val="1"/>
    <w:link w:val="23"/>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5"/>
    <w:semiHidden/>
    <w:unhideWhenUsed/>
    <w:qFormat/>
    <w:uiPriority w:val="9"/>
    <w:pPr>
      <w:keepNext/>
      <w:keepLines/>
      <w:spacing w:before="160" w:after="80"/>
      <w:outlineLvl w:val="2"/>
    </w:pPr>
    <w:rPr>
      <w:rFonts w:eastAsiaTheme="majorEastAsia" w:cstheme="majorBidi"/>
      <w:color w:val="104862" w:themeColor="accent1" w:themeShade="BF"/>
      <w:sz w:val="28"/>
      <w:szCs w:val="28"/>
    </w:rPr>
  </w:style>
  <w:style w:type="paragraph" w:styleId="5">
    <w:name w:val="heading 4"/>
    <w:basedOn w:val="1"/>
    <w:next w:val="1"/>
    <w:link w:val="26"/>
    <w:semiHidden/>
    <w:unhideWhenUsed/>
    <w:qFormat/>
    <w:uiPriority w:val="9"/>
    <w:pPr>
      <w:keepNext/>
      <w:keepLines/>
      <w:spacing w:before="80" w:after="40"/>
      <w:outlineLvl w:val="3"/>
    </w:pPr>
    <w:rPr>
      <w:rFonts w:eastAsiaTheme="majorEastAsia" w:cstheme="majorBidi"/>
      <w:i/>
      <w:iCs/>
      <w:color w:val="104862" w:themeColor="accent1" w:themeShade="BF"/>
    </w:rPr>
  </w:style>
  <w:style w:type="paragraph" w:styleId="6">
    <w:name w:val="heading 5"/>
    <w:basedOn w:val="1"/>
    <w:next w:val="1"/>
    <w:link w:val="27"/>
    <w:semiHidden/>
    <w:unhideWhenUsed/>
    <w:qFormat/>
    <w:uiPriority w:val="9"/>
    <w:pPr>
      <w:keepNext/>
      <w:keepLines/>
      <w:spacing w:before="80" w:after="40"/>
      <w:outlineLvl w:val="4"/>
    </w:pPr>
    <w:rPr>
      <w:rFonts w:eastAsiaTheme="majorEastAsia" w:cstheme="majorBidi"/>
      <w:color w:val="104862" w:themeColor="accent1" w:themeShade="BF"/>
    </w:rPr>
  </w:style>
  <w:style w:type="paragraph" w:styleId="7">
    <w:name w:val="heading 6"/>
    <w:basedOn w:val="1"/>
    <w:next w:val="1"/>
    <w:link w:val="28"/>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9"/>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31"/>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42"/>
    <w:unhideWhenUsed/>
    <w:uiPriority w:val="99"/>
    <w:pPr>
      <w:spacing w:line="240" w:lineRule="auto"/>
    </w:pPr>
    <w:rPr>
      <w:sz w:val="20"/>
      <w:szCs w:val="20"/>
    </w:rPr>
  </w:style>
  <w:style w:type="paragraph" w:styleId="12">
    <w:name w:val="footer"/>
    <w:basedOn w:val="1"/>
    <w:link w:val="49"/>
    <w:unhideWhenUsed/>
    <w:uiPriority w:val="99"/>
    <w:pPr>
      <w:tabs>
        <w:tab w:val="center" w:pos="4513"/>
        <w:tab w:val="right" w:pos="9026"/>
      </w:tabs>
      <w:spacing w:after="0" w:line="240" w:lineRule="auto"/>
    </w:pPr>
  </w:style>
  <w:style w:type="paragraph" w:styleId="13">
    <w:name w:val="header"/>
    <w:basedOn w:val="1"/>
    <w:link w:val="48"/>
    <w:unhideWhenUsed/>
    <w:uiPriority w:val="99"/>
    <w:pPr>
      <w:tabs>
        <w:tab w:val="center" w:pos="4513"/>
        <w:tab w:val="right" w:pos="9026"/>
      </w:tabs>
      <w:spacing w:after="0" w:line="240" w:lineRule="auto"/>
    </w:pPr>
  </w:style>
  <w:style w:type="paragraph" w:styleId="14">
    <w:name w:val="toc 1"/>
    <w:basedOn w:val="1"/>
    <w:next w:val="1"/>
    <w:autoRedefine/>
    <w:unhideWhenUsed/>
    <w:uiPriority w:val="39"/>
    <w:pPr>
      <w:spacing w:after="100"/>
    </w:pPr>
  </w:style>
  <w:style w:type="paragraph" w:styleId="15">
    <w:name w:val="Subtitle"/>
    <w:basedOn w:val="1"/>
    <w:next w:val="1"/>
    <w:link w:val="33"/>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32"/>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7">
    <w:name w:val="annotation subject"/>
    <w:basedOn w:val="11"/>
    <w:next w:val="11"/>
    <w:link w:val="50"/>
    <w:semiHidden/>
    <w:unhideWhenUsed/>
    <w:uiPriority w:val="99"/>
    <w:rPr>
      <w:b/>
      <w:bCs/>
    </w:rPr>
  </w:style>
  <w:style w:type="table" w:styleId="19">
    <w:name w:val="Table Grid"/>
    <w:basedOn w:val="18"/>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unhideWhenUsed/>
    <w:uiPriority w:val="99"/>
    <w:rPr>
      <w:color w:val="467886" w:themeColor="hyperlink"/>
      <w:u w:val="single"/>
      <w14:textFill>
        <w14:solidFill>
          <w14:schemeClr w14:val="hlink"/>
        </w14:solidFill>
      </w14:textFill>
    </w:rPr>
  </w:style>
  <w:style w:type="character" w:styleId="22">
    <w:name w:val="annotation reference"/>
    <w:basedOn w:val="20"/>
    <w:semiHidden/>
    <w:unhideWhenUsed/>
    <w:uiPriority w:val="99"/>
    <w:rPr>
      <w:sz w:val="16"/>
      <w:szCs w:val="16"/>
    </w:rPr>
  </w:style>
  <w:style w:type="character" w:customStyle="1" w:styleId="23">
    <w:name w:val="Heading 1 Char"/>
    <w:basedOn w:val="20"/>
    <w:link w:val="2"/>
    <w:uiPriority w:val="9"/>
    <w:rPr>
      <w:rFonts w:asciiTheme="majorHAnsi" w:hAnsiTheme="majorHAnsi" w:eastAsiaTheme="majorEastAsia" w:cstheme="majorBidi"/>
      <w:color w:val="104862" w:themeColor="accent1" w:themeShade="BF"/>
      <w:sz w:val="40"/>
      <w:szCs w:val="40"/>
    </w:rPr>
  </w:style>
  <w:style w:type="character" w:customStyle="1" w:styleId="24">
    <w:name w:val="Heading 2 Char"/>
    <w:basedOn w:val="20"/>
    <w:link w:val="3"/>
    <w:semiHidden/>
    <w:uiPriority w:val="9"/>
    <w:rPr>
      <w:rFonts w:asciiTheme="majorHAnsi" w:hAnsiTheme="majorHAnsi" w:eastAsiaTheme="majorEastAsia" w:cstheme="majorBidi"/>
      <w:color w:val="104862" w:themeColor="accent1" w:themeShade="BF"/>
      <w:sz w:val="32"/>
      <w:szCs w:val="32"/>
    </w:rPr>
  </w:style>
  <w:style w:type="character" w:customStyle="1" w:styleId="25">
    <w:name w:val="Heading 3 Char"/>
    <w:basedOn w:val="20"/>
    <w:link w:val="4"/>
    <w:semiHidden/>
    <w:uiPriority w:val="9"/>
    <w:rPr>
      <w:rFonts w:eastAsiaTheme="majorEastAsia" w:cstheme="majorBidi"/>
      <w:color w:val="104862" w:themeColor="accent1" w:themeShade="BF"/>
      <w:sz w:val="28"/>
      <w:szCs w:val="28"/>
    </w:rPr>
  </w:style>
  <w:style w:type="character" w:customStyle="1" w:styleId="26">
    <w:name w:val="Heading 4 Char"/>
    <w:basedOn w:val="20"/>
    <w:link w:val="5"/>
    <w:semiHidden/>
    <w:uiPriority w:val="9"/>
    <w:rPr>
      <w:rFonts w:eastAsiaTheme="majorEastAsia" w:cstheme="majorBidi"/>
      <w:i/>
      <w:iCs/>
      <w:color w:val="104862" w:themeColor="accent1" w:themeShade="BF"/>
    </w:rPr>
  </w:style>
  <w:style w:type="character" w:customStyle="1" w:styleId="27">
    <w:name w:val="Heading 5 Char"/>
    <w:basedOn w:val="20"/>
    <w:link w:val="6"/>
    <w:semiHidden/>
    <w:uiPriority w:val="9"/>
    <w:rPr>
      <w:rFonts w:eastAsiaTheme="majorEastAsia" w:cstheme="majorBidi"/>
      <w:color w:val="104862" w:themeColor="accent1" w:themeShade="BF"/>
    </w:rPr>
  </w:style>
  <w:style w:type="character" w:customStyle="1" w:styleId="28">
    <w:name w:val="Heading 6 Char"/>
    <w:basedOn w:val="20"/>
    <w:link w:val="7"/>
    <w:semiHidden/>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9">
    <w:name w:val="Heading 7 Char"/>
    <w:basedOn w:val="20"/>
    <w:link w:val="8"/>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Heading 8 Char"/>
    <w:basedOn w:val="20"/>
    <w:link w:val="9"/>
    <w:semiHidden/>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31">
    <w:name w:val="Heading 9 Char"/>
    <w:basedOn w:val="20"/>
    <w:link w:val="10"/>
    <w:semiHidden/>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2">
    <w:name w:val="Title Char"/>
    <w:basedOn w:val="20"/>
    <w:link w:val="16"/>
    <w:uiPriority w:val="10"/>
    <w:rPr>
      <w:rFonts w:asciiTheme="majorHAnsi" w:hAnsiTheme="majorHAnsi" w:eastAsiaTheme="majorEastAsia" w:cstheme="majorBidi"/>
      <w:spacing w:val="-10"/>
      <w:kern w:val="28"/>
      <w:sz w:val="56"/>
      <w:szCs w:val="56"/>
    </w:rPr>
  </w:style>
  <w:style w:type="character" w:customStyle="1" w:styleId="33">
    <w:name w:val="Subtitle Char"/>
    <w:basedOn w:val="20"/>
    <w:link w:val="15"/>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Quote Char"/>
    <w:basedOn w:val="20"/>
    <w:link w:val="34"/>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Intense Emphasis"/>
    <w:basedOn w:val="20"/>
    <w:qFormat/>
    <w:uiPriority w:val="21"/>
    <w:rPr>
      <w:i/>
      <w:iCs/>
      <w:color w:val="104862" w:themeColor="accent1" w:themeShade="BF"/>
    </w:rPr>
  </w:style>
  <w:style w:type="paragraph" w:styleId="38">
    <w:name w:val="Intense Quote"/>
    <w:basedOn w:val="1"/>
    <w:next w:val="1"/>
    <w:link w:val="39"/>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9">
    <w:name w:val="Intense Quote Char"/>
    <w:basedOn w:val="20"/>
    <w:link w:val="38"/>
    <w:uiPriority w:val="30"/>
    <w:rPr>
      <w:i/>
      <w:iCs/>
      <w:color w:val="104862" w:themeColor="accent1" w:themeShade="BF"/>
    </w:rPr>
  </w:style>
  <w:style w:type="character" w:customStyle="1" w:styleId="40">
    <w:name w:val="Intense Reference"/>
    <w:basedOn w:val="20"/>
    <w:qFormat/>
    <w:uiPriority w:val="32"/>
    <w:rPr>
      <w:b/>
      <w:bCs/>
      <w:smallCaps/>
      <w:color w:val="104862" w:themeColor="accent1" w:themeShade="BF"/>
      <w:spacing w:val="5"/>
    </w:rPr>
  </w:style>
  <w:style w:type="paragraph" w:customStyle="1" w:styleId="41">
    <w:name w:val="TOC Heading"/>
    <w:basedOn w:val="2"/>
    <w:next w:val="1"/>
    <w:unhideWhenUsed/>
    <w:qFormat/>
    <w:uiPriority w:val="39"/>
    <w:pPr>
      <w:spacing w:before="240" w:after="0" w:line="259" w:lineRule="auto"/>
      <w:outlineLvl w:val="9"/>
    </w:pPr>
    <w:rPr>
      <w:kern w:val="0"/>
      <w:sz w:val="32"/>
      <w:szCs w:val="32"/>
      <w14:ligatures w14:val="none"/>
    </w:rPr>
  </w:style>
  <w:style w:type="character" w:customStyle="1" w:styleId="42">
    <w:name w:val="Comment Text Char"/>
    <w:basedOn w:val="20"/>
    <w:link w:val="11"/>
    <w:uiPriority w:val="99"/>
    <w:rPr>
      <w:sz w:val="20"/>
      <w:szCs w:val="20"/>
    </w:rPr>
  </w:style>
  <w:style w:type="paragraph" w:customStyle="1" w:styleId="43">
    <w:name w:val="Revision"/>
    <w:hidden/>
    <w:semiHidden/>
    <w:uiPriority w:val="99"/>
    <w:pPr>
      <w:spacing w:after="0" w:line="240" w:lineRule="auto"/>
    </w:pPr>
    <w:rPr>
      <w:rFonts w:asciiTheme="minorHAnsi" w:hAnsiTheme="minorHAnsi" w:eastAsiaTheme="minorEastAsia" w:cstheme="minorBidi"/>
      <w:kern w:val="2"/>
      <w:sz w:val="24"/>
      <w:szCs w:val="24"/>
      <w:lang w:val="en-GB" w:eastAsia="zh-CN" w:bidi="ar-SA"/>
      <w14:ligatures w14:val="standardContextual"/>
    </w:rPr>
  </w:style>
  <w:style w:type="paragraph" w:customStyle="1" w:styleId="44">
    <w:name w:val="EndNote Bibliography Title"/>
    <w:basedOn w:val="1"/>
    <w:link w:val="45"/>
    <w:uiPriority w:val="0"/>
    <w:pPr>
      <w:spacing w:after="0"/>
      <w:jc w:val="center"/>
    </w:pPr>
    <w:rPr>
      <w:rFonts w:ascii="Aptos" w:hAnsi="Aptos"/>
    </w:rPr>
  </w:style>
  <w:style w:type="character" w:customStyle="1" w:styleId="45">
    <w:name w:val="EndNote Bibliography Title Char"/>
    <w:basedOn w:val="20"/>
    <w:link w:val="44"/>
    <w:uiPriority w:val="0"/>
    <w:rPr>
      <w:rFonts w:ascii="Aptos" w:hAnsi="Aptos"/>
    </w:rPr>
  </w:style>
  <w:style w:type="paragraph" w:customStyle="1" w:styleId="46">
    <w:name w:val="EndNote Bibliography"/>
    <w:basedOn w:val="1"/>
    <w:link w:val="47"/>
    <w:uiPriority w:val="0"/>
    <w:pPr>
      <w:spacing w:line="240" w:lineRule="auto"/>
    </w:pPr>
    <w:rPr>
      <w:rFonts w:ascii="Aptos" w:hAnsi="Aptos"/>
    </w:rPr>
  </w:style>
  <w:style w:type="character" w:customStyle="1" w:styleId="47">
    <w:name w:val="EndNote Bibliography Char"/>
    <w:basedOn w:val="20"/>
    <w:link w:val="46"/>
    <w:uiPriority w:val="0"/>
    <w:rPr>
      <w:rFonts w:ascii="Aptos" w:hAnsi="Aptos"/>
    </w:rPr>
  </w:style>
  <w:style w:type="character" w:customStyle="1" w:styleId="48">
    <w:name w:val="Header Char"/>
    <w:basedOn w:val="20"/>
    <w:link w:val="13"/>
    <w:uiPriority w:val="99"/>
  </w:style>
  <w:style w:type="character" w:customStyle="1" w:styleId="49">
    <w:name w:val="Footer Char"/>
    <w:basedOn w:val="20"/>
    <w:link w:val="12"/>
    <w:uiPriority w:val="99"/>
  </w:style>
  <w:style w:type="character" w:customStyle="1" w:styleId="50">
    <w:name w:val="Comment Subject Char"/>
    <w:basedOn w:val="42"/>
    <w:link w:val="17"/>
    <w:semiHidden/>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Medical Sciences - University of Oxford</Company>
  <Pages>16</Pages>
  <Words>1551</Words>
  <Characters>9075</Characters>
  <Lines>477</Lines>
  <Paragraphs>332</Paragraphs>
  <TotalTime>3</TotalTime>
  <ScaleCrop>false</ScaleCrop>
  <LinksUpToDate>false</LinksUpToDate>
  <CharactersWithSpaces>10294</CharactersWithSpaces>
  <Application>WPS Office_6.11.0.8885_F1E327BC-269C-435d-A152-05C5408002CA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2025-07-25T06:56:00Z</dcterms:created>
  <dc:creator>Xiaochen Yang</dc:creator>
  <cp:lastModifiedBy>Melody</cp:lastModifiedBy>
  <dcterms:modified xsi:type="dcterms:W3CDTF">2026-04-29T16:25:42Z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44602ed1-107b-4baa-8bb9-d886bfdc733b</vt:lpwstr>
  </property>
  <property fmtid="{D5CDD505-2E9C-101B-9397-08002B2CF9AE}" pid="3" name="KSOProductBuildVer">
    <vt:lpwstr>2052-6.11.0.8885</vt:lpwstr>
  </property>
  <property fmtid="{D5CDD505-2E9C-101B-9397-08002B2CF9AE}" pid="4" name="ICV">
    <vt:lpwstr>8964BDA5B4338310D38FCB697FCCC4B2_42</vt:lpwstr>
  </property>
</Properties>
</file>