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79114">
      <w:pPr>
        <w:rPr>
          <w:rFonts w:hint="eastAsia" w:eastAsia="宋体"/>
          <w:lang w:eastAsia="zh-CN"/>
        </w:rPr>
      </w:pPr>
      <w:bookmarkStart w:id="1" w:name="_GoBack"/>
      <w:bookmarkEnd w:id="1"/>
      <w:r>
        <w:rPr>
          <w:rFonts w:hint="eastAsia" w:eastAsia="宋体"/>
          <w:lang w:eastAsia="zh-CN"/>
        </w:rPr>
        <w:drawing>
          <wp:inline distT="0" distB="0" distL="114300" distR="114300">
            <wp:extent cx="5169535" cy="6840220"/>
            <wp:effectExtent l="0" t="0" r="12065" b="2540"/>
            <wp:docPr id="1" name="图片 1" descr="文章实验图10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章实验图10_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684022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1CCB26C7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 S1</w:t>
      </w:r>
    </w:p>
    <w:p w14:paraId="0C781FCB">
      <w:pPr>
        <w:spacing w:line="480" w:lineRule="auto"/>
        <w:rPr>
          <w:rStyle w:val="7"/>
          <w:rFonts w:ascii="Times New Roman" w:hAnsi="Times New Roman"/>
          <w:sz w:val="24"/>
        </w:rPr>
      </w:pPr>
      <w:r>
        <w:rPr>
          <w:rFonts w:ascii="Times New Roman" w:hAnsi="Times New Roman" w:eastAsia="MyriadPro-Light"/>
          <w:b/>
          <w:kern w:val="0"/>
          <w:sz w:val="24"/>
        </w:rPr>
        <w:t>ADV-NC treatment significantly reduces the number of DCs in the TME without significant tissue toxicity</w:t>
      </w:r>
    </w:p>
    <w:p w14:paraId="07C72607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Changes in mouse body weight during the treatment period in the subcutaneous CT26 model (n = 6 mice per group). (b) Changes in mouse body weight during the treatment period in the subcutaneous MC38 model (n = 6 mice per group). (c) Changes in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 counts in the spleen, peripheral blood, and lymph nodes of CT26 mouse models following ADV-NC treatment assessed by flow cytometry (n = 6 mice per group). (d) Changes in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 counts in the spleen, peripheral blood, and lymph nodes of MC38 mouse models following ADV-NC treatment assessed by flow cytometry (n = 6 mice per group). (e) Changes in 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 counts in the spleen, peripheral blood, and lymph nodes of CT26 mouse models following ADV-NC treatment assessed by flow cytometry (n = 6 mice per group). (f) Changes in 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 counts in the spleen, peripheral blood, and lymph nodes of MC38 mouse models following ADV-NC treatment assessed by flow cytometry (n = 6 mice per group). (g) Quantities and activation status of DCs in tumor tissues of CT26 mouse models following ADV-NC treatment assessed by flow cytometry (n = 6 mice per group). (h) Changes in the quantity and activation status of DCs in the lymph nodes of CT26 mouse models following ADV-NC treatment assessed by flow cytometry (n=6 mice per group). (j) Quantities and activation status of DCs in tumor tissues of MC38 mouse models following ADV-NC treatment assessed by flow cytometry (n =6 mice per group). (i) Changes in the quantity and activation status of DCs in the lymph nodes of MC38 mouse models following ADV-NC treatment assessed by flow cytometry (n = 6 mice per group).</w:t>
      </w:r>
    </w:p>
    <w:p w14:paraId="4B98706A">
      <w:pPr>
        <w:spacing w:line="480" w:lineRule="auto"/>
        <w:rPr>
          <w:rFonts w:hint="eastAsia"/>
          <w:lang w:val="en-US" w:eastAsia="zh-CN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The data are presented as the means ± SEMs. NS, no significant difference;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</w:t>
      </w:r>
      <w:r>
        <w:rPr>
          <w:rFonts w:ascii="Times New Roman" w:hAnsi="Times New Roman" w:eastAsia="MyriadPro-Ligh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&lt;0.05,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1DC542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69535" cy="4747895"/>
            <wp:effectExtent l="0" t="0" r="0" b="0"/>
            <wp:docPr id="4" name="图片 4" descr="文章实验图10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章实验图10_08"/>
                    <pic:cNvPicPr>
                      <a:picLocks noChangeAspect="1"/>
                    </pic:cNvPicPr>
                  </pic:nvPicPr>
                  <pic:blipFill>
                    <a:blip r:embed="rId5"/>
                    <a:srcRect b="30589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474789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1CC67525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 S2</w:t>
      </w:r>
    </w:p>
    <w:p w14:paraId="082B4087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ADV-ICOSL shows antitumor efficacy in H22 model without affecting ADV-NC basic functions</w:t>
      </w:r>
    </w:p>
    <w:p w14:paraId="304588BD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CT26-car cells were infected with ADV-NC or ADV-ICOSL at different MOIs, and cell viability was measured at 48 hours, 72 hours, and later by a CCK-8 assay (n = 3 biological replicates). (b) Viral replication levels in mouse tumor tissues and serum were detected by qPCR assay on the second day after three rounds of oncolytic virus treatment (n = 6 biological replicates). (c) Brightfield and fluorescence images of MC38-car tumor cells cultured with mouse serum from different treatment groups mixed with ADV-NC virus (MOI = 5) for 48 hours (20</w:t>
      </w:r>
      <w:bookmarkStart w:id="0" w:name="_Hlk226035460"/>
      <w:r>
        <w:rPr>
          <w:rFonts w:ascii="Times New Roman" w:hAnsi="Times New Roman"/>
          <w:sz w:val="24"/>
        </w:rPr>
        <w:t>×</w:t>
      </w:r>
      <w:bookmarkEnd w:id="0"/>
      <w:r>
        <w:rPr>
          <w:rFonts w:ascii="Times New Roman" w:hAnsi="Times New Roman"/>
          <w:sz w:val="24"/>
        </w:rPr>
        <w:t xml:space="preserve"> objective). (d) Cytotoxicity against MC38-car tumor cells assessed by CCK8 assay after incubation with mouse serum from different treatment groups mixed with ADV-NC (n = 6 biological replicates). (e) Changes in mouse body weight during the treatment period in the subcutaneous CT26 model (n = 6 mice per group). (f) Changes in mouse body weight during the treatment period in the subcutaneous MC38 model (n = 6 mice per group). (g) ICOSL levels were measured by ELISA on day 7 after the first ADV-ICOSL treatment (n = 6 biological replicates). (h) Changes in subcutaneous tumor volume in the H22 tumor model following treatment with ADV-NC or ADV-ICOSL (n = 6 mice per group). (i) Surv</w:t>
      </w:r>
      <w:r>
        <w:rPr>
          <w:rFonts w:ascii="Times New Roman" w:hAnsi="Times New Roman" w:eastAsia="MyriadPro-Light"/>
          <w:kern w:val="0"/>
          <w:sz w:val="24"/>
        </w:rPr>
        <w:t>ival curves of the mice in the different treatment groups (n</w:t>
      </w: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 w:eastAsia="MyriadPro-Light"/>
          <w:kern w:val="0"/>
          <w:sz w:val="24"/>
        </w:rPr>
        <w:t>=</w:t>
      </w: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 w:eastAsia="MyriadPro-Light"/>
          <w:kern w:val="0"/>
          <w:sz w:val="24"/>
        </w:rPr>
        <w:t>6 mice per group)</w:t>
      </w:r>
      <w:r>
        <w:rPr>
          <w:rFonts w:ascii="Times New Roman" w:hAnsi="Times New Roman"/>
          <w:kern w:val="0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(j) Changes in mouse body weight during the treatment period in the subcutaneous H22 model (n = 6 mice per group). </w:t>
      </w:r>
    </w:p>
    <w:p w14:paraId="20D164A9">
      <w:pPr>
        <w:widowControl/>
        <w:spacing w:line="480" w:lineRule="auto"/>
        <w:rPr>
          <w:rFonts w:ascii="Times New Roman" w:hAnsi="Times New Roman" w:eastAsia="MyriadPro-Light"/>
          <w:color w:val="000000"/>
          <w:kern w:val="0"/>
          <w:sz w:val="24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The data are presented as the means ± SEMs. NS, no significant difference;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</w:t>
      </w:r>
      <w:r>
        <w:rPr>
          <w:rFonts w:ascii="Times New Roman" w:hAnsi="Times New Roman" w:eastAsia="MyriadPro-Ligh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&lt;0.05,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1C94A845">
      <w:pPr>
        <w:rPr>
          <w:rFonts w:hint="eastAsia"/>
          <w:lang w:val="en-US" w:eastAsia="zh-CN"/>
        </w:rPr>
      </w:pPr>
    </w:p>
    <w:p w14:paraId="73587432">
      <w:pPr>
        <w:rPr>
          <w:rFonts w:hint="eastAsia"/>
          <w:lang w:val="en-US" w:eastAsia="zh-CN"/>
        </w:rPr>
      </w:pPr>
    </w:p>
    <w:p w14:paraId="6F4312D7">
      <w:pPr>
        <w:rPr>
          <w:rFonts w:hint="eastAsia"/>
          <w:lang w:val="en-US" w:eastAsia="zh-CN"/>
        </w:rPr>
      </w:pPr>
    </w:p>
    <w:p w14:paraId="5D999420">
      <w:pPr>
        <w:rPr>
          <w:rFonts w:hint="eastAsia"/>
          <w:lang w:val="en-US" w:eastAsia="zh-CN"/>
        </w:rPr>
      </w:pPr>
    </w:p>
    <w:p w14:paraId="5DE7C208">
      <w:pPr>
        <w:rPr>
          <w:rFonts w:hint="eastAsia"/>
          <w:lang w:val="en-US" w:eastAsia="zh-CN"/>
        </w:rPr>
      </w:pPr>
    </w:p>
    <w:p w14:paraId="036C3D11">
      <w:pPr>
        <w:rPr>
          <w:rFonts w:hint="eastAsia"/>
          <w:lang w:val="en-US" w:eastAsia="zh-CN"/>
        </w:rPr>
      </w:pPr>
    </w:p>
    <w:p w14:paraId="2B710E66">
      <w:pPr>
        <w:rPr>
          <w:rFonts w:hint="eastAsia"/>
          <w:lang w:val="en-US" w:eastAsia="zh-CN"/>
        </w:rPr>
      </w:pPr>
    </w:p>
    <w:p w14:paraId="258E55DD">
      <w:pPr>
        <w:rPr>
          <w:rFonts w:hint="eastAsia"/>
          <w:lang w:val="en-US" w:eastAsia="zh-CN"/>
        </w:rPr>
      </w:pPr>
    </w:p>
    <w:p w14:paraId="409C17F0">
      <w:pPr>
        <w:rPr>
          <w:rFonts w:hint="eastAsia"/>
          <w:lang w:val="en-US" w:eastAsia="zh-CN"/>
        </w:rPr>
      </w:pPr>
    </w:p>
    <w:p w14:paraId="2A8D9B05">
      <w:pPr>
        <w:rPr>
          <w:rFonts w:hint="eastAsia"/>
          <w:lang w:val="en-US" w:eastAsia="zh-CN"/>
        </w:rPr>
      </w:pPr>
    </w:p>
    <w:p w14:paraId="581A3232">
      <w:pPr>
        <w:rPr>
          <w:rFonts w:hint="eastAsia"/>
          <w:lang w:val="en-US" w:eastAsia="zh-CN"/>
        </w:rPr>
      </w:pPr>
    </w:p>
    <w:p w14:paraId="1972321A">
      <w:pPr>
        <w:rPr>
          <w:rFonts w:hint="eastAsia"/>
          <w:lang w:val="en-US" w:eastAsia="zh-CN"/>
        </w:rPr>
      </w:pPr>
    </w:p>
    <w:p w14:paraId="7CF05917">
      <w:pPr>
        <w:rPr>
          <w:rFonts w:hint="eastAsia"/>
          <w:lang w:val="en-US" w:eastAsia="zh-CN"/>
        </w:rPr>
      </w:pPr>
    </w:p>
    <w:p w14:paraId="07C02202">
      <w:pPr>
        <w:rPr>
          <w:rFonts w:hint="eastAsia"/>
          <w:lang w:val="en-US" w:eastAsia="zh-CN"/>
        </w:rPr>
      </w:pPr>
    </w:p>
    <w:p w14:paraId="015382BB">
      <w:pPr>
        <w:rPr>
          <w:rFonts w:hint="eastAsia"/>
          <w:lang w:val="en-US" w:eastAsia="zh-CN"/>
        </w:rPr>
      </w:pPr>
    </w:p>
    <w:p w14:paraId="6637F375">
      <w:pPr>
        <w:rPr>
          <w:rFonts w:hint="eastAsia"/>
          <w:lang w:val="en-US" w:eastAsia="zh-CN"/>
        </w:rPr>
      </w:pPr>
    </w:p>
    <w:p w14:paraId="251A7B89">
      <w:pPr>
        <w:rPr>
          <w:rFonts w:hint="eastAsia"/>
          <w:lang w:val="en-US" w:eastAsia="zh-CN"/>
        </w:rPr>
      </w:pPr>
    </w:p>
    <w:p w14:paraId="0E122039">
      <w:pPr>
        <w:rPr>
          <w:rFonts w:hint="eastAsia"/>
          <w:lang w:val="en-US" w:eastAsia="zh-CN"/>
        </w:rPr>
      </w:pPr>
    </w:p>
    <w:p w14:paraId="137E9E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69535" cy="5614670"/>
            <wp:effectExtent l="0" t="0" r="0" b="0"/>
            <wp:docPr id="7" name="图片 7" descr="文章实验图10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文章实验图10_10"/>
                    <pic:cNvPicPr>
                      <a:picLocks noChangeAspect="1"/>
                    </pic:cNvPicPr>
                  </pic:nvPicPr>
                  <pic:blipFill>
                    <a:blip r:embed="rId6"/>
                    <a:srcRect b="17917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561467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0CAEFE1F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 S3</w:t>
      </w:r>
    </w:p>
    <w:p w14:paraId="3E073C2D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ADV-ICOSL activates CD4⁺ T cells and increases DCs in the TME</w:t>
      </w:r>
    </w:p>
    <w:p w14:paraId="2E2B6DFF">
      <w:pPr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Changes in the activation status of CD137⁺ CD4⁺ T cells in tumor tissues of CT26 and MC38 mouse models following ADV-ICOSL treatment assessed by flow cytometry (n = 6 m</w:t>
      </w:r>
      <w:r>
        <w:rPr>
          <w:rFonts w:ascii="Times New Roman" w:hAnsi="Times New Roman" w:eastAsia="MyriadPro-Light"/>
          <w:kern w:val="0"/>
          <w:sz w:val="24"/>
        </w:rPr>
        <w:t>ice per group)</w:t>
      </w:r>
      <w:r>
        <w:rPr>
          <w:rFonts w:ascii="Times New Roman" w:hAnsi="Times New Roman"/>
          <w:sz w:val="24"/>
        </w:rPr>
        <w:t>. (b) Changes in the activation status of ICOS⁺ CD4⁺ T cells in tumor tissues of CT26 and MC38 mouse models following ADV-ICOSL treatment assessed by flow cytometry (n = 6 mice per group)</w:t>
      </w:r>
      <w:r>
        <w:rPr>
          <w:rFonts w:ascii="Times New Roman" w:hAnsi="Times New Roman"/>
          <w:kern w:val="0"/>
          <w:sz w:val="24"/>
        </w:rPr>
        <w:t xml:space="preserve">. </w:t>
      </w:r>
      <w:r>
        <w:rPr>
          <w:rFonts w:ascii="Times New Roman" w:hAnsi="Times New Roman"/>
          <w:sz w:val="24"/>
        </w:rPr>
        <w:t>(c) Quantities and activation status of DCs in tumor tissues of CT26 mouse models following ADV-ICOSL treatment assessed by flow cytometry (n = 6 mice per group). (d) Quantities and activation status of DCs in tumor tissues of MC38 mouse models following ADV-ICOSL treatment assessed by flow cytometry (n = 6 mice per group). (e) Changes in other immune cell populations in CT26 mouse models following ADV-ICOSL treatment assessed by flow cytometry (n = 6 mice per group). (f) Changes in other immune cell populations in MC38 mouse models following ADV-ICOSL treatment assessed by flow cytometry (n = 6 mice per group).</w:t>
      </w:r>
    </w:p>
    <w:p w14:paraId="639A5F1D">
      <w:pPr>
        <w:widowControl/>
        <w:spacing w:line="480" w:lineRule="auto"/>
        <w:rPr>
          <w:rFonts w:ascii="Times New Roman" w:hAnsi="Times New Roman" w:eastAsia="MyriadPro-Light"/>
          <w:color w:val="000000"/>
          <w:kern w:val="0"/>
          <w:sz w:val="24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The data are presented as the means ± SEMs. NS, no significant difference;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</w:t>
      </w:r>
      <w:r>
        <w:rPr>
          <w:rFonts w:ascii="Times New Roman" w:hAnsi="Times New Roman" w:eastAsia="MyriadPro-Ligh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&lt;0.05,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36DEF11F">
      <w:pPr>
        <w:rPr>
          <w:rFonts w:hint="eastAsia"/>
          <w:lang w:val="en-US" w:eastAsia="zh-CN"/>
        </w:rPr>
      </w:pPr>
    </w:p>
    <w:p w14:paraId="327187E3">
      <w:pPr>
        <w:rPr>
          <w:rFonts w:hint="eastAsia"/>
          <w:lang w:val="en-US" w:eastAsia="zh-CN"/>
        </w:rPr>
      </w:pPr>
    </w:p>
    <w:p w14:paraId="5B6E5D26">
      <w:pPr>
        <w:rPr>
          <w:rFonts w:hint="eastAsia"/>
          <w:lang w:val="en-US" w:eastAsia="zh-CN"/>
        </w:rPr>
      </w:pPr>
    </w:p>
    <w:p w14:paraId="04A158AD">
      <w:pPr>
        <w:rPr>
          <w:rFonts w:hint="eastAsia"/>
          <w:lang w:val="en-US" w:eastAsia="zh-CN"/>
        </w:rPr>
      </w:pPr>
    </w:p>
    <w:p w14:paraId="2EFF2D79">
      <w:pPr>
        <w:rPr>
          <w:rFonts w:hint="eastAsia"/>
          <w:lang w:val="en-US" w:eastAsia="zh-CN"/>
        </w:rPr>
      </w:pPr>
    </w:p>
    <w:p w14:paraId="335CE063">
      <w:pPr>
        <w:rPr>
          <w:rFonts w:hint="eastAsia"/>
          <w:lang w:val="en-US" w:eastAsia="zh-CN"/>
        </w:rPr>
      </w:pPr>
    </w:p>
    <w:p w14:paraId="154B2F63">
      <w:pPr>
        <w:rPr>
          <w:rFonts w:hint="eastAsia"/>
          <w:lang w:val="en-US" w:eastAsia="zh-CN"/>
        </w:rPr>
      </w:pPr>
    </w:p>
    <w:p w14:paraId="59C26C84">
      <w:pPr>
        <w:rPr>
          <w:rFonts w:hint="eastAsia"/>
          <w:lang w:val="en-US" w:eastAsia="zh-CN"/>
        </w:rPr>
      </w:pPr>
    </w:p>
    <w:p w14:paraId="559C189D">
      <w:pPr>
        <w:rPr>
          <w:rFonts w:hint="eastAsia"/>
          <w:lang w:val="en-US" w:eastAsia="zh-CN"/>
        </w:rPr>
      </w:pPr>
    </w:p>
    <w:p w14:paraId="328A1C46">
      <w:pPr>
        <w:rPr>
          <w:rFonts w:hint="eastAsia"/>
          <w:lang w:val="en-US" w:eastAsia="zh-CN"/>
        </w:rPr>
      </w:pPr>
    </w:p>
    <w:p w14:paraId="010BF982">
      <w:pPr>
        <w:rPr>
          <w:rFonts w:hint="eastAsia"/>
          <w:lang w:val="en-US" w:eastAsia="zh-CN"/>
        </w:rPr>
      </w:pPr>
    </w:p>
    <w:p w14:paraId="13E22F00">
      <w:pPr>
        <w:rPr>
          <w:rFonts w:hint="eastAsia"/>
          <w:lang w:val="en-US" w:eastAsia="zh-CN"/>
        </w:rPr>
      </w:pPr>
    </w:p>
    <w:p w14:paraId="60F4314E">
      <w:pPr>
        <w:rPr>
          <w:rFonts w:hint="eastAsia"/>
          <w:lang w:val="en-US" w:eastAsia="zh-CN"/>
        </w:rPr>
      </w:pPr>
    </w:p>
    <w:p w14:paraId="476FFAC8">
      <w:pPr>
        <w:rPr>
          <w:rFonts w:hint="eastAsia"/>
          <w:lang w:val="en-US" w:eastAsia="zh-CN"/>
        </w:rPr>
      </w:pPr>
    </w:p>
    <w:p w14:paraId="0D35D7C0">
      <w:pPr>
        <w:rPr>
          <w:rFonts w:hint="eastAsia"/>
          <w:lang w:val="en-US" w:eastAsia="zh-CN"/>
        </w:rPr>
      </w:pPr>
    </w:p>
    <w:p w14:paraId="072D9AA7">
      <w:pPr>
        <w:rPr>
          <w:rFonts w:hint="eastAsia"/>
          <w:lang w:val="en-US" w:eastAsia="zh-CN"/>
        </w:rPr>
      </w:pPr>
    </w:p>
    <w:p w14:paraId="4B161761">
      <w:pPr>
        <w:rPr>
          <w:rFonts w:hint="eastAsia"/>
          <w:lang w:val="en-US" w:eastAsia="zh-CN"/>
        </w:rPr>
      </w:pPr>
    </w:p>
    <w:p w14:paraId="022CF4F6">
      <w:pPr>
        <w:rPr>
          <w:rFonts w:hint="eastAsia"/>
          <w:lang w:val="en-US" w:eastAsia="zh-CN"/>
        </w:rPr>
      </w:pPr>
    </w:p>
    <w:p w14:paraId="7A2F0F96">
      <w:pPr>
        <w:rPr>
          <w:rFonts w:hint="eastAsia"/>
          <w:lang w:val="en-US" w:eastAsia="zh-CN"/>
        </w:rPr>
      </w:pPr>
    </w:p>
    <w:p w14:paraId="356576BF">
      <w:pPr>
        <w:rPr>
          <w:rFonts w:hint="eastAsia"/>
          <w:lang w:val="en-US" w:eastAsia="zh-CN"/>
        </w:rPr>
      </w:pPr>
    </w:p>
    <w:p w14:paraId="139D1825">
      <w:pPr>
        <w:rPr>
          <w:rFonts w:hint="eastAsia"/>
          <w:lang w:val="en-US" w:eastAsia="zh-CN"/>
        </w:rPr>
      </w:pPr>
    </w:p>
    <w:p w14:paraId="57408963">
      <w:pPr>
        <w:rPr>
          <w:rFonts w:hint="eastAsia"/>
          <w:lang w:val="en-US" w:eastAsia="zh-CN"/>
        </w:rPr>
      </w:pPr>
    </w:p>
    <w:p w14:paraId="3C448E2E">
      <w:pPr>
        <w:rPr>
          <w:rFonts w:hint="eastAsia"/>
          <w:lang w:val="en-US" w:eastAsia="zh-CN"/>
        </w:rPr>
      </w:pPr>
    </w:p>
    <w:p w14:paraId="2DDC98DA">
      <w:pPr>
        <w:rPr>
          <w:rFonts w:hint="eastAsia"/>
          <w:lang w:val="en-US" w:eastAsia="zh-CN"/>
        </w:rPr>
      </w:pPr>
    </w:p>
    <w:p w14:paraId="30D226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61180" cy="4560570"/>
            <wp:effectExtent l="0" t="0" r="0" b="0"/>
            <wp:docPr id="10" name="图片 10" descr="文章实验图10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文章实验图10_11"/>
                    <pic:cNvPicPr>
                      <a:picLocks noChangeAspect="1"/>
                    </pic:cNvPicPr>
                  </pic:nvPicPr>
                  <pic:blipFill>
                    <a:blip r:embed="rId7"/>
                    <a:srcRect r="15637" b="33327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456057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4617EBDF">
      <w:pPr>
        <w:rPr>
          <w:rFonts w:hint="eastAsia"/>
          <w:lang w:val="en-US" w:eastAsia="zh-CN"/>
        </w:rPr>
      </w:pPr>
    </w:p>
    <w:p w14:paraId="0AEAF9F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 S4</w:t>
      </w:r>
    </w:p>
    <w:p w14:paraId="30E7A47D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ADV-ICOSL indirectly affects CD8</w:t>
      </w:r>
      <w:r>
        <w:rPr>
          <w:rFonts w:ascii="Times New Roman" w:hAnsi="Times New Roman"/>
          <w:b/>
          <w:sz w:val="24"/>
          <w:vertAlign w:val="superscript"/>
        </w:rPr>
        <w:t>+</w:t>
      </w:r>
      <w:r>
        <w:rPr>
          <w:rFonts w:ascii="Times New Roman" w:hAnsi="Times New Roman"/>
          <w:b/>
          <w:sz w:val="24"/>
        </w:rPr>
        <w:t xml:space="preserve"> T cell cytotoxicity in a CD4</w:t>
      </w:r>
      <w:r>
        <w:rPr>
          <w:rFonts w:ascii="Times New Roman" w:hAnsi="Times New Roman"/>
          <w:b/>
          <w:sz w:val="24"/>
          <w:vertAlign w:val="superscript"/>
        </w:rPr>
        <w:t>+</w:t>
      </w:r>
      <w:r>
        <w:rPr>
          <w:rFonts w:ascii="Times New Roman" w:hAnsi="Times New Roman"/>
          <w:b/>
          <w:sz w:val="24"/>
        </w:rPr>
        <w:t xml:space="preserve"> T cell-dependent manner</w:t>
      </w:r>
    </w:p>
    <w:p w14:paraId="729F9337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Percentages of infiltrating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in the tumor microenvironment of subcutaneous CT26 tumors on day 2 after anti-CD4 mAb treatment (n=6 mice per group). (b) Percentages of infiltrating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in the tumor microenvironment of subcutaneous MC38 tumors on day 2 after anti-CD4 mAb treatment (n=6 mice per group). (c) The cytotoxic efficiency of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from different treatment groups against CT26-luc tumor cells. (d) Percentage of infiltrating Tregs in the tumor microenvironment of subcutaneous tumors on day 7 after the first ADV-ICOSL treatment (n=6 mice per group). (e)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from different treatment groups were co-cultured with splenic-isolated 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and CT26-car tumor cells, and the cytotoxic efficiency against tumor cells was assessed. (f) Effects of supernatants from MC38-car tumor cells infected with different ADVs on the quantity and proliferation of 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cell. (g) Changes in mouse body weight during the treatment period (n=6 mice per group). (h) Percentages of infiltrating 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and GZMB</w:t>
      </w:r>
      <w:r>
        <w:rPr>
          <w:rFonts w:ascii="Times New Roman" w:hAnsi="Times New Roman"/>
          <w:sz w:val="24"/>
          <w:vertAlign w:val="superscript"/>
        </w:rPr>
        <w:t xml:space="preserve">+ </w:t>
      </w:r>
      <w:r>
        <w:rPr>
          <w:rFonts w:ascii="Times New Roman" w:hAnsi="Times New Roman"/>
          <w:sz w:val="24"/>
        </w:rPr>
        <w:t>CD8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immune cells in TME of nude subcutaneous CT26 tumors on day 7 after the first ADV-ICOSL treatment (n=6 mice per group).</w:t>
      </w:r>
    </w:p>
    <w:p w14:paraId="676122E2">
      <w:pPr>
        <w:spacing w:line="480" w:lineRule="auto"/>
        <w:rPr>
          <w:rFonts w:ascii="Times New Roman" w:hAnsi="Times New Roman" w:eastAsia="MyriadPro-Light"/>
          <w:color w:val="000000"/>
          <w:kern w:val="0"/>
          <w:sz w:val="24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>The data are presented as the means ± SEMs. NS, no significant difference;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41BA70BD">
      <w:pPr>
        <w:rPr>
          <w:rFonts w:hint="eastAsia"/>
          <w:lang w:val="en-US" w:eastAsia="zh-CN"/>
        </w:rPr>
      </w:pPr>
    </w:p>
    <w:p w14:paraId="62342581">
      <w:pPr>
        <w:rPr>
          <w:rFonts w:hint="eastAsia"/>
          <w:lang w:val="en-US" w:eastAsia="zh-CN"/>
        </w:rPr>
      </w:pPr>
    </w:p>
    <w:p w14:paraId="73EF058C">
      <w:pPr>
        <w:rPr>
          <w:rFonts w:hint="eastAsia"/>
          <w:lang w:val="en-US" w:eastAsia="zh-CN"/>
        </w:rPr>
      </w:pPr>
    </w:p>
    <w:p w14:paraId="7CE088BA">
      <w:pPr>
        <w:rPr>
          <w:rFonts w:hint="eastAsia"/>
          <w:lang w:val="en-US" w:eastAsia="zh-CN"/>
        </w:rPr>
      </w:pPr>
    </w:p>
    <w:p w14:paraId="00E92579">
      <w:pPr>
        <w:rPr>
          <w:rFonts w:hint="eastAsia"/>
          <w:lang w:val="en-US" w:eastAsia="zh-CN"/>
        </w:rPr>
      </w:pPr>
    </w:p>
    <w:p w14:paraId="1A835209">
      <w:pPr>
        <w:rPr>
          <w:rFonts w:hint="eastAsia"/>
          <w:lang w:val="en-US" w:eastAsia="zh-CN"/>
        </w:rPr>
      </w:pPr>
    </w:p>
    <w:p w14:paraId="2008CD2B">
      <w:pPr>
        <w:rPr>
          <w:rFonts w:hint="eastAsia"/>
          <w:lang w:val="en-US" w:eastAsia="zh-CN"/>
        </w:rPr>
      </w:pPr>
    </w:p>
    <w:p w14:paraId="0C5BFC38">
      <w:pPr>
        <w:rPr>
          <w:rFonts w:hint="eastAsia"/>
          <w:lang w:val="en-US" w:eastAsia="zh-CN"/>
        </w:rPr>
      </w:pPr>
    </w:p>
    <w:p w14:paraId="3B208A0B">
      <w:pPr>
        <w:rPr>
          <w:rFonts w:hint="eastAsia"/>
          <w:lang w:val="en-US" w:eastAsia="zh-CN"/>
        </w:rPr>
      </w:pPr>
    </w:p>
    <w:p w14:paraId="2F2DE4D0">
      <w:pPr>
        <w:rPr>
          <w:rFonts w:hint="eastAsia"/>
          <w:lang w:val="en-US" w:eastAsia="zh-CN"/>
        </w:rPr>
      </w:pPr>
    </w:p>
    <w:p w14:paraId="480EA6B2">
      <w:pPr>
        <w:rPr>
          <w:rFonts w:hint="eastAsia"/>
          <w:lang w:val="en-US" w:eastAsia="zh-CN"/>
        </w:rPr>
      </w:pPr>
    </w:p>
    <w:p w14:paraId="4B33D75D">
      <w:pPr>
        <w:rPr>
          <w:rFonts w:hint="eastAsia"/>
          <w:lang w:val="en-US" w:eastAsia="zh-CN"/>
        </w:rPr>
      </w:pPr>
    </w:p>
    <w:p w14:paraId="33A794DE">
      <w:pPr>
        <w:rPr>
          <w:rFonts w:hint="eastAsia"/>
          <w:lang w:val="en-US" w:eastAsia="zh-CN"/>
        </w:rPr>
      </w:pPr>
    </w:p>
    <w:p w14:paraId="25B53963">
      <w:pPr>
        <w:rPr>
          <w:rFonts w:hint="eastAsia"/>
          <w:lang w:val="en-US" w:eastAsia="zh-CN"/>
        </w:rPr>
      </w:pPr>
    </w:p>
    <w:p w14:paraId="1A41D2E8">
      <w:pPr>
        <w:rPr>
          <w:rFonts w:hint="eastAsia"/>
          <w:lang w:val="en-US" w:eastAsia="zh-CN"/>
        </w:rPr>
      </w:pPr>
    </w:p>
    <w:p w14:paraId="4A8539EE">
      <w:pPr>
        <w:rPr>
          <w:rFonts w:hint="eastAsia"/>
          <w:lang w:val="en-US" w:eastAsia="zh-CN"/>
        </w:rPr>
      </w:pPr>
    </w:p>
    <w:p w14:paraId="4D82E6CF">
      <w:pPr>
        <w:rPr>
          <w:rFonts w:hint="eastAsia"/>
          <w:lang w:val="en-US" w:eastAsia="zh-CN"/>
        </w:rPr>
      </w:pPr>
    </w:p>
    <w:p w14:paraId="0112E123">
      <w:pPr>
        <w:rPr>
          <w:rFonts w:hint="eastAsia"/>
          <w:lang w:val="en-US" w:eastAsia="zh-CN"/>
        </w:rPr>
      </w:pPr>
    </w:p>
    <w:p w14:paraId="680F8C54">
      <w:pPr>
        <w:rPr>
          <w:rFonts w:hint="eastAsia"/>
          <w:lang w:val="en-US" w:eastAsia="zh-CN"/>
        </w:rPr>
      </w:pPr>
    </w:p>
    <w:p w14:paraId="5151511E">
      <w:pPr>
        <w:rPr>
          <w:rFonts w:hint="eastAsia"/>
          <w:lang w:val="en-US" w:eastAsia="zh-CN"/>
        </w:rPr>
      </w:pPr>
    </w:p>
    <w:p w14:paraId="5A16C93C">
      <w:pPr>
        <w:rPr>
          <w:rFonts w:hint="eastAsia"/>
          <w:lang w:val="en-US" w:eastAsia="zh-CN"/>
        </w:rPr>
      </w:pPr>
    </w:p>
    <w:p w14:paraId="1B22E3CE">
      <w:pPr>
        <w:rPr>
          <w:rFonts w:hint="eastAsia"/>
          <w:lang w:val="en-US" w:eastAsia="zh-CN"/>
        </w:rPr>
      </w:pPr>
    </w:p>
    <w:p w14:paraId="6D7B4DE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69535" cy="6840220"/>
            <wp:effectExtent l="0" t="0" r="0" b="0"/>
            <wp:docPr id="13" name="图片 13" descr="文章实验图10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文章实验图10_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684022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2C44C6F4">
      <w:pPr>
        <w:rPr>
          <w:rFonts w:hint="eastAsia" w:eastAsia="宋体"/>
          <w:lang w:eastAsia="zh-CN"/>
        </w:rPr>
      </w:pPr>
    </w:p>
    <w:p w14:paraId="5C607638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 S5</w:t>
      </w:r>
    </w:p>
    <w:p w14:paraId="693A6026">
      <w:pPr>
        <w:spacing w:line="480" w:lineRule="auto"/>
        <w:rPr>
          <w:rStyle w:val="7"/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During ADV-ICOSL treatment, Akt regulates IL-2 secretion as an upstream mediator of NF-κB</w:t>
      </w:r>
    </w:p>
    <w:p w14:paraId="5DA564FC">
      <w:pPr>
        <w:numPr>
          <w:ilvl w:val="0"/>
          <w:numId w:val="3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Quantitative densitometric analysis of the PI3K/Akt signaling pathway by Western blot (n = 3 per group). (b) Effect of PI3K inhibitor treatment on the proliferation of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The timeline of the entire experiment is as follows: CD4⁺ T cells were activated with anti-CD3/CD28 for 2 days, then stimulated with supernatant from ADV-ICOSL-infected tumor cells for 48 hours with or without LY294002. Proliferation was assessed by flow cytometry.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(c) The expression of multiple cytokines in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from different treatment groups of tumor tissues. (d) Brightfield and fluorescence images of tumor cells collected from the supernatant of virus-infected tumor cells and subsequently infected for 48 hours (20× objective). (e) Brightfield and fluorescence images of T cells infected with the supernatant collected from virus-infected tumor cells for 48 hours (20× objective). (f) Cytotoxicity of the supernatant collected from virus-infected tumor cells against T cells assessed by CCK8 assay (n = 4 per group). (g) Validation of IL2 knockdown efficiency in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by siRNA assessed by Western blot. (h) Quantitative densitometric analysis of the NF-κB signaling pathway by Western blot (n = 3 per group). (i) Quantitative densitometric analysis of Akt protein expression following LY294002 treatment by Western blot (n = 3 per group). (j) Quantitative densitometric analysis of NF-κB signaling pathway-related protein expression levels following LY294002 treatment by Western blot (n = 3 per group).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  <w:lang w:val="en-US" w:eastAsia="zh-CN"/>
        </w:rPr>
        <w:t>k</w:t>
      </w:r>
      <w:r>
        <w:rPr>
          <w:rFonts w:ascii="Times New Roman" w:hAnsi="Times New Roman"/>
          <w:sz w:val="24"/>
        </w:rPr>
        <w:t xml:space="preserve">) </w:t>
      </w:r>
      <w:r>
        <w:rPr>
          <w:rFonts w:hint="eastAsia" w:ascii="Times New Roman" w:hAnsi="Times New Roman"/>
          <w:sz w:val="24"/>
          <w:lang w:eastAsia="zh-CN"/>
        </w:rPr>
        <w:t>Effects of artemisinin and BAY 11-7085 treatment on downstream signaling pathway protein expression in CD4</w:t>
      </w:r>
      <w:r>
        <w:rPr>
          <w:rFonts w:hint="eastAsia" w:ascii="Times New Roman" w:hAnsi="Times New Roman"/>
          <w:sz w:val="24"/>
          <w:vertAlign w:val="superscript"/>
          <w:lang w:eastAsia="zh-CN"/>
        </w:rPr>
        <w:t>+</w:t>
      </w:r>
      <w:r>
        <w:rPr>
          <w:rFonts w:hint="eastAsia" w:ascii="Times New Roman" w:hAnsi="Times New Roman"/>
          <w:sz w:val="24"/>
          <w:lang w:eastAsia="zh-CN"/>
        </w:rPr>
        <w:t xml:space="preserve"> T cells assessed by Western blot. </w:t>
      </w:r>
      <w:r>
        <w:rPr>
          <w:rFonts w:hint="eastAsia"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  <w:lang w:val="en-US" w:eastAsia="zh-CN"/>
        </w:rPr>
        <w:t>l</w:t>
      </w:r>
      <w:r>
        <w:rPr>
          <w:rFonts w:hint="eastAsia" w:ascii="Times New Roman" w:hAnsi="Times New Roman"/>
          <w:sz w:val="24"/>
        </w:rPr>
        <w:t xml:space="preserve">) Densitometric quantification of signaling pathway protein expression in </w:t>
      </w:r>
      <w:r>
        <w:rPr>
          <w:rFonts w:hint="eastAsia" w:ascii="Times New Roman" w:hAnsi="Times New Roman"/>
          <w:sz w:val="24"/>
          <w:lang w:eastAsia="zh-CN"/>
        </w:rPr>
        <w:t>CD4</w:t>
      </w:r>
      <w:r>
        <w:rPr>
          <w:rFonts w:hint="eastAsia" w:ascii="Times New Roman" w:hAnsi="Times New Roman"/>
          <w:sz w:val="24"/>
          <w:vertAlign w:val="superscript"/>
          <w:lang w:eastAsia="zh-CN"/>
        </w:rPr>
        <w:t>+</w:t>
      </w:r>
      <w:r>
        <w:rPr>
          <w:rFonts w:hint="eastAsia" w:ascii="Times New Roman" w:hAnsi="Times New Roman"/>
          <w:sz w:val="24"/>
          <w:lang w:eastAsia="zh-CN"/>
        </w:rPr>
        <w:t xml:space="preserve"> T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</w:rPr>
        <w:t>cells following artemisinin and BAY 11-7085 treatment by Western blot (n = 3 per group).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lang w:eastAsia="zh-CN"/>
        </w:rPr>
        <w:t>(</w:t>
      </w:r>
      <w:r>
        <w:rPr>
          <w:rFonts w:hint="eastAsia" w:ascii="Times New Roman" w:hAnsi="Times New Roman"/>
          <w:sz w:val="24"/>
          <w:lang w:val="en-US" w:eastAsia="zh-CN"/>
        </w:rPr>
        <w:t>m</w:t>
      </w:r>
      <w:r>
        <w:rPr>
          <w:rFonts w:hint="eastAsia" w:ascii="Times New Roman" w:hAnsi="Times New Roman"/>
          <w:sz w:val="24"/>
          <w:lang w:eastAsia="zh-CN"/>
        </w:rPr>
        <w:t>) Duration of IL2 knockdown in CD4</w:t>
      </w:r>
      <w:r>
        <w:rPr>
          <w:rFonts w:hint="eastAsia" w:ascii="Times New Roman" w:hAnsi="Times New Roman"/>
          <w:sz w:val="24"/>
          <w:vertAlign w:val="superscript"/>
          <w:lang w:eastAsia="zh-CN"/>
        </w:rPr>
        <w:t>+</w:t>
      </w:r>
      <w:r>
        <w:rPr>
          <w:rFonts w:hint="eastAsia" w:ascii="Times New Roman" w:hAnsi="Times New Roman"/>
          <w:sz w:val="24"/>
          <w:lang w:eastAsia="zh-CN"/>
        </w:rPr>
        <w:t xml:space="preserve"> T cells by siRNA assessed by qPCR (n = 3 per group).</w:t>
      </w:r>
    </w:p>
    <w:p w14:paraId="6455EA55">
      <w:pPr>
        <w:spacing w:line="480" w:lineRule="auto"/>
        <w:rPr>
          <w:rFonts w:hint="eastAsia" w:ascii="Times New Roman" w:hAnsi="Times New Roman"/>
          <w:sz w:val="24"/>
          <w:lang w:eastAsia="zh-CN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The data are presented as the means ± SEMs. NS, no significant difference;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</w:t>
      </w:r>
      <w:r>
        <w:rPr>
          <w:rFonts w:ascii="Times New Roman" w:hAnsi="Times New Roman" w:eastAsia="MyriadPro-Ligh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&lt;0.05,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&lt;0.01 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39E0990B">
      <w:pPr>
        <w:rPr>
          <w:rFonts w:hint="eastAsia" w:eastAsia="宋体"/>
          <w:lang w:eastAsia="zh-CN"/>
        </w:rPr>
      </w:pPr>
    </w:p>
    <w:p w14:paraId="76790299">
      <w:pPr>
        <w:rPr>
          <w:rFonts w:hint="eastAsia"/>
          <w:lang w:val="en-US" w:eastAsia="zh-CN"/>
        </w:rPr>
      </w:pPr>
    </w:p>
    <w:p w14:paraId="3B2999EC">
      <w:pPr>
        <w:rPr>
          <w:rFonts w:hint="eastAsia"/>
          <w:lang w:val="en-US" w:eastAsia="zh-CN"/>
        </w:rPr>
      </w:pPr>
    </w:p>
    <w:p w14:paraId="2E2ECA02">
      <w:pPr>
        <w:rPr>
          <w:rFonts w:hint="eastAsia"/>
          <w:lang w:val="en-US" w:eastAsia="zh-CN"/>
        </w:rPr>
      </w:pPr>
    </w:p>
    <w:p w14:paraId="76104880">
      <w:pPr>
        <w:rPr>
          <w:rFonts w:hint="eastAsia"/>
          <w:lang w:val="en-US" w:eastAsia="zh-CN"/>
        </w:rPr>
      </w:pPr>
    </w:p>
    <w:p w14:paraId="7E7F0F81">
      <w:pPr>
        <w:rPr>
          <w:rFonts w:hint="eastAsia"/>
          <w:lang w:val="en-US" w:eastAsia="zh-CN"/>
        </w:rPr>
      </w:pPr>
    </w:p>
    <w:p w14:paraId="069FF943">
      <w:pPr>
        <w:rPr>
          <w:rFonts w:hint="eastAsia"/>
          <w:lang w:val="en-US" w:eastAsia="zh-CN"/>
        </w:rPr>
      </w:pPr>
    </w:p>
    <w:p w14:paraId="08027B4E">
      <w:pPr>
        <w:rPr>
          <w:rFonts w:hint="eastAsia" w:eastAsia="宋体"/>
          <w:lang w:eastAsia="zh-CN"/>
        </w:rPr>
      </w:pPr>
    </w:p>
    <w:p w14:paraId="0DFD671E">
      <w:pPr>
        <w:rPr>
          <w:rFonts w:hint="eastAsia" w:eastAsia="宋体"/>
          <w:lang w:eastAsia="zh-CN"/>
        </w:rPr>
      </w:pPr>
    </w:p>
    <w:p w14:paraId="5DB95B6A">
      <w:pPr>
        <w:rPr>
          <w:rFonts w:hint="eastAsia" w:eastAsia="宋体"/>
          <w:lang w:eastAsia="zh-CN"/>
        </w:rPr>
      </w:pPr>
    </w:p>
    <w:p w14:paraId="5E4BD44C">
      <w:pPr>
        <w:rPr>
          <w:rFonts w:hint="eastAsia" w:eastAsia="宋体"/>
          <w:lang w:eastAsia="zh-CN"/>
        </w:rPr>
      </w:pPr>
    </w:p>
    <w:p w14:paraId="174F7495">
      <w:pPr>
        <w:rPr>
          <w:rFonts w:hint="eastAsia" w:eastAsia="宋体"/>
          <w:lang w:eastAsia="zh-CN"/>
        </w:rPr>
      </w:pPr>
    </w:p>
    <w:p w14:paraId="67674CDF">
      <w:pPr>
        <w:rPr>
          <w:rFonts w:hint="eastAsia" w:eastAsia="宋体"/>
          <w:lang w:eastAsia="zh-CN"/>
        </w:rPr>
      </w:pPr>
    </w:p>
    <w:p w14:paraId="3ABF557A">
      <w:pPr>
        <w:rPr>
          <w:rFonts w:hint="eastAsia" w:eastAsia="宋体"/>
          <w:lang w:eastAsia="zh-CN"/>
        </w:rPr>
      </w:pPr>
    </w:p>
    <w:p w14:paraId="6B7BDA1F">
      <w:pPr>
        <w:rPr>
          <w:rFonts w:hint="eastAsia" w:eastAsia="宋体"/>
          <w:lang w:eastAsia="zh-CN"/>
        </w:rPr>
      </w:pPr>
    </w:p>
    <w:p w14:paraId="7202478F">
      <w:pPr>
        <w:rPr>
          <w:rFonts w:hint="eastAsia" w:eastAsia="宋体"/>
          <w:lang w:eastAsia="zh-CN"/>
        </w:rPr>
      </w:pPr>
    </w:p>
    <w:p w14:paraId="0A42AD3B">
      <w:pPr>
        <w:rPr>
          <w:rFonts w:hint="eastAsia" w:eastAsia="宋体"/>
          <w:lang w:eastAsia="zh-CN"/>
        </w:rPr>
      </w:pPr>
    </w:p>
    <w:p w14:paraId="1D65C54E">
      <w:pPr>
        <w:rPr>
          <w:rFonts w:hint="eastAsia" w:eastAsia="宋体"/>
          <w:lang w:eastAsia="zh-CN"/>
        </w:rPr>
      </w:pPr>
    </w:p>
    <w:p w14:paraId="25A28CB9">
      <w:pPr>
        <w:rPr>
          <w:rFonts w:hint="eastAsia" w:eastAsia="宋体"/>
          <w:lang w:eastAsia="zh-CN"/>
        </w:rPr>
      </w:pPr>
    </w:p>
    <w:p w14:paraId="1D33D471">
      <w:pPr>
        <w:rPr>
          <w:rFonts w:hint="eastAsia" w:eastAsia="宋体"/>
          <w:lang w:eastAsia="zh-CN"/>
        </w:rPr>
      </w:pPr>
    </w:p>
    <w:p w14:paraId="1A205319">
      <w:pPr>
        <w:rPr>
          <w:rFonts w:hint="eastAsia" w:eastAsia="宋体"/>
          <w:lang w:eastAsia="zh-CN"/>
        </w:rPr>
      </w:pPr>
    </w:p>
    <w:p w14:paraId="62D080F7">
      <w:pPr>
        <w:rPr>
          <w:rFonts w:hint="eastAsia" w:eastAsia="宋体"/>
          <w:lang w:eastAsia="zh-CN"/>
        </w:rPr>
      </w:pPr>
    </w:p>
    <w:p w14:paraId="34879CC1">
      <w:pPr>
        <w:rPr>
          <w:rFonts w:hint="eastAsia" w:eastAsia="宋体"/>
          <w:lang w:eastAsia="zh-CN"/>
        </w:rPr>
      </w:pPr>
    </w:p>
    <w:p w14:paraId="7EB3B24D">
      <w:pPr>
        <w:rPr>
          <w:rFonts w:hint="eastAsia" w:eastAsia="宋体"/>
          <w:lang w:eastAsia="zh-CN"/>
        </w:rPr>
      </w:pPr>
    </w:p>
    <w:p w14:paraId="5639C6ED">
      <w:pPr>
        <w:rPr>
          <w:rFonts w:hint="eastAsia" w:eastAsia="宋体"/>
          <w:lang w:eastAsia="zh-CN"/>
        </w:rPr>
      </w:pPr>
    </w:p>
    <w:p w14:paraId="79284665">
      <w:pPr>
        <w:rPr>
          <w:rFonts w:hint="eastAsia" w:eastAsia="宋体"/>
          <w:lang w:eastAsia="zh-CN"/>
        </w:rPr>
      </w:pPr>
    </w:p>
    <w:p w14:paraId="49C881F3">
      <w:pPr>
        <w:rPr>
          <w:rFonts w:hint="eastAsia" w:eastAsia="宋体"/>
          <w:lang w:eastAsia="zh-CN"/>
        </w:rPr>
      </w:pPr>
    </w:p>
    <w:p w14:paraId="7C5A4A6F">
      <w:pPr>
        <w:rPr>
          <w:rFonts w:hint="eastAsia" w:eastAsia="宋体"/>
          <w:lang w:eastAsia="zh-CN"/>
        </w:rPr>
      </w:pPr>
    </w:p>
    <w:p w14:paraId="20908FA7">
      <w:pPr>
        <w:rPr>
          <w:rFonts w:hint="eastAsia" w:eastAsia="宋体"/>
          <w:lang w:eastAsia="zh-CN"/>
        </w:rPr>
      </w:pPr>
    </w:p>
    <w:p w14:paraId="4D299627">
      <w:pPr>
        <w:rPr>
          <w:rFonts w:hint="eastAsia" w:eastAsia="宋体"/>
          <w:lang w:eastAsia="zh-CN"/>
        </w:rPr>
      </w:pPr>
    </w:p>
    <w:p w14:paraId="3300FF8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997325" cy="1800225"/>
            <wp:effectExtent l="0" t="0" r="0" b="0"/>
            <wp:docPr id="16" name="图片 16" descr="文章实验图10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文章实验图10_13"/>
                    <pic:cNvPicPr>
                      <a:picLocks noChangeAspect="1"/>
                    </pic:cNvPicPr>
                  </pic:nvPicPr>
                  <pic:blipFill>
                    <a:blip r:embed="rId9"/>
                    <a:srcRect r="38360" b="79022"/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18002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7836F70E">
      <w:pPr>
        <w:spacing w:line="480" w:lineRule="auto"/>
        <w:rPr>
          <w:rFonts w:hint="eastAsia" w:ascii="Times New Roman" w:hAnsi="Times New Roman"/>
          <w:b/>
          <w:sz w:val="24"/>
          <w:lang w:val="en-US" w:eastAsia="zh-CN"/>
        </w:rPr>
      </w:pPr>
      <w:r>
        <w:rPr>
          <w:rFonts w:ascii="Times New Roman" w:hAnsi="Times New Roman"/>
          <w:b/>
          <w:sz w:val="24"/>
        </w:rPr>
        <w:t>Figure S</w:t>
      </w:r>
      <w:r>
        <w:rPr>
          <w:rFonts w:hint="eastAsia" w:ascii="Times New Roman" w:hAnsi="Times New Roman"/>
          <w:b/>
          <w:sz w:val="24"/>
          <w:lang w:val="en-US" w:eastAsia="zh-CN"/>
        </w:rPr>
        <w:t>6</w:t>
      </w:r>
    </w:p>
    <w:p w14:paraId="76A35733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MC38-CD19 cells exhibit high expression of CD19 on their surface</w:t>
      </w:r>
    </w:p>
    <w:p w14:paraId="064CDF3B">
      <w:pPr>
        <w:numPr>
          <w:ilvl w:val="0"/>
          <w:numId w:val="3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Expression of CD19 protein on the surface of MC38-CD19 cells detected by flow cytometry (n = 6 mice per group).</w:t>
      </w:r>
    </w:p>
    <w:p w14:paraId="4FB219E9">
      <w:pPr>
        <w:spacing w:line="480" w:lineRule="auto"/>
        <w:rPr>
          <w:rFonts w:ascii="Times New Roman" w:hAnsi="Times New Roman" w:eastAsia="MyriadPro-Light"/>
          <w:color w:val="000000"/>
          <w:kern w:val="0"/>
          <w:sz w:val="24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>The data are presented as the means ± SEMs.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365B46AD">
      <w:pPr>
        <w:rPr>
          <w:rFonts w:hint="eastAsia" w:eastAsia="宋体"/>
          <w:lang w:eastAsia="zh-CN"/>
        </w:rPr>
      </w:pPr>
    </w:p>
    <w:p w14:paraId="1B0DAC8E">
      <w:pPr>
        <w:rPr>
          <w:rFonts w:hint="eastAsia"/>
          <w:lang w:val="en-US" w:eastAsia="zh-CN"/>
        </w:rPr>
      </w:pPr>
    </w:p>
    <w:p w14:paraId="3F06A6F7">
      <w:pPr>
        <w:rPr>
          <w:rFonts w:hint="eastAsia"/>
          <w:lang w:val="en-US" w:eastAsia="zh-CN"/>
        </w:rPr>
      </w:pPr>
    </w:p>
    <w:p w14:paraId="3BA53ED7">
      <w:pPr>
        <w:rPr>
          <w:rFonts w:hint="eastAsia"/>
          <w:lang w:val="en-US" w:eastAsia="zh-CN"/>
        </w:rPr>
      </w:pPr>
    </w:p>
    <w:p w14:paraId="152E62DA">
      <w:pPr>
        <w:rPr>
          <w:rFonts w:hint="eastAsia"/>
          <w:lang w:val="en-US" w:eastAsia="zh-CN"/>
        </w:rPr>
      </w:pPr>
    </w:p>
    <w:p w14:paraId="240AE775">
      <w:pPr>
        <w:rPr>
          <w:rFonts w:hint="eastAsia"/>
          <w:lang w:val="en-US" w:eastAsia="zh-CN"/>
        </w:rPr>
      </w:pPr>
    </w:p>
    <w:p w14:paraId="4BA920FA">
      <w:pPr>
        <w:rPr>
          <w:rFonts w:hint="eastAsia"/>
          <w:lang w:val="en-US" w:eastAsia="zh-CN"/>
        </w:rPr>
      </w:pPr>
    </w:p>
    <w:p w14:paraId="19407AA2">
      <w:pPr>
        <w:rPr>
          <w:rFonts w:hint="eastAsia"/>
          <w:lang w:val="en-US" w:eastAsia="zh-CN"/>
        </w:rPr>
      </w:pPr>
    </w:p>
    <w:p w14:paraId="43C0560E">
      <w:pPr>
        <w:rPr>
          <w:rFonts w:hint="eastAsia"/>
          <w:lang w:val="en-US" w:eastAsia="zh-CN"/>
        </w:rPr>
      </w:pPr>
    </w:p>
    <w:p w14:paraId="13962346">
      <w:pPr>
        <w:rPr>
          <w:rFonts w:hint="eastAsia"/>
          <w:lang w:val="en-US" w:eastAsia="zh-CN"/>
        </w:rPr>
      </w:pPr>
    </w:p>
    <w:p w14:paraId="61F7F8E2">
      <w:pPr>
        <w:rPr>
          <w:rFonts w:hint="eastAsia"/>
          <w:lang w:val="en-US" w:eastAsia="zh-CN"/>
        </w:rPr>
      </w:pPr>
    </w:p>
    <w:p w14:paraId="5A717058">
      <w:pPr>
        <w:rPr>
          <w:rFonts w:hint="eastAsia"/>
          <w:lang w:val="en-US" w:eastAsia="zh-CN"/>
        </w:rPr>
      </w:pPr>
    </w:p>
    <w:p w14:paraId="69F0872E">
      <w:pPr>
        <w:rPr>
          <w:rFonts w:hint="eastAsia"/>
          <w:lang w:val="en-US" w:eastAsia="zh-CN"/>
        </w:rPr>
      </w:pPr>
    </w:p>
    <w:p w14:paraId="713C5525">
      <w:pPr>
        <w:rPr>
          <w:rFonts w:hint="eastAsia"/>
          <w:lang w:val="en-US" w:eastAsia="zh-CN"/>
        </w:rPr>
      </w:pPr>
    </w:p>
    <w:p w14:paraId="6339EB2C">
      <w:pPr>
        <w:rPr>
          <w:rFonts w:hint="eastAsia"/>
          <w:lang w:val="en-US" w:eastAsia="zh-CN"/>
        </w:rPr>
      </w:pPr>
    </w:p>
    <w:p w14:paraId="7178E959">
      <w:pPr>
        <w:rPr>
          <w:rFonts w:hint="eastAsia"/>
          <w:lang w:val="en-US" w:eastAsia="zh-CN"/>
        </w:rPr>
      </w:pPr>
    </w:p>
    <w:p w14:paraId="584A15BA">
      <w:pPr>
        <w:rPr>
          <w:rFonts w:hint="eastAsia"/>
          <w:lang w:val="en-US" w:eastAsia="zh-CN"/>
        </w:rPr>
      </w:pPr>
    </w:p>
    <w:p w14:paraId="0F6BF31C">
      <w:pPr>
        <w:rPr>
          <w:rFonts w:hint="eastAsia"/>
          <w:lang w:val="en-US" w:eastAsia="zh-CN"/>
        </w:rPr>
      </w:pPr>
    </w:p>
    <w:p w14:paraId="131C6E19">
      <w:pPr>
        <w:rPr>
          <w:rFonts w:hint="eastAsia"/>
          <w:lang w:val="en-US" w:eastAsia="zh-CN"/>
        </w:rPr>
      </w:pPr>
    </w:p>
    <w:p w14:paraId="284C00C4">
      <w:pPr>
        <w:rPr>
          <w:rFonts w:hint="eastAsia"/>
          <w:lang w:val="en-US" w:eastAsia="zh-CN"/>
        </w:rPr>
      </w:pPr>
    </w:p>
    <w:p w14:paraId="3E9F7094">
      <w:pPr>
        <w:rPr>
          <w:rFonts w:hint="eastAsia"/>
          <w:lang w:val="en-US" w:eastAsia="zh-CN"/>
        </w:rPr>
      </w:pPr>
    </w:p>
    <w:p w14:paraId="01DB3A50">
      <w:pPr>
        <w:rPr>
          <w:rFonts w:hint="eastAsia"/>
          <w:lang w:val="en-US" w:eastAsia="zh-CN"/>
        </w:rPr>
      </w:pPr>
    </w:p>
    <w:p w14:paraId="7F062F7F">
      <w:pPr>
        <w:rPr>
          <w:rFonts w:hint="eastAsia"/>
          <w:lang w:val="en-US" w:eastAsia="zh-CN"/>
        </w:rPr>
      </w:pPr>
    </w:p>
    <w:p w14:paraId="158BF2E5">
      <w:pPr>
        <w:rPr>
          <w:rFonts w:hint="eastAsia" w:eastAsia="宋体"/>
          <w:lang w:eastAsia="zh-CN"/>
        </w:rPr>
      </w:pPr>
    </w:p>
    <w:p w14:paraId="352CD102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76495" cy="2370455"/>
            <wp:effectExtent l="0" t="0" r="0" b="0"/>
            <wp:docPr id="19" name="图片 19" descr="文章实验图10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文章实验图10_14"/>
                    <pic:cNvPicPr>
                      <a:picLocks noChangeAspect="1"/>
                    </pic:cNvPicPr>
                  </pic:nvPicPr>
                  <pic:blipFill>
                    <a:blip r:embed="rId10"/>
                    <a:srcRect r="3722" b="65345"/>
                    <a:stretch>
                      <a:fillRect/>
                    </a:stretch>
                  </pic:blipFill>
                  <pic:spPr>
                    <a:xfrm>
                      <a:off x="0" y="0"/>
                      <a:ext cx="4977129" cy="237045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7C928D91">
      <w:pPr>
        <w:spacing w:line="480" w:lineRule="auto"/>
        <w:rPr>
          <w:rFonts w:hint="eastAsia" w:ascii="Times New Roman" w:hAnsi="Times New Roman" w:eastAsia="宋体"/>
          <w:b/>
          <w:sz w:val="24"/>
          <w:lang w:eastAsia="zh-CN"/>
        </w:rPr>
      </w:pPr>
      <w:r>
        <w:rPr>
          <w:rFonts w:ascii="Times New Roman" w:hAnsi="Times New Roman"/>
          <w:b/>
          <w:sz w:val="24"/>
        </w:rPr>
        <w:t>Figure S</w:t>
      </w:r>
      <w:r>
        <w:rPr>
          <w:rFonts w:hint="eastAsia" w:ascii="Times New Roman" w:hAnsi="Times New Roman"/>
          <w:b/>
          <w:sz w:val="24"/>
          <w:lang w:val="en-US" w:eastAsia="zh-CN"/>
        </w:rPr>
        <w:t>7</w:t>
      </w:r>
    </w:p>
    <w:p w14:paraId="6347E461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ADV-hICOSL significantly activates CD4⁺ T cells in the TME and efficiently infects tumor cells</w:t>
      </w:r>
    </w:p>
    <w:p w14:paraId="7AC0C92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Changes in mouse body weight during the treatment period in the CDX and PDX model (n = 6 mice per group). (b) Activation status of CD4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 following ADV-hICOSL treatment in the CDX model assessed by flow cytometry (n = 6 mice per group). (c) Brightfield and fluorescence images of CT26-car and MC38-car cells infected with ADV-ICOSL and HCT116 cells infected with ADV-hICOSL (20× objective).</w:t>
      </w:r>
    </w:p>
    <w:p w14:paraId="3301B4A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The data are presented as the means ± SEMs. NS, no significant difference;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</w:t>
      </w:r>
      <w:r>
        <w:rPr>
          <w:rFonts w:ascii="Times New Roman" w:hAnsi="Times New Roman" w:eastAsia="MyriadPro-Ligh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&lt;0.05,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 xml:space="preserve">&lt;0.01, </w:t>
      </w:r>
      <w:r>
        <w:rPr>
          <w:rFonts w:hint="eastAsia" w:ascii="MS Gothic" w:hAnsi="MS Gothic" w:eastAsia="MS Gothic" w:cs="MS Gothic"/>
          <w:color w:val="000000"/>
          <w:kern w:val="0"/>
          <w:sz w:val="24"/>
        </w:rPr>
        <w:t>∗∗∗∗</w:t>
      </w:r>
      <w:r>
        <w:rPr>
          <w:rFonts w:ascii="Times New Roman" w:hAnsi="Times New Roman" w:eastAsia="MyriadPro-LightIt"/>
          <w:i/>
          <w:iCs/>
          <w:color w:val="000000"/>
          <w:kern w:val="0"/>
          <w:sz w:val="24"/>
        </w:rPr>
        <w:t>p</w:t>
      </w:r>
      <w:r>
        <w:rPr>
          <w:rFonts w:ascii="Times New Roman" w:hAnsi="Times New Roman" w:eastAsia="MyriadPro-Light"/>
          <w:color w:val="000000"/>
          <w:kern w:val="0"/>
          <w:sz w:val="24"/>
        </w:rPr>
        <w:t>&lt;0.0001</w:t>
      </w:r>
    </w:p>
    <w:p w14:paraId="47D2494D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yriadPro-LightI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lowerLetter"/>
      <w:suff w:val="space"/>
      <w:lvlText w:val="(%1)"/>
      <w:lvlJc w:val="left"/>
      <w:pPr>
        <w:tabs>
          <w:tab w:val="left" w:pos="0"/>
        </w:tabs>
        <w:ind w:left="0" w:firstLine="0"/>
      </w:pPr>
    </w:lvl>
  </w:abstractNum>
  <w:abstractNum w:abstractNumId="1">
    <w:nsid w:val="0053208E"/>
    <w:multiLevelType w:val="singleLevel"/>
    <w:tmpl w:val="0053208E"/>
    <w:lvl w:ilvl="0" w:tentative="0">
      <w:start w:val="1"/>
      <w:numFmt w:val="lowerLetter"/>
      <w:suff w:val="space"/>
      <w:lvlText w:val="(%1)"/>
      <w:lvlJc w:val="left"/>
      <w:pPr>
        <w:tabs>
          <w:tab w:val="left" w:pos="0"/>
        </w:tabs>
        <w:ind w:left="0" w:firstLine="0"/>
      </w:pPr>
    </w:lvl>
  </w:abstractNum>
  <w:abstractNum w:abstractNumId="2">
    <w:nsid w:val="59ADCABA"/>
    <w:multiLevelType w:val="singleLevel"/>
    <w:tmpl w:val="59ADCABA"/>
    <w:lvl w:ilvl="0" w:tentative="0">
      <w:start w:val="1"/>
      <w:numFmt w:val="lowerLetter"/>
      <w:suff w:val="space"/>
      <w:lvlText w:val="(%1)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69AA0D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uiPriority w:val="0"/>
    <w:rPr>
      <w:b/>
      <w:bCs/>
    </w:rPr>
  </w:style>
  <w:style w:type="character" w:styleId="8">
    <w:name w:val="annotation reference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13</Pages>
  <Words>1522</Words>
  <Characters>7562</Characters>
  <Lines>264</Lines>
  <Paragraphs>28</Paragraphs>
  <TotalTime>0</TotalTime>
  <ScaleCrop>false</ScaleCrop>
  <LinksUpToDate>false</LinksUpToDate>
  <CharactersWithSpaces>9005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2026-06-12T05:42:00Z</dcterms:created>
  <dc:creator>Administrator</dc:creator>
  <cp:lastModifiedBy>换个地方规划</cp:lastModifiedBy>
  <dcterms:modified xsi:type="dcterms:W3CDTF">2026-06-26T14:18:19Z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eyJoZGlkIjoiNTFhN2UwZDg4Zjk2NDEyM2YxYjAzYTA3NDYyMjlmYjAiLCJ1c2VySWQiOiI1ODk5NjA1MjYifQ==</vt:lpwstr>
  </property>
  <property fmtid="{D5CDD505-2E9C-101B-9397-08002B2CF9AE}" pid="4" name="ICV">
    <vt:lpwstr>DEE035FA217C4DB1AB7E3CEA7572E17C_12</vt:lpwstr>
  </property>
</Properties>
</file>