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898BC" w14:textId="0187A2BD" w:rsidR="00EA1CFA" w:rsidRPr="00C37E4A" w:rsidRDefault="003961B6" w:rsidP="007F215B">
      <w:pPr>
        <w:spacing w:line="360" w:lineRule="auto"/>
        <w:jc w:val="center"/>
        <w:rPr>
          <w:rFonts w:ascii="Times New Roman" w:hAnsi="Times New Roman" w:cs="Times New Roman"/>
          <w:b/>
          <w:sz w:val="32"/>
          <w:szCs w:val="32"/>
        </w:rPr>
      </w:pPr>
      <w:r w:rsidRPr="00C37E4A">
        <w:rPr>
          <w:rFonts w:ascii="Times New Roman" w:hAnsi="Times New Roman" w:cs="Times New Roman"/>
          <w:b/>
          <w:sz w:val="32"/>
          <w:szCs w:val="32"/>
        </w:rPr>
        <w:t>Supplementary</w:t>
      </w:r>
      <w:r w:rsidR="00EA1CFA" w:rsidRPr="00C37E4A">
        <w:rPr>
          <w:rFonts w:ascii="Times New Roman" w:hAnsi="Times New Roman" w:cs="Times New Roman"/>
          <w:b/>
          <w:sz w:val="32"/>
          <w:szCs w:val="32"/>
        </w:rPr>
        <w:t xml:space="preserve"> Materials</w:t>
      </w:r>
    </w:p>
    <w:p w14:paraId="2CE74106" w14:textId="4C283906" w:rsidR="00EA1CFA" w:rsidRPr="00C37E4A" w:rsidRDefault="00EA1CFA" w:rsidP="007F215B">
      <w:pPr>
        <w:spacing w:line="360" w:lineRule="auto"/>
        <w:jc w:val="center"/>
        <w:rPr>
          <w:rFonts w:ascii="Times New Roman" w:hAnsi="Times New Roman" w:cs="Times New Roman"/>
          <w:sz w:val="20"/>
          <w:szCs w:val="20"/>
        </w:rPr>
      </w:pPr>
      <w:r w:rsidRPr="00C37E4A">
        <w:rPr>
          <w:rFonts w:ascii="Times New Roman" w:hAnsi="Times New Roman" w:cs="Times New Roman"/>
          <w:sz w:val="20"/>
          <w:szCs w:val="20"/>
        </w:rPr>
        <w:t>Supplement to: Chunming Wang, Lei Cai, Yongguang Yang, et al.</w:t>
      </w:r>
    </w:p>
    <w:p w14:paraId="5EE59F11" w14:textId="62734DF0" w:rsidR="00555E27" w:rsidRPr="00C37E4A" w:rsidRDefault="00CD3244" w:rsidP="007F215B">
      <w:pPr>
        <w:spacing w:line="360" w:lineRule="auto"/>
        <w:jc w:val="center"/>
        <w:rPr>
          <w:rFonts w:ascii="Times New Roman" w:hAnsi="Times New Roman" w:cs="Times New Roman"/>
          <w:sz w:val="20"/>
          <w:szCs w:val="20"/>
        </w:rPr>
      </w:pPr>
      <w:r w:rsidRPr="00C37E4A">
        <w:rPr>
          <w:rFonts w:ascii="Times New Roman" w:hAnsi="Times New Roman" w:cs="Times New Roman"/>
          <w:sz w:val="20"/>
          <w:szCs w:val="20"/>
        </w:rPr>
        <w:t xml:space="preserve">Liquid Biopsy-Based Multi-Omics Approach for Early Detection of Hepatocellular Carcinoma (ASCEND-Hep): </w:t>
      </w:r>
      <w:r w:rsidR="00A0349D" w:rsidRPr="00C37E4A">
        <w:rPr>
          <w:rFonts w:ascii="Times New Roman" w:hAnsi="Times New Roman" w:cs="Times New Roman"/>
          <w:sz w:val="20"/>
          <w:szCs w:val="20"/>
        </w:rPr>
        <w:t>A Multiphase Prospective Development and Validation Study</w:t>
      </w:r>
    </w:p>
    <w:p w14:paraId="064ABDB3" w14:textId="650FC85A" w:rsidR="00001F96" w:rsidRPr="00C37E4A" w:rsidRDefault="00001F96" w:rsidP="007F215B">
      <w:pPr>
        <w:spacing w:line="360" w:lineRule="auto"/>
        <w:jc w:val="center"/>
        <w:rPr>
          <w:rFonts w:ascii="Times New Roman" w:hAnsi="Times New Roman" w:cs="Times New Roman"/>
          <w:sz w:val="20"/>
          <w:szCs w:val="20"/>
        </w:rPr>
      </w:pPr>
    </w:p>
    <w:p w14:paraId="2A143FB8" w14:textId="4E29840B" w:rsidR="00555E27" w:rsidRPr="00C37E4A" w:rsidRDefault="00FA11F0" w:rsidP="007F215B">
      <w:pPr>
        <w:pStyle w:val="1"/>
        <w:spacing w:line="360" w:lineRule="auto"/>
        <w:rPr>
          <w:rFonts w:ascii="Times New Roman" w:hAnsi="Times New Roman" w:cs="Times New Roman"/>
          <w:sz w:val="20"/>
          <w:szCs w:val="20"/>
        </w:rPr>
      </w:pPr>
      <w:bookmarkStart w:id="0" w:name="_Toc162962928"/>
      <w:bookmarkStart w:id="1" w:name="_Toc171951268"/>
      <w:bookmarkStart w:id="2" w:name="_Toc191238484"/>
      <w:r w:rsidRPr="00C37E4A">
        <w:rPr>
          <w:rFonts w:ascii="Times New Roman" w:hAnsi="Times New Roman" w:cs="Times New Roman"/>
          <w:sz w:val="20"/>
          <w:szCs w:val="20"/>
        </w:rPr>
        <w:t xml:space="preserve">Supplementary </w:t>
      </w:r>
      <w:r w:rsidR="005E63BE" w:rsidRPr="00C37E4A">
        <w:rPr>
          <w:rFonts w:ascii="Times New Roman" w:hAnsi="Times New Roman" w:cs="Times New Roman"/>
          <w:sz w:val="20"/>
          <w:szCs w:val="20"/>
        </w:rPr>
        <w:t>Methods</w:t>
      </w:r>
      <w:bookmarkStart w:id="3" w:name="_GoBack"/>
      <w:bookmarkEnd w:id="0"/>
      <w:bookmarkEnd w:id="1"/>
      <w:bookmarkEnd w:id="2"/>
      <w:bookmarkEnd w:id="3"/>
    </w:p>
    <w:p w14:paraId="65DD48F0" w14:textId="77777777" w:rsidR="00555E27" w:rsidRPr="00C37E4A" w:rsidRDefault="005E63BE" w:rsidP="007F215B">
      <w:pPr>
        <w:spacing w:line="360" w:lineRule="auto"/>
        <w:rPr>
          <w:rFonts w:ascii="Times New Roman" w:hAnsi="Times New Roman" w:cs="Times New Roman"/>
          <w:b/>
          <w:sz w:val="20"/>
          <w:szCs w:val="20"/>
        </w:rPr>
      </w:pPr>
      <w:bookmarkStart w:id="4" w:name="_Toc162962929"/>
      <w:r w:rsidRPr="00C37E4A">
        <w:rPr>
          <w:rFonts w:ascii="Times New Roman" w:hAnsi="Times New Roman" w:cs="Times New Roman"/>
          <w:b/>
          <w:sz w:val="20"/>
          <w:szCs w:val="20"/>
        </w:rPr>
        <w:t>Study design and participants</w:t>
      </w:r>
      <w:bookmarkEnd w:id="4"/>
    </w:p>
    <w:p w14:paraId="754409E2" w14:textId="77777777" w:rsidR="00555E27" w:rsidRPr="00C37E4A" w:rsidRDefault="005E63BE" w:rsidP="007F215B">
      <w:pPr>
        <w:autoSpaceDE w:val="0"/>
        <w:autoSpaceDN w:val="0"/>
        <w:adjustRightInd w:val="0"/>
        <w:spacing w:line="360" w:lineRule="auto"/>
        <w:ind w:firstLine="482"/>
        <w:rPr>
          <w:rFonts w:ascii="Times New Roman" w:hAnsi="Times New Roman" w:cs="Times New Roman"/>
          <w:sz w:val="20"/>
          <w:szCs w:val="20"/>
        </w:rPr>
      </w:pPr>
      <w:r w:rsidRPr="00C37E4A">
        <w:rPr>
          <w:rFonts w:ascii="Times New Roman" w:hAnsi="Times New Roman" w:cs="Times New Roman"/>
          <w:sz w:val="20"/>
          <w:szCs w:val="20"/>
        </w:rPr>
        <w:t>The ASCEND-Hep is a prospective and comprehensive study initiated by Zhujiang Hospital of Southern Medical University for early detection of HCC.</w:t>
      </w:r>
    </w:p>
    <w:p w14:paraId="4E3C161E" w14:textId="727D5C56" w:rsidR="00555E27" w:rsidRPr="00C37E4A" w:rsidRDefault="005E63BE" w:rsidP="007F215B">
      <w:pPr>
        <w:autoSpaceDE w:val="0"/>
        <w:autoSpaceDN w:val="0"/>
        <w:adjustRightInd w:val="0"/>
        <w:spacing w:line="360" w:lineRule="auto"/>
        <w:ind w:firstLine="482"/>
        <w:rPr>
          <w:rFonts w:ascii="Times New Roman" w:hAnsi="Times New Roman" w:cs="Times New Roman"/>
          <w:sz w:val="20"/>
          <w:szCs w:val="20"/>
        </w:rPr>
      </w:pPr>
      <w:r w:rsidRPr="00C37E4A">
        <w:rPr>
          <w:rFonts w:ascii="Times New Roman" w:hAnsi="Times New Roman" w:cs="Times New Roman"/>
          <w:sz w:val="20"/>
          <w:szCs w:val="20"/>
        </w:rPr>
        <w:t>To identify potential methylation signatures for early detection of HCC, tissue samples were collected with approval from the Ethics Committee of Zhujiang Hospital of Southern Medical University (approval number: 2021-KY-013-01). These samples encompassed cancer and adjacent non-</w:t>
      </w:r>
      <w:r w:rsidR="007724D1" w:rsidRPr="00C37E4A">
        <w:rPr>
          <w:rFonts w:ascii="Times New Roman" w:hAnsi="Times New Roman" w:cs="Times New Roman"/>
          <w:sz w:val="20"/>
          <w:szCs w:val="20"/>
        </w:rPr>
        <w:t>cancer</w:t>
      </w:r>
      <w:r w:rsidRPr="00C37E4A">
        <w:rPr>
          <w:rFonts w:ascii="Times New Roman" w:hAnsi="Times New Roman" w:cs="Times New Roman"/>
          <w:sz w:val="20"/>
          <w:szCs w:val="20"/>
        </w:rPr>
        <w:t xml:space="preserve"> tissue samples from treatment-naïve HCC patients, tissue samples from patients with liver cirrhosis, and </w:t>
      </w:r>
      <w:r w:rsidR="0099649A" w:rsidRPr="00C37E4A">
        <w:rPr>
          <w:rFonts w:ascii="Times New Roman" w:hAnsi="Times New Roman" w:cs="Times New Roman"/>
          <w:sz w:val="20"/>
          <w:szCs w:val="20"/>
        </w:rPr>
        <w:t xml:space="preserve">normal </w:t>
      </w:r>
      <w:r w:rsidRPr="00C37E4A">
        <w:rPr>
          <w:rFonts w:ascii="Times New Roman" w:hAnsi="Times New Roman" w:cs="Times New Roman"/>
          <w:sz w:val="20"/>
          <w:szCs w:val="20"/>
        </w:rPr>
        <w:t xml:space="preserve">liver tissues obtained from liver donors who died of non-liver related causes. All of the tissue samples were pathologically reviewed by </w:t>
      </w:r>
      <w:r w:rsidR="007F158B" w:rsidRPr="00C37E4A">
        <w:rPr>
          <w:rFonts w:ascii="Times New Roman" w:hAnsi="Times New Roman" w:cs="Times New Roman"/>
          <w:sz w:val="20"/>
          <w:szCs w:val="20"/>
        </w:rPr>
        <w:t xml:space="preserve">at least </w:t>
      </w:r>
      <w:r w:rsidR="005C79BD" w:rsidRPr="00C37E4A">
        <w:rPr>
          <w:rFonts w:ascii="Times New Roman" w:hAnsi="Times New Roman" w:cs="Times New Roman"/>
          <w:sz w:val="20"/>
          <w:szCs w:val="20"/>
        </w:rPr>
        <w:t>two</w:t>
      </w:r>
      <w:r w:rsidRPr="00C37E4A">
        <w:rPr>
          <w:rFonts w:ascii="Times New Roman" w:hAnsi="Times New Roman" w:cs="Times New Roman"/>
          <w:sz w:val="20"/>
          <w:szCs w:val="20"/>
        </w:rPr>
        <w:t xml:space="preserve"> </w:t>
      </w:r>
      <w:r w:rsidR="007F158B" w:rsidRPr="00C37E4A">
        <w:rPr>
          <w:rFonts w:ascii="Times New Roman" w:hAnsi="Times New Roman" w:cs="Times New Roman"/>
          <w:sz w:val="20"/>
          <w:szCs w:val="20"/>
        </w:rPr>
        <w:t xml:space="preserve">independent expert </w:t>
      </w:r>
      <w:r w:rsidRPr="00C37E4A">
        <w:rPr>
          <w:rFonts w:ascii="Times New Roman" w:hAnsi="Times New Roman" w:cs="Times New Roman"/>
          <w:sz w:val="20"/>
          <w:szCs w:val="20"/>
        </w:rPr>
        <w:t>pathologist</w:t>
      </w:r>
      <w:r w:rsidR="005C79BD" w:rsidRPr="00C37E4A">
        <w:rPr>
          <w:rFonts w:ascii="Times New Roman" w:hAnsi="Times New Roman" w:cs="Times New Roman"/>
          <w:sz w:val="20"/>
          <w:szCs w:val="20"/>
        </w:rPr>
        <w:t>s</w:t>
      </w:r>
      <w:r w:rsidRPr="00C37E4A">
        <w:rPr>
          <w:rFonts w:ascii="Times New Roman" w:hAnsi="Times New Roman" w:cs="Times New Roman"/>
          <w:sz w:val="20"/>
          <w:szCs w:val="20"/>
        </w:rPr>
        <w:t>.</w:t>
      </w:r>
    </w:p>
    <w:p w14:paraId="72294FD7" w14:textId="22D5FE61" w:rsidR="00555E27" w:rsidRPr="00C37E4A" w:rsidRDefault="007F215B" w:rsidP="007F215B">
      <w:pPr>
        <w:autoSpaceDE w:val="0"/>
        <w:autoSpaceDN w:val="0"/>
        <w:adjustRightInd w:val="0"/>
        <w:spacing w:line="360" w:lineRule="auto"/>
        <w:ind w:firstLine="482"/>
        <w:rPr>
          <w:rFonts w:ascii="Times New Roman" w:hAnsi="Times New Roman" w:cs="Times New Roman"/>
          <w:sz w:val="20"/>
          <w:szCs w:val="20"/>
        </w:rPr>
      </w:pPr>
      <w:r w:rsidRPr="00C37E4A">
        <w:rPr>
          <w:rFonts w:ascii="Times New Roman" w:hAnsi="Times New Roman" w:cs="Times New Roman"/>
          <w:sz w:val="20"/>
          <w:szCs w:val="20"/>
        </w:rPr>
        <w:t>B</w:t>
      </w:r>
      <w:r w:rsidR="005E63BE" w:rsidRPr="00C37E4A">
        <w:rPr>
          <w:rFonts w:ascii="Times New Roman" w:hAnsi="Times New Roman" w:cs="Times New Roman"/>
          <w:sz w:val="20"/>
          <w:szCs w:val="20"/>
        </w:rPr>
        <w:t xml:space="preserve">lood samples </w:t>
      </w:r>
      <w:r w:rsidRPr="00C37E4A">
        <w:rPr>
          <w:rFonts w:ascii="Times New Roman" w:hAnsi="Times New Roman" w:cs="Times New Roman"/>
          <w:sz w:val="20"/>
          <w:szCs w:val="20"/>
        </w:rPr>
        <w:t xml:space="preserve">from patients with HCC and chronic liver disease for </w:t>
      </w:r>
      <w:r w:rsidR="005E63BE" w:rsidRPr="00C37E4A">
        <w:rPr>
          <w:rFonts w:ascii="Times New Roman" w:hAnsi="Times New Roman" w:cs="Times New Roman"/>
          <w:sz w:val="20"/>
          <w:szCs w:val="20"/>
        </w:rPr>
        <w:t xml:space="preserve">the case-control study were prospectively collected from seven medical centers in China, namely: Zhujiang Hospital of Southern Medical University, </w:t>
      </w:r>
      <w:r w:rsidR="00BA2224" w:rsidRPr="00C37E4A">
        <w:rPr>
          <w:rFonts w:ascii="Times New Roman" w:hAnsi="Times New Roman" w:cs="Times New Roman"/>
          <w:sz w:val="20"/>
          <w:szCs w:val="20"/>
        </w:rPr>
        <w:t>the Second Affiliated Hospital of Guangzhou University of Chinese Medicine</w:t>
      </w:r>
      <w:r w:rsidR="005E63BE" w:rsidRPr="00C37E4A">
        <w:rPr>
          <w:rFonts w:ascii="Times New Roman" w:hAnsi="Times New Roman" w:cs="Times New Roman"/>
          <w:sz w:val="20"/>
          <w:szCs w:val="20"/>
        </w:rPr>
        <w:t>, Nanfang Hospital of Southern Medical University, Affiliated Hospital of Guangdong Medical University, the Third Affiliated Hospital of Sun Yat-sen University, Shenzhen People's Hospital, Shunde Hospital of Southern Medical University. All enrolled patients had been clinically or pathologically diagnosed.</w:t>
      </w:r>
      <w:r w:rsidR="00127061" w:rsidRPr="00C37E4A">
        <w:rPr>
          <w:rFonts w:ascii="Times New Roman" w:hAnsi="Times New Roman" w:cs="Times New Roman"/>
          <w:sz w:val="20"/>
          <w:szCs w:val="20"/>
        </w:rPr>
        <w:t xml:space="preserve"> </w:t>
      </w:r>
      <w:r w:rsidR="0054590C" w:rsidRPr="00C37E4A">
        <w:rPr>
          <w:rFonts w:ascii="Times New Roman" w:hAnsi="Times New Roman" w:cs="Times New Roman"/>
          <w:sz w:val="20"/>
          <w:szCs w:val="20"/>
        </w:rPr>
        <w:t xml:space="preserve">Chronic liver diseases included liver cirrhosis, </w:t>
      </w:r>
      <w:r w:rsidR="0099649A" w:rsidRPr="00C37E4A">
        <w:rPr>
          <w:rFonts w:ascii="Times New Roman" w:hAnsi="Times New Roman" w:cs="Times New Roman"/>
          <w:sz w:val="20"/>
          <w:szCs w:val="20"/>
        </w:rPr>
        <w:t xml:space="preserve">chronic </w:t>
      </w:r>
      <w:r w:rsidR="0054590C" w:rsidRPr="00C37E4A">
        <w:rPr>
          <w:rFonts w:ascii="Times New Roman" w:hAnsi="Times New Roman" w:cs="Times New Roman"/>
          <w:sz w:val="20"/>
          <w:szCs w:val="20"/>
        </w:rPr>
        <w:t xml:space="preserve">hepatitis B virus (HBV) infection, </w:t>
      </w:r>
      <w:r w:rsidR="0099649A" w:rsidRPr="00C37E4A">
        <w:rPr>
          <w:rFonts w:ascii="Times New Roman" w:hAnsi="Times New Roman" w:cs="Times New Roman"/>
          <w:sz w:val="20"/>
          <w:szCs w:val="20"/>
        </w:rPr>
        <w:t xml:space="preserve">chronic </w:t>
      </w:r>
      <w:r w:rsidR="0054590C" w:rsidRPr="00C37E4A">
        <w:rPr>
          <w:rFonts w:ascii="Times New Roman" w:hAnsi="Times New Roman" w:cs="Times New Roman"/>
          <w:sz w:val="20"/>
          <w:szCs w:val="20"/>
        </w:rPr>
        <w:t>hepatitis C virus (HCV) infection, alcoholic liver disease (ALD), and nonalcoholic fatty liver disease (NAFLD)</w:t>
      </w:r>
      <w:r w:rsidR="00127061" w:rsidRPr="00C37E4A">
        <w:rPr>
          <w:rFonts w:ascii="Times New Roman" w:hAnsi="Times New Roman" w:cs="Times New Roman"/>
          <w:sz w:val="20"/>
          <w:szCs w:val="20"/>
        </w:rPr>
        <w:t>.</w:t>
      </w:r>
      <w:r w:rsidR="005E63BE" w:rsidRPr="00C37E4A">
        <w:rPr>
          <w:rFonts w:ascii="Times New Roman" w:hAnsi="Times New Roman" w:cs="Times New Roman"/>
          <w:sz w:val="20"/>
          <w:szCs w:val="20"/>
        </w:rPr>
        <w:t xml:space="preserve"> Additionally, we incorporated samples from a previous study called THUNDER (NCT04820868). </w:t>
      </w:r>
      <w:r w:rsidR="006C3100" w:rsidRPr="00C37E4A">
        <w:rPr>
          <w:rFonts w:ascii="Times New Roman" w:hAnsi="Times New Roman" w:cs="Times New Roman"/>
          <w:sz w:val="20"/>
          <w:szCs w:val="20"/>
        </w:rPr>
        <w:t xml:space="preserve">All </w:t>
      </w:r>
      <w:r w:rsidR="0054590C" w:rsidRPr="00C37E4A">
        <w:rPr>
          <w:rFonts w:ascii="Times New Roman" w:hAnsi="Times New Roman" w:cs="Times New Roman"/>
          <w:sz w:val="20"/>
          <w:szCs w:val="20"/>
        </w:rPr>
        <w:t xml:space="preserve">normal </w:t>
      </w:r>
      <w:r w:rsidR="006C3100" w:rsidRPr="00C37E4A">
        <w:rPr>
          <w:rFonts w:ascii="Times New Roman" w:hAnsi="Times New Roman" w:cs="Times New Roman"/>
          <w:sz w:val="20"/>
          <w:szCs w:val="20"/>
        </w:rPr>
        <w:t>controls in the THUNDER study were divided into two distinct groups based on their originating medical centers</w:t>
      </w:r>
      <w:r w:rsidR="0099649A" w:rsidRPr="00C37E4A">
        <w:rPr>
          <w:rFonts w:ascii="Times New Roman" w:hAnsi="Times New Roman" w:cs="Times New Roman"/>
        </w:rPr>
        <w:t xml:space="preserve"> </w:t>
      </w:r>
      <w:r w:rsidR="0099649A" w:rsidRPr="00C37E4A">
        <w:rPr>
          <w:rFonts w:ascii="Times New Roman" w:hAnsi="Times New Roman" w:cs="Times New Roman"/>
          <w:sz w:val="20"/>
          <w:szCs w:val="20"/>
        </w:rPr>
        <w:t>and the time of enrollment</w:t>
      </w:r>
      <w:r w:rsidR="006C3100" w:rsidRPr="00C37E4A">
        <w:rPr>
          <w:rFonts w:ascii="Times New Roman" w:hAnsi="Times New Roman" w:cs="Times New Roman"/>
          <w:sz w:val="20"/>
          <w:szCs w:val="20"/>
        </w:rPr>
        <w:t>. One group, comprising individuals from four hospitals</w:t>
      </w:r>
      <w:r w:rsidR="0099649A" w:rsidRPr="00C37E4A">
        <w:rPr>
          <w:rFonts w:ascii="Times New Roman" w:hAnsi="Times New Roman" w:cs="Times New Roman"/>
          <w:sz w:val="20"/>
          <w:szCs w:val="20"/>
        </w:rPr>
        <w:t xml:space="preserve"> and consistent with the enrollment period of this study, </w:t>
      </w:r>
      <w:r w:rsidR="006C3100" w:rsidRPr="00C37E4A">
        <w:rPr>
          <w:rFonts w:ascii="Times New Roman" w:hAnsi="Times New Roman" w:cs="Times New Roman"/>
          <w:sz w:val="20"/>
          <w:szCs w:val="20"/>
        </w:rPr>
        <w:t xml:space="preserve">was used to match HCC patients of similar age and sex for the training and validation sets. </w:t>
      </w:r>
      <w:r w:rsidR="0099649A" w:rsidRPr="00C37E4A">
        <w:rPr>
          <w:rFonts w:ascii="Times New Roman" w:hAnsi="Times New Roman" w:cs="Times New Roman"/>
          <w:sz w:val="20"/>
          <w:szCs w:val="20"/>
        </w:rPr>
        <w:t>The other group included</w:t>
      </w:r>
      <w:r w:rsidR="006C3100" w:rsidRPr="00C37E4A">
        <w:rPr>
          <w:rFonts w:ascii="Times New Roman" w:hAnsi="Times New Roman" w:cs="Times New Roman"/>
          <w:sz w:val="20"/>
          <w:szCs w:val="20"/>
        </w:rPr>
        <w:t xml:space="preserve"> 588 </w:t>
      </w:r>
      <w:r w:rsidR="0054590C" w:rsidRPr="00C37E4A">
        <w:rPr>
          <w:rFonts w:ascii="Times New Roman" w:hAnsi="Times New Roman" w:cs="Times New Roman"/>
          <w:sz w:val="20"/>
          <w:szCs w:val="20"/>
        </w:rPr>
        <w:t xml:space="preserve">normal </w:t>
      </w:r>
      <w:r w:rsidR="006C3100" w:rsidRPr="00C37E4A">
        <w:rPr>
          <w:rFonts w:ascii="Times New Roman" w:hAnsi="Times New Roman" w:cs="Times New Roman"/>
          <w:sz w:val="20"/>
          <w:szCs w:val="20"/>
        </w:rPr>
        <w:lastRenderedPageBreak/>
        <w:t xml:space="preserve">controls, sourced from </w:t>
      </w:r>
      <w:r w:rsidR="0099649A" w:rsidRPr="00C37E4A">
        <w:rPr>
          <w:rFonts w:ascii="Times New Roman" w:hAnsi="Times New Roman" w:cs="Times New Roman"/>
          <w:sz w:val="20"/>
          <w:szCs w:val="20"/>
        </w:rPr>
        <w:t xml:space="preserve">eight </w:t>
      </w:r>
      <w:r w:rsidR="006C3100" w:rsidRPr="00C37E4A">
        <w:rPr>
          <w:rFonts w:ascii="Times New Roman" w:hAnsi="Times New Roman" w:cs="Times New Roman"/>
          <w:sz w:val="20"/>
          <w:szCs w:val="20"/>
        </w:rPr>
        <w:t xml:space="preserve">other hospitals, were combined with 160 HCC and 49 </w:t>
      </w:r>
      <w:r w:rsidR="0054590C" w:rsidRPr="00C37E4A">
        <w:rPr>
          <w:rFonts w:ascii="Times New Roman" w:hAnsi="Times New Roman" w:cs="Times New Roman"/>
          <w:sz w:val="20"/>
          <w:szCs w:val="20"/>
        </w:rPr>
        <w:t>chronic liver disease</w:t>
      </w:r>
      <w:r w:rsidR="006C3100" w:rsidRPr="00C37E4A">
        <w:rPr>
          <w:rFonts w:ascii="Times New Roman" w:hAnsi="Times New Roman" w:cs="Times New Roman"/>
          <w:sz w:val="20"/>
          <w:szCs w:val="20"/>
        </w:rPr>
        <w:t xml:space="preserve"> cases from the THUNDER study to form the independent validation set for this research.</w:t>
      </w:r>
      <w:r w:rsidR="005E63BE" w:rsidRPr="00C37E4A">
        <w:rPr>
          <w:rFonts w:ascii="Times New Roman" w:hAnsi="Times New Roman" w:cs="Times New Roman"/>
          <w:sz w:val="20"/>
          <w:szCs w:val="20"/>
        </w:rPr>
        <w:t xml:space="preserve"> All </w:t>
      </w:r>
      <w:r w:rsidR="0054590C" w:rsidRPr="00C37E4A">
        <w:rPr>
          <w:rFonts w:ascii="Times New Roman" w:hAnsi="Times New Roman" w:cs="Times New Roman"/>
          <w:sz w:val="20"/>
          <w:szCs w:val="20"/>
        </w:rPr>
        <w:t xml:space="preserve">normal </w:t>
      </w:r>
      <w:r w:rsidR="005E63BE" w:rsidRPr="00C37E4A">
        <w:rPr>
          <w:rFonts w:ascii="Times New Roman" w:hAnsi="Times New Roman" w:cs="Times New Roman"/>
          <w:sz w:val="20"/>
          <w:szCs w:val="20"/>
        </w:rPr>
        <w:t xml:space="preserve">control subjects underwent comprehensive examinations at baseline, including physical examinations, blood biochemical tests, routine blood tests, routine urine tests, tumor marker assays, HBV/HCV serological tests, abdominal ultrasonography, urinary system ultrasonography, breast ultrasonography/mammography (female), gynecological ultrasonography (female), thyroid ultrasonography and chest low-dose computed tomography (LDCT) scans, followed by a one-year follow-up to confirm the absence of cancer in the subjects. </w:t>
      </w:r>
      <w:r w:rsidR="0054590C" w:rsidRPr="00C37E4A">
        <w:rPr>
          <w:rFonts w:ascii="Times New Roman" w:hAnsi="Times New Roman" w:cs="Times New Roman"/>
          <w:sz w:val="20"/>
          <w:szCs w:val="20"/>
        </w:rPr>
        <w:t xml:space="preserve">Normal </w:t>
      </w:r>
      <w:r w:rsidR="005E63BE" w:rsidRPr="00C37E4A">
        <w:rPr>
          <w:rFonts w:ascii="Times New Roman" w:hAnsi="Times New Roman" w:cs="Times New Roman"/>
          <w:sz w:val="20"/>
          <w:szCs w:val="20"/>
        </w:rPr>
        <w:t>controls were defined as individuals without clinically significant pathological findings during routine health checkups. In addition, individuals with cirrhosis, hepatitis, and HBV carriers were excluded.</w:t>
      </w:r>
    </w:p>
    <w:p w14:paraId="35E8EE3B" w14:textId="61C0CB6E" w:rsidR="00555E27" w:rsidRPr="00C37E4A" w:rsidRDefault="005E63BE" w:rsidP="007F215B">
      <w:pPr>
        <w:autoSpaceDE w:val="0"/>
        <w:autoSpaceDN w:val="0"/>
        <w:adjustRightInd w:val="0"/>
        <w:spacing w:line="360" w:lineRule="auto"/>
        <w:ind w:firstLine="482"/>
        <w:rPr>
          <w:rFonts w:ascii="Times New Roman" w:hAnsi="Times New Roman" w:cs="Times New Roman"/>
          <w:sz w:val="20"/>
          <w:szCs w:val="20"/>
        </w:rPr>
      </w:pPr>
      <w:bookmarkStart w:id="5" w:name="OLE_LINK6"/>
      <w:bookmarkStart w:id="6" w:name="OLE_LINK5"/>
      <w:r w:rsidRPr="00C37E4A">
        <w:rPr>
          <w:rFonts w:ascii="Times New Roman" w:hAnsi="Times New Roman" w:cs="Times New Roman"/>
          <w:sz w:val="20"/>
          <w:szCs w:val="20"/>
        </w:rPr>
        <w:t xml:space="preserve">We recruited asymptomatic individuals at high risk for HCC from the community. Participants who were positive for hepatitis B surface antigen (HBsAg) or participants with liver cirrhosis caused by </w:t>
      </w:r>
      <w:r w:rsidR="0054590C" w:rsidRPr="00C37E4A">
        <w:rPr>
          <w:rFonts w:ascii="Times New Roman" w:hAnsi="Times New Roman" w:cs="Times New Roman"/>
          <w:sz w:val="20"/>
          <w:szCs w:val="20"/>
        </w:rPr>
        <w:t>HBV/HCV</w:t>
      </w:r>
      <w:r w:rsidRPr="00C37E4A">
        <w:rPr>
          <w:rFonts w:ascii="Times New Roman" w:hAnsi="Times New Roman" w:cs="Times New Roman"/>
          <w:sz w:val="20"/>
          <w:szCs w:val="20"/>
        </w:rPr>
        <w:t xml:space="preserve"> infection, alcohol, genetic hemochromatosis, non-alcoholic fatty liver disease, stage 4 primary biliary cholangitis, alpha-1-antitrypsin deficiency, or other causes were defined as high-risk for HCC. After </w:t>
      </w:r>
      <w:r w:rsidR="00CD4834" w:rsidRPr="00C37E4A">
        <w:rPr>
          <w:rFonts w:ascii="Times New Roman" w:hAnsi="Times New Roman" w:cs="Times New Roman"/>
          <w:sz w:val="20"/>
          <w:szCs w:val="20"/>
        </w:rPr>
        <w:t xml:space="preserve">completing </w:t>
      </w:r>
      <w:r w:rsidRPr="00C37E4A">
        <w:rPr>
          <w:rFonts w:ascii="Times New Roman" w:hAnsi="Times New Roman" w:cs="Times New Roman"/>
          <w:sz w:val="20"/>
          <w:szCs w:val="20"/>
        </w:rPr>
        <w:t xml:space="preserve">the questionnaire, all subjects who initially met the eligibility criteria for enrollment underwent blood draw and </w:t>
      </w:r>
      <w:r w:rsidR="006C3100" w:rsidRPr="00C37E4A">
        <w:rPr>
          <w:rFonts w:ascii="Times New Roman" w:hAnsi="Times New Roman" w:cs="Times New Roman"/>
          <w:sz w:val="20"/>
          <w:szCs w:val="20"/>
        </w:rPr>
        <w:t>baseline laboratory tests</w:t>
      </w:r>
      <w:r w:rsidR="00CD4834" w:rsidRPr="00C37E4A">
        <w:rPr>
          <w:rFonts w:ascii="Times New Roman" w:hAnsi="Times New Roman" w:cs="Times New Roman"/>
          <w:sz w:val="20"/>
          <w:szCs w:val="20"/>
        </w:rPr>
        <w:t>, as well as</w:t>
      </w:r>
      <w:r w:rsidRPr="00C37E4A">
        <w:rPr>
          <w:rFonts w:ascii="Times New Roman" w:hAnsi="Times New Roman" w:cs="Times New Roman"/>
          <w:sz w:val="20"/>
          <w:szCs w:val="20"/>
        </w:rPr>
        <w:t xml:space="preserve"> abdominal color Doppler ultrasonography. </w:t>
      </w:r>
      <w:r w:rsidR="00980A02" w:rsidRPr="00C37E4A">
        <w:rPr>
          <w:rFonts w:ascii="Times New Roman" w:hAnsi="Times New Roman" w:cs="Times New Roman"/>
          <w:sz w:val="20"/>
          <w:szCs w:val="20"/>
        </w:rPr>
        <w:t xml:space="preserve">Blood samples from all high-risk participants were subjected to methylation sequencing and alpha-fetoprotein (AFP) testing. </w:t>
      </w:r>
      <w:r w:rsidR="00DC6ED5" w:rsidRPr="00C37E4A">
        <w:rPr>
          <w:rFonts w:ascii="Times New Roman" w:hAnsi="Times New Roman" w:cs="Times New Roman"/>
          <w:sz w:val="20"/>
          <w:szCs w:val="20"/>
        </w:rPr>
        <w:t xml:space="preserve">Our study also provided participants with additional </w:t>
      </w:r>
      <w:r w:rsidR="00980A02" w:rsidRPr="00C37E4A">
        <w:rPr>
          <w:rFonts w:ascii="Times New Roman" w:hAnsi="Times New Roman" w:cs="Times New Roman"/>
          <w:sz w:val="20"/>
          <w:szCs w:val="20"/>
        </w:rPr>
        <w:t xml:space="preserve">abdominal magnetic resonance imaging (MRI). </w:t>
      </w:r>
      <w:r w:rsidR="00814DF2" w:rsidRPr="00C37E4A">
        <w:rPr>
          <w:rFonts w:ascii="Times New Roman" w:hAnsi="Times New Roman" w:cs="Times New Roman"/>
          <w:sz w:val="20"/>
          <w:szCs w:val="20"/>
        </w:rPr>
        <w:t>Those</w:t>
      </w:r>
      <w:r w:rsidR="00980A02" w:rsidRPr="00C37E4A">
        <w:rPr>
          <w:rFonts w:ascii="Times New Roman" w:hAnsi="Times New Roman" w:cs="Times New Roman"/>
          <w:sz w:val="20"/>
          <w:szCs w:val="20"/>
        </w:rPr>
        <w:t xml:space="preserve"> with abnormalities in ultrasonography</w:t>
      </w:r>
      <w:r w:rsidR="00DC6ED5" w:rsidRPr="00C37E4A">
        <w:rPr>
          <w:rFonts w:ascii="Times New Roman" w:hAnsi="Times New Roman" w:cs="Times New Roman"/>
          <w:sz w:val="20"/>
          <w:szCs w:val="20"/>
        </w:rPr>
        <w:t xml:space="preserve"> (nodules ≥ 10 mm)</w:t>
      </w:r>
      <w:r w:rsidR="00980A02" w:rsidRPr="00C37E4A">
        <w:rPr>
          <w:rFonts w:ascii="Times New Roman" w:hAnsi="Times New Roman" w:cs="Times New Roman"/>
          <w:sz w:val="20"/>
          <w:szCs w:val="20"/>
        </w:rPr>
        <w:t>, AFP</w:t>
      </w:r>
      <w:r w:rsidR="00240D00" w:rsidRPr="00C37E4A">
        <w:rPr>
          <w:rFonts w:ascii="Times New Roman" w:hAnsi="Times New Roman" w:cs="Times New Roman"/>
          <w:sz w:val="20"/>
          <w:szCs w:val="20"/>
        </w:rPr>
        <w:t xml:space="preserve"> </w:t>
      </w:r>
      <w:r w:rsidR="00E459C6" w:rsidRPr="00C37E4A">
        <w:rPr>
          <w:rFonts w:ascii="Times New Roman" w:hAnsi="Times New Roman" w:cs="Times New Roman"/>
          <w:sz w:val="20"/>
          <w:szCs w:val="20"/>
        </w:rPr>
        <w:t>(≥ 20 ng/mL)</w:t>
      </w:r>
      <w:r w:rsidR="00980A02" w:rsidRPr="00C37E4A">
        <w:rPr>
          <w:rFonts w:ascii="Times New Roman" w:hAnsi="Times New Roman" w:cs="Times New Roman"/>
          <w:sz w:val="20"/>
          <w:szCs w:val="20"/>
        </w:rPr>
        <w:t xml:space="preserve">, or MRI </w:t>
      </w:r>
      <w:r w:rsidR="00814DF2" w:rsidRPr="00C37E4A">
        <w:rPr>
          <w:rFonts w:ascii="Times New Roman" w:hAnsi="Times New Roman" w:cs="Times New Roman"/>
          <w:sz w:val="20"/>
          <w:szCs w:val="20"/>
        </w:rPr>
        <w:t>received</w:t>
      </w:r>
      <w:r w:rsidR="00980A02" w:rsidRPr="00C37E4A">
        <w:rPr>
          <w:rFonts w:ascii="Times New Roman" w:hAnsi="Times New Roman" w:cs="Times New Roman"/>
          <w:sz w:val="20"/>
          <w:szCs w:val="20"/>
        </w:rPr>
        <w:t xml:space="preserve"> dynamic contrast-enhanced MRI (DCE-MRI) for </w:t>
      </w:r>
      <w:r w:rsidR="00814DF2" w:rsidRPr="00C37E4A">
        <w:rPr>
          <w:rFonts w:ascii="Times New Roman" w:hAnsi="Times New Roman" w:cs="Times New Roman"/>
          <w:sz w:val="20"/>
          <w:szCs w:val="20"/>
        </w:rPr>
        <w:t xml:space="preserve">a </w:t>
      </w:r>
      <w:r w:rsidR="00980A02" w:rsidRPr="00C37E4A">
        <w:rPr>
          <w:rFonts w:ascii="Times New Roman" w:hAnsi="Times New Roman" w:cs="Times New Roman"/>
          <w:sz w:val="20"/>
          <w:szCs w:val="20"/>
        </w:rPr>
        <w:t>diagnosis</w:t>
      </w:r>
      <w:r w:rsidRPr="00C37E4A">
        <w:rPr>
          <w:rFonts w:ascii="Times New Roman" w:hAnsi="Times New Roman" w:cs="Times New Roman"/>
          <w:sz w:val="20"/>
          <w:szCs w:val="20"/>
        </w:rPr>
        <w:t xml:space="preserve">. </w:t>
      </w:r>
      <w:r w:rsidR="00814DF2" w:rsidRPr="00C37E4A">
        <w:rPr>
          <w:rFonts w:ascii="Times New Roman" w:hAnsi="Times New Roman" w:cs="Times New Roman"/>
          <w:sz w:val="20"/>
          <w:szCs w:val="20"/>
        </w:rPr>
        <w:t>Participants not diagnosed with</w:t>
      </w:r>
      <w:r w:rsidRPr="00C37E4A">
        <w:rPr>
          <w:rFonts w:ascii="Times New Roman" w:hAnsi="Times New Roman" w:cs="Times New Roman"/>
          <w:sz w:val="20"/>
          <w:szCs w:val="20"/>
        </w:rPr>
        <w:t xml:space="preserve"> HCC </w:t>
      </w:r>
      <w:r w:rsidR="00814DF2" w:rsidRPr="00C37E4A">
        <w:rPr>
          <w:rFonts w:ascii="Times New Roman" w:hAnsi="Times New Roman" w:cs="Times New Roman"/>
          <w:sz w:val="20"/>
          <w:szCs w:val="20"/>
        </w:rPr>
        <w:t>were</w:t>
      </w:r>
      <w:r w:rsidRPr="00C37E4A">
        <w:rPr>
          <w:rFonts w:ascii="Times New Roman" w:hAnsi="Times New Roman" w:cs="Times New Roman"/>
          <w:sz w:val="20"/>
          <w:szCs w:val="20"/>
        </w:rPr>
        <w:t xml:space="preserve"> followed</w:t>
      </w:r>
      <w:r w:rsidR="00814DF2" w:rsidRPr="00C37E4A">
        <w:rPr>
          <w:rFonts w:ascii="Times New Roman" w:hAnsi="Times New Roman" w:cs="Times New Roman"/>
          <w:sz w:val="20"/>
          <w:szCs w:val="20"/>
        </w:rPr>
        <w:t xml:space="preserve"> </w:t>
      </w:r>
      <w:r w:rsidRPr="00C37E4A">
        <w:rPr>
          <w:rFonts w:ascii="Times New Roman" w:hAnsi="Times New Roman" w:cs="Times New Roman"/>
          <w:sz w:val="20"/>
          <w:szCs w:val="20"/>
        </w:rPr>
        <w:t>up for 1 year</w:t>
      </w:r>
      <w:r w:rsidR="00240D00" w:rsidRPr="00C37E4A">
        <w:rPr>
          <w:rFonts w:ascii="Times New Roman" w:hAnsi="Times New Roman" w:cs="Times New Roman"/>
          <w:sz w:val="20"/>
          <w:szCs w:val="20"/>
        </w:rPr>
        <w:t>,</w:t>
      </w:r>
      <w:r w:rsidRPr="00C37E4A">
        <w:rPr>
          <w:rFonts w:ascii="Times New Roman" w:hAnsi="Times New Roman" w:cs="Times New Roman"/>
          <w:sz w:val="20"/>
          <w:szCs w:val="20"/>
        </w:rPr>
        <w:t xml:space="preserve"> </w:t>
      </w:r>
      <w:r w:rsidR="00814DF2" w:rsidRPr="00C37E4A">
        <w:rPr>
          <w:rFonts w:ascii="Times New Roman" w:hAnsi="Times New Roman" w:cs="Times New Roman"/>
          <w:sz w:val="20"/>
          <w:szCs w:val="20"/>
        </w:rPr>
        <w:t xml:space="preserve">with ultrasonography examinations and AFP testing </w:t>
      </w:r>
      <w:r w:rsidR="00240D00" w:rsidRPr="00C37E4A">
        <w:rPr>
          <w:rFonts w:ascii="Times New Roman" w:hAnsi="Times New Roman" w:cs="Times New Roman"/>
          <w:sz w:val="20"/>
          <w:szCs w:val="20"/>
        </w:rPr>
        <w:t xml:space="preserve">conducted every </w:t>
      </w:r>
      <w:r w:rsidR="000C607A" w:rsidRPr="00C37E4A">
        <w:rPr>
          <w:rFonts w:ascii="Times New Roman" w:hAnsi="Times New Roman" w:cs="Times New Roman"/>
          <w:sz w:val="20"/>
          <w:szCs w:val="20"/>
        </w:rPr>
        <w:t xml:space="preserve">six </w:t>
      </w:r>
      <w:r w:rsidR="00240D00" w:rsidRPr="00C37E4A">
        <w:rPr>
          <w:rFonts w:ascii="Times New Roman" w:hAnsi="Times New Roman" w:cs="Times New Roman"/>
          <w:sz w:val="20"/>
          <w:szCs w:val="20"/>
        </w:rPr>
        <w:t xml:space="preserve">months </w:t>
      </w:r>
      <w:r w:rsidR="0055601C" w:rsidRPr="00C37E4A">
        <w:rPr>
          <w:rFonts w:ascii="Times New Roman" w:hAnsi="Times New Roman" w:cs="Times New Roman"/>
          <w:sz w:val="20"/>
          <w:szCs w:val="20"/>
        </w:rPr>
        <w:t>post-enrollment</w:t>
      </w:r>
      <w:r w:rsidR="00240D00" w:rsidRPr="00C37E4A">
        <w:rPr>
          <w:rFonts w:ascii="Times New Roman" w:hAnsi="Times New Roman" w:cs="Times New Roman"/>
          <w:sz w:val="20"/>
          <w:szCs w:val="20"/>
        </w:rPr>
        <w:t>,</w:t>
      </w:r>
      <w:r w:rsidR="0055601C" w:rsidRPr="00C37E4A">
        <w:rPr>
          <w:rFonts w:ascii="Times New Roman" w:hAnsi="Times New Roman" w:cs="Times New Roman"/>
          <w:sz w:val="20"/>
          <w:szCs w:val="20"/>
        </w:rPr>
        <w:t xml:space="preserve"> to ascertain</w:t>
      </w:r>
      <w:r w:rsidRPr="00C37E4A">
        <w:rPr>
          <w:rFonts w:ascii="Times New Roman" w:hAnsi="Times New Roman" w:cs="Times New Roman"/>
          <w:sz w:val="20"/>
          <w:szCs w:val="20"/>
        </w:rPr>
        <w:t xml:space="preserve"> their cancer status. </w:t>
      </w:r>
    </w:p>
    <w:bookmarkEnd w:id="5"/>
    <w:bookmarkEnd w:id="6"/>
    <w:p w14:paraId="708FF810" w14:textId="22FF244F" w:rsidR="007375E0" w:rsidRPr="00C37E4A" w:rsidRDefault="005E63BE" w:rsidP="007F215B">
      <w:pPr>
        <w:autoSpaceDE w:val="0"/>
        <w:autoSpaceDN w:val="0"/>
        <w:adjustRightInd w:val="0"/>
        <w:spacing w:line="360" w:lineRule="auto"/>
        <w:ind w:firstLine="482"/>
        <w:rPr>
          <w:rFonts w:ascii="Times New Roman" w:hAnsi="Times New Roman" w:cs="Times New Roman"/>
          <w:sz w:val="20"/>
          <w:szCs w:val="20"/>
        </w:rPr>
      </w:pPr>
      <w:r w:rsidRPr="00C37E4A">
        <w:rPr>
          <w:rFonts w:ascii="Times New Roman" w:hAnsi="Times New Roman" w:cs="Times New Roman"/>
          <w:sz w:val="20"/>
          <w:szCs w:val="20"/>
        </w:rPr>
        <w:t>All participating centers</w:t>
      </w:r>
      <w:r w:rsidR="0004496B" w:rsidRPr="00C37E4A">
        <w:rPr>
          <w:rFonts w:ascii="Times New Roman" w:hAnsi="Times New Roman" w:cs="Times New Roman"/>
          <w:sz w:val="20"/>
          <w:szCs w:val="20"/>
        </w:rPr>
        <w:t xml:space="preserve"> </w:t>
      </w:r>
      <w:r w:rsidRPr="00C37E4A">
        <w:rPr>
          <w:rFonts w:ascii="Times New Roman" w:hAnsi="Times New Roman" w:cs="Times New Roman"/>
          <w:sz w:val="20"/>
          <w:szCs w:val="20"/>
        </w:rPr>
        <w:t>obtained ethical approval from their respective ethics committees.</w:t>
      </w:r>
    </w:p>
    <w:p w14:paraId="071F8262" w14:textId="77777777" w:rsidR="00555E27" w:rsidRPr="00C37E4A" w:rsidRDefault="005E63BE" w:rsidP="007F215B">
      <w:pPr>
        <w:spacing w:line="360" w:lineRule="auto"/>
        <w:rPr>
          <w:rFonts w:ascii="Times New Roman" w:hAnsi="Times New Roman" w:cs="Times New Roman"/>
          <w:b/>
          <w:sz w:val="20"/>
          <w:szCs w:val="20"/>
        </w:rPr>
      </w:pPr>
      <w:bookmarkStart w:id="7" w:name="_Toc162962930"/>
      <w:r w:rsidRPr="00C37E4A">
        <w:rPr>
          <w:rFonts w:ascii="Times New Roman" w:hAnsi="Times New Roman" w:cs="Times New Roman"/>
          <w:b/>
          <w:sz w:val="20"/>
          <w:szCs w:val="20"/>
        </w:rPr>
        <w:t>Inclusion and exclusion criteria for the training and the validation sets</w:t>
      </w:r>
      <w:bookmarkEnd w:id="7"/>
    </w:p>
    <w:p w14:paraId="5ED997D5" w14:textId="77777777" w:rsidR="00555E27" w:rsidRPr="00C37E4A" w:rsidRDefault="005E63BE" w:rsidP="007F215B">
      <w:pPr>
        <w:spacing w:line="360" w:lineRule="auto"/>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Inclusion criteria for cancer participants include:</w:t>
      </w:r>
    </w:p>
    <w:p w14:paraId="5CA2A2FD" w14:textId="77777777" w:rsidR="00555E27" w:rsidRPr="00C37E4A" w:rsidRDefault="005E63BE" w:rsidP="007F215B">
      <w:pPr>
        <w:pStyle w:val="af0"/>
        <w:numPr>
          <w:ilvl w:val="0"/>
          <w:numId w:val="1"/>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Age ≥ 40 and &lt; 75 years at the day of consenting to the study;</w:t>
      </w:r>
    </w:p>
    <w:p w14:paraId="6653B13B" w14:textId="77777777" w:rsidR="00555E27" w:rsidRPr="00C37E4A" w:rsidRDefault="005E63BE" w:rsidP="007F215B">
      <w:pPr>
        <w:pStyle w:val="af0"/>
        <w:numPr>
          <w:ilvl w:val="0"/>
          <w:numId w:val="1"/>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Able to provide a written informed consent;</w:t>
      </w:r>
    </w:p>
    <w:p w14:paraId="33C2FECC" w14:textId="77777777" w:rsidR="00555E27" w:rsidRPr="00C37E4A" w:rsidRDefault="005E63BE" w:rsidP="007F215B">
      <w:pPr>
        <w:pStyle w:val="af0"/>
        <w:numPr>
          <w:ilvl w:val="0"/>
          <w:numId w:val="1"/>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Pathological/ imaging diagnosis of any BCLC stage (0‒C) of HCC;</w:t>
      </w:r>
    </w:p>
    <w:p w14:paraId="5AB5B432" w14:textId="77777777" w:rsidR="00555E27" w:rsidRPr="00C37E4A" w:rsidRDefault="005E63BE" w:rsidP="007F215B">
      <w:pPr>
        <w:pStyle w:val="af0"/>
        <w:numPr>
          <w:ilvl w:val="0"/>
          <w:numId w:val="1"/>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No prior or ongoing anti-cancer therapy (local or systematic) prior to blood draw.</w:t>
      </w:r>
    </w:p>
    <w:p w14:paraId="07CEC513" w14:textId="77777777" w:rsidR="00555E27" w:rsidRPr="00C37E4A" w:rsidRDefault="005E63BE" w:rsidP="007F215B">
      <w:pPr>
        <w:spacing w:line="360" w:lineRule="auto"/>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Exclusion criteria for cancer participants include:</w:t>
      </w:r>
    </w:p>
    <w:p w14:paraId="226B1464" w14:textId="77777777" w:rsidR="00555E27" w:rsidRPr="00C37E4A" w:rsidRDefault="005E63BE" w:rsidP="007F215B">
      <w:pPr>
        <w:pStyle w:val="af0"/>
        <w:numPr>
          <w:ilvl w:val="0"/>
          <w:numId w:val="2"/>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Pregnancy or lactating women;</w:t>
      </w:r>
    </w:p>
    <w:p w14:paraId="00F9F36F" w14:textId="77777777" w:rsidR="00555E27" w:rsidRPr="00C37E4A" w:rsidRDefault="005E63BE" w:rsidP="007F215B">
      <w:pPr>
        <w:pStyle w:val="af0"/>
        <w:numPr>
          <w:ilvl w:val="0"/>
          <w:numId w:val="2"/>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Recipients of organ transplant or prior non-autologous (allogeneic) bone marrow transplant or stem cell transplant;</w:t>
      </w:r>
    </w:p>
    <w:p w14:paraId="0FFC9828" w14:textId="77777777" w:rsidR="00555E27" w:rsidRPr="00C37E4A" w:rsidRDefault="005E63BE" w:rsidP="007F215B">
      <w:pPr>
        <w:pStyle w:val="af0"/>
        <w:numPr>
          <w:ilvl w:val="0"/>
          <w:numId w:val="2"/>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Recipients of blood transfusion within 7 days prior to blood draw;</w:t>
      </w:r>
    </w:p>
    <w:p w14:paraId="6865FE29" w14:textId="77777777" w:rsidR="00555E27" w:rsidRPr="00C37E4A" w:rsidRDefault="005E63BE" w:rsidP="007F215B">
      <w:pPr>
        <w:pStyle w:val="af0"/>
        <w:numPr>
          <w:ilvl w:val="0"/>
          <w:numId w:val="2"/>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Recipients of any anti-cancer therapy within 30 days prior to blood draw, due to diseases other than cancers;</w:t>
      </w:r>
    </w:p>
    <w:p w14:paraId="2BD4691D" w14:textId="77777777" w:rsidR="00555E27" w:rsidRPr="00C37E4A" w:rsidRDefault="005E63BE" w:rsidP="007F215B">
      <w:pPr>
        <w:pStyle w:val="af0"/>
        <w:numPr>
          <w:ilvl w:val="0"/>
          <w:numId w:val="2"/>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With concurrent or metachronous for other known malignant tumors or multiple primary tumors.</w:t>
      </w:r>
    </w:p>
    <w:p w14:paraId="0ED14339" w14:textId="77777777" w:rsidR="00555E27" w:rsidRPr="00C37E4A" w:rsidRDefault="005E63BE" w:rsidP="007F215B">
      <w:pPr>
        <w:spacing w:line="360" w:lineRule="auto"/>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Inclusion criteria for benign participants include:</w:t>
      </w:r>
    </w:p>
    <w:p w14:paraId="0D0C9257" w14:textId="77777777" w:rsidR="00555E27" w:rsidRPr="00C37E4A" w:rsidRDefault="005E63BE" w:rsidP="007F215B">
      <w:pPr>
        <w:pStyle w:val="af0"/>
        <w:numPr>
          <w:ilvl w:val="0"/>
          <w:numId w:val="3"/>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Age ≥ 40 and &lt; 75 years at the day of consenting to the study;</w:t>
      </w:r>
    </w:p>
    <w:p w14:paraId="3656C2A9" w14:textId="77777777" w:rsidR="00555E27" w:rsidRPr="00C37E4A" w:rsidRDefault="005E63BE" w:rsidP="007F215B">
      <w:pPr>
        <w:pStyle w:val="af0"/>
        <w:numPr>
          <w:ilvl w:val="0"/>
          <w:numId w:val="3"/>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Able to provide a written informed consent;</w:t>
      </w:r>
    </w:p>
    <w:p w14:paraId="3976A9EF" w14:textId="77777777" w:rsidR="00555E27" w:rsidRPr="00C37E4A" w:rsidRDefault="005E63BE" w:rsidP="007F215B">
      <w:pPr>
        <w:pStyle w:val="af0"/>
        <w:numPr>
          <w:ilvl w:val="0"/>
          <w:numId w:val="3"/>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Confirmed pathological diagnosis of benign liver diseases;</w:t>
      </w:r>
    </w:p>
    <w:p w14:paraId="1861F5D1" w14:textId="77777777" w:rsidR="00555E27" w:rsidRPr="00C37E4A" w:rsidRDefault="005E63BE" w:rsidP="007F215B">
      <w:pPr>
        <w:pStyle w:val="af0"/>
        <w:numPr>
          <w:ilvl w:val="0"/>
          <w:numId w:val="3"/>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No prior radical treatment of the benign diseases prior to blood draw.</w:t>
      </w:r>
    </w:p>
    <w:p w14:paraId="01200B0D" w14:textId="77777777" w:rsidR="00555E27" w:rsidRPr="00C37E4A" w:rsidRDefault="005E63BE" w:rsidP="007F215B">
      <w:pPr>
        <w:spacing w:line="360" w:lineRule="auto"/>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Exclusion criteria for benign participants include:</w:t>
      </w:r>
    </w:p>
    <w:p w14:paraId="4554A712" w14:textId="77777777" w:rsidR="00555E27" w:rsidRPr="00C37E4A" w:rsidRDefault="005E63BE" w:rsidP="007F215B">
      <w:pPr>
        <w:pStyle w:val="af0"/>
        <w:numPr>
          <w:ilvl w:val="0"/>
          <w:numId w:val="4"/>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Pregnancy or lactating women;</w:t>
      </w:r>
    </w:p>
    <w:p w14:paraId="5B9A43F7" w14:textId="77777777" w:rsidR="00555E27" w:rsidRPr="00C37E4A" w:rsidRDefault="005E63BE" w:rsidP="007F215B">
      <w:pPr>
        <w:pStyle w:val="af0"/>
        <w:numPr>
          <w:ilvl w:val="0"/>
          <w:numId w:val="4"/>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Recipients of organ transplant or prior non-autologous (allogeneic) bone marrow transplant or stem cell transplant;</w:t>
      </w:r>
    </w:p>
    <w:p w14:paraId="482E4BA6" w14:textId="77777777" w:rsidR="00555E27" w:rsidRPr="00C37E4A" w:rsidRDefault="005E63BE" w:rsidP="007F215B">
      <w:pPr>
        <w:pStyle w:val="af0"/>
        <w:numPr>
          <w:ilvl w:val="0"/>
          <w:numId w:val="4"/>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Recipients of blood transfusion within 7 days prior to blood draw;</w:t>
      </w:r>
    </w:p>
    <w:p w14:paraId="3318EEE1" w14:textId="77777777" w:rsidR="00555E27" w:rsidRPr="00C37E4A" w:rsidRDefault="005E63BE" w:rsidP="007F215B">
      <w:pPr>
        <w:pStyle w:val="af0"/>
        <w:numPr>
          <w:ilvl w:val="0"/>
          <w:numId w:val="4"/>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Recipients of any anti-cancer therapy within 30 days prior to blood draw, due to diseases other than cancers;</w:t>
      </w:r>
    </w:p>
    <w:p w14:paraId="5E9103D4" w14:textId="77777777" w:rsidR="00555E27" w:rsidRPr="00C37E4A" w:rsidRDefault="005E63BE" w:rsidP="007F215B">
      <w:pPr>
        <w:pStyle w:val="af0"/>
        <w:numPr>
          <w:ilvl w:val="0"/>
          <w:numId w:val="4"/>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Confirmed diagnosis of malignancies or precancerous lesion;</w:t>
      </w:r>
    </w:p>
    <w:p w14:paraId="7C4CD0E7" w14:textId="77777777" w:rsidR="00555E27" w:rsidRPr="00C37E4A" w:rsidRDefault="005E63BE" w:rsidP="007F215B">
      <w:pPr>
        <w:pStyle w:val="af0"/>
        <w:numPr>
          <w:ilvl w:val="0"/>
          <w:numId w:val="4"/>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 xml:space="preserve">A history of malignant tumors. </w:t>
      </w:r>
    </w:p>
    <w:p w14:paraId="29F7158C" w14:textId="1FDF0018" w:rsidR="00555E27" w:rsidRPr="00C37E4A" w:rsidRDefault="005E63BE" w:rsidP="007F215B">
      <w:pPr>
        <w:spacing w:line="360" w:lineRule="auto"/>
        <w:rPr>
          <w:rFonts w:ascii="Times New Roman" w:hAnsi="Times New Roman" w:cs="Times New Roman"/>
          <w:b/>
          <w:sz w:val="20"/>
          <w:szCs w:val="20"/>
        </w:rPr>
      </w:pPr>
      <w:bookmarkStart w:id="8" w:name="_Toc162962931"/>
      <w:r w:rsidRPr="00C37E4A">
        <w:rPr>
          <w:rFonts w:ascii="Times New Roman" w:hAnsi="Times New Roman" w:cs="Times New Roman"/>
          <w:b/>
          <w:sz w:val="20"/>
          <w:szCs w:val="20"/>
        </w:rPr>
        <w:t>Inclusion and exclusion criteria for the high-risk population</w:t>
      </w:r>
      <w:bookmarkEnd w:id="8"/>
    </w:p>
    <w:p w14:paraId="0702576E" w14:textId="77777777" w:rsidR="00555E27" w:rsidRPr="00C37E4A" w:rsidRDefault="005E63BE" w:rsidP="007F215B">
      <w:pPr>
        <w:spacing w:line="360" w:lineRule="auto"/>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Inclusion criteria</w:t>
      </w:r>
      <w:r w:rsidRPr="00C37E4A">
        <w:rPr>
          <w:rFonts w:ascii="Times New Roman" w:hAnsi="Times New Roman" w:cs="Times New Roman"/>
          <w:sz w:val="20"/>
          <w:szCs w:val="20"/>
        </w:rPr>
        <w:t xml:space="preserve"> </w:t>
      </w:r>
      <w:r w:rsidRPr="00C37E4A">
        <w:rPr>
          <w:rStyle w:val="fontstyle21"/>
          <w:rFonts w:ascii="Times New Roman" w:hAnsi="Times New Roman" w:cs="Times New Roman"/>
          <w:sz w:val="20"/>
          <w:szCs w:val="20"/>
        </w:rPr>
        <w:t xml:space="preserve">include: </w:t>
      </w:r>
    </w:p>
    <w:p w14:paraId="7FE0D9F1" w14:textId="77777777" w:rsidR="00555E27" w:rsidRPr="00C37E4A" w:rsidRDefault="005E63BE" w:rsidP="007F215B">
      <w:pPr>
        <w:pStyle w:val="af0"/>
        <w:numPr>
          <w:ilvl w:val="0"/>
          <w:numId w:val="5"/>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 xml:space="preserve">Age ≥ 40 and &lt; 75 years old with the ability to provide informed consent; </w:t>
      </w:r>
    </w:p>
    <w:p w14:paraId="70160196" w14:textId="77777777" w:rsidR="00555E27" w:rsidRPr="00C37E4A" w:rsidRDefault="005E63BE" w:rsidP="007F215B">
      <w:pPr>
        <w:pStyle w:val="af0"/>
        <w:numPr>
          <w:ilvl w:val="0"/>
          <w:numId w:val="5"/>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Participants with cirrhosis caused by hepatitis B or hepatitis C virus infection, alcohol, genetic hemochromatosis, non-alcoholic fatty liver disease, stage 4 primary biliary cholangitis, alpha-1-antitrypsin deficiency, or other causes of cirrhosis, and Chronic hepatitis B viral infection.</w:t>
      </w:r>
    </w:p>
    <w:p w14:paraId="1747CE42" w14:textId="77777777" w:rsidR="00555E27" w:rsidRPr="00C37E4A" w:rsidRDefault="005E63BE" w:rsidP="007F215B">
      <w:pPr>
        <w:spacing w:line="360" w:lineRule="auto"/>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Exclusion criteria include:</w:t>
      </w:r>
    </w:p>
    <w:p w14:paraId="38C069B5" w14:textId="77777777" w:rsidR="00555E27" w:rsidRPr="00C37E4A" w:rsidRDefault="005E63BE" w:rsidP="007F215B">
      <w:pPr>
        <w:pStyle w:val="af0"/>
        <w:numPr>
          <w:ilvl w:val="0"/>
          <w:numId w:val="6"/>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Cancer-related clinical symptoms within 30 days prior to screening;</w:t>
      </w:r>
    </w:p>
    <w:p w14:paraId="48A41347" w14:textId="77777777" w:rsidR="00555E27" w:rsidRPr="00C37E4A" w:rsidRDefault="005E63BE" w:rsidP="007F215B">
      <w:pPr>
        <w:pStyle w:val="af0"/>
        <w:numPr>
          <w:ilvl w:val="0"/>
          <w:numId w:val="6"/>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Previous organ transplantation or non-autologous bone marrow or stem cell transplantation;</w:t>
      </w:r>
    </w:p>
    <w:p w14:paraId="5984726B" w14:textId="77777777" w:rsidR="00555E27" w:rsidRPr="00C37E4A" w:rsidRDefault="005E63BE" w:rsidP="007F215B">
      <w:pPr>
        <w:pStyle w:val="af0"/>
        <w:numPr>
          <w:ilvl w:val="0"/>
          <w:numId w:val="6"/>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Blood transfusion within 7 days prior to screening;</w:t>
      </w:r>
    </w:p>
    <w:p w14:paraId="492654BA" w14:textId="77777777" w:rsidR="00555E27" w:rsidRPr="00C37E4A" w:rsidRDefault="005E63BE" w:rsidP="007F215B">
      <w:pPr>
        <w:pStyle w:val="af0"/>
        <w:numPr>
          <w:ilvl w:val="0"/>
          <w:numId w:val="6"/>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Inability to tolerate routine cancer screening or contraindications for relevant examinations;</w:t>
      </w:r>
    </w:p>
    <w:p w14:paraId="5E8D45F3" w14:textId="77777777" w:rsidR="00555E27" w:rsidRPr="00C37E4A" w:rsidRDefault="005E63BE" w:rsidP="007F215B">
      <w:pPr>
        <w:pStyle w:val="af0"/>
        <w:numPr>
          <w:ilvl w:val="0"/>
          <w:numId w:val="6"/>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Subjects who have received or are receiving curative treatment for cancer within 3 years prior to screening;</w:t>
      </w:r>
    </w:p>
    <w:p w14:paraId="6CC16812" w14:textId="77777777" w:rsidR="00555E27" w:rsidRPr="00C37E4A" w:rsidRDefault="005E63BE" w:rsidP="007F215B">
      <w:pPr>
        <w:pStyle w:val="af0"/>
        <w:numPr>
          <w:ilvl w:val="0"/>
          <w:numId w:val="7"/>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Pregnant or lactating female subjects;</w:t>
      </w:r>
    </w:p>
    <w:p w14:paraId="52C270DA" w14:textId="77777777" w:rsidR="00555E27" w:rsidRPr="00C37E4A" w:rsidRDefault="005E63BE" w:rsidP="007F215B">
      <w:pPr>
        <w:pStyle w:val="af0"/>
        <w:numPr>
          <w:ilvl w:val="0"/>
          <w:numId w:val="7"/>
        </w:numPr>
        <w:spacing w:line="360" w:lineRule="auto"/>
        <w:ind w:firstLineChars="0"/>
        <w:rPr>
          <w:rStyle w:val="fontstyle21"/>
          <w:rFonts w:ascii="Times New Roman" w:hAnsi="Times New Roman" w:cs="Times New Roman"/>
          <w:sz w:val="20"/>
          <w:szCs w:val="20"/>
        </w:rPr>
      </w:pPr>
      <w:r w:rsidRPr="00C37E4A">
        <w:rPr>
          <w:rStyle w:val="fontstyle21"/>
          <w:rFonts w:ascii="Times New Roman" w:hAnsi="Times New Roman" w:cs="Times New Roman"/>
          <w:sz w:val="20"/>
          <w:szCs w:val="20"/>
        </w:rPr>
        <w:t>Subjects with other clinically significant and/or poorly controlled comorbidities that, in the investigator's judgment, make them unsuitable for participation in the study.</w:t>
      </w:r>
    </w:p>
    <w:p w14:paraId="08702DD8" w14:textId="48D3B63A" w:rsidR="00555E27" w:rsidRPr="00C37E4A" w:rsidRDefault="005E63BE" w:rsidP="007F215B">
      <w:pPr>
        <w:spacing w:line="360" w:lineRule="auto"/>
        <w:rPr>
          <w:rFonts w:ascii="Times New Roman" w:hAnsi="Times New Roman" w:cs="Times New Roman"/>
          <w:b/>
          <w:sz w:val="20"/>
          <w:szCs w:val="20"/>
        </w:rPr>
      </w:pPr>
      <w:bookmarkStart w:id="9" w:name="_Toc162962932"/>
      <w:r w:rsidRPr="00C37E4A">
        <w:rPr>
          <w:rFonts w:ascii="Times New Roman" w:hAnsi="Times New Roman" w:cs="Times New Roman"/>
          <w:b/>
          <w:sz w:val="20"/>
          <w:szCs w:val="20"/>
        </w:rPr>
        <w:t>Sample collection, processing, and sequencing</w:t>
      </w:r>
      <w:bookmarkEnd w:id="9"/>
    </w:p>
    <w:p w14:paraId="7D02A708" w14:textId="1D4E5EFE" w:rsidR="00CD15E9" w:rsidRPr="00C37E4A" w:rsidRDefault="00A36397" w:rsidP="007F215B">
      <w:pPr>
        <w:spacing w:line="360" w:lineRule="auto"/>
        <w:rPr>
          <w:rFonts w:ascii="Times New Roman" w:hAnsi="Times New Roman" w:cs="Times New Roman"/>
          <w:sz w:val="20"/>
          <w:szCs w:val="20"/>
        </w:rPr>
      </w:pPr>
      <w:r w:rsidRPr="00C37E4A">
        <w:rPr>
          <w:rFonts w:ascii="Times New Roman" w:hAnsi="Times New Roman" w:cs="Times New Roman"/>
          <w:sz w:val="20"/>
          <w:szCs w:val="20"/>
        </w:rPr>
        <w:tab/>
      </w:r>
      <w:r w:rsidR="00CD15E9" w:rsidRPr="00C37E4A">
        <w:rPr>
          <w:rFonts w:ascii="Times New Roman" w:hAnsi="Times New Roman" w:cs="Times New Roman"/>
          <w:sz w:val="20"/>
          <w:szCs w:val="20"/>
        </w:rPr>
        <w:t>Formalin-fixed tissues were obtained from eligible participants, and 8-10 mL peripheral blood samples were collected in Cell-Free DNA Streck tubes. After centrifugation at 1600 g for 20 minutes at room temperature, plasma samples were separated from whole blood and stored at -80℃. For DNA extraction, the QIAamp DNA formalin-fixed and paraffin-embedded (FFPE) tissue kit and the QIAamp Circulating Nucleic Acid Kit (Qiagen, Valencia, CA, USA) were employed for tissue and plasma samples, respectively, following the manufacturer's instructions.</w:t>
      </w:r>
    </w:p>
    <w:p w14:paraId="529B785B" w14:textId="4FA8D41E" w:rsidR="00555E27" w:rsidRPr="00C37E4A" w:rsidRDefault="00A36397" w:rsidP="007F215B">
      <w:pPr>
        <w:autoSpaceDE w:val="0"/>
        <w:autoSpaceDN w:val="0"/>
        <w:adjustRightInd w:val="0"/>
        <w:spacing w:line="360" w:lineRule="auto"/>
        <w:ind w:firstLine="482"/>
        <w:rPr>
          <w:rFonts w:ascii="Times New Roman" w:hAnsi="Times New Roman" w:cs="Times New Roman"/>
          <w:sz w:val="20"/>
          <w:szCs w:val="20"/>
        </w:rPr>
      </w:pPr>
      <w:r w:rsidRPr="00C37E4A">
        <w:rPr>
          <w:rFonts w:ascii="Times New Roman" w:hAnsi="Times New Roman" w:cs="Times New Roman"/>
          <w:sz w:val="20"/>
          <w:szCs w:val="20"/>
        </w:rPr>
        <w:t>Methylation sequencing began with the generation of target libraries using the ELSA-seq method</w:t>
      </w:r>
      <w:r w:rsidR="005E63BE" w:rsidRPr="00C37E4A">
        <w:rPr>
          <w:rFonts w:ascii="Times New Roman" w:hAnsi="Times New Roman" w:cs="Times New Roman"/>
          <w:sz w:val="20"/>
          <w:szCs w:val="20"/>
        </w:rPr>
        <w:t>.</w:t>
      </w:r>
      <w:r w:rsidR="003276DE" w:rsidRPr="00C37E4A">
        <w:rPr>
          <w:rFonts w:ascii="Times New Roman" w:hAnsi="Times New Roman" w:cs="Times New Roman"/>
        </w:rPr>
        <w:t xml:space="preserve"> </w:t>
      </w:r>
      <w:r w:rsidR="003276DE" w:rsidRPr="00C37E4A">
        <w:rPr>
          <w:rFonts w:ascii="Times New Roman" w:hAnsi="Times New Roman" w:cs="Times New Roman"/>
          <w:sz w:val="20"/>
          <w:szCs w:val="20"/>
        </w:rPr>
        <w:t>This method has a limit of detection (LOD) of 0.01%.</w:t>
      </w:r>
      <w:r w:rsidR="005E63BE" w:rsidRPr="00C37E4A">
        <w:rPr>
          <w:rFonts w:ascii="Times New Roman" w:hAnsi="Times New Roman" w:cs="Times New Roman"/>
          <w:sz w:val="20"/>
          <w:szCs w:val="20"/>
        </w:rPr>
        <w:t xml:space="preserve"> Afterwards, the libraries were quantified using real-time PCR and sequenced on the NovaSeq 6000 instrument. The average sequencing depth was 1</w:t>
      </w:r>
      <w:r w:rsidR="000A3E4B" w:rsidRPr="00C37E4A">
        <w:rPr>
          <w:rFonts w:ascii="Times New Roman" w:hAnsi="Times New Roman" w:cs="Times New Roman"/>
          <w:sz w:val="20"/>
          <w:szCs w:val="20"/>
        </w:rPr>
        <w:t>,</w:t>
      </w:r>
      <w:r w:rsidR="005E63BE" w:rsidRPr="00C37E4A">
        <w:rPr>
          <w:rFonts w:ascii="Times New Roman" w:hAnsi="Times New Roman" w:cs="Times New Roman"/>
          <w:sz w:val="20"/>
          <w:szCs w:val="20"/>
        </w:rPr>
        <w:t xml:space="preserve">000× and 500× for plasma and tissue samples, respectively. </w:t>
      </w:r>
      <w:r w:rsidR="00AC31C9" w:rsidRPr="00C37E4A">
        <w:rPr>
          <w:rFonts w:ascii="Times New Roman" w:hAnsi="Times New Roman" w:cs="Times New Roman"/>
          <w:sz w:val="20"/>
          <w:szCs w:val="20"/>
        </w:rPr>
        <w:t>Raw sequencing data (.fastq) were trimmed by Trimmomatic and aligned to the hg19 reference genome using BWA-meth. PCR duplicate reads were identified and removed by samblaster. Paired reads were processed to represent the originating DNA fragments, and those with discordant pairing or low mapping quality (MAPQ &lt; 60) were removed from further analyses</w:t>
      </w:r>
      <w:r w:rsidR="005E63BE" w:rsidRPr="00C37E4A">
        <w:rPr>
          <w:rFonts w:ascii="Times New Roman" w:hAnsi="Times New Roman" w:cs="Times New Roman"/>
          <w:sz w:val="20"/>
          <w:szCs w:val="20"/>
        </w:rPr>
        <w:t xml:space="preserve">. Rather than examining individual CpG sites, methylation blocks were utilized for further analysis. These blocks were defined as regions with assembled CpG sites that demonstrated highly correlated methylation levels and close genomic distances. Ultimately, methylation values for </w:t>
      </w:r>
      <w:r w:rsidR="00FE1E0B" w:rsidRPr="00C37E4A">
        <w:rPr>
          <w:rFonts w:ascii="Times New Roman" w:hAnsi="Times New Roman" w:cs="Times New Roman"/>
          <w:sz w:val="20"/>
          <w:szCs w:val="20"/>
        </w:rPr>
        <w:t>7</w:t>
      </w:r>
      <w:r w:rsidR="000A3E4B" w:rsidRPr="00C37E4A">
        <w:rPr>
          <w:rFonts w:ascii="Times New Roman" w:hAnsi="Times New Roman" w:cs="Times New Roman"/>
          <w:sz w:val="20"/>
          <w:szCs w:val="20"/>
        </w:rPr>
        <w:t>,</w:t>
      </w:r>
      <w:r w:rsidR="00FE1E0B" w:rsidRPr="00C37E4A">
        <w:rPr>
          <w:rFonts w:ascii="Times New Roman" w:hAnsi="Times New Roman" w:cs="Times New Roman"/>
          <w:sz w:val="20"/>
          <w:szCs w:val="20"/>
        </w:rPr>
        <w:t xml:space="preserve">558 </w:t>
      </w:r>
      <w:r w:rsidR="005E63BE" w:rsidRPr="00C37E4A">
        <w:rPr>
          <w:rFonts w:ascii="Times New Roman" w:hAnsi="Times New Roman" w:cs="Times New Roman"/>
          <w:sz w:val="20"/>
          <w:szCs w:val="20"/>
        </w:rPr>
        <w:t>blocks covering 161,984 CpG sites were generated for each sample.</w:t>
      </w:r>
    </w:p>
    <w:p w14:paraId="7050C80E" w14:textId="21FF30DF" w:rsidR="00020EAC" w:rsidRPr="00C37E4A" w:rsidRDefault="00DD204C" w:rsidP="00020EAC">
      <w:pPr>
        <w:autoSpaceDE w:val="0"/>
        <w:autoSpaceDN w:val="0"/>
        <w:adjustRightInd w:val="0"/>
        <w:spacing w:line="360" w:lineRule="auto"/>
        <w:ind w:firstLine="482"/>
        <w:rPr>
          <w:rFonts w:ascii="Times New Roman" w:hAnsi="Times New Roman" w:cs="Times New Roman"/>
          <w:sz w:val="20"/>
          <w:szCs w:val="20"/>
        </w:rPr>
      </w:pPr>
      <w:r w:rsidRPr="00C37E4A">
        <w:rPr>
          <w:rFonts w:ascii="Times New Roman" w:hAnsi="Times New Roman" w:cs="Times New Roman"/>
          <w:sz w:val="20"/>
          <w:szCs w:val="20"/>
        </w:rPr>
        <w:t xml:space="preserve">For somatic mutation analysis, </w:t>
      </w:r>
      <w:r w:rsidR="00557475" w:rsidRPr="00C37E4A">
        <w:rPr>
          <w:rFonts w:ascii="Times New Roman" w:hAnsi="Times New Roman" w:cs="Times New Roman"/>
          <w:sz w:val="20"/>
          <w:szCs w:val="20"/>
        </w:rPr>
        <w:t xml:space="preserve">library preparation was based on Unique Molecular Identifiers (UMI), and </w:t>
      </w:r>
      <w:r w:rsidRPr="00C37E4A">
        <w:rPr>
          <w:rFonts w:ascii="Times New Roman" w:hAnsi="Times New Roman" w:cs="Times New Roman"/>
          <w:sz w:val="20"/>
          <w:szCs w:val="20"/>
        </w:rPr>
        <w:t>cfDNA were sequenced at a depth of 35,000× using a 168-gene panel.</w:t>
      </w:r>
      <w:r w:rsidR="007B0DC1" w:rsidRPr="00C37E4A">
        <w:rPr>
          <w:rFonts w:ascii="Times New Roman" w:hAnsi="Times New Roman" w:cs="Times New Roman"/>
          <w:sz w:val="20"/>
          <w:szCs w:val="20"/>
        </w:rPr>
        <w:t xml:space="preserve"> This method has been validated by the Sequencing Quality Control Phase 2 (SEQC2) workgroup initiated by the FDA and the LOD of this method can reach 0.2%.</w:t>
      </w:r>
      <w:r w:rsidR="00A36397" w:rsidRPr="00C37E4A">
        <w:rPr>
          <w:rFonts w:ascii="Times New Roman" w:hAnsi="Times New Roman" w:cs="Times New Roman"/>
          <w:sz w:val="20"/>
          <w:szCs w:val="20"/>
        </w:rPr>
        <w:t xml:space="preserve"> </w:t>
      </w:r>
      <w:r w:rsidRPr="00C37E4A">
        <w:rPr>
          <w:rFonts w:ascii="Times New Roman" w:hAnsi="Times New Roman" w:cs="Times New Roman"/>
          <w:sz w:val="20"/>
          <w:szCs w:val="20"/>
        </w:rPr>
        <w:t xml:space="preserve">This panel covers the vast majority of genes associated with HCC, such as </w:t>
      </w:r>
      <w:r w:rsidRPr="00C37E4A">
        <w:rPr>
          <w:rFonts w:ascii="Times New Roman" w:hAnsi="Times New Roman" w:cs="Times New Roman"/>
          <w:i/>
          <w:sz w:val="20"/>
          <w:szCs w:val="20"/>
        </w:rPr>
        <w:t>TP53</w:t>
      </w:r>
      <w:r w:rsidRPr="00C37E4A">
        <w:rPr>
          <w:rFonts w:ascii="Times New Roman" w:hAnsi="Times New Roman" w:cs="Times New Roman"/>
          <w:sz w:val="20"/>
          <w:szCs w:val="20"/>
        </w:rPr>
        <w:t xml:space="preserve">, </w:t>
      </w:r>
      <w:r w:rsidRPr="00C37E4A">
        <w:rPr>
          <w:rFonts w:ascii="Times New Roman" w:hAnsi="Times New Roman" w:cs="Times New Roman"/>
          <w:i/>
          <w:sz w:val="20"/>
          <w:szCs w:val="20"/>
        </w:rPr>
        <w:t>CTNNB1</w:t>
      </w:r>
      <w:r w:rsidRPr="00C37E4A">
        <w:rPr>
          <w:rFonts w:ascii="Times New Roman" w:hAnsi="Times New Roman" w:cs="Times New Roman"/>
          <w:sz w:val="20"/>
          <w:szCs w:val="20"/>
        </w:rPr>
        <w:t xml:space="preserve">, </w:t>
      </w:r>
      <w:r w:rsidRPr="00C37E4A">
        <w:rPr>
          <w:rFonts w:ascii="Times New Roman" w:hAnsi="Times New Roman" w:cs="Times New Roman"/>
          <w:i/>
          <w:sz w:val="20"/>
          <w:szCs w:val="20"/>
        </w:rPr>
        <w:t>KEAP1</w:t>
      </w:r>
      <w:r w:rsidRPr="00C37E4A">
        <w:rPr>
          <w:rFonts w:ascii="Times New Roman" w:hAnsi="Times New Roman" w:cs="Times New Roman"/>
          <w:sz w:val="20"/>
          <w:szCs w:val="20"/>
        </w:rPr>
        <w:t xml:space="preserve">, </w:t>
      </w:r>
      <w:r w:rsidRPr="00C37E4A">
        <w:rPr>
          <w:rFonts w:ascii="Times New Roman" w:hAnsi="Times New Roman" w:cs="Times New Roman"/>
          <w:i/>
          <w:sz w:val="20"/>
          <w:szCs w:val="20"/>
        </w:rPr>
        <w:t>RB1</w:t>
      </w:r>
      <w:r w:rsidRPr="00C37E4A">
        <w:rPr>
          <w:rFonts w:ascii="Times New Roman" w:hAnsi="Times New Roman" w:cs="Times New Roman"/>
          <w:sz w:val="20"/>
          <w:szCs w:val="20"/>
        </w:rPr>
        <w:t xml:space="preserve"> and </w:t>
      </w:r>
      <w:r w:rsidRPr="00C37E4A">
        <w:rPr>
          <w:rFonts w:ascii="Times New Roman" w:hAnsi="Times New Roman" w:cs="Times New Roman"/>
          <w:i/>
          <w:sz w:val="20"/>
          <w:szCs w:val="20"/>
        </w:rPr>
        <w:t>ARID1A</w:t>
      </w:r>
      <w:r w:rsidRPr="00C37E4A">
        <w:rPr>
          <w:rFonts w:ascii="Times New Roman" w:hAnsi="Times New Roman" w:cs="Times New Roman"/>
          <w:sz w:val="20"/>
          <w:szCs w:val="20"/>
        </w:rPr>
        <w:t>. Additionally, sequencing on white blood cells was performed at a depth of 10,000× to exclude clonal hematopoiesis and germline mutations.</w:t>
      </w:r>
    </w:p>
    <w:p w14:paraId="1860950C" w14:textId="0764E601" w:rsidR="00020EAC" w:rsidRPr="00C37E4A" w:rsidRDefault="00020EAC" w:rsidP="00030062">
      <w:pPr>
        <w:autoSpaceDE w:val="0"/>
        <w:autoSpaceDN w:val="0"/>
        <w:adjustRightInd w:val="0"/>
        <w:spacing w:line="360" w:lineRule="auto"/>
        <w:rPr>
          <w:rFonts w:ascii="Times New Roman" w:hAnsi="Times New Roman" w:cs="Times New Roman"/>
          <w:b/>
          <w:sz w:val="20"/>
          <w:szCs w:val="20"/>
        </w:rPr>
      </w:pPr>
      <w:r w:rsidRPr="00C37E4A">
        <w:rPr>
          <w:rFonts w:ascii="Times New Roman" w:hAnsi="Times New Roman" w:cs="Times New Roman"/>
          <w:b/>
          <w:sz w:val="20"/>
          <w:szCs w:val="20"/>
        </w:rPr>
        <w:t xml:space="preserve">Definition of methylation </w:t>
      </w:r>
      <w:r w:rsidR="00FE1E0B" w:rsidRPr="00C37E4A">
        <w:rPr>
          <w:rFonts w:ascii="Times New Roman" w:hAnsi="Times New Roman" w:cs="Times New Roman"/>
          <w:b/>
          <w:sz w:val="20"/>
          <w:szCs w:val="20"/>
        </w:rPr>
        <w:t>block</w:t>
      </w:r>
      <w:r w:rsidRPr="00C37E4A">
        <w:rPr>
          <w:rFonts w:ascii="Times New Roman" w:hAnsi="Times New Roman" w:cs="Times New Roman"/>
          <w:b/>
          <w:sz w:val="20"/>
          <w:szCs w:val="20"/>
        </w:rPr>
        <w:t xml:space="preserve"> score</w:t>
      </w:r>
    </w:p>
    <w:p w14:paraId="67535FCF" w14:textId="50038B2E" w:rsidR="00020EAC" w:rsidRPr="00C37E4A" w:rsidRDefault="00020EAC" w:rsidP="00030062">
      <w:pPr>
        <w:autoSpaceDE w:val="0"/>
        <w:autoSpaceDN w:val="0"/>
        <w:adjustRightInd w:val="0"/>
        <w:spacing w:line="360" w:lineRule="auto"/>
        <w:rPr>
          <w:rFonts w:ascii="Times New Roman" w:hAnsi="Times New Roman" w:cs="Times New Roman"/>
          <w:sz w:val="20"/>
          <w:szCs w:val="20"/>
        </w:rPr>
      </w:pPr>
      <w:r w:rsidRPr="00C37E4A">
        <w:rPr>
          <w:rFonts w:ascii="Times New Roman" w:hAnsi="Times New Roman" w:cs="Times New Roman"/>
          <w:sz w:val="20"/>
          <w:szCs w:val="20"/>
        </w:rPr>
        <w:t>We defined the m</w:t>
      </w:r>
      <w:r w:rsidR="00FE1E0B" w:rsidRPr="00C37E4A">
        <w:rPr>
          <w:rFonts w:ascii="Times New Roman" w:hAnsi="Times New Roman" w:cs="Times New Roman"/>
          <w:sz w:val="20"/>
          <w:szCs w:val="20"/>
        </w:rPr>
        <w:t>easure of the methylation block</w:t>
      </w:r>
      <w:r w:rsidRPr="00C37E4A">
        <w:rPr>
          <w:rFonts w:ascii="Times New Roman" w:hAnsi="Times New Roman" w:cs="Times New Roman"/>
          <w:sz w:val="20"/>
          <w:szCs w:val="20"/>
        </w:rPr>
        <w:t xml:space="preserve"> score as follows:</w:t>
      </w:r>
    </w:p>
    <w:p w14:paraId="68F56FAE" w14:textId="7CE3E8C0" w:rsidR="00020EAC" w:rsidRPr="00C37E4A" w:rsidRDefault="00FE1E0B" w:rsidP="00030062">
      <w:pPr>
        <w:autoSpaceDE w:val="0"/>
        <w:autoSpaceDN w:val="0"/>
        <w:adjustRightInd w:val="0"/>
        <w:spacing w:line="360" w:lineRule="auto"/>
        <w:rPr>
          <w:rFonts w:ascii="Times New Roman" w:hAnsi="Times New Roman" w:cs="Times New Roman"/>
          <w:szCs w:val="21"/>
        </w:rPr>
      </w:pPr>
      <m:oMathPara>
        <m:oMath>
          <m:r>
            <m:rPr>
              <m:sty m:val="p"/>
            </m:rPr>
            <w:rPr>
              <w:rFonts w:ascii="Cambria Math" w:hAnsi="Cambria Math" w:cs="Times New Roman"/>
              <w:szCs w:val="21"/>
            </w:rPr>
            <m:t>Methylation block score=</m:t>
          </m:r>
          <m:f>
            <m:fPr>
              <m:ctrlPr>
                <w:rPr>
                  <w:rFonts w:ascii="Cambria Math" w:eastAsia="Cambria Math" w:hAnsi="Cambria Math" w:cs="Times New Roman"/>
                  <w:szCs w:val="21"/>
                </w:rPr>
              </m:ctrlPr>
            </m:fPr>
            <m:num>
              <m:r>
                <m:rPr>
                  <m:sty m:val="p"/>
                </m:rPr>
                <w:rPr>
                  <w:rFonts w:ascii="Cambria Math" w:eastAsia="Cambria Math" w:hAnsi="Cambria Math" w:cs="Times New Roman"/>
                  <w:szCs w:val="21"/>
                </w:rPr>
                <m:t>1</m:t>
              </m:r>
              <m:ctrlPr>
                <w:rPr>
                  <w:rFonts w:ascii="Cambria Math" w:hAnsi="Cambria Math" w:cs="Times New Roman"/>
                  <w:szCs w:val="21"/>
                </w:rPr>
              </m:ctrlPr>
            </m:num>
            <m:den>
              <m:r>
                <m:rPr>
                  <m:sty m:val="p"/>
                </m:rPr>
                <w:rPr>
                  <w:rFonts w:ascii="Cambria Math" w:hAnsi="Cambria Math" w:cs="Times New Roman"/>
                  <w:szCs w:val="21"/>
                </w:rPr>
                <m:t>n</m:t>
              </m:r>
            </m:den>
          </m:f>
          <m:r>
            <w:rPr>
              <w:rFonts w:ascii="Cambria Math" w:eastAsia="Cambria Math" w:hAnsi="Cambria Math" w:cs="Times New Roman"/>
              <w:szCs w:val="21"/>
            </w:rPr>
            <m:t xml:space="preserve"> × </m:t>
          </m:r>
          <m:nary>
            <m:naryPr>
              <m:chr m:val="∑"/>
              <m:grow m:val="1"/>
              <m:ctrlPr>
                <w:rPr>
                  <w:rFonts w:ascii="Cambria Math" w:eastAsia="Cambria Math" w:hAnsi="Cambria Math" w:cs="Times New Roman"/>
                  <w:szCs w:val="21"/>
                </w:rPr>
              </m:ctrlPr>
            </m:naryPr>
            <m:sub>
              <m:r>
                <w:rPr>
                  <w:rFonts w:ascii="Cambria Math" w:eastAsia="Cambria Math" w:hAnsi="Cambria Math" w:cs="Times New Roman"/>
                  <w:szCs w:val="21"/>
                </w:rPr>
                <m:t>i=0</m:t>
              </m:r>
            </m:sub>
            <m:sup>
              <m:r>
                <w:rPr>
                  <w:rFonts w:ascii="Cambria Math" w:eastAsia="Cambria Math" w:hAnsi="Cambria Math" w:cs="Times New Roman"/>
                  <w:szCs w:val="21"/>
                </w:rPr>
                <m:t>n</m:t>
              </m:r>
            </m:sup>
            <m:e>
              <m:d>
                <m:dPr>
                  <m:ctrlPr>
                    <w:rPr>
                      <w:rFonts w:ascii="Cambria Math" w:eastAsia="Cambria Math" w:hAnsi="Cambria Math" w:cs="Times New Roman"/>
                      <w:szCs w:val="21"/>
                    </w:rPr>
                  </m:ctrlPr>
                </m:dPr>
                <m:e>
                  <m:f>
                    <m:fPr>
                      <m:ctrlPr>
                        <w:rPr>
                          <w:rFonts w:ascii="Cambria Math" w:eastAsia="Cambria Math" w:hAnsi="Cambria Math" w:cs="Times New Roman"/>
                          <w:szCs w:val="21"/>
                        </w:rPr>
                      </m:ctrlPr>
                    </m:fPr>
                    <m:num>
                      <m:nary>
                        <m:naryPr>
                          <m:chr m:val="∑"/>
                          <m:grow m:val="1"/>
                          <m:ctrlPr>
                            <w:rPr>
                              <w:rFonts w:ascii="Cambria Math" w:eastAsia="Cambria Math" w:hAnsi="Cambria Math" w:cs="Times New Roman"/>
                              <w:szCs w:val="21"/>
                            </w:rPr>
                          </m:ctrlPr>
                        </m:naryPr>
                        <m:sub>
                          <m:r>
                            <w:rPr>
                              <w:rFonts w:ascii="Cambria Math" w:eastAsia="Cambria Math" w:hAnsi="Cambria Math" w:cs="Times New Roman"/>
                              <w:szCs w:val="21"/>
                            </w:rPr>
                            <m:t>j=1</m:t>
                          </m:r>
                        </m:sub>
                        <m:sup>
                          <m:r>
                            <w:rPr>
                              <w:rFonts w:ascii="Cambria Math" w:eastAsia="Cambria Math" w:hAnsi="Cambria Math" w:cs="Times New Roman"/>
                              <w:szCs w:val="21"/>
                            </w:rPr>
                            <m:t>m</m:t>
                          </m:r>
                        </m:sup>
                        <m:e>
                          <m:sSubSup>
                            <m:sSubSupPr>
                              <m:ctrlPr>
                                <w:rPr>
                                  <w:rFonts w:ascii="Cambria Math" w:eastAsia="Cambria Math" w:hAnsi="Cambria Math" w:cs="Times New Roman"/>
                                  <w:i/>
                                  <w:szCs w:val="21"/>
                                </w:rPr>
                              </m:ctrlPr>
                            </m:sSubSupPr>
                            <m:e>
                              <m:r>
                                <w:rPr>
                                  <w:rFonts w:ascii="Cambria Math" w:eastAsia="Cambria Math" w:hAnsi="Cambria Math" w:cs="Times New Roman"/>
                                  <w:szCs w:val="21"/>
                                </w:rPr>
                                <m:t>l</m:t>
                              </m:r>
                            </m:e>
                            <m:sub>
                              <m:r>
                                <w:rPr>
                                  <w:rFonts w:ascii="Cambria Math" w:eastAsia="Cambria Math" w:hAnsi="Cambria Math" w:cs="Times New Roman"/>
                                  <w:szCs w:val="21"/>
                                </w:rPr>
                                <m:t>ij</m:t>
                              </m:r>
                            </m:sub>
                            <m:sup>
                              <m:r>
                                <w:rPr>
                                  <w:rFonts w:ascii="Cambria Math" w:eastAsia="Cambria Math" w:hAnsi="Cambria Math" w:cs="Times New Roman"/>
                                  <w:szCs w:val="21"/>
                                </w:rPr>
                                <m:t>2</m:t>
                              </m:r>
                            </m:sup>
                          </m:sSubSup>
                        </m:e>
                      </m:nary>
                    </m:num>
                    <m:den>
                      <m:sSubSup>
                        <m:sSubSupPr>
                          <m:ctrlPr>
                            <w:rPr>
                              <w:rFonts w:ascii="Cambria Math" w:eastAsia="Cambria Math" w:hAnsi="Cambria Math" w:cs="Times New Roman"/>
                              <w:i/>
                              <w:szCs w:val="21"/>
                            </w:rPr>
                          </m:ctrlPr>
                        </m:sSubSupPr>
                        <m:e>
                          <m:r>
                            <w:rPr>
                              <w:rFonts w:ascii="Cambria Math" w:eastAsia="Cambria Math" w:hAnsi="Cambria Math" w:cs="Times New Roman"/>
                              <w:szCs w:val="21"/>
                            </w:rPr>
                            <m:t>L</m:t>
                          </m:r>
                        </m:e>
                        <m:sub>
                          <m:r>
                            <w:rPr>
                              <w:rFonts w:ascii="Cambria Math" w:eastAsia="Cambria Math" w:hAnsi="Cambria Math" w:cs="Times New Roman"/>
                              <w:szCs w:val="21"/>
                            </w:rPr>
                            <m:t>i</m:t>
                          </m:r>
                        </m:sub>
                        <m:sup>
                          <m:r>
                            <w:rPr>
                              <w:rFonts w:ascii="Cambria Math" w:eastAsia="Cambria Math" w:hAnsi="Cambria Math" w:cs="Times New Roman"/>
                              <w:szCs w:val="21"/>
                            </w:rPr>
                            <m:t>2</m:t>
                          </m:r>
                        </m:sup>
                      </m:sSubSup>
                    </m:den>
                  </m:f>
                </m:e>
              </m:d>
            </m:e>
          </m:nary>
        </m:oMath>
      </m:oMathPara>
    </w:p>
    <w:p w14:paraId="09179BF9" w14:textId="7CC9DF61" w:rsidR="00020EAC" w:rsidRPr="00C37E4A" w:rsidRDefault="00FE1E0B" w:rsidP="00030062">
      <w:pPr>
        <w:autoSpaceDE w:val="0"/>
        <w:autoSpaceDN w:val="0"/>
        <w:adjustRightInd w:val="0"/>
        <w:spacing w:line="360" w:lineRule="auto"/>
        <w:rPr>
          <w:rFonts w:ascii="Times New Roman" w:hAnsi="Times New Roman" w:cs="Times New Roman"/>
          <w:sz w:val="20"/>
          <w:szCs w:val="20"/>
        </w:rPr>
      </w:pPr>
      <w:r w:rsidRPr="00C37E4A">
        <w:rPr>
          <w:rFonts w:ascii="Times New Roman" w:hAnsi="Times New Roman" w:cs="Times New Roman"/>
          <w:szCs w:val="21"/>
        </w:rPr>
        <w:t>For a given block</w:t>
      </w:r>
      <w:r w:rsidR="00020EAC" w:rsidRPr="00C37E4A">
        <w:rPr>
          <w:rFonts w:ascii="Times New Roman" w:hAnsi="Times New Roman" w:cs="Times New Roman"/>
          <w:szCs w:val="21"/>
        </w:rPr>
        <w:t xml:space="preserve">, </w:t>
      </w:r>
      <w:r w:rsidR="00020EAC" w:rsidRPr="00C37E4A">
        <w:rPr>
          <w:rFonts w:ascii="Times New Roman" w:hAnsi="Times New Roman" w:cs="Times New Roman"/>
          <w:i/>
          <w:szCs w:val="21"/>
        </w:rPr>
        <w:t>n</w:t>
      </w:r>
      <w:r w:rsidR="00020EAC" w:rsidRPr="00C37E4A">
        <w:rPr>
          <w:rFonts w:ascii="Times New Roman" w:hAnsi="Times New Roman" w:cs="Times New Roman"/>
          <w:szCs w:val="21"/>
        </w:rPr>
        <w:t xml:space="preserve"> represents the total number of reads covering multiple CpG sites. </w:t>
      </w:r>
      <w:r w:rsidR="00020EAC" w:rsidRPr="00C37E4A">
        <w:rPr>
          <w:rFonts w:ascii="Times New Roman" w:hAnsi="Times New Roman" w:cs="Times New Roman"/>
          <w:i/>
          <w:szCs w:val="21"/>
        </w:rPr>
        <w:t>L</w:t>
      </w:r>
      <w:r w:rsidR="00020EAC" w:rsidRPr="00C37E4A">
        <w:rPr>
          <w:rFonts w:ascii="Times New Roman" w:hAnsi="Times New Roman" w:cs="Times New Roman"/>
          <w:i/>
          <w:szCs w:val="21"/>
          <w:vertAlign w:val="subscript"/>
        </w:rPr>
        <w:t>i</w:t>
      </w:r>
      <w:r w:rsidR="00020EAC" w:rsidRPr="00C37E4A">
        <w:rPr>
          <w:rFonts w:ascii="Times New Roman" w:hAnsi="Times New Roman" w:cs="Times New Roman"/>
          <w:i/>
          <w:szCs w:val="21"/>
        </w:rPr>
        <w:t xml:space="preserve"> </w:t>
      </w:r>
      <w:r w:rsidR="00020EAC" w:rsidRPr="00C37E4A">
        <w:rPr>
          <w:rFonts w:ascii="Times New Roman" w:hAnsi="Times New Roman" w:cs="Times New Roman"/>
          <w:szCs w:val="21"/>
        </w:rPr>
        <w:t xml:space="preserve">denotes the number of CpG sites covered on </w:t>
      </w:r>
      <w:r w:rsidR="00AC31C9" w:rsidRPr="00C37E4A">
        <w:rPr>
          <w:rFonts w:ascii="Times New Roman" w:hAnsi="Times New Roman" w:cs="Times New Roman"/>
          <w:i/>
          <w:szCs w:val="21"/>
        </w:rPr>
        <w:t>i</w:t>
      </w:r>
      <w:r w:rsidR="00020EAC" w:rsidRPr="00C37E4A">
        <w:rPr>
          <w:rFonts w:ascii="Times New Roman" w:hAnsi="Times New Roman" w:cs="Times New Roman"/>
          <w:szCs w:val="21"/>
        </w:rPr>
        <w:t>th read, while</w:t>
      </w:r>
      <w:r w:rsidR="00020EAC" w:rsidRPr="00C37E4A">
        <w:rPr>
          <w:rFonts w:ascii="Times New Roman" w:hAnsi="Times New Roman" w:cs="Times New Roman"/>
          <w:i/>
          <w:szCs w:val="21"/>
        </w:rPr>
        <w:t xml:space="preserve"> l</w:t>
      </w:r>
      <w:r w:rsidR="00020EAC" w:rsidRPr="00C37E4A">
        <w:rPr>
          <w:rFonts w:ascii="Times New Roman" w:hAnsi="Times New Roman" w:cs="Times New Roman"/>
          <w:i/>
          <w:szCs w:val="21"/>
          <w:vertAlign w:val="subscript"/>
        </w:rPr>
        <w:t>ij</w:t>
      </w:r>
      <w:r w:rsidR="00020EAC" w:rsidRPr="00C37E4A">
        <w:rPr>
          <w:rFonts w:ascii="Times New Roman" w:hAnsi="Times New Roman" w:cs="Times New Roman"/>
          <w:i/>
          <w:szCs w:val="21"/>
        </w:rPr>
        <w:t xml:space="preserve"> </w:t>
      </w:r>
      <w:r w:rsidR="00020EAC" w:rsidRPr="00C37E4A">
        <w:rPr>
          <w:rFonts w:ascii="Times New Roman" w:hAnsi="Times New Roman" w:cs="Times New Roman"/>
          <w:szCs w:val="21"/>
        </w:rPr>
        <w:t xml:space="preserve">signifies the length of successive methylated CpG sites (&gt;1), and </w:t>
      </w:r>
      <w:r w:rsidR="00020EAC" w:rsidRPr="00C37E4A">
        <w:rPr>
          <w:rFonts w:ascii="Times New Roman" w:hAnsi="Times New Roman" w:cs="Times New Roman"/>
          <w:i/>
          <w:szCs w:val="21"/>
        </w:rPr>
        <w:t>m</w:t>
      </w:r>
      <w:r w:rsidR="00020EAC" w:rsidRPr="00C37E4A">
        <w:rPr>
          <w:rFonts w:ascii="Times New Roman" w:hAnsi="Times New Roman" w:cs="Times New Roman"/>
          <w:szCs w:val="21"/>
        </w:rPr>
        <w:t xml:space="preserve"> stands for the total counts on the </w:t>
      </w:r>
      <w:r w:rsidR="008B46B9" w:rsidRPr="00C37E4A">
        <w:rPr>
          <w:rFonts w:ascii="Times New Roman" w:hAnsi="Times New Roman" w:cs="Times New Roman"/>
          <w:i/>
          <w:szCs w:val="21"/>
        </w:rPr>
        <w:t>i</w:t>
      </w:r>
      <w:r w:rsidR="008B46B9" w:rsidRPr="00C37E4A">
        <w:rPr>
          <w:rFonts w:ascii="Times New Roman" w:hAnsi="Times New Roman" w:cs="Times New Roman"/>
          <w:szCs w:val="21"/>
        </w:rPr>
        <w:t>th</w:t>
      </w:r>
      <w:r w:rsidR="00020EAC" w:rsidRPr="00C37E4A">
        <w:rPr>
          <w:rFonts w:ascii="Times New Roman" w:hAnsi="Times New Roman" w:cs="Times New Roman"/>
          <w:szCs w:val="21"/>
        </w:rPr>
        <w:t xml:space="preserve"> read. Normalizing the depth difference, the number of reads in each region was utilized to constrain the metric within the range of 0 to 1.</w:t>
      </w:r>
    </w:p>
    <w:p w14:paraId="31652070" w14:textId="77777777" w:rsidR="00555E27" w:rsidRPr="00C37E4A" w:rsidRDefault="005E63BE" w:rsidP="007F215B">
      <w:pPr>
        <w:spacing w:line="360" w:lineRule="auto"/>
        <w:rPr>
          <w:rFonts w:ascii="Times New Roman" w:hAnsi="Times New Roman" w:cs="Times New Roman"/>
          <w:b/>
          <w:sz w:val="20"/>
          <w:szCs w:val="20"/>
        </w:rPr>
      </w:pPr>
      <w:bookmarkStart w:id="10" w:name="_Toc162962933"/>
      <w:r w:rsidRPr="00C37E4A">
        <w:rPr>
          <w:rFonts w:ascii="Times New Roman" w:hAnsi="Times New Roman" w:cs="Times New Roman"/>
          <w:b/>
          <w:sz w:val="20"/>
          <w:szCs w:val="20"/>
        </w:rPr>
        <w:t>Marker selection and construction of the methylation-based model</w:t>
      </w:r>
      <w:bookmarkEnd w:id="10"/>
    </w:p>
    <w:p w14:paraId="0F9A3950" w14:textId="4E1C5957" w:rsidR="00555E27" w:rsidRPr="00C37E4A" w:rsidRDefault="00E17FE6" w:rsidP="007F215B">
      <w:pPr>
        <w:autoSpaceDE w:val="0"/>
        <w:autoSpaceDN w:val="0"/>
        <w:adjustRightInd w:val="0"/>
        <w:spacing w:line="360" w:lineRule="auto"/>
        <w:ind w:firstLine="482"/>
        <w:rPr>
          <w:rFonts w:ascii="Times New Roman" w:hAnsi="Times New Roman" w:cs="Times New Roman"/>
          <w:sz w:val="20"/>
          <w:szCs w:val="20"/>
        </w:rPr>
      </w:pPr>
      <w:r w:rsidRPr="00C37E4A">
        <w:rPr>
          <w:rFonts w:ascii="Times New Roman" w:hAnsi="Times New Roman" w:cs="Times New Roman"/>
          <w:sz w:val="20"/>
          <w:szCs w:val="20"/>
        </w:rPr>
        <w:t xml:space="preserve">First, </w:t>
      </w:r>
      <w:r w:rsidR="00FE1E0B" w:rsidRPr="00C37E4A">
        <w:rPr>
          <w:rFonts w:ascii="Times New Roman" w:hAnsi="Times New Roman" w:cs="Times New Roman"/>
          <w:sz w:val="20"/>
          <w:szCs w:val="20"/>
        </w:rPr>
        <w:t>differentially methylated blocks (DMBs)</w:t>
      </w:r>
      <w:r w:rsidR="00FA1674" w:rsidRPr="00C37E4A">
        <w:rPr>
          <w:rFonts w:ascii="Times New Roman" w:hAnsi="Times New Roman" w:cs="Times New Roman"/>
          <w:sz w:val="20"/>
          <w:szCs w:val="20"/>
        </w:rPr>
        <w:t xml:space="preserve"> </w:t>
      </w:r>
      <w:r w:rsidR="005E63BE" w:rsidRPr="00C37E4A">
        <w:rPr>
          <w:rFonts w:ascii="Times New Roman" w:hAnsi="Times New Roman" w:cs="Times New Roman"/>
          <w:sz w:val="20"/>
          <w:szCs w:val="20"/>
        </w:rPr>
        <w:t xml:space="preserve">were </w:t>
      </w:r>
      <w:r w:rsidRPr="00C37E4A">
        <w:rPr>
          <w:rFonts w:ascii="Times New Roman" w:hAnsi="Times New Roman" w:cs="Times New Roman"/>
          <w:sz w:val="20"/>
          <w:szCs w:val="20"/>
        </w:rPr>
        <w:t>identified</w:t>
      </w:r>
      <w:r w:rsidR="005E63BE" w:rsidRPr="00C37E4A">
        <w:rPr>
          <w:rFonts w:ascii="Times New Roman" w:hAnsi="Times New Roman" w:cs="Times New Roman"/>
          <w:sz w:val="20"/>
          <w:szCs w:val="20"/>
        </w:rPr>
        <w:t xml:space="preserve"> between the </w:t>
      </w:r>
      <w:r w:rsidR="007724D1" w:rsidRPr="00C37E4A">
        <w:rPr>
          <w:rFonts w:ascii="Times New Roman" w:hAnsi="Times New Roman" w:cs="Times New Roman"/>
          <w:sz w:val="20"/>
          <w:szCs w:val="20"/>
        </w:rPr>
        <w:t xml:space="preserve">cancer </w:t>
      </w:r>
      <w:r w:rsidR="005E63BE" w:rsidRPr="00C37E4A">
        <w:rPr>
          <w:rFonts w:ascii="Times New Roman" w:hAnsi="Times New Roman" w:cs="Times New Roman"/>
          <w:sz w:val="20"/>
          <w:szCs w:val="20"/>
        </w:rPr>
        <w:t>and non-</w:t>
      </w:r>
      <w:r w:rsidR="007724D1" w:rsidRPr="00C37E4A">
        <w:rPr>
          <w:rFonts w:ascii="Times New Roman" w:hAnsi="Times New Roman" w:cs="Times New Roman"/>
          <w:sz w:val="20"/>
          <w:szCs w:val="20"/>
        </w:rPr>
        <w:t>cancer</w:t>
      </w:r>
      <w:r w:rsidR="005E63BE" w:rsidRPr="00C37E4A">
        <w:rPr>
          <w:rFonts w:ascii="Times New Roman" w:hAnsi="Times New Roman" w:cs="Times New Roman"/>
          <w:sz w:val="20"/>
          <w:szCs w:val="20"/>
        </w:rPr>
        <w:t xml:space="preserve"> control tissues, with the criteria of adjusted P &lt; 0.05 and absolute mean difference ≥ 0.2. Next, </w:t>
      </w:r>
      <w:r w:rsidR="0019617A" w:rsidRPr="00C37E4A">
        <w:rPr>
          <w:rFonts w:ascii="Times New Roman" w:hAnsi="Times New Roman" w:cs="Times New Roman"/>
          <w:sz w:val="20"/>
          <w:szCs w:val="20"/>
        </w:rPr>
        <w:t>these DMBs were further compared using the Boruta algorithm in the blood samples from HCC and non-HCC participants in the training set and the DMBs with adjusted P &lt; 0.05 and absolute mean difference ≥ 0.02 were retained</w:t>
      </w:r>
      <w:r w:rsidR="005E63BE" w:rsidRPr="00C37E4A">
        <w:rPr>
          <w:rFonts w:ascii="Times New Roman" w:hAnsi="Times New Roman" w:cs="Times New Roman"/>
          <w:sz w:val="20"/>
          <w:szCs w:val="20"/>
        </w:rPr>
        <w:t xml:space="preserve">. </w:t>
      </w:r>
      <w:r w:rsidR="00CA7F07" w:rsidRPr="00C37E4A">
        <w:rPr>
          <w:rFonts w:ascii="Times New Roman" w:hAnsi="Times New Roman" w:cs="Times New Roman"/>
          <w:sz w:val="20"/>
          <w:szCs w:val="20"/>
        </w:rPr>
        <w:t>Additionally, to further ensure the efficacy of the model in distinguishing very early-stage HCC from benign diseases, DMBs derived from comparing blood samples of Barcelona Clinic Liver Cancer Classification (BCLC) stage 0 HCC patients against those of LC, HBsAg+/CHB, and other benign subjects in the training set were also added. These blood-specific DMBs were selected using the Boruta algorithm with criteria of an adjusted P &lt; 0.05 and an absolute mean difference ≥ 0.02</w:t>
      </w:r>
      <w:r w:rsidRPr="00C37E4A">
        <w:rPr>
          <w:rFonts w:ascii="Times New Roman" w:hAnsi="Times New Roman" w:cs="Times New Roman"/>
          <w:sz w:val="20"/>
          <w:szCs w:val="20"/>
        </w:rPr>
        <w:t>.</w:t>
      </w:r>
    </w:p>
    <w:p w14:paraId="2A9576A0" w14:textId="265FE4E2" w:rsidR="00B25179" w:rsidRPr="00C37E4A" w:rsidRDefault="005E63BE" w:rsidP="007F215B">
      <w:pPr>
        <w:autoSpaceDE w:val="0"/>
        <w:autoSpaceDN w:val="0"/>
        <w:adjustRightInd w:val="0"/>
        <w:spacing w:line="360" w:lineRule="auto"/>
        <w:ind w:firstLine="482"/>
        <w:rPr>
          <w:rFonts w:ascii="Times New Roman" w:hAnsi="Times New Roman" w:cs="Times New Roman"/>
          <w:sz w:val="20"/>
          <w:szCs w:val="20"/>
        </w:rPr>
      </w:pPr>
      <w:r w:rsidRPr="00C37E4A">
        <w:rPr>
          <w:rFonts w:ascii="Times New Roman" w:hAnsi="Times New Roman" w:cs="Times New Roman"/>
          <w:sz w:val="20"/>
          <w:szCs w:val="20"/>
        </w:rPr>
        <w:t>Based on the DMBs identified, a methylation-based two-category model was developed in the training set using the supporting vector machine (SVM) algorithm with radial basis function kernel from caret R package (version 6.0) in order to distinguish between HCC samples and non-HCC controls. To determine the optimal regularization parameter C and sigma and estimate the performance of the classifier, ten-fold cross-validation was implemented. Receiver operating characteristics curves (ROC) were generated with the maximized area under the curve (AUC) to select the best model and optimize parameters.</w:t>
      </w:r>
    </w:p>
    <w:sectPr w:rsidR="00B25179" w:rsidRPr="00C37E4A" w:rsidSect="006F7998">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FFD11" w14:textId="77777777" w:rsidR="0027357E" w:rsidRDefault="0027357E">
      <w:r>
        <w:separator/>
      </w:r>
    </w:p>
  </w:endnote>
  <w:endnote w:type="continuationSeparator" w:id="0">
    <w:p w14:paraId="503AA4D9" w14:textId="77777777" w:rsidR="0027357E" w:rsidRDefault="0027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365184"/>
      <w:docPartObj>
        <w:docPartGallery w:val="AutoText"/>
      </w:docPartObj>
    </w:sdtPr>
    <w:sdtEndPr/>
    <w:sdtContent>
      <w:p w14:paraId="7EE8BAA0" w14:textId="7BEC5CC8" w:rsidR="00434AC2" w:rsidRDefault="00434AC2">
        <w:pPr>
          <w:pStyle w:val="aa"/>
          <w:jc w:val="center"/>
        </w:pPr>
        <w:r>
          <w:fldChar w:fldCharType="begin"/>
        </w:r>
        <w:r>
          <w:instrText>PAGE   \* MERGEFORMAT</w:instrText>
        </w:r>
        <w:r>
          <w:fldChar w:fldCharType="separate"/>
        </w:r>
        <w:r w:rsidR="0027357E" w:rsidRPr="0027357E">
          <w:rPr>
            <w:noProof/>
            <w:lang w:val="zh-CN"/>
          </w:rPr>
          <w:t>1</w:t>
        </w:r>
        <w:r>
          <w:fldChar w:fldCharType="end"/>
        </w:r>
      </w:p>
    </w:sdtContent>
  </w:sdt>
  <w:p w14:paraId="414C7699" w14:textId="77777777" w:rsidR="00434AC2" w:rsidRDefault="00434AC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57A95" w14:textId="77777777" w:rsidR="0027357E" w:rsidRDefault="0027357E">
      <w:r>
        <w:separator/>
      </w:r>
    </w:p>
  </w:footnote>
  <w:footnote w:type="continuationSeparator" w:id="0">
    <w:p w14:paraId="393D1DBB" w14:textId="77777777" w:rsidR="0027357E" w:rsidRDefault="002735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B33BD"/>
    <w:multiLevelType w:val="multilevel"/>
    <w:tmpl w:val="09EB33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D6915E5"/>
    <w:multiLevelType w:val="multilevel"/>
    <w:tmpl w:val="0D6915E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1ECD63BC"/>
    <w:multiLevelType w:val="multilevel"/>
    <w:tmpl w:val="1ECD63B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567166F6"/>
    <w:multiLevelType w:val="multilevel"/>
    <w:tmpl w:val="567166F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67FB6024"/>
    <w:multiLevelType w:val="multilevel"/>
    <w:tmpl w:val="67FB602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6988660E"/>
    <w:multiLevelType w:val="multilevel"/>
    <w:tmpl w:val="6988660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787858F4"/>
    <w:multiLevelType w:val="multilevel"/>
    <w:tmpl w:val="787858F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2vztsd3fvv5kewz0qva097p2s0w0v5x520&quot;&gt;My EndNote Library&lt;record-ids&gt;&lt;item&gt;140&lt;/item&gt;&lt;item&gt;170&lt;/item&gt;&lt;item&gt;182&lt;/item&gt;&lt;item&gt;195&lt;/item&gt;&lt;item&gt;275&lt;/item&gt;&lt;/record-ids&gt;&lt;/item&gt;&lt;/Libraries&gt;"/>
  </w:docVars>
  <w:rsids>
    <w:rsidRoot w:val="0050255C"/>
    <w:rsid w:val="0000012C"/>
    <w:rsid w:val="00001F96"/>
    <w:rsid w:val="0001488C"/>
    <w:rsid w:val="00017DE6"/>
    <w:rsid w:val="00020EAC"/>
    <w:rsid w:val="00030062"/>
    <w:rsid w:val="0003664E"/>
    <w:rsid w:val="00041932"/>
    <w:rsid w:val="0004496B"/>
    <w:rsid w:val="000510FE"/>
    <w:rsid w:val="0005701F"/>
    <w:rsid w:val="000574D4"/>
    <w:rsid w:val="00062D06"/>
    <w:rsid w:val="00065F30"/>
    <w:rsid w:val="00080924"/>
    <w:rsid w:val="000A0C2A"/>
    <w:rsid w:val="000A3B88"/>
    <w:rsid w:val="000A3E4B"/>
    <w:rsid w:val="000A7371"/>
    <w:rsid w:val="000B1112"/>
    <w:rsid w:val="000B16C1"/>
    <w:rsid w:val="000B345A"/>
    <w:rsid w:val="000B50F4"/>
    <w:rsid w:val="000B5183"/>
    <w:rsid w:val="000C33BC"/>
    <w:rsid w:val="000C37A1"/>
    <w:rsid w:val="000C607A"/>
    <w:rsid w:val="000D0211"/>
    <w:rsid w:val="000D3D85"/>
    <w:rsid w:val="000D7B7E"/>
    <w:rsid w:val="000E04D7"/>
    <w:rsid w:val="000E51B4"/>
    <w:rsid w:val="000F2CEB"/>
    <w:rsid w:val="000F4557"/>
    <w:rsid w:val="00102C8D"/>
    <w:rsid w:val="00123DFA"/>
    <w:rsid w:val="00124285"/>
    <w:rsid w:val="00124558"/>
    <w:rsid w:val="001264DE"/>
    <w:rsid w:val="00127061"/>
    <w:rsid w:val="00132128"/>
    <w:rsid w:val="0013214B"/>
    <w:rsid w:val="00133B2A"/>
    <w:rsid w:val="001444C3"/>
    <w:rsid w:val="00146C46"/>
    <w:rsid w:val="001606F1"/>
    <w:rsid w:val="00160B0B"/>
    <w:rsid w:val="00162768"/>
    <w:rsid w:val="00171864"/>
    <w:rsid w:val="00187AC7"/>
    <w:rsid w:val="001931D6"/>
    <w:rsid w:val="0019424A"/>
    <w:rsid w:val="0019617A"/>
    <w:rsid w:val="001B25AC"/>
    <w:rsid w:val="001B2C7F"/>
    <w:rsid w:val="001B6AF8"/>
    <w:rsid w:val="001C3626"/>
    <w:rsid w:val="001D182B"/>
    <w:rsid w:val="001D18F6"/>
    <w:rsid w:val="001E647E"/>
    <w:rsid w:val="001F4508"/>
    <w:rsid w:val="0020235D"/>
    <w:rsid w:val="0020555D"/>
    <w:rsid w:val="00210323"/>
    <w:rsid w:val="00230012"/>
    <w:rsid w:val="00232B52"/>
    <w:rsid w:val="00240D00"/>
    <w:rsid w:val="00242446"/>
    <w:rsid w:val="0024518C"/>
    <w:rsid w:val="00255E1D"/>
    <w:rsid w:val="0026333D"/>
    <w:rsid w:val="00263F40"/>
    <w:rsid w:val="0027357E"/>
    <w:rsid w:val="002805DE"/>
    <w:rsid w:val="00280AE3"/>
    <w:rsid w:val="00291528"/>
    <w:rsid w:val="002920FA"/>
    <w:rsid w:val="002A1FF9"/>
    <w:rsid w:val="002A32B9"/>
    <w:rsid w:val="002C7646"/>
    <w:rsid w:val="002D6DD7"/>
    <w:rsid w:val="002E7F08"/>
    <w:rsid w:val="002F13CB"/>
    <w:rsid w:val="002F51EA"/>
    <w:rsid w:val="0031158D"/>
    <w:rsid w:val="003165BC"/>
    <w:rsid w:val="0032341B"/>
    <w:rsid w:val="003276DE"/>
    <w:rsid w:val="00333792"/>
    <w:rsid w:val="00344CC1"/>
    <w:rsid w:val="00361551"/>
    <w:rsid w:val="00364407"/>
    <w:rsid w:val="003644A7"/>
    <w:rsid w:val="003703E7"/>
    <w:rsid w:val="00370634"/>
    <w:rsid w:val="00374EC8"/>
    <w:rsid w:val="0038777F"/>
    <w:rsid w:val="003951C4"/>
    <w:rsid w:val="003954B2"/>
    <w:rsid w:val="00395D14"/>
    <w:rsid w:val="003961B6"/>
    <w:rsid w:val="003A342F"/>
    <w:rsid w:val="003A37DE"/>
    <w:rsid w:val="003A4F7C"/>
    <w:rsid w:val="003A62C0"/>
    <w:rsid w:val="003B04F9"/>
    <w:rsid w:val="003B0E43"/>
    <w:rsid w:val="003B375E"/>
    <w:rsid w:val="003F33D6"/>
    <w:rsid w:val="003F6C9C"/>
    <w:rsid w:val="003F7775"/>
    <w:rsid w:val="00406F53"/>
    <w:rsid w:val="00407526"/>
    <w:rsid w:val="00412279"/>
    <w:rsid w:val="00413AFD"/>
    <w:rsid w:val="004150B3"/>
    <w:rsid w:val="00415773"/>
    <w:rsid w:val="004230B3"/>
    <w:rsid w:val="00430C9C"/>
    <w:rsid w:val="00434AC2"/>
    <w:rsid w:val="00440AA2"/>
    <w:rsid w:val="004516BE"/>
    <w:rsid w:val="0045248F"/>
    <w:rsid w:val="004614DA"/>
    <w:rsid w:val="00467D75"/>
    <w:rsid w:val="0047410D"/>
    <w:rsid w:val="00485B88"/>
    <w:rsid w:val="0048645B"/>
    <w:rsid w:val="00497359"/>
    <w:rsid w:val="004A0AC0"/>
    <w:rsid w:val="004B1478"/>
    <w:rsid w:val="004C08EE"/>
    <w:rsid w:val="004D6B99"/>
    <w:rsid w:val="004E2FD1"/>
    <w:rsid w:val="004E5A9D"/>
    <w:rsid w:val="004E7550"/>
    <w:rsid w:val="004E7B1E"/>
    <w:rsid w:val="004E7D91"/>
    <w:rsid w:val="0050255C"/>
    <w:rsid w:val="00503123"/>
    <w:rsid w:val="0051247F"/>
    <w:rsid w:val="00513A92"/>
    <w:rsid w:val="00513DFD"/>
    <w:rsid w:val="00513F3E"/>
    <w:rsid w:val="0054590C"/>
    <w:rsid w:val="00545F84"/>
    <w:rsid w:val="005469A7"/>
    <w:rsid w:val="00555AF9"/>
    <w:rsid w:val="00555E27"/>
    <w:rsid w:val="0055601C"/>
    <w:rsid w:val="00557475"/>
    <w:rsid w:val="00580703"/>
    <w:rsid w:val="00582233"/>
    <w:rsid w:val="00585D7C"/>
    <w:rsid w:val="00594CD2"/>
    <w:rsid w:val="005B287B"/>
    <w:rsid w:val="005B346C"/>
    <w:rsid w:val="005C79BD"/>
    <w:rsid w:val="005D11F6"/>
    <w:rsid w:val="005E11BF"/>
    <w:rsid w:val="005E3D50"/>
    <w:rsid w:val="005E63BE"/>
    <w:rsid w:val="005F0137"/>
    <w:rsid w:val="006000ED"/>
    <w:rsid w:val="0060018C"/>
    <w:rsid w:val="006042F7"/>
    <w:rsid w:val="0062649E"/>
    <w:rsid w:val="00626DE3"/>
    <w:rsid w:val="00633A5F"/>
    <w:rsid w:val="00656F4F"/>
    <w:rsid w:val="006600DD"/>
    <w:rsid w:val="00674525"/>
    <w:rsid w:val="0068660C"/>
    <w:rsid w:val="00687DBF"/>
    <w:rsid w:val="00687F6E"/>
    <w:rsid w:val="006905EE"/>
    <w:rsid w:val="006A217D"/>
    <w:rsid w:val="006A48C1"/>
    <w:rsid w:val="006B166C"/>
    <w:rsid w:val="006C3100"/>
    <w:rsid w:val="006D39B9"/>
    <w:rsid w:val="006D4287"/>
    <w:rsid w:val="006D4905"/>
    <w:rsid w:val="006E5F31"/>
    <w:rsid w:val="006E60EB"/>
    <w:rsid w:val="006F7998"/>
    <w:rsid w:val="00702184"/>
    <w:rsid w:val="00710F66"/>
    <w:rsid w:val="00713764"/>
    <w:rsid w:val="0071482D"/>
    <w:rsid w:val="00732F61"/>
    <w:rsid w:val="00733F0B"/>
    <w:rsid w:val="0073448C"/>
    <w:rsid w:val="007375E0"/>
    <w:rsid w:val="00740F89"/>
    <w:rsid w:val="00750D2B"/>
    <w:rsid w:val="007534FC"/>
    <w:rsid w:val="007724D1"/>
    <w:rsid w:val="007735FC"/>
    <w:rsid w:val="00773CDD"/>
    <w:rsid w:val="0077610E"/>
    <w:rsid w:val="00783A53"/>
    <w:rsid w:val="00786F1F"/>
    <w:rsid w:val="007919AB"/>
    <w:rsid w:val="007974A4"/>
    <w:rsid w:val="007A00FA"/>
    <w:rsid w:val="007B0DC1"/>
    <w:rsid w:val="007B747F"/>
    <w:rsid w:val="007D2052"/>
    <w:rsid w:val="007D6469"/>
    <w:rsid w:val="007E3792"/>
    <w:rsid w:val="007E769E"/>
    <w:rsid w:val="007F158B"/>
    <w:rsid w:val="007F215B"/>
    <w:rsid w:val="007F4CD7"/>
    <w:rsid w:val="00802564"/>
    <w:rsid w:val="00811FC3"/>
    <w:rsid w:val="00814DF2"/>
    <w:rsid w:val="00826E39"/>
    <w:rsid w:val="00827425"/>
    <w:rsid w:val="00836BE7"/>
    <w:rsid w:val="008431B8"/>
    <w:rsid w:val="008431DD"/>
    <w:rsid w:val="00854A2D"/>
    <w:rsid w:val="00856F90"/>
    <w:rsid w:val="00863C48"/>
    <w:rsid w:val="00877FD4"/>
    <w:rsid w:val="008859EA"/>
    <w:rsid w:val="008963C7"/>
    <w:rsid w:val="008A0B6F"/>
    <w:rsid w:val="008A4955"/>
    <w:rsid w:val="008B46B9"/>
    <w:rsid w:val="008C203A"/>
    <w:rsid w:val="008C44FD"/>
    <w:rsid w:val="008C49FA"/>
    <w:rsid w:val="008C6DB0"/>
    <w:rsid w:val="008D1F4B"/>
    <w:rsid w:val="008E3571"/>
    <w:rsid w:val="008E5E26"/>
    <w:rsid w:val="008F40A2"/>
    <w:rsid w:val="00900F62"/>
    <w:rsid w:val="009017DB"/>
    <w:rsid w:val="009111CD"/>
    <w:rsid w:val="0093681A"/>
    <w:rsid w:val="00942FAA"/>
    <w:rsid w:val="0094320F"/>
    <w:rsid w:val="009449A9"/>
    <w:rsid w:val="00946DD6"/>
    <w:rsid w:val="0095007B"/>
    <w:rsid w:val="009746E3"/>
    <w:rsid w:val="00974E2F"/>
    <w:rsid w:val="00977B06"/>
    <w:rsid w:val="00980A02"/>
    <w:rsid w:val="00984910"/>
    <w:rsid w:val="00990A3B"/>
    <w:rsid w:val="0099649A"/>
    <w:rsid w:val="00997691"/>
    <w:rsid w:val="009A7AC0"/>
    <w:rsid w:val="009C2B1D"/>
    <w:rsid w:val="009C4B81"/>
    <w:rsid w:val="009D67C2"/>
    <w:rsid w:val="009E5DDD"/>
    <w:rsid w:val="009F797D"/>
    <w:rsid w:val="00A0349D"/>
    <w:rsid w:val="00A13AB9"/>
    <w:rsid w:val="00A176EB"/>
    <w:rsid w:val="00A20AD6"/>
    <w:rsid w:val="00A25ECA"/>
    <w:rsid w:val="00A351DA"/>
    <w:rsid w:val="00A35244"/>
    <w:rsid w:val="00A36397"/>
    <w:rsid w:val="00A37BE0"/>
    <w:rsid w:val="00A54809"/>
    <w:rsid w:val="00A5522D"/>
    <w:rsid w:val="00A64F98"/>
    <w:rsid w:val="00A66872"/>
    <w:rsid w:val="00A75EE5"/>
    <w:rsid w:val="00A76C55"/>
    <w:rsid w:val="00A81E92"/>
    <w:rsid w:val="00A8330A"/>
    <w:rsid w:val="00A855ED"/>
    <w:rsid w:val="00A85872"/>
    <w:rsid w:val="00A908B0"/>
    <w:rsid w:val="00A91C09"/>
    <w:rsid w:val="00AA36FF"/>
    <w:rsid w:val="00AA3E5E"/>
    <w:rsid w:val="00AB50CA"/>
    <w:rsid w:val="00AC29DF"/>
    <w:rsid w:val="00AC31C9"/>
    <w:rsid w:val="00AC336B"/>
    <w:rsid w:val="00AC50CF"/>
    <w:rsid w:val="00AC5B76"/>
    <w:rsid w:val="00AC66B3"/>
    <w:rsid w:val="00AE10F5"/>
    <w:rsid w:val="00AE766D"/>
    <w:rsid w:val="00AF1A95"/>
    <w:rsid w:val="00B056C8"/>
    <w:rsid w:val="00B14F0D"/>
    <w:rsid w:val="00B25179"/>
    <w:rsid w:val="00B368D6"/>
    <w:rsid w:val="00B36DBD"/>
    <w:rsid w:val="00B37589"/>
    <w:rsid w:val="00B45D55"/>
    <w:rsid w:val="00B506CD"/>
    <w:rsid w:val="00B60CCA"/>
    <w:rsid w:val="00B72370"/>
    <w:rsid w:val="00B72FED"/>
    <w:rsid w:val="00B73C29"/>
    <w:rsid w:val="00B84909"/>
    <w:rsid w:val="00B959AC"/>
    <w:rsid w:val="00BA029F"/>
    <w:rsid w:val="00BA2224"/>
    <w:rsid w:val="00BA3A9E"/>
    <w:rsid w:val="00BA72EE"/>
    <w:rsid w:val="00BB2F90"/>
    <w:rsid w:val="00BB75E4"/>
    <w:rsid w:val="00BC35C2"/>
    <w:rsid w:val="00BC4B32"/>
    <w:rsid w:val="00BC6543"/>
    <w:rsid w:val="00BD6BC0"/>
    <w:rsid w:val="00BD7F98"/>
    <w:rsid w:val="00BE12D4"/>
    <w:rsid w:val="00BE56B1"/>
    <w:rsid w:val="00BF30B6"/>
    <w:rsid w:val="00BF4FDE"/>
    <w:rsid w:val="00BF65D1"/>
    <w:rsid w:val="00BF77EF"/>
    <w:rsid w:val="00C00832"/>
    <w:rsid w:val="00C05C82"/>
    <w:rsid w:val="00C17E32"/>
    <w:rsid w:val="00C247CF"/>
    <w:rsid w:val="00C25D79"/>
    <w:rsid w:val="00C3056B"/>
    <w:rsid w:val="00C36367"/>
    <w:rsid w:val="00C37E4A"/>
    <w:rsid w:val="00C42151"/>
    <w:rsid w:val="00C42702"/>
    <w:rsid w:val="00C43D39"/>
    <w:rsid w:val="00C45D2F"/>
    <w:rsid w:val="00C4659F"/>
    <w:rsid w:val="00C643DF"/>
    <w:rsid w:val="00C649DB"/>
    <w:rsid w:val="00C7720D"/>
    <w:rsid w:val="00C8454A"/>
    <w:rsid w:val="00CA1204"/>
    <w:rsid w:val="00CA16D6"/>
    <w:rsid w:val="00CA7F07"/>
    <w:rsid w:val="00CB4C99"/>
    <w:rsid w:val="00CC52EA"/>
    <w:rsid w:val="00CC59FD"/>
    <w:rsid w:val="00CC73E8"/>
    <w:rsid w:val="00CD148C"/>
    <w:rsid w:val="00CD15CA"/>
    <w:rsid w:val="00CD15E9"/>
    <w:rsid w:val="00CD1F3F"/>
    <w:rsid w:val="00CD20B9"/>
    <w:rsid w:val="00CD3244"/>
    <w:rsid w:val="00CD4834"/>
    <w:rsid w:val="00CE358A"/>
    <w:rsid w:val="00CF255F"/>
    <w:rsid w:val="00CF54F7"/>
    <w:rsid w:val="00CF7364"/>
    <w:rsid w:val="00D03AC5"/>
    <w:rsid w:val="00D04699"/>
    <w:rsid w:val="00D20567"/>
    <w:rsid w:val="00D252AF"/>
    <w:rsid w:val="00D32582"/>
    <w:rsid w:val="00D4451C"/>
    <w:rsid w:val="00D45A81"/>
    <w:rsid w:val="00D46D62"/>
    <w:rsid w:val="00D66AB9"/>
    <w:rsid w:val="00D75B07"/>
    <w:rsid w:val="00D822E8"/>
    <w:rsid w:val="00D9274C"/>
    <w:rsid w:val="00D94132"/>
    <w:rsid w:val="00D9740F"/>
    <w:rsid w:val="00DB32E9"/>
    <w:rsid w:val="00DB6E79"/>
    <w:rsid w:val="00DB7386"/>
    <w:rsid w:val="00DC6ED5"/>
    <w:rsid w:val="00DD204C"/>
    <w:rsid w:val="00DE1C5C"/>
    <w:rsid w:val="00E011AA"/>
    <w:rsid w:val="00E01D2C"/>
    <w:rsid w:val="00E033EE"/>
    <w:rsid w:val="00E052CF"/>
    <w:rsid w:val="00E07C39"/>
    <w:rsid w:val="00E107F1"/>
    <w:rsid w:val="00E125A7"/>
    <w:rsid w:val="00E13B13"/>
    <w:rsid w:val="00E1664A"/>
    <w:rsid w:val="00E17FE6"/>
    <w:rsid w:val="00E21A0D"/>
    <w:rsid w:val="00E362B1"/>
    <w:rsid w:val="00E459C6"/>
    <w:rsid w:val="00E500F7"/>
    <w:rsid w:val="00E50379"/>
    <w:rsid w:val="00E51CC9"/>
    <w:rsid w:val="00E55035"/>
    <w:rsid w:val="00E70A0C"/>
    <w:rsid w:val="00E70F69"/>
    <w:rsid w:val="00E72B01"/>
    <w:rsid w:val="00E72C60"/>
    <w:rsid w:val="00E739F1"/>
    <w:rsid w:val="00E769D8"/>
    <w:rsid w:val="00E7757A"/>
    <w:rsid w:val="00E80A14"/>
    <w:rsid w:val="00E9303C"/>
    <w:rsid w:val="00E937F2"/>
    <w:rsid w:val="00E9770D"/>
    <w:rsid w:val="00E97C30"/>
    <w:rsid w:val="00EA1CFA"/>
    <w:rsid w:val="00EA219C"/>
    <w:rsid w:val="00EA45B7"/>
    <w:rsid w:val="00EB2293"/>
    <w:rsid w:val="00EB30D3"/>
    <w:rsid w:val="00EC1393"/>
    <w:rsid w:val="00ED47B2"/>
    <w:rsid w:val="00ED7DC0"/>
    <w:rsid w:val="00EF6B2E"/>
    <w:rsid w:val="00F01F94"/>
    <w:rsid w:val="00F10835"/>
    <w:rsid w:val="00F11357"/>
    <w:rsid w:val="00F25FE0"/>
    <w:rsid w:val="00F336FD"/>
    <w:rsid w:val="00F34E84"/>
    <w:rsid w:val="00F41681"/>
    <w:rsid w:val="00F46B20"/>
    <w:rsid w:val="00F50187"/>
    <w:rsid w:val="00F54434"/>
    <w:rsid w:val="00F62356"/>
    <w:rsid w:val="00F70570"/>
    <w:rsid w:val="00F8571D"/>
    <w:rsid w:val="00F9040F"/>
    <w:rsid w:val="00FA11F0"/>
    <w:rsid w:val="00FA1674"/>
    <w:rsid w:val="00FA2199"/>
    <w:rsid w:val="00FA71B6"/>
    <w:rsid w:val="00FE15B0"/>
    <w:rsid w:val="00FE1E0B"/>
    <w:rsid w:val="00FE2E01"/>
    <w:rsid w:val="00FF7893"/>
    <w:rsid w:val="767D5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E10278"/>
  <w15:docId w15:val="{E0F161C8-CFE5-4C2B-A3C0-A15092110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character" w:styleId="a5">
    <w:name w:val="annotation reference"/>
    <w:basedOn w:val="a0"/>
    <w:uiPriority w:val="99"/>
    <w:semiHidden/>
    <w:unhideWhenUsed/>
    <w:qFormat/>
    <w:rPr>
      <w:sz w:val="21"/>
      <w:szCs w:val="21"/>
    </w:rPr>
  </w:style>
  <w:style w:type="paragraph" w:styleId="a6">
    <w:name w:val="annotation text"/>
    <w:basedOn w:val="a"/>
    <w:link w:val="a7"/>
    <w:uiPriority w:val="99"/>
    <w:unhideWhenUsed/>
    <w:qFormat/>
    <w:pPr>
      <w:jc w:val="left"/>
    </w:pPr>
  </w:style>
  <w:style w:type="paragraph" w:styleId="a8">
    <w:name w:val="annotation subject"/>
    <w:basedOn w:val="a6"/>
    <w:next w:val="a6"/>
    <w:link w:val="a9"/>
    <w:uiPriority w:val="99"/>
    <w:semiHidden/>
    <w:unhideWhenUsed/>
    <w:qFormat/>
    <w:rPr>
      <w:b/>
      <w:bCs/>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character" w:styleId="ae">
    <w:name w:val="Hyperlink"/>
    <w:basedOn w:val="a0"/>
    <w:uiPriority w:val="99"/>
    <w:unhideWhenUsed/>
    <w:qFormat/>
    <w:rPr>
      <w:color w:val="0563C1" w:themeColor="hyperlink"/>
      <w:u w:val="single"/>
    </w:rPr>
  </w:style>
  <w:style w:type="character" w:styleId="af">
    <w:name w:val="line number"/>
    <w:basedOn w:val="a0"/>
    <w:uiPriority w:val="99"/>
    <w:semiHidden/>
    <w:unhideWhenUsed/>
    <w:qFormat/>
  </w:style>
  <w:style w:type="paragraph" w:styleId="11">
    <w:name w:val="toc 1"/>
    <w:basedOn w:val="a"/>
    <w:next w:val="a"/>
    <w:uiPriority w:val="39"/>
    <w:unhideWhenUsed/>
    <w:qFormat/>
  </w:style>
  <w:style w:type="paragraph" w:styleId="21">
    <w:name w:val="toc 2"/>
    <w:basedOn w:val="a"/>
    <w:next w:val="a"/>
    <w:uiPriority w:val="39"/>
    <w:unhideWhenUsed/>
    <w:qFormat/>
    <w:pPr>
      <w:tabs>
        <w:tab w:val="right" w:leader="dot" w:pos="8296"/>
      </w:tabs>
      <w:spacing w:line="360" w:lineRule="auto"/>
      <w:ind w:leftChars="200" w:left="420"/>
    </w:p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批注框文本 字符"/>
    <w:basedOn w:val="a0"/>
    <w:link w:val="a3"/>
    <w:uiPriority w:val="99"/>
    <w:semiHidden/>
    <w:qFormat/>
    <w:rPr>
      <w:sz w:val="18"/>
      <w:szCs w:val="18"/>
    </w:rPr>
  </w:style>
  <w:style w:type="paragraph" w:styleId="af0">
    <w:name w:val="List Paragraph"/>
    <w:basedOn w:val="a"/>
    <w:uiPriority w:val="34"/>
    <w:qFormat/>
    <w:pPr>
      <w:ind w:firstLineChars="200" w:firstLine="420"/>
    </w:pPr>
  </w:style>
  <w:style w:type="character" w:customStyle="1" w:styleId="fontstyle21">
    <w:name w:val="fontstyle21"/>
    <w:basedOn w:val="a0"/>
    <w:qFormat/>
    <w:rPr>
      <w:rFonts w:ascii="TimesNewRomanPSMT" w:hAnsi="TimesNewRomanPSMT" w:hint="default"/>
      <w:color w:val="000000"/>
      <w:sz w:val="22"/>
      <w:szCs w:val="22"/>
    </w:rPr>
  </w:style>
  <w:style w:type="character" w:customStyle="1" w:styleId="a7">
    <w:name w:val="批注文字 字符"/>
    <w:basedOn w:val="a0"/>
    <w:link w:val="a6"/>
    <w:uiPriority w:val="99"/>
    <w:qFormat/>
  </w:style>
  <w:style w:type="character" w:customStyle="1" w:styleId="a9">
    <w:name w:val="批注主题 字符"/>
    <w:basedOn w:val="a7"/>
    <w:link w:val="a8"/>
    <w:uiPriority w:val="99"/>
    <w:semiHidden/>
    <w:qFormat/>
    <w:rPr>
      <w:b/>
      <w:bCs/>
    </w:rPr>
  </w:style>
  <w:style w:type="character" w:customStyle="1" w:styleId="10">
    <w:name w:val="标题 1 字符"/>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kern w:val="2"/>
      <w:szCs w:val="22"/>
    </w:rPr>
  </w:style>
  <w:style w:type="paragraph" w:customStyle="1" w:styleId="EndNoteBibliography">
    <w:name w:val="EndNote Bibliography"/>
    <w:basedOn w:val="a"/>
    <w:link w:val="EndNoteBibliography0"/>
    <w:qFormat/>
    <w:pPr>
      <w:jc w:val="center"/>
    </w:pPr>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rPr>
  </w:style>
  <w:style w:type="paragraph" w:customStyle="1" w:styleId="12">
    <w:name w:val="修订1"/>
    <w:hidden/>
    <w:uiPriority w:val="99"/>
    <w:semiHidden/>
    <w:qFormat/>
    <w:rPr>
      <w:kern w:val="2"/>
      <w:sz w:val="21"/>
      <w:szCs w:val="22"/>
    </w:rPr>
  </w:style>
  <w:style w:type="paragraph" w:styleId="TOC">
    <w:name w:val="TOC Heading"/>
    <w:basedOn w:val="1"/>
    <w:next w:val="a"/>
    <w:uiPriority w:val="39"/>
    <w:unhideWhenUsed/>
    <w:qFormat/>
    <w:rsid w:val="00001F9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3">
    <w:name w:val="toc 3"/>
    <w:basedOn w:val="a"/>
    <w:next w:val="a"/>
    <w:autoRedefine/>
    <w:uiPriority w:val="39"/>
    <w:unhideWhenUsed/>
    <w:rsid w:val="00001F96"/>
    <w:pPr>
      <w:widowControl/>
      <w:spacing w:after="100" w:line="259" w:lineRule="auto"/>
      <w:ind w:left="440"/>
      <w:jc w:val="left"/>
    </w:pPr>
    <w:rPr>
      <w:rFonts w:cs="Times New Roman"/>
      <w:kern w:val="0"/>
      <w:sz w:val="22"/>
    </w:rPr>
  </w:style>
  <w:style w:type="table" w:styleId="af1">
    <w:name w:val="Table Grid"/>
    <w:basedOn w:val="a1"/>
    <w:uiPriority w:val="39"/>
    <w:rsid w:val="00370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551198">
      <w:bodyDiv w:val="1"/>
      <w:marLeft w:val="0"/>
      <w:marRight w:val="0"/>
      <w:marTop w:val="0"/>
      <w:marBottom w:val="0"/>
      <w:divBdr>
        <w:top w:val="none" w:sz="0" w:space="0" w:color="auto"/>
        <w:left w:val="none" w:sz="0" w:space="0" w:color="auto"/>
        <w:bottom w:val="none" w:sz="0" w:space="0" w:color="auto"/>
        <w:right w:val="none" w:sz="0" w:space="0" w:color="auto"/>
      </w:divBdr>
    </w:div>
    <w:div w:id="276986083">
      <w:bodyDiv w:val="1"/>
      <w:marLeft w:val="0"/>
      <w:marRight w:val="0"/>
      <w:marTop w:val="0"/>
      <w:marBottom w:val="0"/>
      <w:divBdr>
        <w:top w:val="none" w:sz="0" w:space="0" w:color="auto"/>
        <w:left w:val="none" w:sz="0" w:space="0" w:color="auto"/>
        <w:bottom w:val="none" w:sz="0" w:space="0" w:color="auto"/>
        <w:right w:val="none" w:sz="0" w:space="0" w:color="auto"/>
      </w:divBdr>
    </w:div>
    <w:div w:id="980307613">
      <w:bodyDiv w:val="1"/>
      <w:marLeft w:val="0"/>
      <w:marRight w:val="0"/>
      <w:marTop w:val="0"/>
      <w:marBottom w:val="0"/>
      <w:divBdr>
        <w:top w:val="none" w:sz="0" w:space="0" w:color="auto"/>
        <w:left w:val="none" w:sz="0" w:space="0" w:color="auto"/>
        <w:bottom w:val="none" w:sz="0" w:space="0" w:color="auto"/>
        <w:right w:val="none" w:sz="0" w:space="0" w:color="auto"/>
      </w:divBdr>
    </w:div>
    <w:div w:id="1126047952">
      <w:bodyDiv w:val="1"/>
      <w:marLeft w:val="0"/>
      <w:marRight w:val="0"/>
      <w:marTop w:val="0"/>
      <w:marBottom w:val="0"/>
      <w:divBdr>
        <w:top w:val="none" w:sz="0" w:space="0" w:color="auto"/>
        <w:left w:val="none" w:sz="0" w:space="0" w:color="auto"/>
        <w:bottom w:val="none" w:sz="0" w:space="0" w:color="auto"/>
        <w:right w:val="none" w:sz="0" w:space="0" w:color="auto"/>
      </w:divBdr>
    </w:div>
    <w:div w:id="1367216696">
      <w:bodyDiv w:val="1"/>
      <w:marLeft w:val="0"/>
      <w:marRight w:val="0"/>
      <w:marTop w:val="0"/>
      <w:marBottom w:val="0"/>
      <w:divBdr>
        <w:top w:val="none" w:sz="0" w:space="0" w:color="auto"/>
        <w:left w:val="none" w:sz="0" w:space="0" w:color="auto"/>
        <w:bottom w:val="none" w:sz="0" w:space="0" w:color="auto"/>
        <w:right w:val="none" w:sz="0" w:space="0" w:color="auto"/>
      </w:divBdr>
    </w:div>
    <w:div w:id="1586375581">
      <w:bodyDiv w:val="1"/>
      <w:marLeft w:val="0"/>
      <w:marRight w:val="0"/>
      <w:marTop w:val="0"/>
      <w:marBottom w:val="0"/>
      <w:divBdr>
        <w:top w:val="none" w:sz="0" w:space="0" w:color="auto"/>
        <w:left w:val="none" w:sz="0" w:space="0" w:color="auto"/>
        <w:bottom w:val="none" w:sz="0" w:space="0" w:color="auto"/>
        <w:right w:val="none" w:sz="0" w:space="0" w:color="auto"/>
      </w:divBdr>
    </w:div>
    <w:div w:id="1848248637">
      <w:bodyDiv w:val="1"/>
      <w:marLeft w:val="0"/>
      <w:marRight w:val="0"/>
      <w:marTop w:val="0"/>
      <w:marBottom w:val="0"/>
      <w:divBdr>
        <w:top w:val="none" w:sz="0" w:space="0" w:color="auto"/>
        <w:left w:val="none" w:sz="0" w:space="0" w:color="auto"/>
        <w:bottom w:val="none" w:sz="0" w:space="0" w:color="auto"/>
        <w:right w:val="none" w:sz="0" w:space="0" w:color="auto"/>
      </w:divBdr>
    </w:div>
    <w:div w:id="1894657742">
      <w:bodyDiv w:val="1"/>
      <w:marLeft w:val="0"/>
      <w:marRight w:val="0"/>
      <w:marTop w:val="0"/>
      <w:marBottom w:val="0"/>
      <w:divBdr>
        <w:top w:val="none" w:sz="0" w:space="0" w:color="auto"/>
        <w:left w:val="none" w:sz="0" w:space="0" w:color="auto"/>
        <w:bottom w:val="none" w:sz="0" w:space="0" w:color="auto"/>
        <w:right w:val="none" w:sz="0" w:space="0" w:color="auto"/>
      </w:divBdr>
    </w:div>
    <w:div w:id="1942104322">
      <w:bodyDiv w:val="1"/>
      <w:marLeft w:val="0"/>
      <w:marRight w:val="0"/>
      <w:marTop w:val="0"/>
      <w:marBottom w:val="0"/>
      <w:divBdr>
        <w:top w:val="none" w:sz="0" w:space="0" w:color="auto"/>
        <w:left w:val="none" w:sz="0" w:space="0" w:color="auto"/>
        <w:bottom w:val="none" w:sz="0" w:space="0" w:color="auto"/>
        <w:right w:val="none" w:sz="0" w:space="0" w:color="auto"/>
      </w:divBdr>
    </w:div>
    <w:div w:id="2007248856">
      <w:bodyDiv w:val="1"/>
      <w:marLeft w:val="0"/>
      <w:marRight w:val="0"/>
      <w:marTop w:val="0"/>
      <w:marBottom w:val="0"/>
      <w:divBdr>
        <w:top w:val="none" w:sz="0" w:space="0" w:color="auto"/>
        <w:left w:val="none" w:sz="0" w:space="0" w:color="auto"/>
        <w:bottom w:val="none" w:sz="0" w:space="0" w:color="auto"/>
        <w:right w:val="none" w:sz="0" w:space="0" w:color="auto"/>
      </w:divBdr>
    </w:div>
    <w:div w:id="2070417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AC69D-3E1E-44C5-B6D0-0E0A50781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5</Pages>
  <Words>1732</Words>
  <Characters>9878</Characters>
  <Application>Microsoft Office Word</Application>
  <DocSecurity>0</DocSecurity>
  <Lines>82</Lines>
  <Paragraphs>23</Paragraphs>
  <ScaleCrop>false</ScaleCrop>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赵坤莉-早检医学市场部</dc:creator>
  <cp:keywords/>
  <dc:description/>
  <cp:lastModifiedBy>kunli.zhao</cp:lastModifiedBy>
  <cp:revision>11</cp:revision>
  <cp:lastPrinted>2026-06-23T08:59:00Z</cp:lastPrinted>
  <dcterms:created xsi:type="dcterms:W3CDTF">2026-03-29T08:57:00Z</dcterms:created>
  <dcterms:modified xsi:type="dcterms:W3CDTF">2026-06-24T02:06:00Z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1033-6.5.2.8766</vt:lpwstr>
  </property>
  <property fmtid="{D5CDD505-2E9C-101B-9397-08002B2CF9AE}" pid="3" name="ICV">
    <vt:lpwstr>26D5B0EB0D108B3EA38627667B786F9E_42</vt:lpwstr>
  </property>
</Properties>
</file>