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="宋体"/>
          <w:lang w:val="en-US" w:eastAsia="zh-CN"/>
        </w:rPr>
      </w:pPr>
      <w:r>
        <w:rPr>
          <w:rFonts w:hint="eastAsia" w:ascii="Times New Roman" w:hAnsi="Times New Roman"/>
          <w:b/>
          <w:bCs/>
          <w:sz w:val="32"/>
          <w:szCs w:val="32"/>
        </w:rPr>
        <w:t xml:space="preserve">Additional file </w:t>
      </w:r>
      <w:r>
        <w:rPr>
          <w:rFonts w:hint="eastAsia" w:ascii="Times New Roman" w:hAnsi="Times New Roman"/>
          <w:b/>
          <w:bCs/>
          <w:sz w:val="32"/>
          <w:szCs w:val="32"/>
          <w:lang w:val="en-US" w:eastAsia="zh-CN"/>
        </w:rPr>
        <w:t>1</w:t>
      </w:r>
      <w:bookmarkStart w:id="3" w:name="_GoBack"/>
      <w:bookmarkEnd w:id="3"/>
    </w:p>
    <w:p>
      <w:pPr>
        <w:widowControl/>
        <w:jc w:val="center"/>
        <w:rPr>
          <w:rFonts w:ascii="Times New Roman" w:hAnsi="Times New Roman"/>
          <w:b/>
          <w:bCs/>
          <w:sz w:val="24"/>
          <w:lang w:eastAsia="en-US"/>
        </w:rPr>
      </w:pPr>
      <w:r>
        <w:rPr>
          <w:rFonts w:ascii="Times New Roman" w:hAnsi="Times New Roman"/>
          <w:b/>
          <w:bCs/>
          <w:sz w:val="24"/>
          <w:lang w:eastAsia="en-US"/>
        </w:rPr>
        <w:t>Table S1: All the primers used in this study are shown in the Table.</w:t>
      </w:r>
    </w:p>
    <w:p>
      <w:pPr>
        <w:widowControl/>
        <w:jc w:val="center"/>
        <w:rPr>
          <w:rFonts w:ascii="Times New Roman" w:hAnsi="Times New Roman"/>
          <w:b/>
          <w:bCs/>
          <w:sz w:val="24"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76"/>
        <w:gridCol w:w="2460"/>
        <w:gridCol w:w="2835"/>
        <w:gridCol w:w="935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76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FFFFFF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bCs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Cs/>
                <w:kern w:val="0"/>
                <w:sz w:val="20"/>
                <w:szCs w:val="20"/>
              </w:rPr>
              <w:t>Name</w:t>
            </w:r>
          </w:p>
        </w:tc>
        <w:tc>
          <w:tcPr>
            <w:tcW w:w="2460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FFFFFF"/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Times New Roman" w:hAnsi="Times New Roman"/>
                <w:bCs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Cs/>
                <w:kern w:val="0"/>
                <w:sz w:val="20"/>
                <w:szCs w:val="20"/>
              </w:rPr>
              <w:t>Sequence (5’-3’)</w:t>
            </w:r>
          </w:p>
        </w:tc>
        <w:tc>
          <w:tcPr>
            <w:tcW w:w="2835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FFFFFF"/>
          </w:tcPr>
          <w:p>
            <w:pPr>
              <w:autoSpaceDE w:val="0"/>
              <w:spacing w:line="400" w:lineRule="exact"/>
              <w:jc w:val="center"/>
              <w:rPr>
                <w:rFonts w:ascii="Times New Roman" w:hAnsi="Times New Roman" w:eastAsia="Times New Roman"/>
                <w:bCs/>
                <w:iCs/>
                <w:kern w:val="0"/>
                <w:sz w:val="20"/>
                <w:szCs w:val="20"/>
              </w:rPr>
            </w:pPr>
          </w:p>
          <w:p>
            <w:pPr>
              <w:autoSpaceDE w:val="0"/>
              <w:spacing w:line="400" w:lineRule="exact"/>
              <w:jc w:val="center"/>
              <w:rPr>
                <w:rFonts w:ascii="Times New Roman" w:hAnsi="Times New Roman" w:eastAsia="Times New Roman"/>
                <w:bCs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bCs/>
                <w:iCs/>
                <w:kern w:val="0"/>
                <w:sz w:val="20"/>
                <w:szCs w:val="20"/>
              </w:rPr>
              <w:t>Application</w:t>
            </w:r>
          </w:p>
        </w:tc>
        <w:tc>
          <w:tcPr>
            <w:tcW w:w="935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FFFFFF"/>
          </w:tcPr>
          <w:p>
            <w:pPr>
              <w:autoSpaceDE w:val="0"/>
              <w:spacing w:line="400" w:lineRule="exact"/>
              <w:jc w:val="center"/>
              <w:rPr>
                <w:rFonts w:ascii="Times New Roman" w:hAnsi="Times New Roman" w:eastAsia="Times New Roman"/>
                <w:bCs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bCs/>
                <w:iCs/>
                <w:kern w:val="0"/>
                <w:sz w:val="20"/>
                <w:szCs w:val="20"/>
              </w:rPr>
              <w:t>Expected Amplicon Size (bp)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TYB-GSH-2-UP-F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TAGAGGGCGCTGGAAGCTCTAA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autoSpaceDE w:val="0"/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  <w:t>5’ junction genotyping (site-specific integration verification)</w:t>
            </w:r>
          </w:p>
        </w:tc>
        <w:tc>
          <w:tcPr>
            <w:tcW w:w="935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Times New Roman" w:hAnsi="Times New Roman" w:eastAsia="Times New Roman"/>
                <w:cap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  <w:t>~900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TYB-CAG-R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aps/>
                <w:sz w:val="20"/>
                <w:szCs w:val="20"/>
              </w:rPr>
              <w:t>ctgccaagtgggcagtttaccg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autoSpaceDE w:val="0"/>
              <w:spacing w:line="400" w:lineRule="exact"/>
              <w:jc w:val="center"/>
              <w:rPr>
                <w:rFonts w:ascii="Times New Roman" w:hAnsi="Times New Roman" w:eastAsia="Times New Roman"/>
                <w:cap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  <w:t>5’ junction genotyping (site-specific integration verification)</w:t>
            </w:r>
          </w:p>
        </w:tc>
        <w:tc>
          <w:tcPr>
            <w:tcW w:w="935" w:type="dxa"/>
            <w:vMerge w:val="continue"/>
            <w:tcBorders>
              <w:left w:val="nil"/>
              <w:bottom w:val="nil"/>
              <w:right w:val="nil"/>
            </w:tcBorders>
            <w:shd w:val="clear" w:color="auto" w:fill="FFFFFF"/>
          </w:tcPr>
          <w:p>
            <w:pPr>
              <w:autoSpaceDE w:val="0"/>
              <w:spacing w:line="400" w:lineRule="exact"/>
              <w:jc w:val="center"/>
              <w:rPr>
                <w:rFonts w:ascii="Times New Roman" w:hAnsi="Times New Roman" w:eastAsia="Times New Roman"/>
                <w:caps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TYB-GSH-2-</w:t>
            </w:r>
          </w:p>
          <w:p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DOWN-IL-2-F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GAACTCAAACCTCTGGAGGAAGTGC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autoSpaceDE w:val="0"/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</w:rPr>
              <w:t>3’ junction genotyping (site-specific integration verification)</w:t>
            </w:r>
          </w:p>
        </w:tc>
        <w:tc>
          <w:tcPr>
            <w:tcW w:w="935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</w:rPr>
              <w:t>~1000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TYB-GSH-2-</w:t>
            </w:r>
          </w:p>
          <w:p>
            <w:pPr>
              <w:spacing w:line="40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DOWN-R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GCAAAGCACATAAAGTCCTTGGCAC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autoSpaceDE w:val="0"/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</w:rPr>
              <w:t>3’ junction genotyping (site-specific integration verification)</w:t>
            </w:r>
          </w:p>
        </w:tc>
        <w:tc>
          <w:tcPr>
            <w:tcW w:w="935" w:type="dxa"/>
            <w:vMerge w:val="continue"/>
            <w:tcBorders>
              <w:left w:val="nil"/>
              <w:bottom w:val="nil"/>
              <w:right w:val="nil"/>
            </w:tcBorders>
            <w:shd w:val="clear" w:color="auto" w:fill="FFFFFF"/>
          </w:tcPr>
          <w:p>
            <w:pPr>
              <w:autoSpaceDE w:val="0"/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off-target-1-F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CCGGGTAGACCACCAAAT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>Off-target site 1 amplification (specificity validation)</w:t>
            </w:r>
          </w:p>
        </w:tc>
        <w:tc>
          <w:tcPr>
            <w:tcW w:w="935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</w:rPr>
              <w:t>~500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off-target-1-R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TTCTCAGGGTGGTGAGTTCC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>Off-target site 1 amplification (specificity validation)</w:t>
            </w:r>
          </w:p>
        </w:tc>
        <w:tc>
          <w:tcPr>
            <w:tcW w:w="935" w:type="dxa"/>
            <w:vMerge w:val="continue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off-target-2-F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CAGCTCGGACCGTCCAACAGT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>Off-target site 2 amplification (specificity validation)</w:t>
            </w:r>
          </w:p>
        </w:tc>
        <w:tc>
          <w:tcPr>
            <w:tcW w:w="935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>~500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off-target-2-R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TGTCGCGCTTCCTCTTGTTGCT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>Off-target site 2 amplification (specificity validation)</w:t>
            </w:r>
          </w:p>
        </w:tc>
        <w:tc>
          <w:tcPr>
            <w:tcW w:w="935" w:type="dxa"/>
            <w:vMerge w:val="continue"/>
            <w:tcBorders>
              <w:left w:val="nil"/>
              <w:bottom w:val="nil"/>
              <w:right w:val="nil"/>
            </w:tcBorders>
            <w:shd w:val="clear" w:color="auto" w:fill="FFFFFF"/>
          </w:tcPr>
          <w:p>
            <w:pPr>
              <w:autoSpaceDE w:val="0"/>
              <w:spacing w:line="400" w:lineRule="exact"/>
              <w:jc w:val="center"/>
              <w:rPr>
                <w:rFonts w:ascii="Times New Roman" w:hAnsi="Times New Roman" w:eastAsia="Times New Roma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off-target-3-F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TTGCCCAAACTCATCATACCG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>Off-target site 3 amplification (specificity validation)</w:t>
            </w:r>
          </w:p>
        </w:tc>
        <w:tc>
          <w:tcPr>
            <w:tcW w:w="935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</w:rPr>
              <w:t>~500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off-target-3-R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AAGGCAAGTCATACCAACAAATCC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>Off-target site 3 amplification (specificity validation)</w:t>
            </w:r>
          </w:p>
        </w:tc>
        <w:tc>
          <w:tcPr>
            <w:tcW w:w="935" w:type="dxa"/>
            <w:vMerge w:val="continue"/>
            <w:tcBorders>
              <w:left w:val="nil"/>
              <w:bottom w:val="nil"/>
              <w:right w:val="nil"/>
            </w:tcBorders>
            <w:shd w:val="clear" w:color="auto" w:fill="FFFFFF"/>
          </w:tcPr>
          <w:p>
            <w:pPr>
              <w:autoSpaceDE w:val="0"/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IL-2</w:t>
            </w:r>
            <w:r>
              <w:rPr>
                <w:rFonts w:ascii="Times New Roman" w:hAnsi="Times New Roman"/>
                <w:sz w:val="20"/>
                <w:szCs w:val="20"/>
              </w:rPr>
              <w:t>-QP-F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TTACATGCCCAAGAAGGCCA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autoSpaceDE w:val="0"/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i/>
                <w:iCs/>
              </w:rPr>
              <w:t>IL-2</w:t>
            </w:r>
            <w:r>
              <w:rPr>
                <w:rFonts w:ascii="Times New Roman" w:hAnsi="Times New Roman" w:eastAsia="Times New Roman"/>
              </w:rPr>
              <w:t xml:space="preserve"> qRT-PCR (mRNA expression detection)</w:t>
            </w:r>
          </w:p>
        </w:tc>
        <w:tc>
          <w:tcPr>
            <w:tcW w:w="93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</w:rPr>
              <w:t>~200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IL-2</w:t>
            </w:r>
            <w:r>
              <w:rPr>
                <w:rFonts w:ascii="Times New Roman" w:hAnsi="Times New Roman"/>
                <w:sz w:val="20"/>
                <w:szCs w:val="20"/>
              </w:rPr>
              <w:t>-QP-R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AATGGTTGCTGTCTCATCAGC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autoSpaceDE w:val="0"/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i/>
                <w:iCs/>
              </w:rPr>
              <w:t>IL-2</w:t>
            </w:r>
            <w:r>
              <w:rPr>
                <w:rFonts w:ascii="Times New Roman" w:hAnsi="Times New Roman" w:eastAsia="Times New Roman"/>
              </w:rPr>
              <w:t xml:space="preserve"> qRT-PCR (mRNA expression detection)</w:t>
            </w:r>
          </w:p>
        </w:tc>
        <w:tc>
          <w:tcPr>
            <w:tcW w:w="93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autoSpaceDE w:val="0"/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GAPDH</w:t>
            </w:r>
            <w:r>
              <w:rPr>
                <w:rFonts w:ascii="Times New Roman" w:hAnsi="Times New Roman"/>
                <w:sz w:val="20"/>
                <w:szCs w:val="20"/>
              </w:rPr>
              <w:t>-QP-F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GAAGGTGAAGGTCGGAGTC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autoSpaceDE w:val="0"/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i/>
                <w:iCs/>
              </w:rPr>
              <w:t>GAPDH</w:t>
            </w:r>
            <w:r>
              <w:rPr>
                <w:rFonts w:ascii="Times New Roman" w:hAnsi="Times New Roman" w:eastAsia="Times New Roman"/>
              </w:rPr>
              <w:t xml:space="preserve"> qRT-PCR (endogenous reference)</w:t>
            </w:r>
          </w:p>
        </w:tc>
        <w:tc>
          <w:tcPr>
            <w:tcW w:w="93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</w:rPr>
              <w:t>~170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GAPDH</w:t>
            </w:r>
            <w:r>
              <w:rPr>
                <w:rFonts w:ascii="Times New Roman" w:hAnsi="Times New Roman"/>
                <w:sz w:val="20"/>
                <w:szCs w:val="20"/>
              </w:rPr>
              <w:t>-QP-R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GAAGATGGTGATGGGATTTC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autoSpaceDE w:val="0"/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i/>
                <w:iCs/>
              </w:rPr>
              <w:t>GAPDH</w:t>
            </w:r>
            <w:r>
              <w:rPr>
                <w:rFonts w:ascii="Times New Roman" w:hAnsi="Times New Roman" w:eastAsia="Times New Roman"/>
              </w:rPr>
              <w:t xml:space="preserve"> qRT-PCR (endogenous reference)</w:t>
            </w:r>
          </w:p>
        </w:tc>
        <w:tc>
          <w:tcPr>
            <w:tcW w:w="93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等线"/>
                <w:sz w:val="20"/>
                <w:szCs w:val="20"/>
              </w:rPr>
            </w:pPr>
            <w:r>
              <w:rPr>
                <w:rFonts w:hint="eastAsia" w:ascii="Times New Roman" w:hAnsi="Times New Roman" w:eastAsia="等线"/>
                <w:i/>
                <w:iCs/>
                <w:sz w:val="20"/>
                <w:szCs w:val="20"/>
              </w:rPr>
              <w:t>A</w:t>
            </w:r>
            <w:r>
              <w:rPr>
                <w:rFonts w:ascii="Times New Roman" w:hAnsi="Times New Roman" w:eastAsia="等线"/>
                <w:i/>
                <w:iCs/>
                <w:sz w:val="20"/>
                <w:szCs w:val="20"/>
              </w:rPr>
              <w:t>CTB</w:t>
            </w:r>
            <w:r>
              <w:rPr>
                <w:rFonts w:ascii="Times New Roman" w:hAnsi="Times New Roman" w:eastAsia="等线"/>
                <w:sz w:val="20"/>
                <w:szCs w:val="20"/>
              </w:rPr>
              <w:t>-QP-F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</w:rPr>
              <w:t>GCTCACCATGGATGATGATATCGC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autoSpaceDE w:val="0"/>
              <w:spacing w:line="400" w:lineRule="exact"/>
              <w:jc w:val="center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>qPCR, internal reference gene (</w:t>
            </w:r>
            <w:r>
              <w:rPr>
                <w:rFonts w:ascii="Times New Roman" w:hAnsi="Times New Roman" w:eastAsia="Times New Roman"/>
                <w:i/>
                <w:iCs/>
              </w:rPr>
              <w:t>β-actin</w:t>
            </w:r>
            <w:r>
              <w:rPr>
                <w:rFonts w:ascii="Times New Roman" w:hAnsi="Times New Roman" w:eastAsia="Times New Roman"/>
              </w:rPr>
              <w:t>)</w:t>
            </w:r>
          </w:p>
        </w:tc>
        <w:tc>
          <w:tcPr>
            <w:tcW w:w="93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>~170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等线"/>
                <w:sz w:val="20"/>
                <w:szCs w:val="20"/>
              </w:rPr>
            </w:pPr>
            <w:r>
              <w:rPr>
                <w:rFonts w:hint="eastAsia" w:ascii="Times New Roman" w:hAnsi="Times New Roman" w:eastAsia="等线"/>
                <w:i/>
                <w:iCs/>
                <w:sz w:val="20"/>
                <w:szCs w:val="20"/>
              </w:rPr>
              <w:t>A</w:t>
            </w:r>
            <w:r>
              <w:rPr>
                <w:rFonts w:ascii="Times New Roman" w:hAnsi="Times New Roman" w:eastAsia="等线"/>
                <w:i/>
                <w:iCs/>
                <w:sz w:val="20"/>
                <w:szCs w:val="20"/>
              </w:rPr>
              <w:t>CTB</w:t>
            </w:r>
            <w:r>
              <w:rPr>
                <w:rFonts w:ascii="Times New Roman" w:hAnsi="Times New Roman" w:eastAsia="等线"/>
                <w:sz w:val="20"/>
                <w:szCs w:val="20"/>
              </w:rPr>
              <w:t>-QP-R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</w:rPr>
              <w:t>CACATAGGAATCCTTCTGACCCAT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autoSpaceDE w:val="0"/>
              <w:spacing w:line="400" w:lineRule="exact"/>
              <w:jc w:val="center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>qPCR, internal reference gene (</w:t>
            </w:r>
            <w:r>
              <w:rPr>
                <w:rFonts w:ascii="Times New Roman" w:hAnsi="Times New Roman" w:eastAsia="Times New Roman"/>
                <w:i/>
                <w:iCs/>
              </w:rPr>
              <w:t>β-actin</w:t>
            </w:r>
            <w:r>
              <w:rPr>
                <w:rFonts w:ascii="Times New Roman" w:hAnsi="Times New Roman" w:eastAsia="Times New Roman"/>
              </w:rPr>
              <w:t>)</w:t>
            </w:r>
          </w:p>
        </w:tc>
        <w:tc>
          <w:tcPr>
            <w:tcW w:w="93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Times New Roman" w:hAnsi="Times New Roman" w:eastAsia="Times New Roma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等线"/>
                <w:i/>
                <w:iCs/>
                <w:sz w:val="20"/>
                <w:szCs w:val="20"/>
              </w:rPr>
            </w:pPr>
            <w:r>
              <w:rPr>
                <w:rFonts w:hint="eastAsia" w:ascii="Times New Roman" w:hAnsi="Times New Roman" w:eastAsia="等线"/>
                <w:i/>
                <w:iCs/>
                <w:sz w:val="20"/>
                <w:szCs w:val="20"/>
              </w:rPr>
              <w:t>RPLP0</w:t>
            </w:r>
            <w:r>
              <w:rPr>
                <w:rFonts w:hint="eastAsia" w:ascii="Times New Roman" w:hAnsi="Times New Roman" w:eastAsia="等线"/>
                <w:sz w:val="20"/>
                <w:szCs w:val="20"/>
              </w:rPr>
              <w:t>-QP-F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>AGCCCAGAACACTGGTCTC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autoSpaceDE w:val="0"/>
              <w:spacing w:line="400" w:lineRule="exact"/>
              <w:jc w:val="center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>qPCR, internal reference gene</w:t>
            </w:r>
          </w:p>
        </w:tc>
        <w:tc>
          <w:tcPr>
            <w:tcW w:w="935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Times New Roman" w:hAnsi="Times New Roman" w:eastAsiaTheme="minorEastAsia"/>
              </w:rPr>
            </w:pPr>
            <w:r>
              <w:rPr>
                <w:rFonts w:ascii="Times New Roman" w:hAnsi="Times New Roman" w:eastAsiaTheme="minorEastAsia"/>
              </w:rPr>
              <w:t>~1</w:t>
            </w:r>
            <w:r>
              <w:rPr>
                <w:rFonts w:hint="eastAsia" w:ascii="Times New Roman" w:hAnsi="Times New Roman" w:eastAsiaTheme="minorEastAsia"/>
              </w:rPr>
              <w:t>00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7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等线"/>
                <w:i/>
                <w:iCs/>
                <w:sz w:val="20"/>
                <w:szCs w:val="20"/>
              </w:rPr>
            </w:pPr>
            <w:r>
              <w:rPr>
                <w:rFonts w:hint="eastAsia" w:ascii="Times New Roman" w:hAnsi="Times New Roman" w:eastAsia="等线"/>
                <w:i/>
                <w:iCs/>
                <w:sz w:val="20"/>
                <w:szCs w:val="20"/>
              </w:rPr>
              <w:t>RPLP0</w:t>
            </w:r>
            <w:r>
              <w:rPr>
                <w:rFonts w:hint="eastAsia" w:ascii="Times New Roman" w:hAnsi="Times New Roman" w:eastAsia="等线"/>
                <w:sz w:val="20"/>
                <w:szCs w:val="20"/>
              </w:rPr>
              <w:t>-QP-R</w:t>
            </w:r>
          </w:p>
        </w:tc>
        <w:tc>
          <w:tcPr>
            <w:tcW w:w="246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>ACTCAGGATTTCAATGGTGCC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>
            <w:pPr>
              <w:autoSpaceDE w:val="0"/>
              <w:spacing w:line="400" w:lineRule="exact"/>
              <w:jc w:val="center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>qPCR, internal reference gene</w:t>
            </w:r>
          </w:p>
        </w:tc>
        <w:tc>
          <w:tcPr>
            <w:tcW w:w="935" w:type="dxa"/>
            <w:vMerge w:val="continue"/>
            <w:tcBorders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Times New Roman" w:hAnsi="Times New Roman" w:eastAsia="Times New Roman"/>
              </w:rPr>
            </w:pPr>
          </w:p>
        </w:tc>
      </w:tr>
    </w:tbl>
    <w:p>
      <w:pPr>
        <w:widowControl/>
        <w:spacing w:after="200" w:line="276" w:lineRule="auto"/>
        <w:rPr>
          <w:rFonts w:ascii="Times New Roman" w:hAnsi="Times New Roman"/>
          <w:bCs/>
          <w:iCs/>
          <w:kern w:val="0"/>
          <w:sz w:val="20"/>
          <w:szCs w:val="20"/>
        </w:rPr>
      </w:pPr>
    </w:p>
    <w:p>
      <w:pPr>
        <w:widowControl/>
        <w:spacing w:after="200" w:line="276" w:lineRule="auto"/>
        <w:jc w:val="center"/>
        <w:rPr>
          <w:rFonts w:ascii="Times New Roman" w:hAnsi="Times New Roman"/>
          <w:b/>
          <w:bCs/>
          <w:sz w:val="24"/>
          <w:lang w:eastAsia="en-US"/>
        </w:rPr>
      </w:pPr>
      <w:r>
        <w:rPr>
          <w:rFonts w:ascii="Times New Roman" w:hAnsi="Times New Roman"/>
          <w:bCs/>
          <w:iCs/>
          <w:kern w:val="0"/>
          <w:sz w:val="20"/>
          <w:szCs w:val="20"/>
        </w:rPr>
        <w:br w:type="page"/>
      </w:r>
      <w:r>
        <w:rPr>
          <w:rFonts w:ascii="Times New Roman" w:hAnsi="Times New Roman"/>
          <w:b/>
          <w:bCs/>
          <w:sz w:val="24"/>
          <w:lang w:eastAsia="en-US"/>
        </w:rPr>
        <w:t>Table S</w:t>
      </w:r>
      <w:r>
        <w:rPr>
          <w:rFonts w:hint="eastAsia" w:ascii="Times New Roman" w:hAnsi="Times New Roman"/>
          <w:b/>
          <w:bCs/>
          <w:sz w:val="24"/>
          <w:lang w:val="en-US" w:eastAsia="zh-CN"/>
        </w:rPr>
        <w:t xml:space="preserve">2: </w:t>
      </w:r>
      <w:r>
        <w:rPr>
          <w:rFonts w:ascii="Times New Roman" w:hAnsi="Times New Roman"/>
          <w:b/>
          <w:bCs/>
          <w:sz w:val="24"/>
          <w:lang w:eastAsia="en-US"/>
        </w:rPr>
        <w:t>Key resources table</w:t>
      </w:r>
    </w:p>
    <w:tbl>
      <w:tblPr>
        <w:tblStyle w:val="5"/>
        <w:tblW w:w="8803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03"/>
        <w:gridCol w:w="2295"/>
        <w:gridCol w:w="1605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exact"/>
        </w:trPr>
        <w:tc>
          <w:tcPr>
            <w:tcW w:w="4903" w:type="dxa"/>
            <w:tcBorders>
              <w:top w:val="single" w:color="000000" w:sz="12" w:space="0"/>
              <w:bottom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  <w:t>REAGENT or RESOURCE</w:t>
            </w:r>
          </w:p>
        </w:tc>
        <w:tc>
          <w:tcPr>
            <w:tcW w:w="2295" w:type="dxa"/>
            <w:tcBorders>
              <w:top w:val="single" w:color="000000" w:sz="12" w:space="0"/>
              <w:bottom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  <w:t>SOURCE</w:t>
            </w:r>
          </w:p>
        </w:tc>
        <w:tc>
          <w:tcPr>
            <w:tcW w:w="1605" w:type="dxa"/>
            <w:tcBorders>
              <w:top w:val="single" w:color="000000" w:sz="12" w:space="0"/>
              <w:bottom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  <w:t>IDENTIFIER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8803" w:type="dxa"/>
            <w:gridSpan w:val="3"/>
            <w:tcBorders>
              <w:top w:val="single" w:color="000000" w:sz="12" w:space="0"/>
              <w:bottom w:val="single" w:color="000000" w:sz="12" w:space="0"/>
            </w:tcBorders>
          </w:tcPr>
          <w:p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eastAsia="en-US"/>
              </w:rPr>
              <w:t>Antibodies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4903" w:type="dxa"/>
            <w:tcBorders>
              <w:top w:val="single" w:color="000000" w:sz="12" w:space="0"/>
              <w:bottom w:val="single" w:color="000000" w:sz="6" w:space="0"/>
            </w:tcBorders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APC anti-human β2-microglobulin</w:t>
            </w:r>
          </w:p>
        </w:tc>
        <w:tc>
          <w:tcPr>
            <w:tcW w:w="2295" w:type="dxa"/>
            <w:tcBorders>
              <w:top w:val="single" w:color="000000" w:sz="12" w:space="0"/>
              <w:bottom w:val="single" w:color="000000" w:sz="6" w:space="0"/>
            </w:tcBorders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Biolegend</w:t>
            </w:r>
          </w:p>
        </w:tc>
        <w:tc>
          <w:tcPr>
            <w:tcW w:w="1605" w:type="dxa"/>
            <w:tcBorders>
              <w:top w:val="single" w:color="000000" w:sz="12" w:space="0"/>
              <w:bottom w:val="single" w:color="000000" w:sz="6" w:space="0"/>
            </w:tcBorders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Cat#316312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4903" w:type="dxa"/>
            <w:tcBorders>
              <w:top w:val="single" w:color="000000" w:sz="6" w:space="0"/>
            </w:tcBorders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PE anti-human IL-2</w:t>
            </w:r>
          </w:p>
        </w:tc>
        <w:tc>
          <w:tcPr>
            <w:tcW w:w="2295" w:type="dxa"/>
            <w:tcBorders>
              <w:top w:val="single" w:color="000000" w:sz="6" w:space="0"/>
            </w:tcBorders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Biolegend</w:t>
            </w:r>
          </w:p>
        </w:tc>
        <w:tc>
          <w:tcPr>
            <w:tcW w:w="1605" w:type="dxa"/>
            <w:tcBorders>
              <w:top w:val="single" w:color="000000" w:sz="6" w:space="0"/>
            </w:tcBorders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Cat#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500306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4903" w:type="dxa"/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HLA-BC Monoclonal Antibody</w:t>
            </w:r>
          </w:p>
        </w:tc>
        <w:tc>
          <w:tcPr>
            <w:tcW w:w="2295" w:type="dxa"/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Invitrogen</w:t>
            </w:r>
          </w:p>
        </w:tc>
        <w:tc>
          <w:tcPr>
            <w:tcW w:w="1605" w:type="dxa"/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Cat#17-5935-42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4903" w:type="dxa"/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Brilliant Violet 421 anti-human CD34</w:t>
            </w:r>
          </w:p>
        </w:tc>
        <w:tc>
          <w:tcPr>
            <w:tcW w:w="2295" w:type="dxa"/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Biolegend</w:t>
            </w:r>
          </w:p>
        </w:tc>
        <w:tc>
          <w:tcPr>
            <w:tcW w:w="1605" w:type="dxa"/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Cat#343610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4903" w:type="dxa"/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Brilliant Violet 421 anti-human HLA-DR</w:t>
            </w:r>
          </w:p>
        </w:tc>
        <w:tc>
          <w:tcPr>
            <w:tcW w:w="2295" w:type="dxa"/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Biolegend</w:t>
            </w:r>
          </w:p>
        </w:tc>
        <w:tc>
          <w:tcPr>
            <w:tcW w:w="1605" w:type="dxa"/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Cat#307636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4903" w:type="dxa"/>
          </w:tcPr>
          <w:p>
            <w:pPr>
              <w:widowControl/>
              <w:tabs>
                <w:tab w:val="left" w:pos="1525"/>
              </w:tabs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Brilliant Violet 421 anti-human CD45</w:t>
            </w:r>
          </w:p>
        </w:tc>
        <w:tc>
          <w:tcPr>
            <w:tcW w:w="2295" w:type="dxa"/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Biolegend</w:t>
            </w:r>
          </w:p>
        </w:tc>
        <w:tc>
          <w:tcPr>
            <w:tcW w:w="1605" w:type="dxa"/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Cat#304032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4903" w:type="dxa"/>
          </w:tcPr>
          <w:p>
            <w:pPr>
              <w:widowControl/>
              <w:tabs>
                <w:tab w:val="left" w:pos="1525"/>
              </w:tabs>
              <w:jc w:val="left"/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FITC anti-human CD44</w:t>
            </w:r>
          </w:p>
        </w:tc>
        <w:tc>
          <w:tcPr>
            <w:tcW w:w="2295" w:type="dxa"/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Biolegend</w:t>
            </w:r>
          </w:p>
        </w:tc>
        <w:tc>
          <w:tcPr>
            <w:tcW w:w="1605" w:type="dxa"/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Cat#338803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4903" w:type="dxa"/>
          </w:tcPr>
          <w:p>
            <w:pPr>
              <w:widowControl/>
              <w:tabs>
                <w:tab w:val="left" w:pos="1525"/>
              </w:tabs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PerCP/Cyanine5.5 anti-human CD73</w:t>
            </w:r>
          </w:p>
        </w:tc>
        <w:tc>
          <w:tcPr>
            <w:tcW w:w="2295" w:type="dxa"/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Biolegend</w:t>
            </w:r>
          </w:p>
        </w:tc>
        <w:tc>
          <w:tcPr>
            <w:tcW w:w="1605" w:type="dxa"/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Cat#344014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4903" w:type="dxa"/>
          </w:tcPr>
          <w:p>
            <w:pPr>
              <w:widowControl/>
              <w:tabs>
                <w:tab w:val="left" w:pos="1525"/>
              </w:tabs>
              <w:jc w:val="left"/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APC anti-human CD105(Endoglin)</w:t>
            </w:r>
          </w:p>
        </w:tc>
        <w:tc>
          <w:tcPr>
            <w:tcW w:w="2295" w:type="dxa"/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Biolegend</w:t>
            </w:r>
          </w:p>
        </w:tc>
        <w:tc>
          <w:tcPr>
            <w:tcW w:w="1605" w:type="dxa"/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Cat#800508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4903" w:type="dxa"/>
          </w:tcPr>
          <w:p>
            <w:pPr>
              <w:widowControl/>
              <w:tabs>
                <w:tab w:val="left" w:pos="1525"/>
              </w:tabs>
              <w:jc w:val="left"/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PE/Cyanine7 anti-human CD90(Thy1)</w:t>
            </w:r>
          </w:p>
        </w:tc>
        <w:tc>
          <w:tcPr>
            <w:tcW w:w="2295" w:type="dxa"/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Biolegend</w:t>
            </w:r>
          </w:p>
        </w:tc>
        <w:tc>
          <w:tcPr>
            <w:tcW w:w="1605" w:type="dxa"/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Cat#328124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4903" w:type="dxa"/>
          </w:tcPr>
          <w:p>
            <w:pPr>
              <w:widowControl/>
              <w:tabs>
                <w:tab w:val="left" w:pos="1525"/>
              </w:tabs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PE/Cyanine5 anti-human CD45</w:t>
            </w:r>
          </w:p>
        </w:tc>
        <w:tc>
          <w:tcPr>
            <w:tcW w:w="2295" w:type="dxa"/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Biolegend</w:t>
            </w:r>
          </w:p>
        </w:tc>
        <w:tc>
          <w:tcPr>
            <w:tcW w:w="1605" w:type="dxa"/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Cat#304010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4903" w:type="dxa"/>
          </w:tcPr>
          <w:p>
            <w:pPr>
              <w:widowControl/>
              <w:tabs>
                <w:tab w:val="left" w:pos="1525"/>
              </w:tabs>
              <w:jc w:val="left"/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Brilliant Violet 605 anti-human CD3</w:t>
            </w:r>
          </w:p>
        </w:tc>
        <w:tc>
          <w:tcPr>
            <w:tcW w:w="2295" w:type="dxa"/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Biolegend</w:t>
            </w:r>
          </w:p>
        </w:tc>
        <w:tc>
          <w:tcPr>
            <w:tcW w:w="1605" w:type="dxa"/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Cat</w:t>
            </w:r>
            <w:r>
              <w:rPr>
                <w:rFonts w:ascii="Times New Roman" w:hAnsi="Times New Roman"/>
                <w:kern w:val="0"/>
                <w:sz w:val="22"/>
                <w:szCs w:val="22"/>
              </w:rPr>
              <w:t>#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344836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4903" w:type="dxa"/>
          </w:tcPr>
          <w:p>
            <w:pPr>
              <w:widowControl/>
              <w:tabs>
                <w:tab w:val="left" w:pos="1525"/>
              </w:tabs>
              <w:jc w:val="left"/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Alexa Flour 700 anti-human CD4</w:t>
            </w:r>
          </w:p>
        </w:tc>
        <w:tc>
          <w:tcPr>
            <w:tcW w:w="2295" w:type="dxa"/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Biolegend</w:t>
            </w:r>
          </w:p>
        </w:tc>
        <w:tc>
          <w:tcPr>
            <w:tcW w:w="1605" w:type="dxa"/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Cat#344622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4903" w:type="dxa"/>
          </w:tcPr>
          <w:p>
            <w:pPr>
              <w:widowControl/>
              <w:tabs>
                <w:tab w:val="left" w:pos="1525"/>
              </w:tabs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Brilliant Violet 570 anti-human CD8</w:t>
            </w:r>
          </w:p>
        </w:tc>
        <w:tc>
          <w:tcPr>
            <w:tcW w:w="2295" w:type="dxa"/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Biolegend</w:t>
            </w:r>
          </w:p>
        </w:tc>
        <w:tc>
          <w:tcPr>
            <w:tcW w:w="1605" w:type="dxa"/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Cat#301038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4903" w:type="dxa"/>
          </w:tcPr>
          <w:p>
            <w:pPr>
              <w:widowControl/>
              <w:tabs>
                <w:tab w:val="left" w:pos="1525"/>
              </w:tabs>
              <w:jc w:val="left"/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PE anti-human CD25</w:t>
            </w:r>
          </w:p>
        </w:tc>
        <w:tc>
          <w:tcPr>
            <w:tcW w:w="2295" w:type="dxa"/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Biolegend</w:t>
            </w:r>
          </w:p>
        </w:tc>
        <w:tc>
          <w:tcPr>
            <w:tcW w:w="1605" w:type="dxa"/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Cat#356104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4903" w:type="dxa"/>
          </w:tcPr>
          <w:p>
            <w:pPr>
              <w:widowControl/>
              <w:tabs>
                <w:tab w:val="left" w:pos="1525"/>
              </w:tabs>
              <w:jc w:val="left"/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PE/Cyanine7 anti-human CD69</w:t>
            </w:r>
          </w:p>
        </w:tc>
        <w:tc>
          <w:tcPr>
            <w:tcW w:w="2295" w:type="dxa"/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Biolegend</w:t>
            </w:r>
          </w:p>
        </w:tc>
        <w:tc>
          <w:tcPr>
            <w:tcW w:w="1605" w:type="dxa"/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Cat#310912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4903" w:type="dxa"/>
          </w:tcPr>
          <w:p>
            <w:pPr>
              <w:widowControl/>
              <w:tabs>
                <w:tab w:val="left" w:pos="1525"/>
              </w:tabs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Brilliant Violet 421 anti-human FoxP3</w:t>
            </w:r>
          </w:p>
        </w:tc>
        <w:tc>
          <w:tcPr>
            <w:tcW w:w="2295" w:type="dxa"/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Biolegend</w:t>
            </w:r>
          </w:p>
        </w:tc>
        <w:tc>
          <w:tcPr>
            <w:tcW w:w="1605" w:type="dxa"/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Cat#320124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4903" w:type="dxa"/>
          </w:tcPr>
          <w:p>
            <w:pPr>
              <w:widowControl/>
              <w:tabs>
                <w:tab w:val="left" w:pos="1525"/>
              </w:tabs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Brilliant Violet 785 anti-human TIM-3</w:t>
            </w:r>
          </w:p>
        </w:tc>
        <w:tc>
          <w:tcPr>
            <w:tcW w:w="2295" w:type="dxa"/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Biolegend</w:t>
            </w:r>
          </w:p>
        </w:tc>
        <w:tc>
          <w:tcPr>
            <w:tcW w:w="1605" w:type="dxa"/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Cat#345032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4903" w:type="dxa"/>
          </w:tcPr>
          <w:p>
            <w:pPr>
              <w:widowControl/>
              <w:tabs>
                <w:tab w:val="left" w:pos="1525"/>
              </w:tabs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PE/Fire700 anti-human PD-1</w:t>
            </w:r>
          </w:p>
        </w:tc>
        <w:tc>
          <w:tcPr>
            <w:tcW w:w="2295" w:type="dxa"/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Biolegend</w:t>
            </w:r>
          </w:p>
        </w:tc>
        <w:tc>
          <w:tcPr>
            <w:tcW w:w="1605" w:type="dxa"/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Cat#621622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4903" w:type="dxa"/>
          </w:tcPr>
          <w:p>
            <w:pPr>
              <w:widowControl/>
              <w:tabs>
                <w:tab w:val="left" w:pos="1525"/>
              </w:tabs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APC/Cy7 anti-human CD107a</w:t>
            </w:r>
          </w:p>
        </w:tc>
        <w:tc>
          <w:tcPr>
            <w:tcW w:w="2295" w:type="dxa"/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Biolegend</w:t>
            </w:r>
          </w:p>
        </w:tc>
        <w:tc>
          <w:tcPr>
            <w:tcW w:w="1605" w:type="dxa"/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Cat#328630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4903" w:type="dxa"/>
          </w:tcPr>
          <w:p>
            <w:pPr>
              <w:widowControl/>
              <w:tabs>
                <w:tab w:val="left" w:pos="1525"/>
              </w:tabs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Brilliant Violet 750 anti-human IFN-γ</w:t>
            </w:r>
          </w:p>
        </w:tc>
        <w:tc>
          <w:tcPr>
            <w:tcW w:w="2295" w:type="dxa"/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Biolegend</w:t>
            </w:r>
          </w:p>
        </w:tc>
        <w:tc>
          <w:tcPr>
            <w:tcW w:w="1605" w:type="dxa"/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Cat#502550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4903" w:type="dxa"/>
          </w:tcPr>
          <w:p>
            <w:pPr>
              <w:widowControl/>
              <w:tabs>
                <w:tab w:val="left" w:pos="1525"/>
              </w:tabs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FITC anti-human GZMB</w:t>
            </w:r>
          </w:p>
        </w:tc>
        <w:tc>
          <w:tcPr>
            <w:tcW w:w="2295" w:type="dxa"/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Biolegend</w:t>
            </w:r>
          </w:p>
        </w:tc>
        <w:tc>
          <w:tcPr>
            <w:tcW w:w="1605" w:type="dxa"/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Cat#372206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4903" w:type="dxa"/>
          </w:tcPr>
          <w:p>
            <w:pPr>
              <w:widowControl/>
              <w:tabs>
                <w:tab w:val="left" w:pos="1525"/>
              </w:tabs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Brilliant Violet 650 anti-human Ki67</w:t>
            </w:r>
          </w:p>
        </w:tc>
        <w:tc>
          <w:tcPr>
            <w:tcW w:w="2295" w:type="dxa"/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Biolegend</w:t>
            </w:r>
          </w:p>
        </w:tc>
        <w:tc>
          <w:tcPr>
            <w:tcW w:w="1605" w:type="dxa"/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Cat#151215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4903" w:type="dxa"/>
          </w:tcPr>
          <w:p>
            <w:pPr>
              <w:widowControl/>
              <w:tabs>
                <w:tab w:val="left" w:pos="1525"/>
              </w:tabs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Brilliant Violet 510 anti-human CD56</w:t>
            </w:r>
          </w:p>
        </w:tc>
        <w:tc>
          <w:tcPr>
            <w:tcW w:w="2295" w:type="dxa"/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Biolegend</w:t>
            </w:r>
          </w:p>
        </w:tc>
        <w:tc>
          <w:tcPr>
            <w:tcW w:w="1605" w:type="dxa"/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Cat#318340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4903" w:type="dxa"/>
          </w:tcPr>
          <w:p>
            <w:pPr>
              <w:widowControl/>
              <w:tabs>
                <w:tab w:val="left" w:pos="1525"/>
              </w:tabs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Spark Blue 550 anti-human CD45RA</w:t>
            </w:r>
          </w:p>
        </w:tc>
        <w:tc>
          <w:tcPr>
            <w:tcW w:w="2295" w:type="dxa"/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Biolegend</w:t>
            </w:r>
          </w:p>
        </w:tc>
        <w:tc>
          <w:tcPr>
            <w:tcW w:w="1605" w:type="dxa"/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Cat#304186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4903" w:type="dxa"/>
          </w:tcPr>
          <w:p>
            <w:pPr>
              <w:widowControl/>
              <w:tabs>
                <w:tab w:val="left" w:pos="1525"/>
              </w:tabs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PE/Fire 810 anti-human CD197/CCR7</w:t>
            </w:r>
          </w:p>
        </w:tc>
        <w:tc>
          <w:tcPr>
            <w:tcW w:w="2295" w:type="dxa"/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Biolegend</w:t>
            </w:r>
          </w:p>
        </w:tc>
        <w:tc>
          <w:tcPr>
            <w:tcW w:w="1605" w:type="dxa"/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Cat#353269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4903" w:type="dxa"/>
          </w:tcPr>
          <w:p>
            <w:pPr>
              <w:widowControl/>
              <w:tabs>
                <w:tab w:val="left" w:pos="1525"/>
              </w:tabs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ZOMBIE NIR</w:t>
            </w:r>
          </w:p>
        </w:tc>
        <w:tc>
          <w:tcPr>
            <w:tcW w:w="2295" w:type="dxa"/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Biolegend</w:t>
            </w:r>
          </w:p>
        </w:tc>
        <w:tc>
          <w:tcPr>
            <w:tcW w:w="1605" w:type="dxa"/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Cat#423105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4903" w:type="dxa"/>
          </w:tcPr>
          <w:p>
            <w:pPr>
              <w:widowControl/>
              <w:tabs>
                <w:tab w:val="left" w:pos="1525"/>
              </w:tabs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APC-Cy7 anti-murine CD45</w:t>
            </w:r>
          </w:p>
        </w:tc>
        <w:tc>
          <w:tcPr>
            <w:tcW w:w="2295" w:type="dxa"/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BD Biosciences</w:t>
            </w:r>
          </w:p>
        </w:tc>
        <w:tc>
          <w:tcPr>
            <w:tcW w:w="1605" w:type="dxa"/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Cat#557659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4903" w:type="dxa"/>
          </w:tcPr>
          <w:p>
            <w:pPr>
              <w:widowControl/>
              <w:tabs>
                <w:tab w:val="left" w:pos="1525"/>
              </w:tabs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BV480 anti-murine CD3</w:t>
            </w:r>
          </w:p>
        </w:tc>
        <w:tc>
          <w:tcPr>
            <w:tcW w:w="2295" w:type="dxa"/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BD Biosciences</w:t>
            </w:r>
          </w:p>
        </w:tc>
        <w:tc>
          <w:tcPr>
            <w:tcW w:w="1605" w:type="dxa"/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Cat#565642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4903" w:type="dxa"/>
          </w:tcPr>
          <w:p>
            <w:pPr>
              <w:widowControl/>
              <w:tabs>
                <w:tab w:val="left" w:pos="1525"/>
              </w:tabs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Percp-Cy5.5 anti-murine CD8a</w:t>
            </w:r>
          </w:p>
        </w:tc>
        <w:tc>
          <w:tcPr>
            <w:tcW w:w="2295" w:type="dxa"/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BD Biosciences</w:t>
            </w:r>
          </w:p>
        </w:tc>
        <w:tc>
          <w:tcPr>
            <w:tcW w:w="1605" w:type="dxa"/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Cat#561109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4903" w:type="dxa"/>
          </w:tcPr>
          <w:p>
            <w:pPr>
              <w:widowControl/>
              <w:tabs>
                <w:tab w:val="left" w:pos="1525"/>
              </w:tabs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BV650 anti-murine CD4</w:t>
            </w:r>
          </w:p>
        </w:tc>
        <w:tc>
          <w:tcPr>
            <w:tcW w:w="2295" w:type="dxa"/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BD Biosciences</w:t>
            </w:r>
          </w:p>
        </w:tc>
        <w:tc>
          <w:tcPr>
            <w:tcW w:w="1605" w:type="dxa"/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Cat#563232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4903" w:type="dxa"/>
          </w:tcPr>
          <w:p>
            <w:pPr>
              <w:widowControl/>
              <w:tabs>
                <w:tab w:val="left" w:pos="1525"/>
              </w:tabs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BV421 anti-murine PD-1</w:t>
            </w:r>
          </w:p>
        </w:tc>
        <w:tc>
          <w:tcPr>
            <w:tcW w:w="2295" w:type="dxa"/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BD Biosciences</w:t>
            </w:r>
          </w:p>
        </w:tc>
        <w:tc>
          <w:tcPr>
            <w:tcW w:w="1605" w:type="dxa"/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Cat#562584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4903" w:type="dxa"/>
          </w:tcPr>
          <w:p>
            <w:pPr>
              <w:widowControl/>
              <w:tabs>
                <w:tab w:val="left" w:pos="1525"/>
              </w:tabs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BB515 anti-murine CD25</w:t>
            </w:r>
          </w:p>
        </w:tc>
        <w:tc>
          <w:tcPr>
            <w:tcW w:w="2295" w:type="dxa"/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BD Biosciences</w:t>
            </w:r>
          </w:p>
        </w:tc>
        <w:tc>
          <w:tcPr>
            <w:tcW w:w="1605" w:type="dxa"/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Cat#564424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4903" w:type="dxa"/>
          </w:tcPr>
          <w:p>
            <w:pPr>
              <w:widowControl/>
              <w:tabs>
                <w:tab w:val="left" w:pos="1525"/>
              </w:tabs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PE anti-murine FOXP3</w:t>
            </w:r>
          </w:p>
        </w:tc>
        <w:tc>
          <w:tcPr>
            <w:tcW w:w="2295" w:type="dxa"/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Thermo Fisher</w:t>
            </w:r>
          </w:p>
        </w:tc>
        <w:tc>
          <w:tcPr>
            <w:tcW w:w="1605" w:type="dxa"/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Cat#12-5773-82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4903" w:type="dxa"/>
          </w:tcPr>
          <w:p>
            <w:pPr>
              <w:widowControl/>
              <w:tabs>
                <w:tab w:val="left" w:pos="1525"/>
              </w:tabs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Alexa Fluor700 anti-murine CD107a</w:t>
            </w:r>
          </w:p>
        </w:tc>
        <w:tc>
          <w:tcPr>
            <w:tcW w:w="2295" w:type="dxa"/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Biolegend</w:t>
            </w:r>
          </w:p>
        </w:tc>
        <w:tc>
          <w:tcPr>
            <w:tcW w:w="1605" w:type="dxa"/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Cat#121628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4903" w:type="dxa"/>
          </w:tcPr>
          <w:p>
            <w:pPr>
              <w:widowControl/>
              <w:tabs>
                <w:tab w:val="left" w:pos="1525"/>
              </w:tabs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PE/Cyanine5 anti-murine CD69</w:t>
            </w:r>
          </w:p>
        </w:tc>
        <w:tc>
          <w:tcPr>
            <w:tcW w:w="2295" w:type="dxa"/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Biolegend</w:t>
            </w:r>
          </w:p>
        </w:tc>
        <w:tc>
          <w:tcPr>
            <w:tcW w:w="1605" w:type="dxa"/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Cat#104510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4903" w:type="dxa"/>
          </w:tcPr>
          <w:p>
            <w:pPr>
              <w:widowControl/>
              <w:tabs>
                <w:tab w:val="left" w:pos="1525"/>
              </w:tabs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Brilliant Violet605 anti-murine Ki-67</w:t>
            </w:r>
          </w:p>
        </w:tc>
        <w:tc>
          <w:tcPr>
            <w:tcW w:w="2295" w:type="dxa"/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Biolegend</w:t>
            </w:r>
          </w:p>
        </w:tc>
        <w:tc>
          <w:tcPr>
            <w:tcW w:w="1605" w:type="dxa"/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Cat#652413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4903" w:type="dxa"/>
          </w:tcPr>
          <w:p>
            <w:pPr>
              <w:widowControl/>
              <w:tabs>
                <w:tab w:val="left" w:pos="1525"/>
              </w:tabs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FITC anti-murine GZMB</w:t>
            </w:r>
          </w:p>
        </w:tc>
        <w:tc>
          <w:tcPr>
            <w:tcW w:w="2295" w:type="dxa"/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Biolegend</w:t>
            </w:r>
          </w:p>
        </w:tc>
        <w:tc>
          <w:tcPr>
            <w:tcW w:w="1605" w:type="dxa"/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Cat#372206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4903" w:type="dxa"/>
          </w:tcPr>
          <w:p>
            <w:pPr>
              <w:widowControl/>
              <w:tabs>
                <w:tab w:val="left" w:pos="1525"/>
              </w:tabs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Super Bright 436 anti-murine TIM3</w:t>
            </w:r>
          </w:p>
        </w:tc>
        <w:tc>
          <w:tcPr>
            <w:tcW w:w="2295" w:type="dxa"/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Invitrogen</w:t>
            </w:r>
          </w:p>
        </w:tc>
        <w:tc>
          <w:tcPr>
            <w:tcW w:w="1605" w:type="dxa"/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Cat#62-5870-82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4903" w:type="dxa"/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IL-2 Monoclonal antibody</w:t>
            </w:r>
          </w:p>
        </w:tc>
        <w:tc>
          <w:tcPr>
            <w:tcW w:w="2295" w:type="dxa"/>
            <w:tcBorders>
              <w:bottom w:val="single" w:color="000000" w:sz="12" w:space="0"/>
            </w:tcBorders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Proteintech</w:t>
            </w:r>
          </w:p>
        </w:tc>
        <w:tc>
          <w:tcPr>
            <w:tcW w:w="1605" w:type="dxa"/>
            <w:tcBorders>
              <w:bottom w:val="single" w:color="000000" w:sz="12" w:space="0"/>
            </w:tcBorders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Cat# CL488-60306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4903" w:type="dxa"/>
            <w:tcBorders>
              <w:top w:val="single" w:color="000000" w:sz="12" w:space="0"/>
              <w:bottom w:val="single" w:color="000000" w:sz="12" w:space="0"/>
            </w:tcBorders>
          </w:tcPr>
          <w:p>
            <w:pPr>
              <w:widowControl/>
              <w:tabs>
                <w:tab w:val="left" w:pos="1525"/>
              </w:tabs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eastAsia="en-US"/>
              </w:rPr>
              <w:t xml:space="preserve">Bacterial and virus strains </w:t>
            </w:r>
          </w:p>
        </w:tc>
        <w:tc>
          <w:tcPr>
            <w:tcW w:w="2295" w:type="dxa"/>
            <w:tcBorders>
              <w:top w:val="single" w:color="000000" w:sz="12" w:space="0"/>
              <w:bottom w:val="single" w:color="000000" w:sz="12" w:space="0"/>
            </w:tcBorders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single" w:color="000000" w:sz="12" w:space="0"/>
              <w:bottom w:val="single" w:color="000000" w:sz="12" w:space="0"/>
            </w:tcBorders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4903" w:type="dxa"/>
          </w:tcPr>
          <w:p>
            <w:pPr>
              <w:widowControl/>
              <w:tabs>
                <w:tab w:val="left" w:pos="1525"/>
              </w:tabs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  <w:t>DH5α Chemically Competent Cell</w:t>
            </w:r>
          </w:p>
        </w:tc>
        <w:tc>
          <w:tcPr>
            <w:tcW w:w="2295" w:type="dxa"/>
            <w:tcBorders>
              <w:top w:val="single" w:color="000000" w:sz="12" w:space="0"/>
            </w:tcBorders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  <w:t>singke</w:t>
            </w:r>
          </w:p>
        </w:tc>
        <w:tc>
          <w:tcPr>
            <w:tcW w:w="1605" w:type="dxa"/>
            <w:tcBorders>
              <w:top w:val="single" w:color="000000" w:sz="12" w:space="0"/>
            </w:tcBorders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Cat#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  <w:t>TSC-C14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4903" w:type="dxa"/>
          </w:tcPr>
          <w:p>
            <w:pPr>
              <w:widowControl/>
              <w:tabs>
                <w:tab w:val="left" w:pos="1525"/>
              </w:tabs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pASLenti-pA-LuC2-CMV-EF1-EGFP-P2A-PurO-WPRE lentivector </w:t>
            </w:r>
          </w:p>
        </w:tc>
        <w:tc>
          <w:tcPr>
            <w:tcW w:w="2295" w:type="dxa"/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Obio</w:t>
            </w:r>
          </w:p>
        </w:tc>
        <w:tc>
          <w:tcPr>
            <w:tcW w:w="1605" w:type="dxa"/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#GL161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4903" w:type="dxa"/>
            <w:tcBorders>
              <w:bottom w:val="single" w:color="000000" w:sz="12" w:space="0"/>
            </w:tcBorders>
          </w:tcPr>
          <w:p>
            <w:pPr>
              <w:widowControl/>
              <w:tabs>
                <w:tab w:val="left" w:pos="1525"/>
              </w:tabs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eastAsia="en-US"/>
              </w:rPr>
              <w:t>Biological samples</w:t>
            </w:r>
          </w:p>
        </w:tc>
        <w:tc>
          <w:tcPr>
            <w:tcW w:w="2295" w:type="dxa"/>
            <w:tcBorders>
              <w:bottom w:val="single" w:color="000000" w:sz="12" w:space="0"/>
            </w:tcBorders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605" w:type="dxa"/>
            <w:tcBorders>
              <w:bottom w:val="single" w:color="000000" w:sz="12" w:space="0"/>
            </w:tcBorders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4903" w:type="dxa"/>
          </w:tcPr>
          <w:p>
            <w:pPr>
              <w:widowControl/>
              <w:tabs>
                <w:tab w:val="left" w:pos="1490"/>
              </w:tabs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Human Peripheral Blood Mononuclear</w:t>
            </w:r>
          </w:p>
          <w:p>
            <w:pPr>
              <w:widowControl/>
              <w:tabs>
                <w:tab w:val="left" w:pos="1525"/>
              </w:tabs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Cells, Fresh</w:t>
            </w:r>
          </w:p>
        </w:tc>
        <w:tc>
          <w:tcPr>
            <w:tcW w:w="2295" w:type="dxa"/>
            <w:tcBorders>
              <w:top w:val="single" w:color="000000" w:sz="12" w:space="0"/>
              <w:bottom w:val="single" w:color="000000" w:sz="12" w:space="0"/>
            </w:tcBorders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This paper</w:t>
            </w:r>
          </w:p>
        </w:tc>
        <w:tc>
          <w:tcPr>
            <w:tcW w:w="1605" w:type="dxa"/>
            <w:tcBorders>
              <w:top w:val="single" w:color="000000" w:sz="12" w:space="0"/>
              <w:bottom w:val="single" w:color="000000" w:sz="12" w:space="0"/>
            </w:tcBorders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N/A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4903" w:type="dxa"/>
            <w:tcBorders>
              <w:top w:val="single" w:color="000000" w:sz="12" w:space="0"/>
              <w:bottom w:val="single" w:color="000000" w:sz="12" w:space="0"/>
            </w:tcBorders>
          </w:tcPr>
          <w:p>
            <w:pPr>
              <w:widowControl/>
              <w:tabs>
                <w:tab w:val="left" w:pos="1525"/>
              </w:tabs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eastAsia="en-US"/>
              </w:rPr>
              <w:t>Chemicals, peptides, and recombinant proteins</w:t>
            </w:r>
          </w:p>
        </w:tc>
        <w:tc>
          <w:tcPr>
            <w:tcW w:w="2295" w:type="dxa"/>
            <w:tcBorders>
              <w:top w:val="single" w:color="000000" w:sz="12" w:space="0"/>
              <w:bottom w:val="single" w:color="000000" w:sz="12" w:space="0"/>
            </w:tcBorders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single" w:color="000000" w:sz="12" w:space="0"/>
              <w:bottom w:val="single" w:color="000000" w:sz="12" w:space="0"/>
            </w:tcBorders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4903" w:type="dxa"/>
            <w:tcBorders>
              <w:top w:val="single" w:color="000000" w:sz="12" w:space="0"/>
              <w:bottom w:val="single" w:color="000000" w:sz="6" w:space="0"/>
            </w:tcBorders>
          </w:tcPr>
          <w:p>
            <w:pPr>
              <w:widowControl/>
              <w:tabs>
                <w:tab w:val="left" w:pos="1525"/>
              </w:tabs>
              <w:jc w:val="left"/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Recombinant human interleukin-2</w:t>
            </w:r>
          </w:p>
        </w:tc>
        <w:tc>
          <w:tcPr>
            <w:tcW w:w="2295" w:type="dxa"/>
            <w:tcBorders>
              <w:top w:val="single" w:color="000000" w:sz="12" w:space="0"/>
              <w:bottom w:val="single" w:color="000000" w:sz="6" w:space="0"/>
            </w:tcBorders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SL PHARM</w:t>
            </w:r>
          </w:p>
        </w:tc>
        <w:tc>
          <w:tcPr>
            <w:tcW w:w="1605" w:type="dxa"/>
            <w:tcBorders>
              <w:top w:val="single" w:color="000000" w:sz="12" w:space="0"/>
              <w:bottom w:val="single" w:color="000000" w:sz="6" w:space="0"/>
            </w:tcBorders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Cat#S19991007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4903" w:type="dxa"/>
            <w:tcBorders>
              <w:top w:val="single" w:color="000000" w:sz="6" w:space="0"/>
            </w:tcBorders>
          </w:tcPr>
          <w:p>
            <w:pPr>
              <w:widowControl/>
              <w:tabs>
                <w:tab w:val="left" w:pos="1525"/>
              </w:tabs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Cell Trace Violet Cell stain</w:t>
            </w:r>
          </w:p>
        </w:tc>
        <w:tc>
          <w:tcPr>
            <w:tcW w:w="2295" w:type="dxa"/>
            <w:tcBorders>
              <w:top w:val="single" w:color="000000" w:sz="6" w:space="0"/>
            </w:tcBorders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Invitrogen</w:t>
            </w:r>
          </w:p>
        </w:tc>
        <w:tc>
          <w:tcPr>
            <w:tcW w:w="1605" w:type="dxa"/>
            <w:tcBorders>
              <w:top w:val="single" w:color="000000" w:sz="6" w:space="0"/>
            </w:tcBorders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  <w:t>Cat#C345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57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  <w:t>A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4903" w:type="dxa"/>
            <w:tcBorders>
              <w:top w:val="single" w:color="000000" w:sz="6" w:space="0"/>
            </w:tcBorders>
          </w:tcPr>
          <w:p>
            <w:pPr>
              <w:widowControl/>
              <w:tabs>
                <w:tab w:val="left" w:pos="1525"/>
              </w:tabs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TRIzol reagent</w:t>
            </w:r>
          </w:p>
        </w:tc>
        <w:tc>
          <w:tcPr>
            <w:tcW w:w="2295" w:type="dxa"/>
            <w:tcBorders>
              <w:top w:val="single" w:color="000000" w:sz="6" w:space="0"/>
            </w:tcBorders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Invitrogen</w:t>
            </w:r>
          </w:p>
        </w:tc>
        <w:tc>
          <w:tcPr>
            <w:tcW w:w="1605" w:type="dxa"/>
            <w:tcBorders>
              <w:top w:val="single" w:color="000000" w:sz="6" w:space="0"/>
            </w:tcBorders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Cat#15596018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4903" w:type="dxa"/>
          </w:tcPr>
          <w:p>
            <w:pPr>
              <w:widowControl/>
              <w:tabs>
                <w:tab w:val="left" w:pos="1490"/>
              </w:tabs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  <w:t>mTeSR Plus medium</w:t>
            </w:r>
          </w:p>
        </w:tc>
        <w:tc>
          <w:tcPr>
            <w:tcW w:w="2295" w:type="dxa"/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  <w:t>STEMCELL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  <w:t>Technologies</w:t>
            </w:r>
          </w:p>
        </w:tc>
        <w:tc>
          <w:tcPr>
            <w:tcW w:w="1605" w:type="dxa"/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  <w:t>Cat#100-0276_C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4903" w:type="dxa"/>
          </w:tcPr>
          <w:p>
            <w:pPr>
              <w:widowControl/>
              <w:tabs>
                <w:tab w:val="left" w:pos="1490"/>
              </w:tabs>
              <w:jc w:val="left"/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CloneR</w:t>
            </w:r>
          </w:p>
        </w:tc>
        <w:tc>
          <w:tcPr>
            <w:tcW w:w="2295" w:type="dxa"/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STEMCELL Technologies</w:t>
            </w:r>
          </w:p>
        </w:tc>
        <w:tc>
          <w:tcPr>
            <w:tcW w:w="1605" w:type="dxa"/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Cat#05888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4903" w:type="dxa"/>
          </w:tcPr>
          <w:p>
            <w:pPr>
              <w:widowControl/>
              <w:tabs>
                <w:tab w:val="left" w:pos="1490"/>
              </w:tabs>
              <w:jc w:val="left"/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Y-27632</w:t>
            </w:r>
          </w:p>
        </w:tc>
        <w:tc>
          <w:tcPr>
            <w:tcW w:w="2295" w:type="dxa"/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  <w:t>STEMCELL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  <w:t>Technologies</w:t>
            </w:r>
          </w:p>
        </w:tc>
        <w:tc>
          <w:tcPr>
            <w:tcW w:w="1605" w:type="dxa"/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Cat#72304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4903" w:type="dxa"/>
          </w:tcPr>
          <w:p>
            <w:pPr>
              <w:widowControl/>
              <w:tabs>
                <w:tab w:val="left" w:pos="1490"/>
              </w:tabs>
              <w:jc w:val="left"/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  <w:t>DMEM/high glucose</w:t>
            </w:r>
          </w:p>
        </w:tc>
        <w:tc>
          <w:tcPr>
            <w:tcW w:w="2295" w:type="dxa"/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  <w:t>Gibco</w:t>
            </w:r>
          </w:p>
        </w:tc>
        <w:tc>
          <w:tcPr>
            <w:tcW w:w="1605" w:type="dxa"/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Cat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  <w:t>#C11995500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4903" w:type="dxa"/>
          </w:tcPr>
          <w:p>
            <w:pPr>
              <w:widowControl/>
              <w:tabs>
                <w:tab w:val="left" w:pos="1470"/>
              </w:tabs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  <w:t xml:space="preserve">RPMI-1640 </w:t>
            </w:r>
          </w:p>
        </w:tc>
        <w:tc>
          <w:tcPr>
            <w:tcW w:w="2295" w:type="dxa"/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  <w:t>Gibco</w:t>
            </w:r>
          </w:p>
        </w:tc>
        <w:tc>
          <w:tcPr>
            <w:tcW w:w="1605" w:type="dxa"/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Cat#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  <w:t>#11875093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4903" w:type="dxa"/>
          </w:tcPr>
          <w:p>
            <w:pPr>
              <w:widowControl/>
              <w:tabs>
                <w:tab w:val="left" w:pos="1470"/>
              </w:tabs>
              <w:jc w:val="left"/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TrypLE Express</w:t>
            </w:r>
          </w:p>
        </w:tc>
        <w:tc>
          <w:tcPr>
            <w:tcW w:w="2295" w:type="dxa"/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Gibco</w:t>
            </w:r>
          </w:p>
        </w:tc>
        <w:tc>
          <w:tcPr>
            <w:tcW w:w="1605" w:type="dxa"/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  <w:t>Cat#12604-021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4903" w:type="dxa"/>
            <w:tcBorders>
              <w:bottom w:val="single" w:color="000000" w:sz="2" w:space="0"/>
            </w:tcBorders>
          </w:tcPr>
          <w:p>
            <w:pPr>
              <w:widowControl/>
              <w:tabs>
                <w:tab w:val="left" w:pos="1525"/>
              </w:tabs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GlutaMAX </w:t>
            </w:r>
          </w:p>
        </w:tc>
        <w:tc>
          <w:tcPr>
            <w:tcW w:w="2295" w:type="dxa"/>
            <w:tcBorders>
              <w:bottom w:val="single" w:color="000000" w:sz="2" w:space="0"/>
            </w:tcBorders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Gibco</w:t>
            </w:r>
          </w:p>
        </w:tc>
        <w:tc>
          <w:tcPr>
            <w:tcW w:w="1605" w:type="dxa"/>
            <w:tcBorders>
              <w:bottom w:val="single" w:color="000000" w:sz="2" w:space="0"/>
            </w:tcBorders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Cat#35050061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4903" w:type="dxa"/>
            <w:tcBorders>
              <w:bottom w:val="single" w:color="000000" w:sz="2" w:space="0"/>
            </w:tcBorders>
          </w:tcPr>
          <w:p>
            <w:pPr>
              <w:widowControl/>
              <w:tabs>
                <w:tab w:val="left" w:pos="1525"/>
              </w:tabs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MEM-alpha basic medium</w:t>
            </w:r>
          </w:p>
        </w:tc>
        <w:tc>
          <w:tcPr>
            <w:tcW w:w="2295" w:type="dxa"/>
            <w:tcBorders>
              <w:bottom w:val="single" w:color="000000" w:sz="2" w:space="0"/>
            </w:tcBorders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Gibco</w:t>
            </w:r>
          </w:p>
        </w:tc>
        <w:tc>
          <w:tcPr>
            <w:tcW w:w="1605" w:type="dxa"/>
            <w:tcBorders>
              <w:bottom w:val="single" w:color="000000" w:sz="2" w:space="0"/>
            </w:tcBorders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Cat#8122725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4903" w:type="dxa"/>
          </w:tcPr>
          <w:p>
            <w:pPr>
              <w:widowControl/>
              <w:tabs>
                <w:tab w:val="left" w:pos="1525"/>
              </w:tabs>
              <w:jc w:val="left"/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Dynabeads™ Human T-Activator CD3/CD28</w:t>
            </w:r>
          </w:p>
        </w:tc>
        <w:tc>
          <w:tcPr>
            <w:tcW w:w="2295" w:type="dxa"/>
          </w:tcPr>
          <w:p>
            <w:pPr>
              <w:widowControl/>
              <w:tabs>
                <w:tab w:val="left" w:pos="1525"/>
              </w:tabs>
              <w:jc w:val="left"/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Thermo Fisher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Scientific</w:t>
            </w:r>
          </w:p>
        </w:tc>
        <w:tc>
          <w:tcPr>
            <w:tcW w:w="1605" w:type="dxa"/>
          </w:tcPr>
          <w:p>
            <w:pPr>
              <w:widowControl/>
              <w:tabs>
                <w:tab w:val="left" w:pos="1525"/>
              </w:tabs>
              <w:jc w:val="left"/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Cat#11131D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4903" w:type="dxa"/>
            <w:tcBorders>
              <w:bottom w:val="single" w:color="000000" w:sz="2" w:space="0"/>
            </w:tcBorders>
          </w:tcPr>
          <w:p>
            <w:pPr>
              <w:widowControl/>
              <w:tabs>
                <w:tab w:val="left" w:pos="1525"/>
              </w:tabs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Trypsin-EDTA (0.25%)</w:t>
            </w:r>
          </w:p>
        </w:tc>
        <w:tc>
          <w:tcPr>
            <w:tcW w:w="2295" w:type="dxa"/>
            <w:tcBorders>
              <w:bottom w:val="single" w:color="000000" w:sz="2" w:space="0"/>
            </w:tcBorders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Thermo Fisher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Scientific</w:t>
            </w:r>
          </w:p>
        </w:tc>
        <w:tc>
          <w:tcPr>
            <w:tcW w:w="1605" w:type="dxa"/>
            <w:tcBorders>
              <w:bottom w:val="single" w:color="000000" w:sz="2" w:space="0"/>
            </w:tcBorders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Cat#25200056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4903" w:type="dxa"/>
            <w:tcBorders>
              <w:bottom w:val="single" w:color="000000" w:sz="2" w:space="0"/>
            </w:tcBorders>
          </w:tcPr>
          <w:p>
            <w:pPr>
              <w:widowControl/>
              <w:tabs>
                <w:tab w:val="left" w:pos="1525"/>
              </w:tabs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0.5 mM EDTA</w:t>
            </w:r>
          </w:p>
        </w:tc>
        <w:tc>
          <w:tcPr>
            <w:tcW w:w="2295" w:type="dxa"/>
            <w:tcBorders>
              <w:bottom w:val="single" w:color="000000" w:sz="2" w:space="0"/>
            </w:tcBorders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Thermo Fisher Scientific</w:t>
            </w:r>
          </w:p>
        </w:tc>
        <w:tc>
          <w:tcPr>
            <w:tcW w:w="1605" w:type="dxa"/>
            <w:tcBorders>
              <w:bottom w:val="single" w:color="000000" w:sz="2" w:space="0"/>
            </w:tcBorders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  <w:t>Cat#15575020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4903" w:type="dxa"/>
            <w:tcBorders>
              <w:bottom w:val="single" w:color="000000" w:sz="2" w:space="0"/>
            </w:tcBorders>
          </w:tcPr>
          <w:p>
            <w:pPr>
              <w:widowControl/>
              <w:tabs>
                <w:tab w:val="left" w:pos="1525"/>
              </w:tabs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Matrigel</w:t>
            </w:r>
          </w:p>
        </w:tc>
        <w:tc>
          <w:tcPr>
            <w:tcW w:w="2295" w:type="dxa"/>
            <w:tcBorders>
              <w:bottom w:val="single" w:color="000000" w:sz="2" w:space="0"/>
            </w:tcBorders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BD Biosciences</w:t>
            </w:r>
          </w:p>
        </w:tc>
        <w:tc>
          <w:tcPr>
            <w:tcW w:w="1605" w:type="dxa"/>
            <w:tcBorders>
              <w:bottom w:val="single" w:color="000000" w:sz="2" w:space="0"/>
            </w:tcBorders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  <w:t>Cat#354277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4903" w:type="dxa"/>
            <w:tcBorders>
              <w:bottom w:val="single" w:color="000000" w:sz="2" w:space="0"/>
            </w:tcBorders>
          </w:tcPr>
          <w:p>
            <w:pPr>
              <w:widowControl/>
              <w:tabs>
                <w:tab w:val="left" w:pos="1525"/>
              </w:tabs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Fetal bovine serum (FBS)</w:t>
            </w:r>
          </w:p>
        </w:tc>
        <w:tc>
          <w:tcPr>
            <w:tcW w:w="2295" w:type="dxa"/>
            <w:tcBorders>
              <w:bottom w:val="single" w:color="000000" w:sz="2" w:space="0"/>
            </w:tcBorders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Sigma-Aldrich</w:t>
            </w:r>
          </w:p>
        </w:tc>
        <w:tc>
          <w:tcPr>
            <w:tcW w:w="1605" w:type="dxa"/>
            <w:tcBorders>
              <w:bottom w:val="single" w:color="000000" w:sz="2" w:space="0"/>
            </w:tcBorders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Cat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  <w:t>#F9423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4903" w:type="dxa"/>
            <w:tcBorders>
              <w:bottom w:val="single" w:color="000000" w:sz="2" w:space="0"/>
            </w:tcBorders>
          </w:tcPr>
          <w:p>
            <w:pPr>
              <w:widowControl/>
              <w:tabs>
                <w:tab w:val="left" w:pos="1525"/>
              </w:tabs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Histopaque®-1077 sterile-filtered</w:t>
            </w:r>
          </w:p>
        </w:tc>
        <w:tc>
          <w:tcPr>
            <w:tcW w:w="2295" w:type="dxa"/>
            <w:tcBorders>
              <w:bottom w:val="single" w:color="000000" w:sz="2" w:space="0"/>
            </w:tcBorders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Sigma-Aldrich</w:t>
            </w:r>
          </w:p>
        </w:tc>
        <w:tc>
          <w:tcPr>
            <w:tcW w:w="1605" w:type="dxa"/>
            <w:tcBorders>
              <w:bottom w:val="single" w:color="000000" w:sz="2" w:space="0"/>
            </w:tcBorders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Cat#10771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4903" w:type="dxa"/>
            <w:tcBorders>
              <w:bottom w:val="single" w:color="000000" w:sz="2" w:space="0"/>
            </w:tcBorders>
          </w:tcPr>
          <w:p>
            <w:pPr>
              <w:widowControl/>
              <w:tabs>
                <w:tab w:val="left" w:pos="1525"/>
              </w:tabs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XenoLight DiR</w:t>
            </w:r>
          </w:p>
        </w:tc>
        <w:tc>
          <w:tcPr>
            <w:tcW w:w="2295" w:type="dxa"/>
            <w:tcBorders>
              <w:bottom w:val="single" w:color="000000" w:sz="2" w:space="0"/>
            </w:tcBorders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Revvity</w:t>
            </w:r>
          </w:p>
        </w:tc>
        <w:tc>
          <w:tcPr>
            <w:tcW w:w="1605" w:type="dxa"/>
            <w:tcBorders>
              <w:bottom w:val="single" w:color="000000" w:sz="2" w:space="0"/>
            </w:tcBorders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  <w:t>Cat#125964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4903" w:type="dxa"/>
            <w:tcBorders>
              <w:bottom w:val="single" w:color="000000" w:sz="2" w:space="0"/>
            </w:tcBorders>
          </w:tcPr>
          <w:p>
            <w:pPr>
              <w:widowControl/>
              <w:tabs>
                <w:tab w:val="left" w:pos="1525"/>
              </w:tabs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Recombinant Human FGF basic/FGF2/bFGF Protein</w:t>
            </w:r>
          </w:p>
        </w:tc>
        <w:tc>
          <w:tcPr>
            <w:tcW w:w="2295" w:type="dxa"/>
            <w:tcBorders>
              <w:bottom w:val="single" w:color="000000" w:sz="2" w:space="0"/>
            </w:tcBorders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R&amp;D systems</w:t>
            </w:r>
          </w:p>
        </w:tc>
        <w:tc>
          <w:tcPr>
            <w:tcW w:w="1605" w:type="dxa"/>
            <w:tcBorders>
              <w:bottom w:val="single" w:color="000000" w:sz="2" w:space="0"/>
            </w:tcBorders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Cat#3718-FB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4903" w:type="dxa"/>
            <w:tcBorders>
              <w:bottom w:val="single" w:color="000000" w:sz="2" w:space="0"/>
            </w:tcBorders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Carnoy’s fixative</w:t>
            </w:r>
          </w:p>
        </w:tc>
        <w:tc>
          <w:tcPr>
            <w:tcW w:w="2295" w:type="dxa"/>
            <w:tcBorders>
              <w:bottom w:val="single" w:color="000000" w:sz="2" w:space="0"/>
            </w:tcBorders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bookmarkStart w:id="0" w:name="_Hlk190962099"/>
            <w:r>
              <w:rPr>
                <w:rFonts w:ascii="Times New Roman" w:hAnsi="Times New Roman"/>
                <w:kern w:val="0"/>
                <w:sz w:val="20"/>
                <w:szCs w:val="20"/>
              </w:rPr>
              <w:t>Servicebio</w:t>
            </w:r>
            <w:bookmarkEnd w:id="0"/>
          </w:p>
        </w:tc>
        <w:tc>
          <w:tcPr>
            <w:tcW w:w="1605" w:type="dxa"/>
            <w:tcBorders>
              <w:bottom w:val="single" w:color="000000" w:sz="2" w:space="0"/>
            </w:tcBorders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Cat#G1120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4903" w:type="dxa"/>
            <w:tcBorders>
              <w:bottom w:val="single" w:color="000000" w:sz="2" w:space="0"/>
            </w:tcBorders>
          </w:tcPr>
          <w:p>
            <w:pPr>
              <w:widowControl/>
              <w:tabs>
                <w:tab w:val="left" w:pos="1525"/>
              </w:tabs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2×Phanta Max Master Mix </w:t>
            </w:r>
          </w:p>
        </w:tc>
        <w:tc>
          <w:tcPr>
            <w:tcW w:w="2295" w:type="dxa"/>
            <w:tcBorders>
              <w:bottom w:val="single" w:color="000000" w:sz="2" w:space="0"/>
            </w:tcBorders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Vazyme</w:t>
            </w:r>
          </w:p>
        </w:tc>
        <w:tc>
          <w:tcPr>
            <w:tcW w:w="1605" w:type="dxa"/>
            <w:tcBorders>
              <w:bottom w:val="single" w:color="000000" w:sz="2" w:space="0"/>
            </w:tcBorders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  <w:t>Cat#P525-AA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4903" w:type="dxa"/>
            <w:tcBorders>
              <w:bottom w:val="single" w:color="000000" w:sz="2" w:space="0"/>
            </w:tcBorders>
          </w:tcPr>
          <w:p>
            <w:pPr>
              <w:widowControl/>
              <w:tabs>
                <w:tab w:val="left" w:pos="1525"/>
              </w:tabs>
              <w:jc w:val="left"/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2×Rapid Taq Master Mix</w:t>
            </w:r>
          </w:p>
        </w:tc>
        <w:tc>
          <w:tcPr>
            <w:tcW w:w="2295" w:type="dxa"/>
            <w:tcBorders>
              <w:bottom w:val="single" w:color="000000" w:sz="2" w:space="0"/>
            </w:tcBorders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Vazyme</w:t>
            </w:r>
          </w:p>
        </w:tc>
        <w:tc>
          <w:tcPr>
            <w:tcW w:w="1605" w:type="dxa"/>
            <w:tcBorders>
              <w:bottom w:val="single" w:color="000000" w:sz="2" w:space="0"/>
            </w:tcBorders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  <w:t>Cat#P222-03-AA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4903" w:type="dxa"/>
            <w:tcBorders>
              <w:bottom w:val="single" w:color="000000" w:sz="2" w:space="0"/>
            </w:tcBorders>
          </w:tcPr>
          <w:p>
            <w:pPr>
              <w:widowControl/>
              <w:tabs>
                <w:tab w:val="left" w:pos="1525"/>
              </w:tabs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HiScript Ⅱ Q RT SuperMmix</w:t>
            </w:r>
          </w:p>
        </w:tc>
        <w:tc>
          <w:tcPr>
            <w:tcW w:w="2295" w:type="dxa"/>
            <w:tcBorders>
              <w:bottom w:val="single" w:color="000000" w:sz="2" w:space="0"/>
            </w:tcBorders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Vazyme</w:t>
            </w:r>
          </w:p>
        </w:tc>
        <w:tc>
          <w:tcPr>
            <w:tcW w:w="1605" w:type="dxa"/>
            <w:tcBorders>
              <w:bottom w:val="single" w:color="000000" w:sz="2" w:space="0"/>
            </w:tcBorders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Cat#R223-01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4903" w:type="dxa"/>
            <w:tcBorders>
              <w:bottom w:val="single" w:color="000000" w:sz="2" w:space="0"/>
            </w:tcBorders>
          </w:tcPr>
          <w:p>
            <w:pPr>
              <w:widowControl/>
              <w:tabs>
                <w:tab w:val="left" w:pos="1525"/>
              </w:tabs>
              <w:jc w:val="left"/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ChamQ Universal SYBR qPCR Master Mix</w:t>
            </w:r>
          </w:p>
        </w:tc>
        <w:tc>
          <w:tcPr>
            <w:tcW w:w="2295" w:type="dxa"/>
            <w:tcBorders>
              <w:bottom w:val="single" w:color="000000" w:sz="2" w:space="0"/>
            </w:tcBorders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Vazyme</w:t>
            </w:r>
          </w:p>
        </w:tc>
        <w:tc>
          <w:tcPr>
            <w:tcW w:w="1605" w:type="dxa"/>
            <w:tcBorders>
              <w:bottom w:val="single" w:color="000000" w:sz="2" w:space="0"/>
            </w:tcBorders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Cat#Q711-02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4903" w:type="dxa"/>
            <w:tcBorders>
              <w:bottom w:val="single" w:color="000000" w:sz="2" w:space="0"/>
            </w:tcBorders>
          </w:tcPr>
          <w:p>
            <w:pPr>
              <w:widowControl/>
              <w:tabs>
                <w:tab w:val="left" w:pos="1525"/>
              </w:tabs>
              <w:jc w:val="left"/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ACK Lysis Buffer</w:t>
            </w:r>
          </w:p>
        </w:tc>
        <w:tc>
          <w:tcPr>
            <w:tcW w:w="2295" w:type="dxa"/>
            <w:tcBorders>
              <w:bottom w:val="single" w:color="000000" w:sz="2" w:space="0"/>
            </w:tcBorders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Beyotime</w:t>
            </w:r>
          </w:p>
        </w:tc>
        <w:tc>
          <w:tcPr>
            <w:tcW w:w="1605" w:type="dxa"/>
            <w:tcBorders>
              <w:bottom w:val="single" w:color="000000" w:sz="2" w:space="0"/>
            </w:tcBorders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Cat#C3702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4903" w:type="dxa"/>
            <w:tcBorders>
              <w:top w:val="single" w:color="000000" w:sz="12" w:space="0"/>
              <w:bottom w:val="single" w:color="000000" w:sz="12" w:space="0"/>
            </w:tcBorders>
          </w:tcPr>
          <w:p>
            <w:pPr>
              <w:widowControl/>
              <w:tabs>
                <w:tab w:val="left" w:pos="1525"/>
              </w:tabs>
              <w:jc w:val="left"/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</w:pPr>
            <w:bookmarkStart w:id="1" w:name="_Hlk204534696"/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eastAsia="en-US"/>
              </w:rPr>
              <w:t>Critical commercial assays</w:t>
            </w:r>
          </w:p>
        </w:tc>
        <w:tc>
          <w:tcPr>
            <w:tcW w:w="2295" w:type="dxa"/>
            <w:tcBorders>
              <w:top w:val="single" w:color="000000" w:sz="12" w:space="0"/>
              <w:bottom w:val="single" w:color="000000" w:sz="12" w:space="0"/>
            </w:tcBorders>
          </w:tcPr>
          <w:p>
            <w:pPr>
              <w:widowControl/>
              <w:tabs>
                <w:tab w:val="left" w:pos="1525"/>
              </w:tabs>
              <w:jc w:val="left"/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605" w:type="dxa"/>
            <w:tcBorders>
              <w:top w:val="single" w:color="000000" w:sz="12" w:space="0"/>
              <w:bottom w:val="single" w:color="000000" w:sz="12" w:space="0"/>
            </w:tcBorders>
          </w:tcPr>
          <w:p>
            <w:pPr>
              <w:widowControl/>
              <w:tabs>
                <w:tab w:val="left" w:pos="1525"/>
              </w:tabs>
              <w:jc w:val="left"/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</w:pPr>
          </w:p>
        </w:tc>
      </w:tr>
      <w:bookmarkEnd w:id="1"/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4903" w:type="dxa"/>
            <w:tcBorders>
              <w:top w:val="single" w:color="000000" w:sz="12" w:space="0"/>
            </w:tcBorders>
          </w:tcPr>
          <w:p>
            <w:pPr>
              <w:widowControl/>
              <w:tabs>
                <w:tab w:val="left" w:pos="1525"/>
              </w:tabs>
              <w:jc w:val="left"/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  <w:t>STEMdiff Mesenchymal Progenitor Kit</w:t>
            </w:r>
          </w:p>
        </w:tc>
        <w:tc>
          <w:tcPr>
            <w:tcW w:w="2295" w:type="dxa"/>
            <w:tcBorders>
              <w:top w:val="single" w:color="000000" w:sz="12" w:space="0"/>
            </w:tcBorders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  <w:t>STEMCELL Technologies</w:t>
            </w:r>
          </w:p>
        </w:tc>
        <w:tc>
          <w:tcPr>
            <w:tcW w:w="1605" w:type="dxa"/>
            <w:tcBorders>
              <w:top w:val="single" w:color="000000" w:sz="12" w:space="0"/>
            </w:tcBorders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Cat#05240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4903" w:type="dxa"/>
          </w:tcPr>
          <w:p>
            <w:pPr>
              <w:widowControl/>
              <w:tabs>
                <w:tab w:val="left" w:pos="1525"/>
              </w:tabs>
              <w:jc w:val="left"/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  <w:t>PE Annexin V Apoptosis Detection Kit I</w:t>
            </w:r>
          </w:p>
        </w:tc>
        <w:tc>
          <w:tcPr>
            <w:tcW w:w="2295" w:type="dxa"/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  <w:t>BD Pharmingen™</w:t>
            </w:r>
          </w:p>
        </w:tc>
        <w:tc>
          <w:tcPr>
            <w:tcW w:w="1605" w:type="dxa"/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Cat#559763 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  <w:t>RRID:</w:t>
            </w:r>
          </w:p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  <w:t>AB2869265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4903" w:type="dxa"/>
            <w:tcBorders>
              <w:bottom w:val="single" w:color="000000" w:sz="2" w:space="0"/>
            </w:tcBorders>
          </w:tcPr>
          <w:p>
            <w:pPr>
              <w:widowControl/>
              <w:tabs>
                <w:tab w:val="left" w:pos="1525"/>
              </w:tabs>
              <w:jc w:val="left"/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eBioscience Foxp3/Transcription Factor Staining Buffer Set</w:t>
            </w:r>
          </w:p>
        </w:tc>
        <w:tc>
          <w:tcPr>
            <w:tcW w:w="2295" w:type="dxa"/>
            <w:tcBorders>
              <w:bottom w:val="single" w:color="000000" w:sz="2" w:space="0"/>
            </w:tcBorders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  <w:t>Invitrogen</w:t>
            </w:r>
          </w:p>
        </w:tc>
        <w:tc>
          <w:tcPr>
            <w:tcW w:w="1605" w:type="dxa"/>
            <w:tcBorders>
              <w:bottom w:val="single" w:color="000000" w:sz="2" w:space="0"/>
            </w:tcBorders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Cat#00-5523-00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4903" w:type="dxa"/>
            <w:tcBorders>
              <w:bottom w:val="single" w:color="000000" w:sz="2" w:space="0"/>
            </w:tcBorders>
          </w:tcPr>
          <w:p>
            <w:pPr>
              <w:widowControl/>
              <w:tabs>
                <w:tab w:val="left" w:pos="1525"/>
              </w:tabs>
              <w:jc w:val="left"/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  <w:t>Cytofix/Cytoper™ Fixation/Permeabilization Kit</w:t>
            </w:r>
          </w:p>
        </w:tc>
        <w:tc>
          <w:tcPr>
            <w:tcW w:w="2295" w:type="dxa"/>
            <w:tcBorders>
              <w:bottom w:val="single" w:color="000000" w:sz="2" w:space="0"/>
            </w:tcBorders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  <w:t>BD Biosciences</w:t>
            </w:r>
          </w:p>
        </w:tc>
        <w:tc>
          <w:tcPr>
            <w:tcW w:w="1605" w:type="dxa"/>
            <w:tcBorders>
              <w:bottom w:val="single" w:color="000000" w:sz="2" w:space="0"/>
            </w:tcBorders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Cat#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  <w:t>554714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4903" w:type="dxa"/>
            <w:tcBorders>
              <w:bottom w:val="single" w:color="000000" w:sz="2" w:space="0"/>
            </w:tcBorders>
          </w:tcPr>
          <w:p>
            <w:pPr>
              <w:widowControl/>
              <w:tabs>
                <w:tab w:val="left" w:pos="1525"/>
              </w:tabs>
              <w:jc w:val="left"/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  <w:t xml:space="preserve">Human Pluripotent Stem Cell Transcription Factor Analysis Kit </w:t>
            </w:r>
          </w:p>
        </w:tc>
        <w:tc>
          <w:tcPr>
            <w:tcW w:w="2295" w:type="dxa"/>
            <w:tcBorders>
              <w:bottom w:val="single" w:color="000000" w:sz="2" w:space="0"/>
            </w:tcBorders>
          </w:tcPr>
          <w:p>
            <w:pPr>
              <w:widowControl/>
              <w:tabs>
                <w:tab w:val="left" w:pos="1525"/>
              </w:tabs>
              <w:jc w:val="left"/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  <w:t>BD Biosciences</w:t>
            </w:r>
          </w:p>
        </w:tc>
        <w:tc>
          <w:tcPr>
            <w:tcW w:w="1605" w:type="dxa"/>
            <w:tcBorders>
              <w:bottom w:val="single" w:color="000000" w:sz="2" w:space="0"/>
            </w:tcBorders>
          </w:tcPr>
          <w:p>
            <w:pPr>
              <w:widowControl/>
              <w:tabs>
                <w:tab w:val="left" w:pos="1525"/>
              </w:tabs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Cat#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  <w:t>560589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4903" w:type="dxa"/>
            <w:tcBorders>
              <w:bottom w:val="single" w:color="000000" w:sz="12" w:space="0"/>
            </w:tcBorders>
          </w:tcPr>
          <w:p>
            <w:pPr>
              <w:widowControl/>
              <w:tabs>
                <w:tab w:val="left" w:pos="1470"/>
              </w:tabs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295" w:type="dxa"/>
            <w:tcBorders>
              <w:bottom w:val="single" w:color="000000" w:sz="12" w:space="0"/>
            </w:tcBorders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605" w:type="dxa"/>
            <w:tcBorders>
              <w:bottom w:val="single" w:color="000000" w:sz="12" w:space="0"/>
            </w:tcBorders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4903" w:type="dxa"/>
            <w:tcBorders>
              <w:top w:val="single" w:color="000000" w:sz="12" w:space="0"/>
              <w:bottom w:val="single" w:color="000000" w:sz="12" w:space="0"/>
            </w:tcBorders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eastAsia="en-US"/>
              </w:rPr>
              <w:t>Deposited data</w:t>
            </w:r>
          </w:p>
        </w:tc>
        <w:tc>
          <w:tcPr>
            <w:tcW w:w="2295" w:type="dxa"/>
            <w:tcBorders>
              <w:top w:val="single" w:color="000000" w:sz="12" w:space="0"/>
              <w:bottom w:val="single" w:color="000000" w:sz="12" w:space="0"/>
            </w:tcBorders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605" w:type="dxa"/>
            <w:tcBorders>
              <w:top w:val="single" w:color="000000" w:sz="12" w:space="0"/>
              <w:bottom w:val="single" w:color="000000" w:sz="12" w:space="0"/>
            </w:tcBorders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4903" w:type="dxa"/>
            <w:tcBorders>
              <w:top w:val="single" w:color="000000" w:sz="12" w:space="0"/>
              <w:bottom w:val="single" w:color="000000" w:sz="6" w:space="0"/>
            </w:tcBorders>
          </w:tcPr>
          <w:p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295" w:type="dxa"/>
            <w:tcBorders>
              <w:top w:val="single" w:color="000000" w:sz="12" w:space="0"/>
              <w:bottom w:val="single" w:color="000000" w:sz="6" w:space="0"/>
            </w:tcBorders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605" w:type="dxa"/>
            <w:tcBorders>
              <w:top w:val="single" w:color="000000" w:sz="12" w:space="0"/>
              <w:bottom w:val="single" w:color="000000" w:sz="6" w:space="0"/>
            </w:tcBorders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4903" w:type="dxa"/>
            <w:tcBorders>
              <w:top w:val="single" w:color="000000" w:sz="6" w:space="0"/>
            </w:tcBorders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RNA sequencing data</w:t>
            </w:r>
          </w:p>
        </w:tc>
        <w:tc>
          <w:tcPr>
            <w:tcW w:w="2295" w:type="dxa"/>
            <w:tcBorders>
              <w:top w:val="single" w:color="000000" w:sz="6" w:space="0"/>
              <w:bottom w:val="single" w:color="000000" w:sz="2" w:space="0"/>
            </w:tcBorders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This paper</w:t>
            </w:r>
          </w:p>
        </w:tc>
        <w:tc>
          <w:tcPr>
            <w:tcW w:w="1605" w:type="dxa"/>
            <w:tcBorders>
              <w:top w:val="single" w:color="000000" w:sz="6" w:space="0"/>
              <w:bottom w:val="single" w:color="000000" w:sz="2" w:space="0"/>
            </w:tcBorders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4903" w:type="dxa"/>
            <w:tcBorders>
              <w:top w:val="single" w:color="000000" w:sz="12" w:space="0"/>
              <w:bottom w:val="single" w:color="000000" w:sz="12" w:space="0"/>
            </w:tcBorders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eastAsia="en-US"/>
              </w:rPr>
              <w:t>Experimental models: Cell lines</w:t>
            </w:r>
          </w:p>
        </w:tc>
        <w:tc>
          <w:tcPr>
            <w:tcW w:w="2295" w:type="dxa"/>
            <w:tcBorders>
              <w:top w:val="single" w:color="000000" w:sz="12" w:space="0"/>
              <w:bottom w:val="single" w:color="000000" w:sz="12" w:space="0"/>
            </w:tcBorders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single" w:color="000000" w:sz="12" w:space="0"/>
              <w:bottom w:val="single" w:color="000000" w:sz="12" w:space="0"/>
            </w:tcBorders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4903" w:type="dxa"/>
            <w:tcBorders>
              <w:top w:val="single" w:color="000000" w:sz="12" w:space="0"/>
            </w:tcBorders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iPSC (Zhou et al.</w:t>
            </w:r>
            <w:r>
              <w:rPr>
                <w:rFonts w:ascii="Times New Roman" w:hAnsi="Times New Roman"/>
                <w:kern w:val="0"/>
                <w:sz w:val="20"/>
                <w:szCs w:val="20"/>
                <w:vertAlign w:val="superscript"/>
              </w:rPr>
              <w:t>43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2295" w:type="dxa"/>
            <w:tcBorders>
              <w:top w:val="single" w:color="000000" w:sz="12" w:space="0"/>
            </w:tcBorders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This paper</w:t>
            </w:r>
          </w:p>
        </w:tc>
        <w:tc>
          <w:tcPr>
            <w:tcW w:w="1605" w:type="dxa"/>
            <w:tcBorders>
              <w:top w:val="single" w:color="000000" w:sz="12" w:space="0"/>
            </w:tcBorders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N/A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4903" w:type="dxa"/>
            <w:tcBorders>
              <w:top w:val="single" w:color="000000" w:sz="12" w:space="0"/>
            </w:tcBorders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HEK-239T</w:t>
            </w:r>
          </w:p>
        </w:tc>
        <w:tc>
          <w:tcPr>
            <w:tcW w:w="2295" w:type="dxa"/>
            <w:tcBorders>
              <w:top w:val="single" w:color="000000" w:sz="12" w:space="0"/>
            </w:tcBorders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Procell</w:t>
            </w:r>
          </w:p>
        </w:tc>
        <w:tc>
          <w:tcPr>
            <w:tcW w:w="1605" w:type="dxa"/>
            <w:tcBorders>
              <w:top w:val="single" w:color="000000" w:sz="12" w:space="0"/>
            </w:tcBorders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Cat#CL-0005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4903" w:type="dxa"/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A375</w:t>
            </w:r>
          </w:p>
        </w:tc>
        <w:tc>
          <w:tcPr>
            <w:tcW w:w="2295" w:type="dxa"/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Procell</w:t>
            </w:r>
          </w:p>
        </w:tc>
        <w:tc>
          <w:tcPr>
            <w:tcW w:w="1605" w:type="dxa"/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  <w:t>Cat#CL-0014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4903" w:type="dxa"/>
            <w:tcBorders>
              <w:bottom w:val="single" w:color="000000" w:sz="2" w:space="0"/>
            </w:tcBorders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HCC827</w:t>
            </w:r>
          </w:p>
        </w:tc>
        <w:tc>
          <w:tcPr>
            <w:tcW w:w="2295" w:type="dxa"/>
            <w:tcBorders>
              <w:bottom w:val="single" w:color="000000" w:sz="2" w:space="0"/>
            </w:tcBorders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Procell</w:t>
            </w:r>
          </w:p>
        </w:tc>
        <w:tc>
          <w:tcPr>
            <w:tcW w:w="1605" w:type="dxa"/>
            <w:tcBorders>
              <w:bottom w:val="single" w:color="000000" w:sz="2" w:space="0"/>
            </w:tcBorders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  <w:t>Cat#CL-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0094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4903" w:type="dxa"/>
            <w:tcBorders>
              <w:bottom w:val="single" w:color="000000" w:sz="2" w:space="0"/>
            </w:tcBorders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786-O</w:t>
            </w:r>
          </w:p>
        </w:tc>
        <w:tc>
          <w:tcPr>
            <w:tcW w:w="2295" w:type="dxa"/>
            <w:tcBorders>
              <w:bottom w:val="single" w:color="000000" w:sz="2" w:space="0"/>
            </w:tcBorders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Procell</w:t>
            </w:r>
          </w:p>
        </w:tc>
        <w:tc>
          <w:tcPr>
            <w:tcW w:w="1605" w:type="dxa"/>
            <w:tcBorders>
              <w:bottom w:val="single" w:color="000000" w:sz="2" w:space="0"/>
            </w:tcBorders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  <w:t>Cat#CL-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0010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4903" w:type="dxa"/>
            <w:tcBorders>
              <w:bottom w:val="single" w:color="000000" w:sz="2" w:space="0"/>
            </w:tcBorders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MC38</w:t>
            </w:r>
          </w:p>
        </w:tc>
        <w:tc>
          <w:tcPr>
            <w:tcW w:w="2295" w:type="dxa"/>
            <w:tcBorders>
              <w:bottom w:val="single" w:color="000000" w:sz="2" w:space="0"/>
            </w:tcBorders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Procell</w:t>
            </w:r>
          </w:p>
        </w:tc>
        <w:tc>
          <w:tcPr>
            <w:tcW w:w="1605" w:type="dxa"/>
            <w:tcBorders>
              <w:bottom w:val="single" w:color="000000" w:sz="2" w:space="0"/>
            </w:tcBorders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Cat#CL-0972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4903" w:type="dxa"/>
            <w:tcBorders>
              <w:bottom w:val="single" w:color="000000" w:sz="2" w:space="0"/>
            </w:tcBorders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bookmarkStart w:id="2" w:name="_Hlk204538546"/>
            <w:r>
              <w:rPr>
                <w:rFonts w:ascii="Times New Roman" w:hAnsi="Times New Roman"/>
                <w:kern w:val="0"/>
                <w:sz w:val="20"/>
                <w:szCs w:val="20"/>
              </w:rPr>
              <w:t>CT26</w:t>
            </w:r>
          </w:p>
        </w:tc>
        <w:tc>
          <w:tcPr>
            <w:tcW w:w="2295" w:type="dxa"/>
            <w:tcBorders>
              <w:bottom w:val="single" w:color="000000" w:sz="2" w:space="0"/>
            </w:tcBorders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Procell</w:t>
            </w:r>
          </w:p>
        </w:tc>
        <w:tc>
          <w:tcPr>
            <w:tcW w:w="1605" w:type="dxa"/>
            <w:tcBorders>
              <w:bottom w:val="single" w:color="000000" w:sz="2" w:space="0"/>
            </w:tcBorders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  <w:t>Cat#CL-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0071</w:t>
            </w:r>
          </w:p>
        </w:tc>
      </w:tr>
      <w:bookmarkEnd w:id="2"/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4903" w:type="dxa"/>
            <w:tcBorders>
              <w:bottom w:val="single" w:color="000000" w:sz="12" w:space="0"/>
            </w:tcBorders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CTLL-2</w:t>
            </w:r>
          </w:p>
        </w:tc>
        <w:tc>
          <w:tcPr>
            <w:tcW w:w="2295" w:type="dxa"/>
            <w:tcBorders>
              <w:bottom w:val="single" w:color="000000" w:sz="12" w:space="0"/>
            </w:tcBorders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Procell</w:t>
            </w:r>
          </w:p>
        </w:tc>
        <w:tc>
          <w:tcPr>
            <w:tcW w:w="1605" w:type="dxa"/>
            <w:tcBorders>
              <w:bottom w:val="single" w:color="000000" w:sz="12" w:space="0"/>
            </w:tcBorders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Cat#CL-0331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4903" w:type="dxa"/>
            <w:tcBorders>
              <w:top w:val="single" w:color="000000" w:sz="12" w:space="0"/>
              <w:bottom w:val="single" w:color="000000" w:sz="12" w:space="0"/>
            </w:tcBorders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eastAsia="en-US"/>
              </w:rPr>
              <w:t>Experimental models: Organisms/strains</w:t>
            </w:r>
          </w:p>
        </w:tc>
        <w:tc>
          <w:tcPr>
            <w:tcW w:w="2295" w:type="dxa"/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605" w:type="dxa"/>
            <w:tcBorders>
              <w:bottom w:val="single" w:color="000000" w:sz="2" w:space="0"/>
            </w:tcBorders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4903" w:type="dxa"/>
            <w:tcBorders>
              <w:top w:val="single" w:color="000000" w:sz="12" w:space="0"/>
            </w:tcBorders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Mouse: BALB/c</w:t>
            </w:r>
          </w:p>
        </w:tc>
        <w:tc>
          <w:tcPr>
            <w:tcW w:w="2295" w:type="dxa"/>
            <w:tcBorders>
              <w:top w:val="single" w:color="000000" w:sz="12" w:space="0"/>
            </w:tcBorders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/>
              </w:rPr>
              <w:t xml:space="preserve">GemPharmatech </w:t>
            </w:r>
          </w:p>
        </w:tc>
        <w:tc>
          <w:tcPr>
            <w:tcW w:w="1605" w:type="dxa"/>
            <w:tcBorders>
              <w:top w:val="single" w:color="000000" w:sz="12" w:space="0"/>
            </w:tcBorders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Cat#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N000020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4903" w:type="dxa"/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Mouse: C57BL/6</w:t>
            </w:r>
          </w:p>
        </w:tc>
        <w:tc>
          <w:tcPr>
            <w:tcW w:w="2295" w:type="dxa"/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/>
              </w:rPr>
              <w:t xml:space="preserve">GemPharmatech </w:t>
            </w:r>
          </w:p>
        </w:tc>
        <w:tc>
          <w:tcPr>
            <w:tcW w:w="1605" w:type="dxa"/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Cat#N000013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4903" w:type="dxa"/>
            <w:tcBorders>
              <w:bottom w:val="single" w:color="000000" w:sz="12" w:space="0"/>
            </w:tcBorders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295" w:type="dxa"/>
            <w:tcBorders>
              <w:bottom w:val="single" w:color="000000" w:sz="12" w:space="0"/>
            </w:tcBorders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605" w:type="dxa"/>
            <w:tcBorders>
              <w:bottom w:val="single" w:color="000000" w:sz="12" w:space="0"/>
            </w:tcBorders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4903" w:type="dxa"/>
            <w:tcBorders>
              <w:top w:val="single" w:color="000000" w:sz="12" w:space="0"/>
              <w:bottom w:val="single" w:color="000000" w:sz="12" w:space="0"/>
            </w:tcBorders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eastAsia="en-US"/>
              </w:rPr>
              <w:t>Oligonucleotides</w:t>
            </w:r>
          </w:p>
        </w:tc>
        <w:tc>
          <w:tcPr>
            <w:tcW w:w="2295" w:type="dxa"/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605" w:type="dxa"/>
            <w:tcBorders>
              <w:bottom w:val="single" w:color="000000" w:sz="12" w:space="0"/>
            </w:tcBorders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4903" w:type="dxa"/>
            <w:tcBorders>
              <w:top w:val="single" w:color="000000" w:sz="12" w:space="0"/>
            </w:tcBorders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  <w:t>sgRNA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sequence: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5’ -GGCCGAGATGTCTCGCTCCGTGG-3’</w:t>
            </w:r>
          </w:p>
        </w:tc>
        <w:tc>
          <w:tcPr>
            <w:tcW w:w="2295" w:type="dxa"/>
            <w:tcBorders>
              <w:top w:val="single" w:color="000000" w:sz="12" w:space="0"/>
            </w:tcBorders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This paper</w:t>
            </w:r>
          </w:p>
        </w:tc>
        <w:tc>
          <w:tcPr>
            <w:tcW w:w="1605" w:type="dxa"/>
            <w:tcBorders>
              <w:top w:val="single" w:color="000000" w:sz="12" w:space="0"/>
            </w:tcBorders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  <w:t>N/A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4903" w:type="dxa"/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Primers for validation of targeted integration in iPSC clones, see Table S1</w:t>
            </w:r>
          </w:p>
        </w:tc>
        <w:tc>
          <w:tcPr>
            <w:tcW w:w="2295" w:type="dxa"/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This paper</w:t>
            </w:r>
          </w:p>
        </w:tc>
        <w:tc>
          <w:tcPr>
            <w:tcW w:w="1605" w:type="dxa"/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N/A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4903" w:type="dxa"/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Primers for all the qPCR, see Table S1</w:t>
            </w:r>
          </w:p>
        </w:tc>
        <w:tc>
          <w:tcPr>
            <w:tcW w:w="2295" w:type="dxa"/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This paper</w:t>
            </w:r>
          </w:p>
        </w:tc>
        <w:tc>
          <w:tcPr>
            <w:tcW w:w="1605" w:type="dxa"/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N/A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4903" w:type="dxa"/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Primers for off-target detection, see Table S1</w:t>
            </w:r>
          </w:p>
        </w:tc>
        <w:tc>
          <w:tcPr>
            <w:tcW w:w="2295" w:type="dxa"/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This paper</w:t>
            </w:r>
          </w:p>
        </w:tc>
        <w:tc>
          <w:tcPr>
            <w:tcW w:w="1605" w:type="dxa"/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N/A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4903" w:type="dxa"/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295" w:type="dxa"/>
            <w:tcBorders>
              <w:bottom w:val="single" w:color="000000" w:sz="12" w:space="0"/>
            </w:tcBorders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605" w:type="dxa"/>
            <w:tcBorders>
              <w:bottom w:val="single" w:color="000000" w:sz="12" w:space="0"/>
            </w:tcBorders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4903" w:type="dxa"/>
            <w:tcBorders>
              <w:top w:val="single" w:color="000000" w:sz="12" w:space="0"/>
              <w:bottom w:val="single" w:color="000000" w:sz="12" w:space="0"/>
            </w:tcBorders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eastAsia="en-US"/>
              </w:rPr>
              <w:t>Recombinant DNA</w:t>
            </w:r>
          </w:p>
        </w:tc>
        <w:tc>
          <w:tcPr>
            <w:tcW w:w="2295" w:type="dxa"/>
            <w:tcBorders>
              <w:top w:val="single" w:color="000000" w:sz="12" w:space="0"/>
              <w:bottom w:val="single" w:color="000000" w:sz="12" w:space="0"/>
            </w:tcBorders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single" w:color="000000" w:sz="12" w:space="0"/>
              <w:bottom w:val="single" w:color="000000" w:sz="12" w:space="0"/>
            </w:tcBorders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4903" w:type="dxa"/>
            <w:tcBorders>
              <w:top w:val="single" w:color="000000" w:sz="12" w:space="0"/>
            </w:tcBorders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295" w:type="dxa"/>
            <w:tcBorders>
              <w:top w:val="single" w:color="000000" w:sz="12" w:space="0"/>
            </w:tcBorders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single" w:color="000000" w:sz="12" w:space="0"/>
            </w:tcBorders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8803" w:type="dxa"/>
            <w:gridSpan w:val="3"/>
            <w:tcBorders>
              <w:top w:val="single" w:color="000000" w:sz="12" w:space="0"/>
              <w:bottom w:val="single" w:color="000000" w:sz="12" w:space="0"/>
            </w:tcBorders>
          </w:tcPr>
          <w:p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eastAsia="en-US"/>
              </w:rPr>
              <w:t>Software and algorithms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4903" w:type="dxa"/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  <w:t xml:space="preserve">Prism </w:t>
            </w:r>
          </w:p>
        </w:tc>
        <w:tc>
          <w:tcPr>
            <w:tcW w:w="2295" w:type="dxa"/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  <w:t xml:space="preserve">GraphPad </w:t>
            </w:r>
          </w:p>
        </w:tc>
        <w:tc>
          <w:tcPr>
            <w:tcW w:w="1605" w:type="dxa"/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Version 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  <w:t>10.2.3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4903" w:type="dxa"/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  <w:t>FlowJo</w:t>
            </w:r>
          </w:p>
        </w:tc>
        <w:tc>
          <w:tcPr>
            <w:tcW w:w="2295" w:type="dxa"/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  <w:t>BD Bioscience</w:t>
            </w:r>
          </w:p>
        </w:tc>
        <w:tc>
          <w:tcPr>
            <w:tcW w:w="1605" w:type="dxa"/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  <w:t>V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ersion 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  <w:t>10.9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4903" w:type="dxa"/>
            <w:tcBorders>
              <w:bottom w:val="single" w:color="000000" w:sz="2" w:space="0"/>
            </w:tcBorders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PerkinElmer In Vivo Imaging System </w:t>
            </w:r>
          </w:p>
        </w:tc>
        <w:tc>
          <w:tcPr>
            <w:tcW w:w="2295" w:type="dxa"/>
            <w:tcBorders>
              <w:bottom w:val="single" w:color="000000" w:sz="2" w:space="0"/>
            </w:tcBorders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Perkin Elmer </w:t>
            </w:r>
          </w:p>
        </w:tc>
        <w:tc>
          <w:tcPr>
            <w:tcW w:w="1605" w:type="dxa"/>
            <w:tcBorders>
              <w:bottom w:val="single" w:color="000000" w:sz="2" w:space="0"/>
            </w:tcBorders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N/A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4903" w:type="dxa"/>
            <w:tcBorders>
              <w:bottom w:val="single" w:color="000000" w:sz="12" w:space="0"/>
            </w:tcBorders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Image J</w:t>
            </w:r>
          </w:p>
        </w:tc>
        <w:tc>
          <w:tcPr>
            <w:tcW w:w="2295" w:type="dxa"/>
            <w:tcBorders>
              <w:bottom w:val="single" w:color="000000" w:sz="12" w:space="0"/>
            </w:tcBorders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  <w:t>NIH</w:t>
            </w:r>
          </w:p>
        </w:tc>
        <w:tc>
          <w:tcPr>
            <w:tcW w:w="1605" w:type="dxa"/>
            <w:tcBorders>
              <w:bottom w:val="single" w:color="000000" w:sz="12" w:space="0"/>
            </w:tcBorders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  <w:t>Fiji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4903" w:type="dxa"/>
            <w:tcBorders>
              <w:top w:val="single" w:color="000000" w:sz="12" w:space="0"/>
              <w:bottom w:val="single" w:color="000000" w:sz="12" w:space="0"/>
            </w:tcBorders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eastAsia="en-US"/>
              </w:rPr>
              <w:t>Other</w:t>
            </w:r>
          </w:p>
        </w:tc>
        <w:tc>
          <w:tcPr>
            <w:tcW w:w="2295" w:type="dxa"/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605" w:type="dxa"/>
            <w:tcBorders>
              <w:bottom w:val="single" w:color="000000" w:sz="2" w:space="0"/>
            </w:tcBorders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4903" w:type="dxa"/>
            <w:tcBorders>
              <w:top w:val="single" w:color="000000" w:sz="12" w:space="0"/>
            </w:tcBorders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  <w:t>Neon Transfection System</w:t>
            </w:r>
          </w:p>
        </w:tc>
        <w:tc>
          <w:tcPr>
            <w:tcW w:w="2295" w:type="dxa"/>
            <w:tcBorders>
              <w:top w:val="single" w:color="000000" w:sz="12" w:space="0"/>
            </w:tcBorders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Invitrogen</w:t>
            </w:r>
          </w:p>
        </w:tc>
        <w:tc>
          <w:tcPr>
            <w:tcW w:w="1605" w:type="dxa"/>
            <w:tcBorders>
              <w:top w:val="single" w:color="000000" w:sz="12" w:space="0"/>
            </w:tcBorders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Cat#MP927733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4903" w:type="dxa"/>
            <w:tcBorders>
              <w:bottom w:val="single" w:color="000000" w:sz="2" w:space="0"/>
            </w:tcBorders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  <w:t>Bio-Rad CFX Manager software</w:t>
            </w:r>
          </w:p>
        </w:tc>
        <w:tc>
          <w:tcPr>
            <w:tcW w:w="2295" w:type="dxa"/>
            <w:tcBorders>
              <w:bottom w:val="single" w:color="000000" w:sz="2" w:space="0"/>
            </w:tcBorders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  <w:t>Bio-Rad</w:t>
            </w:r>
          </w:p>
        </w:tc>
        <w:tc>
          <w:tcPr>
            <w:tcW w:w="1605" w:type="dxa"/>
            <w:tcBorders>
              <w:bottom w:val="single" w:color="000000" w:sz="2" w:space="0"/>
            </w:tcBorders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N/A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4903" w:type="dxa"/>
            <w:tcBorders>
              <w:bottom w:val="single" w:color="000000" w:sz="12" w:space="0"/>
            </w:tcBorders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  <w:t>ELISACalc</w:t>
            </w:r>
          </w:p>
        </w:tc>
        <w:tc>
          <w:tcPr>
            <w:tcW w:w="2295" w:type="dxa"/>
            <w:tcBorders>
              <w:bottom w:val="single" w:color="000000" w:sz="12" w:space="0"/>
            </w:tcBorders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05" w:type="dxa"/>
            <w:tcBorders>
              <w:bottom w:val="single" w:color="000000" w:sz="12" w:space="0"/>
            </w:tcBorders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eastAsia="en-US"/>
              </w:rPr>
              <w:t>N/A</w:t>
            </w:r>
          </w:p>
        </w:tc>
      </w:tr>
    </w:tbl>
    <w:p>
      <w:pPr>
        <w:rPr>
          <w:rFonts w:ascii="Times New Roman" w:hAnsi="Times New Roman"/>
          <w:sz w:val="24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M2YzA3OTJhMjgyM2ZlNGU5OTdhNzEyZTg0MzI3NTMifQ=="/>
  </w:docVars>
  <w:rsids>
    <w:rsidRoot w:val="5D8B098E"/>
    <w:rsid w:val="000627AF"/>
    <w:rsid w:val="000678C1"/>
    <w:rsid w:val="000B56D3"/>
    <w:rsid w:val="000D3770"/>
    <w:rsid w:val="000D667C"/>
    <w:rsid w:val="000E4FC3"/>
    <w:rsid w:val="00103658"/>
    <w:rsid w:val="00144295"/>
    <w:rsid w:val="00155825"/>
    <w:rsid w:val="00162789"/>
    <w:rsid w:val="0016784D"/>
    <w:rsid w:val="00195F92"/>
    <w:rsid w:val="001964D5"/>
    <w:rsid w:val="001A5303"/>
    <w:rsid w:val="001A572B"/>
    <w:rsid w:val="002343DC"/>
    <w:rsid w:val="00241BC2"/>
    <w:rsid w:val="00241FF4"/>
    <w:rsid w:val="002579AD"/>
    <w:rsid w:val="00265AE5"/>
    <w:rsid w:val="002A7BEB"/>
    <w:rsid w:val="002D7F42"/>
    <w:rsid w:val="00303BA5"/>
    <w:rsid w:val="00303E8B"/>
    <w:rsid w:val="00307E28"/>
    <w:rsid w:val="00333E77"/>
    <w:rsid w:val="00355EB2"/>
    <w:rsid w:val="003E13BD"/>
    <w:rsid w:val="00424FCD"/>
    <w:rsid w:val="00450DF4"/>
    <w:rsid w:val="00494104"/>
    <w:rsid w:val="004A11B8"/>
    <w:rsid w:val="004A15D4"/>
    <w:rsid w:val="004B59A0"/>
    <w:rsid w:val="004C1C7F"/>
    <w:rsid w:val="004C2994"/>
    <w:rsid w:val="00507077"/>
    <w:rsid w:val="005803B5"/>
    <w:rsid w:val="005A515C"/>
    <w:rsid w:val="005B6430"/>
    <w:rsid w:val="00676A81"/>
    <w:rsid w:val="006C7A6E"/>
    <w:rsid w:val="006D1505"/>
    <w:rsid w:val="006E63D6"/>
    <w:rsid w:val="00706D9F"/>
    <w:rsid w:val="00775A31"/>
    <w:rsid w:val="00776B15"/>
    <w:rsid w:val="00780A99"/>
    <w:rsid w:val="00790E88"/>
    <w:rsid w:val="007D6E0D"/>
    <w:rsid w:val="00840B0A"/>
    <w:rsid w:val="00844F16"/>
    <w:rsid w:val="008728E8"/>
    <w:rsid w:val="00877E86"/>
    <w:rsid w:val="00896E8D"/>
    <w:rsid w:val="008B1527"/>
    <w:rsid w:val="008F340C"/>
    <w:rsid w:val="008F49DD"/>
    <w:rsid w:val="00901578"/>
    <w:rsid w:val="009065F6"/>
    <w:rsid w:val="00920ECF"/>
    <w:rsid w:val="00937097"/>
    <w:rsid w:val="00942BEF"/>
    <w:rsid w:val="00975985"/>
    <w:rsid w:val="00980501"/>
    <w:rsid w:val="00984AD9"/>
    <w:rsid w:val="009B12AE"/>
    <w:rsid w:val="00A00411"/>
    <w:rsid w:val="00A1714C"/>
    <w:rsid w:val="00A831B7"/>
    <w:rsid w:val="00A909B7"/>
    <w:rsid w:val="00AA216F"/>
    <w:rsid w:val="00AA372B"/>
    <w:rsid w:val="00AA4EF4"/>
    <w:rsid w:val="00B151F4"/>
    <w:rsid w:val="00B54166"/>
    <w:rsid w:val="00B60E0A"/>
    <w:rsid w:val="00B76008"/>
    <w:rsid w:val="00B76884"/>
    <w:rsid w:val="00B8636A"/>
    <w:rsid w:val="00BC5CD5"/>
    <w:rsid w:val="00BD2990"/>
    <w:rsid w:val="00BD75FC"/>
    <w:rsid w:val="00BE4777"/>
    <w:rsid w:val="00BE7F6E"/>
    <w:rsid w:val="00C0060B"/>
    <w:rsid w:val="00C31CC5"/>
    <w:rsid w:val="00C54092"/>
    <w:rsid w:val="00C8163F"/>
    <w:rsid w:val="00CB68EA"/>
    <w:rsid w:val="00D00B16"/>
    <w:rsid w:val="00D0206F"/>
    <w:rsid w:val="00D147D5"/>
    <w:rsid w:val="00D43533"/>
    <w:rsid w:val="00D66130"/>
    <w:rsid w:val="00D80EEC"/>
    <w:rsid w:val="00D9315C"/>
    <w:rsid w:val="00DC1B68"/>
    <w:rsid w:val="00DD04D7"/>
    <w:rsid w:val="00E123B5"/>
    <w:rsid w:val="00E34A2A"/>
    <w:rsid w:val="00E47016"/>
    <w:rsid w:val="00E55F2C"/>
    <w:rsid w:val="00EA7676"/>
    <w:rsid w:val="00EB7683"/>
    <w:rsid w:val="00EE0B04"/>
    <w:rsid w:val="00EF4C07"/>
    <w:rsid w:val="00F237B8"/>
    <w:rsid w:val="00F27B00"/>
    <w:rsid w:val="00F862B2"/>
    <w:rsid w:val="00FA6E4B"/>
    <w:rsid w:val="03AA6F54"/>
    <w:rsid w:val="05080FE1"/>
    <w:rsid w:val="06AD6F50"/>
    <w:rsid w:val="0944423F"/>
    <w:rsid w:val="09D118B4"/>
    <w:rsid w:val="0B691F3B"/>
    <w:rsid w:val="0B732F2C"/>
    <w:rsid w:val="0BAD4690"/>
    <w:rsid w:val="0C256C6D"/>
    <w:rsid w:val="0D7528AE"/>
    <w:rsid w:val="0ED63EFE"/>
    <w:rsid w:val="11DC524B"/>
    <w:rsid w:val="13C2762B"/>
    <w:rsid w:val="1437543F"/>
    <w:rsid w:val="16C17241"/>
    <w:rsid w:val="19005749"/>
    <w:rsid w:val="1AD60FA6"/>
    <w:rsid w:val="1FA27CF3"/>
    <w:rsid w:val="231C624C"/>
    <w:rsid w:val="23306D29"/>
    <w:rsid w:val="2331574F"/>
    <w:rsid w:val="24456E62"/>
    <w:rsid w:val="249B429A"/>
    <w:rsid w:val="26213859"/>
    <w:rsid w:val="2AA7068E"/>
    <w:rsid w:val="2CD23AFF"/>
    <w:rsid w:val="2D574004"/>
    <w:rsid w:val="2FAF45CB"/>
    <w:rsid w:val="350D601C"/>
    <w:rsid w:val="359C17FD"/>
    <w:rsid w:val="406B1E48"/>
    <w:rsid w:val="40B070D9"/>
    <w:rsid w:val="40DE1435"/>
    <w:rsid w:val="458B6AE9"/>
    <w:rsid w:val="46393D85"/>
    <w:rsid w:val="48F6071D"/>
    <w:rsid w:val="49B93C25"/>
    <w:rsid w:val="51036853"/>
    <w:rsid w:val="540F3826"/>
    <w:rsid w:val="56820CA1"/>
    <w:rsid w:val="5AEE74A6"/>
    <w:rsid w:val="5BFC374B"/>
    <w:rsid w:val="5D8B098E"/>
    <w:rsid w:val="647542E2"/>
    <w:rsid w:val="65DF58B0"/>
    <w:rsid w:val="67E05F5E"/>
    <w:rsid w:val="6A162576"/>
    <w:rsid w:val="6A440E91"/>
    <w:rsid w:val="6C0905E4"/>
    <w:rsid w:val="71763B54"/>
    <w:rsid w:val="754E6C2D"/>
    <w:rsid w:val="75DC4D0C"/>
    <w:rsid w:val="76F52DBA"/>
    <w:rsid w:val="78B261A5"/>
    <w:rsid w:val="7B7D4202"/>
    <w:rsid w:val="7CE70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qFormat="1"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9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autoRedefine/>
    <w:qFormat/>
    <w:uiPriority w:val="0"/>
    <w:rPr>
      <w:sz w:val="18"/>
      <w:szCs w:val="18"/>
    </w:rPr>
  </w:style>
  <w:style w:type="paragraph" w:styleId="3">
    <w:name w:val="footer"/>
    <w:basedOn w:val="1"/>
    <w:link w:val="10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autoRedefine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autoRedefine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8">
    <w:name w:val="line number"/>
    <w:autoRedefine/>
    <w:qFormat/>
    <w:uiPriority w:val="0"/>
  </w:style>
  <w:style w:type="character" w:customStyle="1" w:styleId="9">
    <w:name w:val="批注框文本 字符"/>
    <w:link w:val="2"/>
    <w:qFormat/>
    <w:uiPriority w:val="0"/>
    <w:rPr>
      <w:kern w:val="2"/>
      <w:sz w:val="18"/>
      <w:szCs w:val="18"/>
    </w:rPr>
  </w:style>
  <w:style w:type="character" w:customStyle="1" w:styleId="10">
    <w:name w:val="页脚 字符"/>
    <w:link w:val="3"/>
    <w:autoRedefine/>
    <w:qFormat/>
    <w:uiPriority w:val="99"/>
    <w:rPr>
      <w:kern w:val="2"/>
      <w:sz w:val="18"/>
      <w:szCs w:val="18"/>
    </w:rPr>
  </w:style>
  <w:style w:type="character" w:customStyle="1" w:styleId="11">
    <w:name w:val="页眉 字符"/>
    <w:link w:val="4"/>
    <w:autoRedefine/>
    <w:qFormat/>
    <w:uiPriority w:val="0"/>
    <w:rPr>
      <w:kern w:val="2"/>
      <w:sz w:val="18"/>
      <w:szCs w:val="18"/>
    </w:rPr>
  </w:style>
  <w:style w:type="table" w:customStyle="1" w:styleId="12">
    <w:name w:val="网格型1"/>
    <w:autoRedefine/>
    <w:qFormat/>
    <w:uiPriority w:val="99"/>
    <w:pPr>
      <w:widowControl w:val="0"/>
      <w:jc w:val="both"/>
    </w:pPr>
    <w:rPr>
      <w:rFonts w:ascii="Times New Roman" w:hAnsi="Times New Roman"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3">
    <w:name w:val="Revision"/>
    <w:autoRedefine/>
    <w:unhideWhenUsed/>
    <w:qFormat/>
    <w:uiPriority w:val="99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1493</Words>
  <Characters>10166</Characters>
  <Lines>159</Lines>
  <Paragraphs>31</Paragraphs>
  <TotalTime>4</TotalTime>
  <ScaleCrop>false</ScaleCrop>
  <LinksUpToDate>false</LinksUpToDate>
  <CharactersWithSpaces>11282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2026-05-11T03:00:00Z</dcterms:created>
  <dc:creator>二的有文艺范</dc:creator>
  <cp:lastModifiedBy>HAN</cp:lastModifiedBy>
  <dcterms:modified xsi:type="dcterms:W3CDTF">2026-06-29T05:19:58Z</dcterms:modified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D7DE70B8A08146149D7C59F767574B78_13</vt:lpwstr>
  </property>
  <property fmtid="{D5CDD505-2E9C-101B-9397-08002B2CF9AE}" pid="4" name="KSOTemplateDocerSaveRecord">
    <vt:lpwstr>eyJoZGlkIjoiNDZiMzYwMTI4OTYzODkxZGRmZDU0YTcxOWU4YjY1ZGIiLCJ1c2VySWQiOiIyNzk4MTk3NjYifQ==</vt:lpwstr>
  </property>
</Properties>
</file>