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4F61D" w14:textId="794B308E" w:rsidR="001F7F84" w:rsidRPr="00A24087" w:rsidRDefault="00000000">
      <w:pPr>
        <w:widowControl/>
        <w:spacing w:line="480" w:lineRule="auto"/>
        <w:jc w:val="center"/>
        <w:rPr>
          <w:rFonts w:ascii="Times New Roman" w:eastAsia="宋体" w:hAnsi="Times New Roman" w:cs="Times New Roman"/>
          <w:b/>
          <w:bCs/>
          <w:i/>
          <w:iCs/>
          <w:color w:val="000000" w:themeColor="text1"/>
          <w:kern w:val="0"/>
          <w:sz w:val="28"/>
          <w:szCs w:val="28"/>
        </w:rPr>
      </w:pPr>
      <w:r w:rsidRPr="00A24087">
        <w:rPr>
          <w:rFonts w:ascii="Times New Roman" w:eastAsia="宋体" w:hAnsi="Times New Roman" w:cs="Times New Roman"/>
          <w:b/>
          <w:bCs/>
          <w:color w:val="000000" w:themeColor="text1"/>
          <w:kern w:val="0"/>
          <w:sz w:val="28"/>
          <w:szCs w:val="28"/>
        </w:rPr>
        <w:t xml:space="preserve">Supplementary appendix for </w:t>
      </w:r>
      <w:r w:rsidR="000B57A0" w:rsidRPr="00A24087">
        <w:rPr>
          <w:rFonts w:ascii="Times New Roman" w:eastAsia="宋体" w:hAnsi="Times New Roman" w:cs="Times New Roman"/>
          <w:b/>
          <w:bCs/>
          <w:i/>
          <w:iCs/>
          <w:color w:val="000000" w:themeColor="text1"/>
          <w:kern w:val="0"/>
          <w:sz w:val="28"/>
          <w:szCs w:val="28"/>
        </w:rPr>
        <w:t>Polygenicity shapes distinct brain patterns and clinical profiles of bipolar disorder</w:t>
      </w:r>
    </w:p>
    <w:p w14:paraId="06927C4C" w14:textId="77777777" w:rsidR="001F7F84" w:rsidRPr="00A24087" w:rsidRDefault="00000000">
      <w:pPr>
        <w:widowControl/>
        <w:spacing w:line="480" w:lineRule="auto"/>
        <w:rPr>
          <w:rFonts w:ascii="Times New Roman" w:eastAsia="宋体" w:hAnsi="Times New Roman" w:cs="Times New Roman"/>
          <w:color w:val="000000" w:themeColor="text1"/>
          <w:kern w:val="0"/>
          <w:sz w:val="24"/>
          <w:szCs w:val="24"/>
        </w:rPr>
      </w:pPr>
      <w:r w:rsidRPr="00A24087">
        <w:rPr>
          <w:rFonts w:ascii="Times New Roman" w:eastAsia="宋体" w:hAnsi="Times New Roman" w:cs="Times New Roman"/>
          <w:b/>
          <w:bCs/>
          <w:color w:val="000000" w:themeColor="text1"/>
          <w:kern w:val="0"/>
          <w:sz w:val="24"/>
          <w:szCs w:val="24"/>
        </w:rPr>
        <w:t>Supplementary Methods</w:t>
      </w:r>
    </w:p>
    <w:p w14:paraId="3CB72735" w14:textId="77777777" w:rsidR="001F7F84" w:rsidRPr="00A24087" w:rsidRDefault="00000000">
      <w:pPr>
        <w:widowControl/>
        <w:spacing w:line="480" w:lineRule="auto"/>
        <w:rPr>
          <w:rFonts w:ascii="Times New Roman" w:eastAsia="宋体" w:hAnsi="Times New Roman" w:cs="Times New Roman"/>
          <w:color w:val="000000" w:themeColor="text1"/>
          <w:kern w:val="0"/>
          <w:sz w:val="24"/>
          <w:szCs w:val="24"/>
        </w:rPr>
      </w:pPr>
      <w:r w:rsidRPr="00A24087">
        <w:rPr>
          <w:rFonts w:ascii="Times New Roman" w:eastAsia="宋体" w:hAnsi="Times New Roman" w:cs="Times New Roman"/>
          <w:b/>
          <w:bCs/>
          <w:color w:val="000000" w:themeColor="text1"/>
          <w:kern w:val="0"/>
          <w:sz w:val="24"/>
          <w:szCs w:val="24"/>
        </w:rPr>
        <w:t>Supplementary Figures</w:t>
      </w:r>
    </w:p>
    <w:p w14:paraId="5967ED8D" w14:textId="77777777" w:rsidR="001F7F84" w:rsidRPr="00A24087" w:rsidRDefault="00000000">
      <w:pPr>
        <w:widowControl/>
        <w:spacing w:line="480" w:lineRule="auto"/>
        <w:rPr>
          <w:rFonts w:ascii="Times New Roman" w:eastAsia="宋体" w:hAnsi="Times New Roman" w:cs="Times New Roman"/>
          <w:color w:val="000000" w:themeColor="text1"/>
          <w:kern w:val="0"/>
          <w:sz w:val="24"/>
          <w:szCs w:val="24"/>
        </w:rPr>
      </w:pPr>
      <w:r w:rsidRPr="00A24087">
        <w:rPr>
          <w:rFonts w:ascii="Times New Roman" w:eastAsia="宋体" w:hAnsi="Times New Roman" w:cs="Times New Roman"/>
          <w:color w:val="000000" w:themeColor="text1"/>
          <w:kern w:val="0"/>
          <w:sz w:val="24"/>
          <w:szCs w:val="24"/>
        </w:rPr>
        <w:t>Fig. S1. Q-Q plots of meta-analysis results for EAS-BD.</w:t>
      </w:r>
    </w:p>
    <w:p w14:paraId="03111723" w14:textId="77777777" w:rsidR="001F7F84" w:rsidRPr="00A24087" w:rsidRDefault="00000000">
      <w:pPr>
        <w:widowControl/>
        <w:spacing w:line="480" w:lineRule="auto"/>
        <w:rPr>
          <w:rFonts w:ascii="Times New Roman" w:eastAsia="宋体" w:hAnsi="Times New Roman" w:cs="Times New Roman"/>
          <w:color w:val="000000" w:themeColor="text1"/>
          <w:kern w:val="0"/>
          <w:sz w:val="24"/>
          <w:szCs w:val="24"/>
        </w:rPr>
      </w:pPr>
      <w:r w:rsidRPr="00A24087">
        <w:rPr>
          <w:rFonts w:ascii="Times New Roman" w:eastAsia="宋体" w:hAnsi="Times New Roman" w:cs="Times New Roman"/>
          <w:color w:val="000000" w:themeColor="text1"/>
          <w:kern w:val="0"/>
          <w:sz w:val="24"/>
          <w:szCs w:val="24"/>
        </w:rPr>
        <w:t xml:space="preserve">Fig. S2. </w:t>
      </w:r>
      <w:r w:rsidRPr="00A24087">
        <w:rPr>
          <w:rFonts w:ascii="Times New Roman" w:hAnsi="Times New Roman" w:cs="Times New Roman"/>
          <w:bCs/>
          <w:color w:val="000000" w:themeColor="text1"/>
          <w:sz w:val="24"/>
          <w:szCs w:val="24"/>
        </w:rPr>
        <w:t>Results of GNOVA analysis for traits with significant genetic correlations.</w:t>
      </w:r>
    </w:p>
    <w:p w14:paraId="41B1562F" w14:textId="77777777" w:rsidR="001F7F84" w:rsidRPr="00A24087" w:rsidRDefault="00000000">
      <w:pPr>
        <w:widowControl/>
        <w:spacing w:line="480" w:lineRule="auto"/>
        <w:rPr>
          <w:rFonts w:ascii="Times New Roman" w:eastAsia="宋体" w:hAnsi="Times New Roman" w:cs="Times New Roman"/>
          <w:color w:val="000000" w:themeColor="text1"/>
          <w:kern w:val="0"/>
          <w:sz w:val="24"/>
          <w:szCs w:val="24"/>
        </w:rPr>
      </w:pPr>
      <w:r w:rsidRPr="00A24087">
        <w:rPr>
          <w:rFonts w:ascii="Times New Roman" w:eastAsia="宋体" w:hAnsi="Times New Roman" w:cs="Times New Roman"/>
          <w:color w:val="000000" w:themeColor="text1"/>
          <w:kern w:val="0"/>
          <w:sz w:val="24"/>
          <w:szCs w:val="24"/>
        </w:rPr>
        <w:t>Fig. S3. Manhattan plot of MTAG results for 24 pairs of BD-IDPs identified with shared SNVs.</w:t>
      </w:r>
    </w:p>
    <w:p w14:paraId="4B4412F5" w14:textId="77777777" w:rsidR="001F7F84" w:rsidRPr="00A24087" w:rsidRDefault="00000000">
      <w:pPr>
        <w:widowControl/>
        <w:spacing w:line="480" w:lineRule="auto"/>
        <w:rPr>
          <w:rFonts w:ascii="Times New Roman" w:eastAsia="宋体" w:hAnsi="Times New Roman" w:cs="Times New Roman"/>
          <w:color w:val="000000" w:themeColor="text1"/>
          <w:kern w:val="0"/>
          <w:sz w:val="24"/>
          <w:szCs w:val="24"/>
        </w:rPr>
      </w:pPr>
      <w:r w:rsidRPr="00A24087">
        <w:rPr>
          <w:rFonts w:ascii="Times New Roman" w:eastAsia="宋体" w:hAnsi="Times New Roman" w:cs="Times New Roman"/>
          <w:color w:val="000000" w:themeColor="text1"/>
          <w:kern w:val="0"/>
          <w:sz w:val="24"/>
          <w:szCs w:val="24"/>
        </w:rPr>
        <w:t xml:space="preserve">Fig. S4. </w:t>
      </w:r>
      <w:proofErr w:type="spellStart"/>
      <w:r w:rsidRPr="00A24087">
        <w:rPr>
          <w:rFonts w:ascii="Times New Roman" w:hAnsi="Times New Roman" w:cs="Times New Roman"/>
          <w:color w:val="000000" w:themeColor="text1"/>
          <w:sz w:val="24"/>
          <w:szCs w:val="24"/>
        </w:rPr>
        <w:t>MESuSiE</w:t>
      </w:r>
      <w:proofErr w:type="spellEnd"/>
      <w:r w:rsidRPr="00A24087">
        <w:rPr>
          <w:rFonts w:ascii="Times New Roman" w:hAnsi="Times New Roman" w:cs="Times New Roman"/>
          <w:color w:val="000000" w:themeColor="text1"/>
          <w:sz w:val="24"/>
          <w:szCs w:val="24"/>
        </w:rPr>
        <w:t xml:space="preserve"> analysis within a 500 kb window surrounding rs7941324</w:t>
      </w:r>
      <w:r w:rsidRPr="00A24087">
        <w:rPr>
          <w:rFonts w:ascii="Times New Roman" w:eastAsia="宋体" w:hAnsi="Times New Roman" w:cs="Times New Roman"/>
          <w:color w:val="000000" w:themeColor="text1"/>
          <w:kern w:val="0"/>
          <w:sz w:val="24"/>
          <w:szCs w:val="24"/>
        </w:rPr>
        <w:t>.</w:t>
      </w:r>
    </w:p>
    <w:p w14:paraId="0D980F3C" w14:textId="77777777" w:rsidR="001F7F84" w:rsidRPr="00A24087" w:rsidRDefault="00000000">
      <w:pPr>
        <w:widowControl/>
        <w:spacing w:line="480" w:lineRule="auto"/>
        <w:rPr>
          <w:rFonts w:ascii="Times New Roman" w:eastAsia="宋体" w:hAnsi="Times New Roman" w:cs="Times New Roman"/>
          <w:color w:val="000000" w:themeColor="text1"/>
          <w:kern w:val="0"/>
          <w:sz w:val="24"/>
          <w:szCs w:val="24"/>
        </w:rPr>
      </w:pPr>
      <w:r w:rsidRPr="00A24087">
        <w:rPr>
          <w:rFonts w:ascii="Times New Roman" w:eastAsia="宋体" w:hAnsi="Times New Roman" w:cs="Times New Roman"/>
          <w:color w:val="000000" w:themeColor="text1"/>
          <w:kern w:val="0"/>
          <w:sz w:val="24"/>
          <w:szCs w:val="24"/>
        </w:rPr>
        <w:t>Fig. S5. Gene enrichment analysis for genes near shared SNVs.</w:t>
      </w:r>
    </w:p>
    <w:p w14:paraId="1D8D1630" w14:textId="77777777" w:rsidR="001F7F84" w:rsidRPr="00A24087" w:rsidRDefault="00000000">
      <w:pPr>
        <w:widowControl/>
        <w:spacing w:line="480" w:lineRule="auto"/>
        <w:rPr>
          <w:rFonts w:ascii="Times New Roman" w:eastAsia="宋体" w:hAnsi="Times New Roman" w:cs="Times New Roman"/>
          <w:color w:val="000000" w:themeColor="text1"/>
          <w:kern w:val="0"/>
          <w:sz w:val="24"/>
          <w:szCs w:val="24"/>
        </w:rPr>
      </w:pPr>
      <w:r w:rsidRPr="00A24087">
        <w:rPr>
          <w:rFonts w:ascii="Times New Roman" w:eastAsia="宋体" w:hAnsi="Times New Roman" w:cs="Times New Roman"/>
          <w:color w:val="000000" w:themeColor="text1"/>
          <w:kern w:val="0"/>
          <w:sz w:val="24"/>
          <w:szCs w:val="24"/>
        </w:rPr>
        <w:t xml:space="preserve">Fig. S6. Enrichment analysis of SNVs performed using </w:t>
      </w:r>
      <w:proofErr w:type="spellStart"/>
      <w:r w:rsidRPr="00A24087">
        <w:rPr>
          <w:rFonts w:ascii="Times New Roman" w:eastAsia="宋体" w:hAnsi="Times New Roman" w:cs="Times New Roman"/>
          <w:color w:val="000000" w:themeColor="text1"/>
          <w:kern w:val="0"/>
          <w:sz w:val="24"/>
          <w:szCs w:val="24"/>
        </w:rPr>
        <w:t>snpXplorer</w:t>
      </w:r>
      <w:proofErr w:type="spellEnd"/>
      <w:r w:rsidRPr="00A24087">
        <w:rPr>
          <w:rFonts w:ascii="Times New Roman" w:eastAsia="宋体" w:hAnsi="Times New Roman" w:cs="Times New Roman"/>
          <w:color w:val="000000" w:themeColor="text1"/>
          <w:kern w:val="0"/>
          <w:sz w:val="24"/>
          <w:szCs w:val="24"/>
        </w:rPr>
        <w:t>.</w:t>
      </w:r>
    </w:p>
    <w:p w14:paraId="4898FB6A" w14:textId="77777777" w:rsidR="001F7F84" w:rsidRPr="00A24087" w:rsidRDefault="00000000">
      <w:pPr>
        <w:widowControl/>
        <w:spacing w:line="480" w:lineRule="auto"/>
        <w:rPr>
          <w:rFonts w:ascii="Times New Roman" w:eastAsia="宋体" w:hAnsi="Times New Roman" w:cs="Times New Roman"/>
          <w:color w:val="000000" w:themeColor="text1"/>
          <w:kern w:val="0"/>
          <w:sz w:val="24"/>
          <w:szCs w:val="24"/>
        </w:rPr>
      </w:pPr>
      <w:r w:rsidRPr="00A24087">
        <w:rPr>
          <w:rFonts w:ascii="Times New Roman" w:eastAsia="宋体" w:hAnsi="Times New Roman" w:cs="Times New Roman"/>
          <w:color w:val="000000" w:themeColor="text1"/>
          <w:kern w:val="0"/>
          <w:sz w:val="24"/>
          <w:szCs w:val="24"/>
        </w:rPr>
        <w:t>Fig. S7. Synaptic functional enrichment analysis of shared genes between BD and IDPs using SynGo.</w:t>
      </w:r>
    </w:p>
    <w:p w14:paraId="2FF1F264" w14:textId="77777777" w:rsidR="001F7F84" w:rsidRPr="00A24087" w:rsidRDefault="00000000">
      <w:pPr>
        <w:spacing w:line="480" w:lineRule="auto"/>
        <w:rPr>
          <w:rFonts w:ascii="Times New Roman" w:hAnsi="Times New Roman" w:cs="Times New Roman"/>
          <w:color w:val="000000" w:themeColor="text1"/>
          <w:sz w:val="24"/>
          <w:szCs w:val="24"/>
        </w:rPr>
      </w:pPr>
      <w:r w:rsidRPr="00A24087">
        <w:rPr>
          <w:rFonts w:ascii="Times New Roman" w:eastAsia="宋体" w:hAnsi="Times New Roman" w:cs="Times New Roman"/>
          <w:color w:val="000000" w:themeColor="text1"/>
          <w:kern w:val="0"/>
          <w:sz w:val="24"/>
          <w:szCs w:val="24"/>
        </w:rPr>
        <w:t>Fig. S8.</w:t>
      </w:r>
      <w:r w:rsidRPr="00A24087">
        <w:rPr>
          <w:rFonts w:ascii="Times New Roman" w:hAnsi="Times New Roman" w:cs="Times New Roman"/>
          <w:color w:val="000000" w:themeColor="text1"/>
          <w:sz w:val="24"/>
          <w:szCs w:val="24"/>
        </w:rPr>
        <w:t xml:space="preserve"> Developmental trajectories of gene expression for BD and IDPs across </w:t>
      </w:r>
      <w:proofErr w:type="gramStart"/>
      <w:r w:rsidRPr="00A24087">
        <w:rPr>
          <w:rFonts w:ascii="Times New Roman" w:hAnsi="Times New Roman" w:cs="Times New Roman"/>
          <w:color w:val="000000" w:themeColor="text1"/>
          <w:sz w:val="24"/>
          <w:szCs w:val="24"/>
        </w:rPr>
        <w:t>nine time</w:t>
      </w:r>
      <w:proofErr w:type="gramEnd"/>
      <w:r w:rsidRPr="00A24087">
        <w:rPr>
          <w:rFonts w:ascii="Times New Roman" w:hAnsi="Times New Roman" w:cs="Times New Roman"/>
          <w:color w:val="000000" w:themeColor="text1"/>
          <w:sz w:val="24"/>
          <w:szCs w:val="24"/>
        </w:rPr>
        <w:t xml:space="preserve"> windows and brain regions.</w:t>
      </w:r>
    </w:p>
    <w:p w14:paraId="6FECBAD8" w14:textId="77777777" w:rsidR="001F7F84" w:rsidRPr="00A24087" w:rsidRDefault="00000000">
      <w:pPr>
        <w:spacing w:line="480" w:lineRule="auto"/>
        <w:rPr>
          <w:rFonts w:ascii="Times New Roman" w:eastAsia="宋体" w:hAnsi="Times New Roman" w:cs="Times New Roman"/>
          <w:color w:val="000000" w:themeColor="text1"/>
          <w:kern w:val="0"/>
          <w:sz w:val="24"/>
          <w:szCs w:val="24"/>
        </w:rPr>
      </w:pPr>
      <w:r w:rsidRPr="00A24087">
        <w:rPr>
          <w:rFonts w:ascii="Times New Roman" w:eastAsia="宋体" w:hAnsi="Times New Roman" w:cs="Times New Roman"/>
          <w:color w:val="000000" w:themeColor="text1"/>
          <w:kern w:val="0"/>
          <w:sz w:val="24"/>
          <w:szCs w:val="24"/>
        </w:rPr>
        <w:t>Fig. S9.</w:t>
      </w:r>
      <w:r w:rsidRPr="00A24087">
        <w:rPr>
          <w:rFonts w:ascii="Times New Roman" w:hAnsi="Times New Roman" w:cs="Times New Roman"/>
          <w:color w:val="000000" w:themeColor="text1"/>
          <w:sz w:val="24"/>
          <w:szCs w:val="24"/>
        </w:rPr>
        <w:t xml:space="preserve"> Identification of shared proteins between BD and IDPs using SMR and BLISS.</w:t>
      </w:r>
    </w:p>
    <w:p w14:paraId="67C8EC79" w14:textId="77777777" w:rsidR="001F7F84" w:rsidRPr="00A24087" w:rsidRDefault="00000000">
      <w:pPr>
        <w:spacing w:line="480" w:lineRule="auto"/>
        <w:rPr>
          <w:rFonts w:ascii="Times New Roman" w:hAnsi="Times New Roman" w:cs="Times New Roman"/>
          <w:color w:val="000000" w:themeColor="text1"/>
          <w:sz w:val="24"/>
          <w:szCs w:val="24"/>
        </w:rPr>
      </w:pPr>
      <w:r w:rsidRPr="00A24087">
        <w:rPr>
          <w:rFonts w:ascii="Times New Roman" w:eastAsia="宋体" w:hAnsi="Times New Roman" w:cs="Times New Roman"/>
          <w:color w:val="000000" w:themeColor="text1"/>
          <w:kern w:val="0"/>
          <w:sz w:val="24"/>
          <w:szCs w:val="24"/>
        </w:rPr>
        <w:t>Fig. S10.</w:t>
      </w:r>
      <w:r w:rsidRPr="00A24087">
        <w:rPr>
          <w:rFonts w:ascii="Times New Roman" w:hAnsi="Times New Roman" w:cs="Times New Roman"/>
          <w:color w:val="000000" w:themeColor="text1"/>
          <w:sz w:val="24"/>
          <w:szCs w:val="24"/>
        </w:rPr>
        <w:t xml:space="preserve"> Protein-protein interaction (PPI) analysis of shared proteins using STRING.</w:t>
      </w:r>
    </w:p>
    <w:p w14:paraId="2B6EB513" w14:textId="51256175" w:rsidR="000314AB" w:rsidRPr="00A24087" w:rsidRDefault="000314AB" w:rsidP="000314AB">
      <w:pPr>
        <w:spacing w:line="480" w:lineRule="auto"/>
        <w:rPr>
          <w:rFonts w:ascii="Times New Roman" w:hAnsi="Times New Roman" w:cs="Times New Roman"/>
          <w:color w:val="000000" w:themeColor="text1"/>
          <w:sz w:val="24"/>
          <w:szCs w:val="24"/>
        </w:rPr>
      </w:pPr>
      <w:r w:rsidRPr="00A24087">
        <w:rPr>
          <w:rFonts w:ascii="Times New Roman" w:hAnsi="Times New Roman" w:cs="Times New Roman" w:hint="eastAsia"/>
          <w:color w:val="000000" w:themeColor="text1"/>
          <w:sz w:val="24"/>
          <w:szCs w:val="24"/>
        </w:rPr>
        <w:t xml:space="preserve">Fig. S11. Statistical mediation of clinical features between BD-IDP PRS </w:t>
      </w:r>
      <w:r w:rsidRPr="00A24087">
        <w:rPr>
          <w:rFonts w:ascii="Times New Roman" w:hAnsi="Times New Roman" w:cs="Times New Roman" w:hint="eastAsia"/>
          <w:color w:val="000000" w:themeColor="text1"/>
          <w:sz w:val="24"/>
          <w:szCs w:val="24"/>
        </w:rPr>
        <w:lastRenderedPageBreak/>
        <w:t>and suicide risk.</w:t>
      </w:r>
    </w:p>
    <w:p w14:paraId="7C792D7E" w14:textId="77777777" w:rsidR="001F7F84" w:rsidRPr="00A24087" w:rsidRDefault="00000000">
      <w:pPr>
        <w:spacing w:line="480" w:lineRule="auto"/>
        <w:rPr>
          <w:rFonts w:ascii="Times New Roman" w:hAnsi="Times New Roman" w:cs="Times New Roman"/>
          <w:b/>
          <w:bCs/>
          <w:color w:val="000000" w:themeColor="text1"/>
          <w:sz w:val="24"/>
          <w:szCs w:val="24"/>
        </w:rPr>
      </w:pPr>
      <w:r w:rsidRPr="00A24087">
        <w:rPr>
          <w:rFonts w:ascii="Times New Roman" w:hAnsi="Times New Roman" w:cs="Times New Roman"/>
          <w:b/>
          <w:bCs/>
          <w:color w:val="000000" w:themeColor="text1"/>
          <w:sz w:val="24"/>
          <w:szCs w:val="24"/>
        </w:rPr>
        <w:t>Supplementary Method.</w:t>
      </w:r>
    </w:p>
    <w:p w14:paraId="4FD332BC" w14:textId="77777777" w:rsidR="001F7F84" w:rsidRPr="00A24087" w:rsidRDefault="00000000">
      <w:pPr>
        <w:spacing w:line="480" w:lineRule="auto"/>
        <w:rPr>
          <w:rFonts w:ascii="Times New Roman" w:hAnsi="Times New Roman" w:cs="Times New Roman"/>
          <w:b/>
          <w:bCs/>
          <w:color w:val="000000" w:themeColor="text1"/>
          <w:sz w:val="24"/>
          <w:szCs w:val="24"/>
        </w:rPr>
      </w:pPr>
      <w:r w:rsidRPr="00A24087">
        <w:rPr>
          <w:rFonts w:ascii="Times New Roman" w:hAnsi="Times New Roman" w:cs="Times New Roman"/>
          <w:b/>
          <w:bCs/>
          <w:color w:val="000000" w:themeColor="text1"/>
          <w:sz w:val="24"/>
          <w:szCs w:val="24"/>
        </w:rPr>
        <w:t>Quality Control for genotyped data</w:t>
      </w:r>
    </w:p>
    <w:p w14:paraId="744E28CA" w14:textId="5492B52A" w:rsidR="001F7F84" w:rsidRPr="00A24087" w:rsidRDefault="00000000">
      <w:pPr>
        <w:snapToGrid w:val="0"/>
        <w:spacing w:line="480" w:lineRule="auto"/>
        <w:rPr>
          <w:rFonts w:ascii="Times New Roman" w:hAnsi="Times New Roman" w:cs="Times New Roman"/>
          <w:color w:val="000000" w:themeColor="text1"/>
          <w:sz w:val="24"/>
          <w:szCs w:val="24"/>
        </w:rPr>
      </w:pPr>
      <w:r w:rsidRPr="00A24087">
        <w:rPr>
          <w:rFonts w:ascii="Times New Roman" w:hAnsi="Times New Roman" w:cs="Times New Roman"/>
          <w:color w:val="000000" w:themeColor="text1"/>
          <w:sz w:val="24"/>
          <w:szCs w:val="24"/>
        </w:rPr>
        <w:t xml:space="preserve">Quality control (QC) analyses were conducted at both the individual and genetic marker levels using PLINK v1.9 for two cohorts, the Li </w:t>
      </w:r>
      <w:r w:rsidRPr="00A24087">
        <w:rPr>
          <w:rFonts w:ascii="Times New Roman" w:hAnsi="Times New Roman" w:cs="Times New Roman"/>
          <w:i/>
          <w:iCs/>
          <w:color w:val="000000" w:themeColor="text1"/>
          <w:sz w:val="24"/>
          <w:szCs w:val="24"/>
        </w:rPr>
        <w:t>et al</w:t>
      </w:r>
      <w:r w:rsidRPr="00A24087">
        <w:rPr>
          <w:rFonts w:ascii="Times New Roman" w:hAnsi="Times New Roman" w:cs="Times New Roman"/>
          <w:color w:val="000000" w:themeColor="text1"/>
          <w:sz w:val="24"/>
          <w:szCs w:val="24"/>
        </w:rPr>
        <w:t>. cohort and the CLASS-BD cohort, which were collectively referred to as the Chinese BD (CN-BD) cohort</w:t>
      </w:r>
      <w:r w:rsidR="000B57A0" w:rsidRPr="00A24087">
        <w:rPr>
          <w:rFonts w:ascii="Times New Roman" w:hAnsi="Times New Roman" w:cs="Times New Roman"/>
          <w:color w:val="000000" w:themeColor="text1"/>
          <w:sz w:val="24"/>
          <w:szCs w:val="24"/>
        </w:rPr>
        <w:fldChar w:fldCharType="begin"/>
      </w:r>
      <w:r w:rsidR="000B57A0" w:rsidRPr="00A24087">
        <w:rPr>
          <w:rFonts w:ascii="Times New Roman" w:hAnsi="Times New Roman" w:cs="Times New Roman"/>
          <w:color w:val="000000" w:themeColor="text1"/>
          <w:sz w:val="24"/>
          <w:szCs w:val="24"/>
        </w:rPr>
        <w:instrText xml:space="preserve"> ADDIN ZOTERO_ITEM CSL_CITATION {"citationID":"jjJKs7Qh","properties":{"formattedCitation":"\\super 1,2\\nosupersub{}","plainCitation":"1,2","noteIndex":0},"citationItems":[{"id":2992,"uris":["http://zotero.org/users/11779675/items/C2GK3LAS"],"itemData":{"id":2992,"type":"article-journal","abstract":"Whole-genome association studies (WGAS) bring new computational, as well as analytic, challenges to researchers. Many existing genetic-analysis tools are not designed to handle such large data sets in a convenient manner and do not necessarily exploit the new opportunities that whole-genome data bring. To address these issues, we developed PLINK, an open-source C/C++ WGAS tool set. With PLINK, large data sets comprising hundreds of thousands of markers genotyped for thousands of individuals can be rapidly manipulated and analyzed in their entirety. As well as providing tools to make the basic analytic steps computationally efficient, PLINK also supports some novel approaches to whole-genome data that take advantage of whole-genome coverage. We introduce PLINK and describe the five main domains of function: data management, summary statistics, population stratification, association analysis, and identity-by-descent estimation. In particular, we focus on the estimation and use of identity-by-state and identity-by-descent information in the context of population-based whole-genome studies. This information can be used to detect and correct for population stratification and to identify extended chromosomal segments that are shared identical by descent between very distantly related individuals. Analysis of the patterns of segmental sharing has the potential to map disease loci that contain multiple rare variants in a population-based linkage analysis.","container-title":"American Journal of Human Genetics","DOI":"10.1086/519795","ISSN":"0002-9297","issue":"3","journalAbbreviation":"Am J Hum Genet","language":"eng","note":"PMID: 17701901\nPMCID: PMC1950838","page":"559-575","source":"PubMed","title":"PLINK: a tool set for whole-genome association and population-based linkage analyses","title-short":"PLINK","volume":"81","author":[{"family":"Purcell","given":"Shaun"},{"family":"Neale","given":"Benjamin"},{"family":"Todd-Brown","given":"Kathe"},{"family":"Thomas","given":"Lori"},{"family":"Ferreira","given":"Manuel A. R."},{"family":"Bender","given":"David"},{"family":"Maller","given":"Julian"},{"family":"Sklar","given":"Pamela"},{"family":"Bakker","given":"Paul I. W.","non-dropping-particle":"de"},{"family":"Daly","given":"Mark J."},{"family":"Sham","given":"Pak C."}],"issued":{"date-parts":[["2007",9]]}}},{"id":3091,"uris":["http://zotero.org/users/11779675/items/3L8QXMK9"],"itemData":{"id":3091,"type":"article-journal","abstract":"This protocol details the steps for data quality assessment and control that are typically carried out during case-control association studies. The steps described involve the identification and removal of DNA samples and markers that introduce bias. These critical steps are paramount to the success of a case-control study and are necessary before statistically testing for association. We describe how to use PLINK, a tool for handling SNP data, to perform assessments of failure rate per individual and per SNP and to assess the degree of relatedness between individuals. We also detail other quality-control procedures, including the use of SMARTPCA software for the identification of ancestral outliers. These platforms were selected because they are user-friendly, widely used and computationally efficient. Steps needed to detect and establish a disease association using case-control data are not discussed here. Issues concerning study design and marker selection in case-control studies have been discussed in our earlier protocols. This protocol, which is routinely used in our labs, should take approximately 8 h to complete.","container-title":"Nature Protocols","DOI":"10.1038/nprot.2010.116","ISSN":"1750-2799","issue":"9","journalAbbreviation":"Nat Protoc","language":"en","license":"2010 Springer Nature Limited","note":"publisher: Nature Publishing Group","page":"1564-1573","source":"www.nature.com","title":"Data quality control in genetic case-control association studies","volume":"5","author":[{"family":"Anderson","given":"Carl A."},{"family":"Pettersson","given":"Fredrik H."},{"family":"Clarke","given":"Geraldine M."},{"family":"Cardon","given":"Lon R."},{"family":"Morris","given":"Andrew P."},{"family":"Zondervan","given":"Krina T."}],"issued":{"date-parts":[["2010",9]]}}}],"schema":"https://github.com/citation-style-language/schema/raw/master/csl-citation.json"} </w:instrText>
      </w:r>
      <w:r w:rsidR="000B57A0" w:rsidRPr="00A24087">
        <w:rPr>
          <w:rFonts w:ascii="Times New Roman" w:hAnsi="Times New Roman" w:cs="Times New Roman"/>
          <w:color w:val="000000" w:themeColor="text1"/>
          <w:sz w:val="24"/>
          <w:szCs w:val="24"/>
        </w:rPr>
        <w:fldChar w:fldCharType="separate"/>
      </w:r>
      <w:r w:rsidR="000B57A0" w:rsidRPr="00A24087">
        <w:rPr>
          <w:rFonts w:ascii="Times New Roman" w:hAnsi="Times New Roman" w:cs="Times New Roman"/>
          <w:color w:val="000000" w:themeColor="text1"/>
          <w:sz w:val="24"/>
          <w:szCs w:val="24"/>
        </w:rPr>
        <w:fldChar w:fldCharType="end"/>
      </w:r>
      <w:r w:rsidRPr="00A24087">
        <w:rPr>
          <w:rFonts w:ascii="Times New Roman" w:hAnsi="Times New Roman" w:cs="Times New Roman"/>
          <w:color w:val="000000" w:themeColor="text1"/>
          <w:sz w:val="24"/>
          <w:szCs w:val="24"/>
        </w:rPr>
        <w:t>. Individuals were excluded from further analyses if they had inconsistent sex information, a genotyping failure rate exceeding 5%, heterozygosity rates over 6 standard deviations, related identity by descent (IBD) with other participants (IBD&gt;0.1875), or a significant deviation from the East Asian cluster of the 1,000 Genomes Project Phase 3</w:t>
      </w:r>
      <w:r w:rsidRPr="00A24087">
        <w:rPr>
          <w:rFonts w:ascii="Times New Roman" w:hAnsi="Times New Roman" w:cs="Times New Roman"/>
          <w:color w:val="000000" w:themeColor="text1"/>
          <w:sz w:val="24"/>
          <w:szCs w:val="24"/>
        </w:rPr>
        <w:fldChar w:fldCharType="begin"/>
      </w:r>
      <w:r w:rsidRPr="00A24087">
        <w:rPr>
          <w:rFonts w:ascii="Times New Roman" w:hAnsi="Times New Roman" w:cs="Times New Roman"/>
          <w:color w:val="000000" w:themeColor="text1"/>
          <w:sz w:val="24"/>
          <w:szCs w:val="24"/>
        </w:rPr>
        <w:instrText xml:space="preserve"> ADDIN ZOTERO_ITEM CSL_CITATION {"citationID":"SMGlhQqu","properties":{"formattedCitation":"\\super 3\\nosupersub{}","plainCitation":"3","noteIndex":0},"citationItems":[{"id":2741,"uris":["http://zotero.org/users/11779675/items/CQKJIDU7"],"itemData":{"id":2741,"type":"article-journal","abstract":"The 1000 Genomes Project set out to provide a comprehensive description of common human genetic variation by applying whole-genome sequencing to a diverse set of individuals from multiple populations. Here we report completion of the project, having reconstructed the genomes of 2,504 individuals from 26 populations using a combination of low-coverage whole-genome sequencing, deep exome sequencing, and dense microarray genotyping. We characterized a broad spectrum of genetic variation, in total over 88 million variants (84.7 million single nucleotide polymorphisms (SNPs), 3.6 million short insertions/deletions (indels), and 60,000 structural variants), all phased onto high-quality haplotypes. This resource includes &gt;99% of SNP variants with a frequency of &gt;1% for a variety of ancestries. We describe the distribution of genetic variation across the global sample, and discuss the implications for common disease studies.","container-title":"Nature","DOI":"10.1038/nature15393","ISSN":"1476-4687","issue":"7571","journalAbbreviation":"Nature","language":"eng","note":"PMID: 26432245\nPMCID: PMC4750478","page":"68-74","source":"PubMed","title":"A global reference for human genetic variation","volume":"526","author":[{"literal":"1000 Genomes Project Consortium"},{"family":"Auton","given":"Adam"},{"family":"Brooks","given":"Lisa D."},{"family":"Durbin","given":"Richard M."},{"family":"Garrison","given":"Erik P."},{"family":"Kang","given":"Hyun Min"},{"family":"Korbel","given":"Jan O."},{"family":"Marchini","given":"Jonathan L."},{"family":"McCarthy","given":"Shane"},{"family":"McVean","given":"Gil A."},{"family":"Abecasis","given":"Gonçalo R."}],"issued":{"date-parts":[["2015",10,1]]}}}],"schema":"https://github.com/citation-style-language/schema/raw/master/csl-citation.json"} </w:instrText>
      </w:r>
      <w:r w:rsidRPr="00A24087">
        <w:rPr>
          <w:rFonts w:ascii="Times New Roman" w:hAnsi="Times New Roman" w:cs="Times New Roman"/>
          <w:color w:val="000000" w:themeColor="text1"/>
          <w:sz w:val="24"/>
          <w:szCs w:val="24"/>
        </w:rPr>
        <w:fldChar w:fldCharType="separate"/>
      </w:r>
      <w:r w:rsidRPr="00A24087">
        <w:rPr>
          <w:rFonts w:ascii="Times New Roman" w:hAnsi="Times New Roman" w:cs="Times New Roman"/>
          <w:color w:val="000000" w:themeColor="text1"/>
          <w:sz w:val="24"/>
          <w:szCs w:val="24"/>
        </w:rPr>
        <w:fldChar w:fldCharType="end"/>
      </w:r>
      <w:r w:rsidRPr="00A24087">
        <w:rPr>
          <w:rFonts w:ascii="Times New Roman" w:hAnsi="Times New Roman" w:cs="Times New Roman"/>
          <w:color w:val="000000" w:themeColor="text1"/>
          <w:sz w:val="24"/>
          <w:szCs w:val="24"/>
        </w:rPr>
        <w:t xml:space="preserve"> or the majority of examined participants (over 6 standard deviations from the mean on any top 20 principal components (PCs) based on principal component analysis (PCA)). The PCA was performed in EIGENSTRAT software according to genotype results of LD-pruned SNPs (--</w:t>
      </w:r>
      <w:proofErr w:type="spellStart"/>
      <w:r w:rsidRPr="00A24087">
        <w:rPr>
          <w:rFonts w:ascii="Times New Roman" w:hAnsi="Times New Roman" w:cs="Times New Roman"/>
          <w:color w:val="000000" w:themeColor="text1"/>
          <w:sz w:val="24"/>
          <w:szCs w:val="24"/>
        </w:rPr>
        <w:t>indep</w:t>
      </w:r>
      <w:proofErr w:type="spellEnd"/>
      <w:r w:rsidRPr="00A24087">
        <w:rPr>
          <w:rFonts w:ascii="Times New Roman" w:hAnsi="Times New Roman" w:cs="Times New Roman"/>
          <w:color w:val="000000" w:themeColor="text1"/>
          <w:sz w:val="24"/>
          <w:szCs w:val="24"/>
        </w:rPr>
        <w:t>-pairwise 50 5 0.2) extracted by PLINK v1.9</w:t>
      </w:r>
      <w:r w:rsidRPr="00A24087">
        <w:rPr>
          <w:rFonts w:ascii="Times New Roman" w:hAnsi="Times New Roman" w:cs="Times New Roman"/>
          <w:color w:val="000000" w:themeColor="text1"/>
          <w:sz w:val="24"/>
          <w:szCs w:val="24"/>
        </w:rPr>
        <w:fldChar w:fldCharType="begin"/>
      </w:r>
      <w:r w:rsidRPr="00A24087">
        <w:rPr>
          <w:rFonts w:ascii="Times New Roman" w:hAnsi="Times New Roman" w:cs="Times New Roman"/>
          <w:color w:val="000000" w:themeColor="text1"/>
          <w:sz w:val="24"/>
          <w:szCs w:val="24"/>
        </w:rPr>
        <w:instrText xml:space="preserve"> ADDIN ZOTERO_ITEM CSL_CITATION {"citationID":"VmUn7dhM","properties":{"formattedCitation":"\\super 4\\nosupersub{}","plainCitation":"4","noteIndex":0},"citationItems":[{"id":3099,"uris":["http://zotero.org/users/11779675/items/XFKV6GMW"],"itemData":{"id":3099,"type":"article-journal","abstract":"Population stratification--allele frequency differences between cases and controls due to systematic ancestry differences-can cause spurious associations in disease studies. We describe a method that enables explicit detection and correction of population stratification on a genome-wide scale. Our method uses principal components analysis to explicitly model ancestry differences between cases and controls. The resulting correction is specific to a candidate marker's variation in frequency across ancestral populations, minimizing spurious associations while maximizing power to detect true associations. Our simple, efficient approach can easily be applied to disease studies with hundreds of thousands of markers.","container-title":"Nature Genetics","DOI":"10.1038/ng1847","ISSN":"1061-4036","issue":"8","journalAbbreviation":"Nat Genet","language":"eng","note":"PMID: 16862161","page":"904-909","source":"PubMed","title":"Principal components analysis corrects for stratification in genome-wide association studies","volume":"38","author":[{"family":"Price","given":"Alkes L."},{"family":"Patterson","given":"Nick J."},{"family":"Plenge","given":"Robert M."},{"family":"Weinblatt","given":"Michael E."},{"family":"Shadick","given":"Nancy A."},{"family":"Reich","given":"David"}],"issued":{"date-parts":[["2006",8]]}}}],"schema":"https://github.com/citation-style-language/schema/raw/master/csl-citation.json"} </w:instrText>
      </w:r>
      <w:r w:rsidRPr="00A24087">
        <w:rPr>
          <w:rFonts w:ascii="Times New Roman" w:hAnsi="Times New Roman" w:cs="Times New Roman"/>
          <w:color w:val="000000" w:themeColor="text1"/>
          <w:sz w:val="24"/>
          <w:szCs w:val="24"/>
        </w:rPr>
        <w:fldChar w:fldCharType="separate"/>
      </w:r>
      <w:r w:rsidRPr="00A24087">
        <w:rPr>
          <w:rFonts w:ascii="Times New Roman" w:hAnsi="Times New Roman" w:cs="Times New Roman"/>
          <w:color w:val="000000" w:themeColor="text1"/>
          <w:sz w:val="24"/>
          <w:szCs w:val="24"/>
        </w:rPr>
        <w:fldChar w:fldCharType="end"/>
      </w:r>
      <w:r w:rsidR="000B57A0" w:rsidRPr="00A24087">
        <w:rPr>
          <w:rFonts w:ascii="Times New Roman" w:hAnsi="Times New Roman" w:cs="Times New Roman"/>
          <w:color w:val="000000" w:themeColor="text1"/>
          <w:sz w:val="24"/>
          <w:szCs w:val="24"/>
        </w:rPr>
        <w:t>.</w:t>
      </w:r>
      <w:r w:rsidRPr="00A24087">
        <w:rPr>
          <w:rFonts w:ascii="Times New Roman" w:hAnsi="Times New Roman" w:cs="Times New Roman"/>
          <w:color w:val="000000" w:themeColor="text1"/>
          <w:sz w:val="24"/>
          <w:szCs w:val="24"/>
        </w:rPr>
        <w:t xml:space="preserve"> After filtering out SNPs with a minor allele frequency (MAF) less than 1% across the entire genome and SNPs located in regions with extended high linkage disequilibrium (LD), such as the major histocompatibility complex (MHC) region, SNPs with a call rate less than 95%, or deviation from Hardy-Weinberg equilibrium (HWE) with a P value less than 1.00</w:t>
      </w:r>
      <w:r w:rsidRPr="00A24087">
        <w:rPr>
          <w:rFonts w:ascii="Times New Roman" w:hAnsi="Times New Roman" w:cs="Times New Roman" w:hint="eastAsia"/>
          <w:color w:val="000000" w:themeColor="text1"/>
          <w:sz w:val="24"/>
          <w:szCs w:val="24"/>
        </w:rPr>
        <w:t>×</w:t>
      </w:r>
      <w:r w:rsidRPr="00A24087">
        <w:rPr>
          <w:rFonts w:ascii="Times New Roman" w:hAnsi="Times New Roman" w:cs="Times New Roman"/>
          <w:color w:val="000000" w:themeColor="text1"/>
          <w:sz w:val="24"/>
          <w:szCs w:val="24"/>
        </w:rPr>
        <w:t>10 in either cases or controls were excluded at genetic marker level from further analyses.</w:t>
      </w:r>
    </w:p>
    <w:p w14:paraId="757FCD0F" w14:textId="77777777" w:rsidR="001F7F84" w:rsidRPr="00A24087" w:rsidRDefault="00000000">
      <w:pPr>
        <w:snapToGrid w:val="0"/>
        <w:spacing w:line="480" w:lineRule="auto"/>
        <w:ind w:firstLine="420"/>
        <w:rPr>
          <w:rFonts w:ascii="Times New Roman" w:hAnsi="Times New Roman" w:cs="Times New Roman"/>
          <w:color w:val="000000" w:themeColor="text1"/>
          <w:sz w:val="24"/>
          <w:szCs w:val="24"/>
        </w:rPr>
      </w:pPr>
      <w:r w:rsidRPr="00A24087">
        <w:rPr>
          <w:rFonts w:ascii="Times New Roman" w:hAnsi="Times New Roman" w:cs="Times New Roman"/>
          <w:color w:val="000000" w:themeColor="text1"/>
          <w:sz w:val="24"/>
          <w:szCs w:val="24"/>
        </w:rPr>
        <w:t>For the CN-BD cohort, we obtained 930,677 SNPs in 1,323 cases with BD and 2,597 controls before QC. Initial QC steps involved filtering out SNPs with a missingness rate &gt; 0.05, resulting in 467,368 SNPs remaining. Further filtering based on MAF &lt; 0.01 left 364,464 SNPs. After applying the HWE test with a threshold of 1.00</w:t>
      </w:r>
      <w:r w:rsidRPr="00A24087">
        <w:rPr>
          <w:rFonts w:ascii="Times New Roman" w:hAnsi="Times New Roman" w:cs="Times New Roman" w:hint="eastAsia"/>
          <w:color w:val="000000" w:themeColor="text1"/>
          <w:sz w:val="24"/>
          <w:szCs w:val="24"/>
        </w:rPr>
        <w:t>×</w:t>
      </w:r>
      <w:r w:rsidRPr="00A24087">
        <w:rPr>
          <w:rFonts w:ascii="Times New Roman" w:hAnsi="Times New Roman" w:cs="Times New Roman"/>
          <w:color w:val="000000" w:themeColor="text1"/>
          <w:sz w:val="24"/>
          <w:szCs w:val="24"/>
        </w:rPr>
        <w:t xml:space="preserve">105, 352,427 SNPs were retained. Subject-level QC involved excluding </w:t>
      </w:r>
      <w:r w:rsidRPr="00A24087">
        <w:rPr>
          <w:rFonts w:ascii="Times New Roman" w:hAnsi="Times New Roman" w:cs="Times New Roman"/>
          <w:color w:val="000000" w:themeColor="text1"/>
          <w:sz w:val="24"/>
          <w:szCs w:val="24"/>
        </w:rPr>
        <w:lastRenderedPageBreak/>
        <w:t>participants with a missingness rate &gt; 0.05, resulting in 1,315 cases and 2,547 controls. Additionally, participants with IBD &gt; 0.1875 were excluded, leaving 1,282 cases and 2,444 controls for subsequent analysis. After imputation, a total of 5,933,750 SNPs were obtained. Following final QC procedures, 5,348,556 SNPs were retained for analysis, covering 1,269 cases and 2,438 controls, including 1,484 males and 2,223 females.</w:t>
      </w:r>
    </w:p>
    <w:p w14:paraId="42EAA612" w14:textId="77777777" w:rsidR="001F7F84" w:rsidRPr="00A24087" w:rsidRDefault="00000000">
      <w:pPr>
        <w:snapToGrid w:val="0"/>
        <w:spacing w:line="480" w:lineRule="auto"/>
        <w:rPr>
          <w:rFonts w:ascii="Times New Roman" w:hAnsi="Times New Roman" w:cs="Times New Roman"/>
          <w:b/>
          <w:bCs/>
          <w:color w:val="000000" w:themeColor="text1"/>
          <w:sz w:val="24"/>
          <w:szCs w:val="24"/>
        </w:rPr>
      </w:pPr>
      <w:r w:rsidRPr="00A24087">
        <w:rPr>
          <w:rFonts w:ascii="Times New Roman" w:hAnsi="Times New Roman" w:cs="Times New Roman"/>
          <w:b/>
          <w:bCs/>
          <w:color w:val="000000" w:themeColor="text1"/>
          <w:sz w:val="24"/>
          <w:szCs w:val="24"/>
        </w:rPr>
        <w:t>Local genetic correlation</w:t>
      </w:r>
    </w:p>
    <w:p w14:paraId="3EF1D07D" w14:textId="0CCC824E" w:rsidR="001F7F84" w:rsidRPr="00A24087" w:rsidRDefault="00000000">
      <w:pPr>
        <w:spacing w:line="480" w:lineRule="auto"/>
        <w:rPr>
          <w:rFonts w:ascii="Times New Roman" w:hAnsi="Times New Roman" w:cs="Times New Roman"/>
          <w:color w:val="000000" w:themeColor="text1"/>
          <w:sz w:val="24"/>
          <w:szCs w:val="24"/>
        </w:rPr>
      </w:pPr>
      <w:r w:rsidRPr="00A24087">
        <w:rPr>
          <w:rFonts w:ascii="Times New Roman" w:hAnsi="Times New Roman" w:cs="Times New Roman"/>
          <w:color w:val="000000" w:themeColor="text1"/>
          <w:sz w:val="24"/>
          <w:szCs w:val="24"/>
        </w:rPr>
        <w:t>To investigate whether specific regions influence the traits that showed positive results in genome-wide genetic correlations, we conducted further evaluations using local analysis of covariate annotation (LAVA). LAVA provides evidence for local genetic correlations and indicates the direction of these associations. It is an integrated framework for local genetic correlation analyses that assesses local heritability and analyzes conditional genetic relationships between multiple phenotypes using partial correlation and multiple regression. This method also tests standard bivariate local genetic correlations between two phenotypes</w:t>
      </w:r>
      <w:r w:rsidRPr="00A24087">
        <w:rPr>
          <w:rFonts w:ascii="Times New Roman" w:hAnsi="Times New Roman" w:cs="Times New Roman"/>
          <w:color w:val="000000" w:themeColor="text1"/>
          <w:sz w:val="24"/>
          <w:szCs w:val="24"/>
        </w:rPr>
        <w:fldChar w:fldCharType="begin"/>
      </w:r>
      <w:r w:rsidR="0096301D" w:rsidRPr="00A24087">
        <w:rPr>
          <w:rFonts w:ascii="Times New Roman" w:hAnsi="Times New Roman" w:cs="Times New Roman"/>
          <w:color w:val="000000" w:themeColor="text1"/>
          <w:sz w:val="24"/>
          <w:szCs w:val="24"/>
        </w:rPr>
        <w:instrText xml:space="preserve"> ADDIN ZOTERO_ITEM CSL_CITATION {"citationID":"JiyyFm6i","properties":{"formattedCitation":"\\super 5\\nosupersub{}","plainCitation":"5","noteIndex":0},"citationItems":[{"id":2648,"uris":["http://zotero.org/users/11779675/items/T3D6T8YL"],"itemData":{"id":2648,"type":"article-journal","abstract":"Genetic correlation (rg) analysis is used to identify phenotypes that may have a shared genetic basis. Traditionally, rg is studied globally, considering only the average of the shared signal across the genome, although this approach may fail when the rg is confined to particular genomic regions or in opposing directions at different loci. Current tools for local rg analysis are restricted to analysis of two phenotypes. Here we introduce LAVA, an integrated framework for local rg analysis that, in addition to testing the standard bivariate local rgs between two phenotypes, can evaluate local heritabilities and analyze conditional genetic relations between several phenotypes using partial correlation and multiple regression. Applied to 25 behavioral and health phenotypes, we show considerable heterogeneity in the bivariate local rgs across the genome, which is often masked by the global rg patterns, and demonstrate how our conditional approaches can elucidate more complex, multivariate genetic relations.","container-title":"Nature Genetics","DOI":"10.1038/s41588-022-01017-y","ISSN":"1546-1718","issue":"3","journalAbbreviation":"Nat Genet","language":"eng","note":"PMID: 35288712","page":"274-282","source":"PubMed","title":"An integrated framework for local genetic correlation analysis","volume":"54","author":[{"family":"Werme","given":"Josefin"},{"family":"Sluis","given":"Sophie","non-dropping-particle":"van der"},{"family":"Posthuma","given":"Danielle"},{"family":"Leeuw","given":"Christiaan A.","non-dropping-particle":"de"}],"issued":{"date-parts":[["2022",3]]}},"label":"page"}],"schema":"https://github.com/citation-style-language/schema/raw/master/csl-citation.json"} </w:instrText>
      </w:r>
      <w:r w:rsidRPr="00A24087">
        <w:rPr>
          <w:rFonts w:ascii="Times New Roman" w:hAnsi="Times New Roman" w:cs="Times New Roman"/>
          <w:color w:val="000000" w:themeColor="text1"/>
          <w:sz w:val="24"/>
          <w:szCs w:val="24"/>
        </w:rPr>
        <w:fldChar w:fldCharType="separate"/>
      </w:r>
      <w:r w:rsidRPr="00A24087">
        <w:rPr>
          <w:rFonts w:ascii="Times New Roman" w:hAnsi="Times New Roman" w:cs="Times New Roman"/>
          <w:color w:val="000000" w:themeColor="text1"/>
          <w:sz w:val="24"/>
          <w:szCs w:val="24"/>
        </w:rPr>
        <w:fldChar w:fldCharType="end"/>
      </w:r>
      <w:r w:rsidR="0096301D" w:rsidRPr="00A24087">
        <w:rPr>
          <w:rFonts w:ascii="Times New Roman" w:hAnsi="Times New Roman" w:cs="Times New Roman"/>
          <w:color w:val="000000" w:themeColor="text1"/>
          <w:sz w:val="24"/>
          <w:szCs w:val="24"/>
        </w:rPr>
        <w:t>.</w:t>
      </w:r>
      <w:r w:rsidRPr="00A24087">
        <w:rPr>
          <w:rFonts w:ascii="Times New Roman" w:hAnsi="Times New Roman" w:cs="Times New Roman"/>
          <w:color w:val="000000" w:themeColor="text1"/>
          <w:sz w:val="24"/>
          <w:szCs w:val="24"/>
        </w:rPr>
        <w:t xml:space="preserve"> According to the scheme described in the original text, we partitioned the East Asian genome into 2,197 regions (including the MHC region), with an average size of 1 Mb. We performed bivariate analysis only on the loci with a univariate signal of P &lt; 0.05/2197 for the two phenotypes</w:t>
      </w:r>
      <w:r w:rsidRPr="00A24087">
        <w:rPr>
          <w:rFonts w:ascii="Times New Roman" w:hAnsi="Times New Roman" w:cs="Times New Roman"/>
          <w:color w:val="000000" w:themeColor="text1"/>
          <w:sz w:val="24"/>
          <w:szCs w:val="24"/>
        </w:rPr>
        <w:fldChar w:fldCharType="begin"/>
      </w:r>
      <w:r w:rsidRPr="00A24087">
        <w:rPr>
          <w:rFonts w:ascii="Times New Roman" w:hAnsi="Times New Roman" w:cs="Times New Roman"/>
          <w:color w:val="000000" w:themeColor="text1"/>
          <w:sz w:val="24"/>
          <w:szCs w:val="24"/>
        </w:rPr>
        <w:instrText xml:space="preserve"> ADDIN ZOTERO_ITEM CSL_CITATION {"citationID":"dngLHfSf","properties":{"formattedCitation":"\\super 5\\nosupersub{}","plainCitation":"5","noteIndex":0},"citationItems":[{"id":2648,"uris":["http://zotero.org/users/11779675/items/T3D6T8YL"],"itemData":{"id":2648,"type":"article-journal","abstract":"Genetic correlation (rg) analysis is used to identify phenotypes that may have a shared genetic basis. Traditionally, rg is studied globally, considering only the average of the shared signal across the genome, although this approach may fail when the rg is confined to particular genomic regions or in opposing directions at different loci. Current tools for local rg analysis are restricted to analysis of two phenotypes. Here we introduce LAVA, an integrated framework for local rg analysis that, in addition to testing the standard bivariate local rgs between two phenotypes, can evaluate local heritabilities and analyze conditional genetic relations between several phenotypes using partial correlation and multiple regression. Applied to 25 behavioral and health phenotypes, we show considerable heterogeneity in the bivariate local rgs across the genome, which is often masked by the global rg patterns, and demonstrate how our conditional approaches can elucidate more complex, multivariate genetic relations.","container-title":"Nature Genetics","DOI":"10.1038/s41588-022-01017-y","ISSN":"1546-1718","issue":"3","journalAbbreviation":"Nat Genet","language":"eng","note":"PMID: 35288712","page":"274-282","source":"PubMed","title":"An integrated framework for local genetic correlation analysis","volume":"54","author":[{"family":"Werme","given":"Josefin"},{"family":"Sluis","given":"Sophie","non-dropping-particle":"van der"},{"family":"Posthuma","given":"Danielle"},{"family":"Leeuw","given":"Christiaan A.","non-dropping-particle":"de"}],"issued":{"date-parts":[["2022",3]]}}}],"schema":"https://github.com/citation-style-language/schema/raw/master/csl-citation.json"} </w:instrText>
      </w:r>
      <w:r w:rsidRPr="00A24087">
        <w:rPr>
          <w:rFonts w:ascii="Times New Roman" w:hAnsi="Times New Roman" w:cs="Times New Roman"/>
          <w:color w:val="000000" w:themeColor="text1"/>
          <w:sz w:val="24"/>
          <w:szCs w:val="24"/>
        </w:rPr>
        <w:fldChar w:fldCharType="separate"/>
      </w:r>
      <w:r w:rsidRPr="00A24087">
        <w:rPr>
          <w:rFonts w:ascii="Times New Roman" w:hAnsi="Times New Roman" w:cs="Times New Roman"/>
          <w:color w:val="000000" w:themeColor="text1"/>
          <w:sz w:val="24"/>
          <w:szCs w:val="24"/>
        </w:rPr>
        <w:fldChar w:fldCharType="end"/>
      </w:r>
      <w:r w:rsidR="0096301D" w:rsidRPr="00A24087">
        <w:rPr>
          <w:rFonts w:ascii="Times New Roman" w:hAnsi="Times New Roman" w:cs="Times New Roman"/>
          <w:color w:val="000000" w:themeColor="text1"/>
          <w:sz w:val="24"/>
          <w:szCs w:val="24"/>
        </w:rPr>
        <w:t>.</w:t>
      </w:r>
      <w:r w:rsidRPr="00A24087">
        <w:rPr>
          <w:rFonts w:ascii="Times New Roman" w:hAnsi="Times New Roman" w:cs="Times New Roman"/>
          <w:color w:val="000000" w:themeColor="text1"/>
          <w:sz w:val="24"/>
          <w:szCs w:val="24"/>
        </w:rPr>
        <w:t xml:space="preserve"> </w:t>
      </w:r>
    </w:p>
    <w:p w14:paraId="5DD81DFB" w14:textId="77777777" w:rsidR="001F7F84" w:rsidRPr="00A24087" w:rsidRDefault="00000000">
      <w:pPr>
        <w:spacing w:line="480" w:lineRule="auto"/>
        <w:rPr>
          <w:rFonts w:ascii="Times New Roman" w:hAnsi="Times New Roman" w:cs="Times New Roman"/>
          <w:b/>
          <w:bCs/>
          <w:color w:val="000000" w:themeColor="text1"/>
          <w:sz w:val="24"/>
          <w:szCs w:val="24"/>
        </w:rPr>
      </w:pPr>
      <w:r w:rsidRPr="00A24087">
        <w:rPr>
          <w:rFonts w:ascii="Times New Roman" w:hAnsi="Times New Roman" w:cs="Times New Roman"/>
          <w:b/>
          <w:bCs/>
          <w:color w:val="000000" w:themeColor="text1"/>
          <w:sz w:val="24"/>
          <w:szCs w:val="24"/>
        </w:rPr>
        <w:t>Cross-trait analysis</w:t>
      </w:r>
    </w:p>
    <w:p w14:paraId="47030677" w14:textId="37794D4A" w:rsidR="001F7F84" w:rsidRPr="00A24087" w:rsidRDefault="00000000">
      <w:pPr>
        <w:spacing w:line="480" w:lineRule="auto"/>
        <w:rPr>
          <w:rFonts w:ascii="Times New Roman" w:hAnsi="Times New Roman" w:cs="Times New Roman"/>
          <w:b/>
          <w:color w:val="000000" w:themeColor="text1"/>
          <w:sz w:val="24"/>
          <w:szCs w:val="24"/>
        </w:rPr>
      </w:pPr>
      <w:r w:rsidRPr="00A24087">
        <w:rPr>
          <w:rFonts w:ascii="Times New Roman" w:hAnsi="Times New Roman" w:cs="Times New Roman"/>
          <w:color w:val="000000" w:themeColor="text1"/>
          <w:sz w:val="24"/>
          <w:szCs w:val="24"/>
        </w:rPr>
        <w:t>To identify pleiotropic loci shared between traits, we performed a cross-</w:t>
      </w:r>
      <w:proofErr w:type="spellStart"/>
      <w:r w:rsidRPr="00A24087">
        <w:rPr>
          <w:rFonts w:ascii="Times New Roman" w:hAnsi="Times New Roman" w:cs="Times New Roman"/>
          <w:color w:val="000000" w:themeColor="text1"/>
          <w:sz w:val="24"/>
          <w:szCs w:val="24"/>
        </w:rPr>
        <w:t>trait</w:t>
      </w:r>
      <w:proofErr w:type="spellEnd"/>
      <w:r w:rsidRPr="00A24087">
        <w:rPr>
          <w:rFonts w:ascii="Times New Roman" w:hAnsi="Times New Roman" w:cs="Times New Roman"/>
          <w:color w:val="000000" w:themeColor="text1"/>
          <w:sz w:val="24"/>
          <w:szCs w:val="24"/>
        </w:rPr>
        <w:t xml:space="preserve"> meta-analysis of GWAS summary statistics using </w:t>
      </w:r>
      <w:r w:rsidRPr="00A24087">
        <w:rPr>
          <w:rFonts w:ascii="Times New Roman" w:hAnsi="Times New Roman" w:cs="Times New Roman"/>
          <w:bCs/>
          <w:color w:val="000000" w:themeColor="text1"/>
          <w:sz w:val="24"/>
          <w:szCs w:val="24"/>
        </w:rPr>
        <w:t>Multi-Trait Analysis of GWAS (MTAG)</w:t>
      </w:r>
      <w:r w:rsidRPr="00A24087">
        <w:rPr>
          <w:rFonts w:ascii="Times New Roman" w:hAnsi="Times New Roman" w:cs="Times New Roman"/>
          <w:color w:val="000000" w:themeColor="text1"/>
          <w:sz w:val="24"/>
          <w:szCs w:val="24"/>
        </w:rPr>
        <w:fldChar w:fldCharType="begin"/>
      </w:r>
      <w:r w:rsidRPr="00A24087">
        <w:rPr>
          <w:rFonts w:ascii="Times New Roman" w:hAnsi="Times New Roman" w:cs="Times New Roman"/>
          <w:color w:val="000000" w:themeColor="text1"/>
          <w:sz w:val="24"/>
          <w:szCs w:val="24"/>
        </w:rPr>
        <w:instrText xml:space="preserve"> ADDIN ZOTERO_ITEM CSL_CITATION {"citationID":"N4WjSWLx","properties":{"formattedCitation":"\\super 6\\nosupersub{}","plainCitation":"6","noteIndex":0},"citationItems":[{"id":2762,"uris":["http://zotero.org/users/11779675/items/IK37F4LQ"],"itemData":{"id":2762,"type":"article-journal","abstract":"We introduce multi-trait analysis of GWAS (MTAG), a method for joint analysis of summary statistics from genome-wide association studies (GWAS) of different traits, possibly from overlapping samples. We apply MTAG to summary statistics for depressive symptoms (N eff = 354,862), neuroticism (N = 168,105), and subjective well-being (N = 388,538). As compared to the 32, 9, and 13 genome-wide significant loci identified in the single-trait GWAS (most of which are themselves novel), MTAG increases the number of associated loci to 64, 37, and 49, respectively. Moreover, association statistics from MTAG yield more informative bioinformatics analyses and increase the variance explained by polygenic scores by approximately 25%, matching theoretical expectations.","container-title":"Nature Genetics","DOI":"10.1038/s41588-017-0009-4","ISSN":"1546-1718","issue":"2","journalAbbreviation":"Nat Genet","language":"eng","note":"PMID: 29292387\nPMCID: PMC5805593","page":"229-237","source":"PubMed","title":"Multi-trait analysis of genome-wide association summary statistics using MTAG","volume":"50","author":[{"family":"Turley","given":"Patrick"},{"family":"Walters","given":"Raymond K."},{"family":"Maghzian","given":"Omeed"},{"family":"Okbay","given":"Aysu"},{"family":"Lee","given":"James J."},{"family":"Fontana","given":"Mark Alan"},{"family":"Nguyen-Viet","given":"Tuan Anh"},{"family":"Wedow","given":"Robbee"},{"family":"Zacher","given":"Meghan"},{"family":"Furlotte","given":"Nicholas A."},{"literal":"23andMe Research Team"},{"literal":"Social Science Genetic Association Consortium"},{"family":"Magnusson","given":"Patrik"},{"family":"Oskarsson","given":"Sven"},{"family":"Johannesson","given":"Magnus"},{"family":"Visscher","given":"Peter M."},{"family":"Laibson","given":"David"},{"family":"Cesarini","given":"David"},{"family":"Neale","given":"Benjamin M."},{"family":"Benjamin","given":"Daniel J."}],"issued":{"date-parts":[["2018",2]]}}}],"schema":"https://github.com/citation-style-language/schema/raw/master/csl-citation.json"} </w:instrText>
      </w:r>
      <w:r w:rsidRPr="00A24087">
        <w:rPr>
          <w:rFonts w:ascii="Times New Roman" w:hAnsi="Times New Roman" w:cs="Times New Roman"/>
          <w:color w:val="000000" w:themeColor="text1"/>
          <w:sz w:val="24"/>
          <w:szCs w:val="24"/>
        </w:rPr>
        <w:fldChar w:fldCharType="separate"/>
      </w:r>
      <w:r w:rsidRPr="00A24087">
        <w:rPr>
          <w:rFonts w:ascii="Times New Roman" w:hAnsi="Times New Roman" w:cs="Times New Roman"/>
          <w:color w:val="000000" w:themeColor="text1"/>
          <w:sz w:val="24"/>
          <w:szCs w:val="24"/>
        </w:rPr>
        <w:fldChar w:fldCharType="end"/>
      </w:r>
      <w:r w:rsidR="0096301D" w:rsidRPr="00A24087">
        <w:rPr>
          <w:rFonts w:ascii="Times New Roman" w:hAnsi="Times New Roman" w:cs="Times New Roman"/>
          <w:color w:val="000000" w:themeColor="text1"/>
          <w:sz w:val="24"/>
          <w:szCs w:val="24"/>
        </w:rPr>
        <w:t>.</w:t>
      </w:r>
      <w:r w:rsidRPr="00A24087">
        <w:rPr>
          <w:rFonts w:ascii="Times New Roman" w:hAnsi="Times New Roman" w:cs="Times New Roman"/>
          <w:color w:val="000000" w:themeColor="text1"/>
          <w:sz w:val="24"/>
          <w:szCs w:val="24"/>
        </w:rPr>
        <w:t xml:space="preserve"> MTAG applies generalized inverse-variance-weighted meta-analysis for multiple traits. In addition, it accommodates potential sample overlap between GWAS. Its key </w:t>
      </w:r>
      <w:r w:rsidRPr="00A24087">
        <w:rPr>
          <w:rFonts w:ascii="Times New Roman" w:hAnsi="Times New Roman" w:cs="Times New Roman"/>
          <w:color w:val="000000" w:themeColor="text1"/>
          <w:sz w:val="24"/>
          <w:szCs w:val="24"/>
        </w:rPr>
        <w:lastRenderedPageBreak/>
        <w:t>assumption is that all SNVs share the same variance-covariance matrix of effect sizes among traits. As initially described, MTAG is a consistent estimator whose effect estimates have a lower genome-wide mean squared error than the corresponding single-trait GWAS estimates</w:t>
      </w:r>
      <w:r w:rsidRPr="00A24087">
        <w:rPr>
          <w:rFonts w:ascii="Times New Roman" w:hAnsi="Times New Roman" w:cs="Times New Roman"/>
          <w:color w:val="000000" w:themeColor="text1"/>
          <w:sz w:val="24"/>
          <w:szCs w:val="24"/>
        </w:rPr>
        <w:fldChar w:fldCharType="begin"/>
      </w:r>
      <w:r w:rsidRPr="00A24087">
        <w:rPr>
          <w:rFonts w:ascii="Times New Roman" w:hAnsi="Times New Roman" w:cs="Times New Roman"/>
          <w:color w:val="000000" w:themeColor="text1"/>
          <w:sz w:val="24"/>
          <w:szCs w:val="24"/>
        </w:rPr>
        <w:instrText xml:space="preserve"> ADDIN ZOTERO_ITEM CSL_CITATION {"citationID":"GDCyprxS","properties":{"formattedCitation":"\\super 6\\nosupersub{}","plainCitation":"6","noteIndex":0},"citationItems":[{"id":2762,"uris":["http://zotero.org/users/11779675/items/IK37F4LQ"],"itemData":{"id":2762,"type":"article-journal","abstract":"We introduce multi-trait analysis of GWAS (MTAG), a method for joint analysis of summary statistics from genome-wide association studies (GWAS) of different traits, possibly from overlapping samples. We apply MTAG to summary statistics for depressive symptoms (N eff = 354,862), neuroticism (N = 168,105), and subjective well-being (N = 388,538). As compared to the 32, 9, and 13 genome-wide significant loci identified in the single-trait GWAS (most of which are themselves novel), MTAG increases the number of associated loci to 64, 37, and 49, respectively. Moreover, association statistics from MTAG yield more informative bioinformatics analyses and increase the variance explained by polygenic scores by approximately 25%, matching theoretical expectations.","container-title":"Nature Genetics","DOI":"10.1038/s41588-017-0009-4","ISSN":"1546-1718","issue":"2","journalAbbreviation":"Nat Genet","language":"eng","note":"PMID: 29292387\nPMCID: PMC5805593","page":"229-237","source":"PubMed","title":"Multi-trait analysis of genome-wide association summary statistics using MTAG","volume":"50","author":[{"family":"Turley","given":"Patrick"},{"family":"Walters","given":"Raymond K."},{"family":"Maghzian","given":"Omeed"},{"family":"Okbay","given":"Aysu"},{"family":"Lee","given":"James J."},{"family":"Fontana","given":"Mark Alan"},{"family":"Nguyen-Viet","given":"Tuan Anh"},{"family":"Wedow","given":"Robbee"},{"family":"Zacher","given":"Meghan"},{"family":"Furlotte","given":"Nicholas A."},{"literal":"23andMe Research Team"},{"literal":"Social Science Genetic Association Consortium"},{"family":"Magnusson","given":"Patrik"},{"family":"Oskarsson","given":"Sven"},{"family":"Johannesson","given":"Magnus"},{"family":"Visscher","given":"Peter M."},{"family":"Laibson","given":"David"},{"family":"Cesarini","given":"David"},{"family":"Neale","given":"Benjamin M."},{"family":"Benjamin","given":"Daniel J."}],"issued":{"date-parts":[["2018",2]]}}}],"schema":"https://github.com/citation-style-language/schema/raw/master/csl-citation.json"} </w:instrText>
      </w:r>
      <w:r w:rsidRPr="00A24087">
        <w:rPr>
          <w:rFonts w:ascii="Times New Roman" w:hAnsi="Times New Roman" w:cs="Times New Roman"/>
          <w:color w:val="000000" w:themeColor="text1"/>
          <w:sz w:val="24"/>
          <w:szCs w:val="24"/>
        </w:rPr>
        <w:fldChar w:fldCharType="separate"/>
      </w:r>
      <w:r w:rsidRPr="00A24087">
        <w:rPr>
          <w:rFonts w:ascii="Times New Roman" w:hAnsi="Times New Roman" w:cs="Times New Roman"/>
          <w:color w:val="000000" w:themeColor="text1"/>
          <w:sz w:val="24"/>
          <w:szCs w:val="24"/>
        </w:rPr>
        <w:fldChar w:fldCharType="end"/>
      </w:r>
      <w:r w:rsidR="0096301D" w:rsidRPr="00A24087">
        <w:rPr>
          <w:rFonts w:ascii="Times New Roman" w:hAnsi="Times New Roman" w:cs="Times New Roman"/>
          <w:color w:val="000000" w:themeColor="text1"/>
          <w:sz w:val="24"/>
          <w:szCs w:val="24"/>
        </w:rPr>
        <w:t>.</w:t>
      </w:r>
      <w:r w:rsidRPr="00A24087">
        <w:rPr>
          <w:rFonts w:ascii="Times New Roman" w:hAnsi="Times New Roman" w:cs="Times New Roman"/>
          <w:color w:val="000000" w:themeColor="text1"/>
          <w:sz w:val="24"/>
          <w:szCs w:val="24"/>
        </w:rPr>
        <w:t xml:space="preserve"> In addition, association statistics from MTAG also yield stronger statistical power and little inflation of the FDR for each analyzed trait with high correlation</w:t>
      </w:r>
      <w:r w:rsidRPr="00A24087">
        <w:rPr>
          <w:rFonts w:ascii="Times New Roman" w:hAnsi="Times New Roman" w:cs="Times New Roman"/>
          <w:color w:val="000000" w:themeColor="text1"/>
          <w:sz w:val="24"/>
          <w:szCs w:val="24"/>
        </w:rPr>
        <w:fldChar w:fldCharType="begin"/>
      </w:r>
      <w:r w:rsidRPr="00A24087">
        <w:rPr>
          <w:rFonts w:ascii="Times New Roman" w:hAnsi="Times New Roman" w:cs="Times New Roman"/>
          <w:color w:val="000000" w:themeColor="text1"/>
          <w:sz w:val="24"/>
          <w:szCs w:val="24"/>
        </w:rPr>
        <w:instrText xml:space="preserve"> ADDIN ZOTERO_ITEM CSL_CITATION {"citationID":"pLebK7FC","properties":{"formattedCitation":"\\super 6\\nosupersub{}","plainCitation":"6","noteIndex":0},"citationItems":[{"id":2762,"uris":["http://zotero.org/users/11779675/items/IK37F4LQ"],"itemData":{"id":2762,"type":"article-journal","abstract":"We introduce multi-trait analysis of GWAS (MTAG), a method for joint analysis of summary statistics from genome-wide association studies (GWAS) of different traits, possibly from overlapping samples. We apply MTAG to summary statistics for depressive symptoms (N eff = 354,862), neuroticism (N = 168,105), and subjective well-being (N = 388,538). As compared to the 32, 9, and 13 genome-wide significant loci identified in the single-trait GWAS (most of which are themselves novel), MTAG increases the number of associated loci to 64, 37, and 49, respectively. Moreover, association statistics from MTAG yield more informative bioinformatics analyses and increase the variance explained by polygenic scores by approximately 25%, matching theoretical expectations.","container-title":"Nature Genetics","DOI":"10.1038/s41588-017-0009-4","ISSN":"1546-1718","issue":"2","journalAbbreviation":"Nat Genet","language":"eng","note":"PMID: 29292387\nPMCID: PMC5805593","page":"229-237","source":"PubMed","title":"Multi-trait analysis of genome-wide association summary statistics using MTAG","volume":"50","author":[{"family":"Turley","given":"Patrick"},{"family":"Walters","given":"Raymond K."},{"family":"Maghzian","given":"Omeed"},{"family":"Okbay","given":"Aysu"},{"family":"Lee","given":"James J."},{"family":"Fontana","given":"Mark Alan"},{"family":"Nguyen-Viet","given":"Tuan Anh"},{"family":"Wedow","given":"Robbee"},{"family":"Zacher","given":"Meghan"},{"family":"Furlotte","given":"Nicholas A."},{"literal":"23andMe Research Team"},{"literal":"Social Science Genetic Association Consortium"},{"family":"Magnusson","given":"Patrik"},{"family":"Oskarsson","given":"Sven"},{"family":"Johannesson","given":"Magnus"},{"family":"Visscher","given":"Peter M."},{"family":"Laibson","given":"David"},{"family":"Cesarini","given":"David"},{"family":"Neale","given":"Benjamin M."},{"family":"Benjamin","given":"Daniel J."}],"issued":{"date-parts":[["2018",2]]}}}],"schema":"https://github.com/citation-style-language/schema/raw/master/csl-citation.json"} </w:instrText>
      </w:r>
      <w:r w:rsidRPr="00A24087">
        <w:rPr>
          <w:rFonts w:ascii="Times New Roman" w:hAnsi="Times New Roman" w:cs="Times New Roman"/>
          <w:color w:val="000000" w:themeColor="text1"/>
          <w:sz w:val="24"/>
          <w:szCs w:val="24"/>
        </w:rPr>
        <w:fldChar w:fldCharType="separate"/>
      </w:r>
      <w:r w:rsidRPr="00A24087">
        <w:rPr>
          <w:rFonts w:ascii="Times New Roman" w:hAnsi="Times New Roman" w:cs="Times New Roman"/>
          <w:color w:val="000000" w:themeColor="text1"/>
          <w:sz w:val="24"/>
          <w:szCs w:val="24"/>
        </w:rPr>
        <w:fldChar w:fldCharType="end"/>
      </w:r>
      <w:r w:rsidR="0096301D" w:rsidRPr="00A24087">
        <w:rPr>
          <w:rFonts w:ascii="Times New Roman" w:hAnsi="Times New Roman" w:cs="Times New Roman"/>
          <w:color w:val="000000" w:themeColor="text1"/>
          <w:sz w:val="24"/>
          <w:szCs w:val="24"/>
        </w:rPr>
        <w:t>.</w:t>
      </w:r>
      <w:r w:rsidRPr="00A24087">
        <w:rPr>
          <w:rFonts w:ascii="Times New Roman" w:hAnsi="Times New Roman" w:cs="Times New Roman"/>
          <w:color w:val="000000" w:themeColor="text1"/>
          <w:sz w:val="24"/>
          <w:szCs w:val="24"/>
        </w:rPr>
        <w:t xml:space="preserve"> </w:t>
      </w:r>
    </w:p>
    <w:p w14:paraId="5A1BECBA" w14:textId="0C8BF2AC" w:rsidR="001F7F84" w:rsidRPr="00A24087" w:rsidRDefault="00000000">
      <w:pPr>
        <w:spacing w:line="480" w:lineRule="auto"/>
        <w:ind w:firstLine="420"/>
        <w:rPr>
          <w:rFonts w:ascii="Times New Roman" w:hAnsi="Times New Roman" w:cs="Times New Roman"/>
          <w:color w:val="000000" w:themeColor="text1"/>
          <w:sz w:val="24"/>
          <w:szCs w:val="24"/>
        </w:rPr>
      </w:pPr>
      <w:r w:rsidRPr="00A24087">
        <w:rPr>
          <w:rFonts w:ascii="Times New Roman" w:hAnsi="Times New Roman" w:cs="Times New Roman"/>
          <w:color w:val="000000" w:themeColor="text1"/>
          <w:sz w:val="24"/>
          <w:szCs w:val="24"/>
        </w:rPr>
        <w:t>Given that the assumptions in MTAG—namely, equal SNV heritability for each trait and the same genetic covariance between traits—could be violated, we performed a cross-phenotype association analysis (CPASSOC) as a sensitivity check</w:t>
      </w:r>
      <w:r w:rsidRPr="00A24087">
        <w:rPr>
          <w:rFonts w:ascii="Times New Roman" w:hAnsi="Times New Roman" w:cs="Times New Roman"/>
          <w:color w:val="000000" w:themeColor="text1"/>
          <w:sz w:val="24"/>
          <w:szCs w:val="24"/>
        </w:rPr>
        <w:fldChar w:fldCharType="begin"/>
      </w:r>
      <w:r w:rsidRPr="00A24087">
        <w:rPr>
          <w:rFonts w:ascii="Times New Roman" w:hAnsi="Times New Roman" w:cs="Times New Roman"/>
          <w:color w:val="000000" w:themeColor="text1"/>
          <w:sz w:val="24"/>
          <w:szCs w:val="24"/>
        </w:rPr>
        <w:instrText xml:space="preserve"> ADDIN ZOTERO_ITEM CSL_CITATION {"citationID":"nO3Yfntj","properties":{"formattedCitation":"\\super 7\\nosupersub{}","plainCitation":"7","noteIndex":0},"citationItems":[{"id":2765,"uris":["http://zotero.org/users/11779675/items/HA2QEZVG"],"itemData":{"id":2765,"type":"article-journal","abstract":"Genome-wide association studies (GWASs) have identified many genetic variants underlying complex traits. Many detected genetic loci harbor variants that associate with multiple-even distinct-traits. Most current analysis approaches focus on single traits, even though the final results from multiple traits are evaluated together. Such approaches miss the opportunity to systemically integrate the phenome-wide data available for genetic association analysis. In this study, we propose a general approach that can integrate association evidence from summary statistics of multiple traits, either correlated, independent, continuous, or binary traits, which might come from the same or different studies. We allow for trait heterogeneity effects. Population structure and cryptic relatedness can also be controlled. Our simulations suggest that the proposed method has improved statistical power over single-trait analysis in most of the cases we studied. We applied our method to the Continental Origins and Genetic Epidemiology Network (COGENT) African ancestry samples for three blood pressure traits and identified four loci (CHIC2, HOXA-EVX1, IGFBP1/IGFBP3, and CDH17; p &lt; 5.0 × 10(-8)) associated with hypertension-related traits that were missed by a single-trait analysis in the original report. Six additional loci with suggestive association evidence (p &lt; 5.0 × 10(-7)) were also observed, including CACNA1D and WNT3. Our study strongly suggests that analyzing multiple phenotypes can improve statistical power and that such analysis can be executed with the summary statistics from GWASs. Our method also provides a way to study a cross phenotype (CP) association by using summary statistics from GWASs of multiple phenotypes.","container-title":"American Journal of Human Genetics","DOI":"10.1016/j.ajhg.2014.11.011","ISSN":"1537-6605","issue":"1","journalAbbreviation":"Am J Hum Genet","language":"eng","note":"PMID: 25500260\nPMCID: PMC4289691","page":"21-36","source":"PubMed","title":"Meta-analysis of correlated traits via summary statistics from GWASs with an application in hypertension","volume":"96","author":[{"family":"Zhu","given":"Xiaofeng"},{"family":"Feng","given":"Tao"},{"family":"Tayo","given":"Bamidele O."},{"family":"Liang","given":"Jingjing"},{"family":"Young","given":"J. Hunter"},{"family":"Franceschini","given":"Nora"},{"family":"Smith","given":"Jennifer A."},{"family":"Yanek","given":"Lisa R."},{"family":"Sun","given":"Yan V."},{"family":"Edwards","given":"Todd L."},{"family":"Chen","given":"Wei"},{"family":"Nalls","given":"Mike"},{"family":"Fox","given":"Ervin"},{"family":"Sale","given":"Michele"},{"family":"Bottinger","given":"Erwin"},{"family":"Rotimi","given":"Charles"},{"literal":"COGENT BP Consortium"},{"family":"Liu","given":"Yongmei"},{"family":"McKnight","given":"Barbara"},{"family":"Liu","given":"Kiang"},{"family":"Arnett","given":"Donna K."},{"family":"Chakravati","given":"Aravinda"},{"family":"Cooper","given":"Richard S."},{"family":"Redline","given":"Susan"}],"issued":{"date-parts":[["2015",1,8]]}}}],"schema":"https://github.com/citation-style-language/schema/raw/master/csl-citation.json"} </w:instrText>
      </w:r>
      <w:r w:rsidRPr="00A24087">
        <w:rPr>
          <w:rFonts w:ascii="Times New Roman" w:hAnsi="Times New Roman" w:cs="Times New Roman"/>
          <w:color w:val="000000" w:themeColor="text1"/>
          <w:sz w:val="24"/>
          <w:szCs w:val="24"/>
        </w:rPr>
        <w:fldChar w:fldCharType="separate"/>
      </w:r>
      <w:r w:rsidRPr="00A24087">
        <w:rPr>
          <w:rFonts w:ascii="Times New Roman" w:hAnsi="Times New Roman" w:cs="Times New Roman"/>
          <w:color w:val="000000" w:themeColor="text1"/>
          <w:sz w:val="24"/>
          <w:szCs w:val="24"/>
        </w:rPr>
        <w:fldChar w:fldCharType="end"/>
      </w:r>
      <w:r w:rsidR="0096301D" w:rsidRPr="00A24087">
        <w:rPr>
          <w:rFonts w:ascii="Times New Roman" w:hAnsi="Times New Roman" w:cs="Times New Roman"/>
          <w:color w:val="000000" w:themeColor="text1"/>
          <w:sz w:val="24"/>
          <w:szCs w:val="24"/>
        </w:rPr>
        <w:t>.</w:t>
      </w:r>
      <w:r w:rsidRPr="00A24087">
        <w:rPr>
          <w:rFonts w:ascii="Times New Roman" w:hAnsi="Times New Roman" w:cs="Times New Roman"/>
          <w:color w:val="000000" w:themeColor="text1"/>
          <w:sz w:val="24"/>
          <w:szCs w:val="24"/>
        </w:rPr>
        <w:t xml:space="preserve"> CPASSOC combines GWAS summary statistics from multiple traits to detect shared variants while accounting for population structure and cryptic relatedness</w:t>
      </w:r>
      <w:r w:rsidRPr="00A24087">
        <w:rPr>
          <w:rFonts w:ascii="Times New Roman" w:hAnsi="Times New Roman" w:cs="Times New Roman"/>
          <w:color w:val="000000" w:themeColor="text1"/>
          <w:sz w:val="24"/>
          <w:szCs w:val="24"/>
        </w:rPr>
        <w:fldChar w:fldCharType="begin"/>
      </w:r>
      <w:r w:rsidRPr="00A24087">
        <w:rPr>
          <w:rFonts w:ascii="Times New Roman" w:hAnsi="Times New Roman" w:cs="Times New Roman"/>
          <w:color w:val="000000" w:themeColor="text1"/>
          <w:sz w:val="24"/>
          <w:szCs w:val="24"/>
        </w:rPr>
        <w:instrText xml:space="preserve"> ADDIN ZOTERO_ITEM CSL_CITATION {"citationID":"BLPgCzaz","properties":{"formattedCitation":"\\super 7\\nosupersub{}","plainCitation":"7","noteIndex":0},"citationItems":[{"id":2765,"uris":["http://zotero.org/users/11779675/items/HA2QEZVG"],"itemData":{"id":2765,"type":"article-journal","abstract":"Genome-wide association studies (GWASs) have identified many genetic variants underlying complex traits. Many detected genetic loci harbor variants that associate with multiple-even distinct-traits. Most current analysis approaches focus on single traits, even though the final results from multiple traits are evaluated together. Such approaches miss the opportunity to systemically integrate the phenome-wide data available for genetic association analysis. In this study, we propose a general approach that can integrate association evidence from summary statistics of multiple traits, either correlated, independent, continuous, or binary traits, which might come from the same or different studies. We allow for trait heterogeneity effects. Population structure and cryptic relatedness can also be controlled. Our simulations suggest that the proposed method has improved statistical power over single-trait analysis in most of the cases we studied. We applied our method to the Continental Origins and Genetic Epidemiology Network (COGENT) African ancestry samples for three blood pressure traits and identified four loci (CHIC2, HOXA-EVX1, IGFBP1/IGFBP3, and CDH17; p &lt; 5.0 × 10(-8)) associated with hypertension-related traits that were missed by a single-trait analysis in the original report. Six additional loci with suggestive association evidence (p &lt; 5.0 × 10(-7)) were also observed, including CACNA1D and WNT3. Our study strongly suggests that analyzing multiple phenotypes can improve statistical power and that such analysis can be executed with the summary statistics from GWASs. Our method also provides a way to study a cross phenotype (CP) association by using summary statistics from GWASs of multiple phenotypes.","container-title":"American Journal of Human Genetics","DOI":"10.1016/j.ajhg.2014.11.011","ISSN":"1537-6605","issue":"1","journalAbbreviation":"Am J Hum Genet","language":"eng","note":"PMID: 25500260\nPMCID: PMC4289691","page":"21-36","source":"PubMed","title":"Meta-analysis of correlated traits via summary statistics from GWASs with an application in hypertension","volume":"96","author":[{"family":"Zhu","given":"Xiaofeng"},{"family":"Feng","given":"Tao"},{"family":"Tayo","given":"Bamidele O."},{"family":"Liang","given":"Jingjing"},{"family":"Young","given":"J. Hunter"},{"family":"Franceschini","given":"Nora"},{"family":"Smith","given":"Jennifer A."},{"family":"Yanek","given":"Lisa R."},{"family":"Sun","given":"Yan V."},{"family":"Edwards","given":"Todd L."},{"family":"Chen","given":"Wei"},{"family":"Nalls","given":"Mike"},{"family":"Fox","given":"Ervin"},{"family":"Sale","given":"Michele"},{"family":"Bottinger","given":"Erwin"},{"family":"Rotimi","given":"Charles"},{"literal":"COGENT BP Consortium"},{"family":"Liu","given":"Yongmei"},{"family":"McKnight","given":"Barbara"},{"family":"Liu","given":"Kiang"},{"family":"Arnett","given":"Donna K."},{"family":"Chakravati","given":"Aravinda"},{"family":"Cooper","given":"Richard S."},{"family":"Redline","given":"Susan"}],"issued":{"date-parts":[["2015",1,8]]}}}],"schema":"https://github.com/citation-style-language/schema/raw/master/csl-citation.json"} </w:instrText>
      </w:r>
      <w:r w:rsidRPr="00A24087">
        <w:rPr>
          <w:rFonts w:ascii="Times New Roman" w:hAnsi="Times New Roman" w:cs="Times New Roman"/>
          <w:color w:val="000000" w:themeColor="text1"/>
          <w:sz w:val="24"/>
          <w:szCs w:val="24"/>
        </w:rPr>
        <w:fldChar w:fldCharType="separate"/>
      </w:r>
      <w:r w:rsidRPr="00A24087">
        <w:rPr>
          <w:rFonts w:ascii="Times New Roman" w:hAnsi="Times New Roman" w:cs="Times New Roman"/>
          <w:color w:val="000000" w:themeColor="text1"/>
          <w:sz w:val="24"/>
          <w:szCs w:val="24"/>
        </w:rPr>
        <w:fldChar w:fldCharType="end"/>
      </w:r>
      <w:r w:rsidR="0096301D" w:rsidRPr="00A24087">
        <w:rPr>
          <w:rFonts w:ascii="Times New Roman" w:hAnsi="Times New Roman" w:cs="Times New Roman"/>
          <w:color w:val="000000" w:themeColor="text1"/>
          <w:sz w:val="24"/>
          <w:szCs w:val="24"/>
        </w:rPr>
        <w:t>.</w:t>
      </w:r>
      <w:r w:rsidRPr="00A24087">
        <w:rPr>
          <w:rFonts w:ascii="Times New Roman" w:hAnsi="Times New Roman" w:cs="Times New Roman"/>
          <w:color w:val="000000" w:themeColor="text1"/>
          <w:sz w:val="24"/>
          <w:szCs w:val="24"/>
        </w:rPr>
        <w:t xml:space="preserve"> It provides two test statistics, SHom and SHet. SHom, based on a fixed-effect meta-analysis, represents the maximum weighted sum of trait-specific genetic effects and is less effective in between-study heterogeneity, which is common when meta-analyzing multiple traits. SHet, an extension of SHom, offers improved power by allowing for heterogeneous effects due to different study designs, environmental factors, populations, and phenotypes, which is more reflective of real-world conditions. Consequently, we adopted SHet in our analysis.</w:t>
      </w:r>
    </w:p>
    <w:p w14:paraId="7C55922E" w14:textId="6FE95F89" w:rsidR="001F7F84" w:rsidRPr="00A24087" w:rsidRDefault="00000000">
      <w:pPr>
        <w:spacing w:line="480" w:lineRule="auto"/>
        <w:ind w:firstLine="420"/>
        <w:rPr>
          <w:rFonts w:ascii="Times New Roman" w:hAnsi="Times New Roman" w:cs="Times New Roman"/>
          <w:color w:val="000000" w:themeColor="text1"/>
          <w:sz w:val="24"/>
          <w:szCs w:val="24"/>
        </w:rPr>
      </w:pPr>
      <w:r w:rsidRPr="00A24087">
        <w:rPr>
          <w:rFonts w:ascii="Times New Roman" w:hAnsi="Times New Roman" w:cs="Times New Roman"/>
          <w:color w:val="000000" w:themeColor="text1"/>
          <w:sz w:val="24"/>
          <w:szCs w:val="24"/>
        </w:rPr>
        <w:t>We prioritized SNVs that were genome-wide significant (P &lt; 5 × 10⁻⁸) in both MTAG and CPASSOC analyses. Furthermore, we used PLINK to identify independent genome-wide significant pleiotropic loci through LD clustering (r² &lt; 0.2 within a 500kb window)</w:t>
      </w:r>
      <w:r w:rsidRPr="00A24087">
        <w:rPr>
          <w:rFonts w:ascii="Times New Roman" w:hAnsi="Times New Roman" w:cs="Times New Roman"/>
          <w:color w:val="000000" w:themeColor="text1"/>
          <w:sz w:val="24"/>
          <w:szCs w:val="24"/>
        </w:rPr>
        <w:fldChar w:fldCharType="begin"/>
      </w:r>
      <w:r w:rsidRPr="00A24087">
        <w:rPr>
          <w:rFonts w:ascii="Times New Roman" w:hAnsi="Times New Roman" w:cs="Times New Roman"/>
          <w:color w:val="000000" w:themeColor="text1"/>
          <w:sz w:val="24"/>
          <w:szCs w:val="24"/>
        </w:rPr>
        <w:instrText xml:space="preserve"> ADDIN ZOTERO_ITEM CSL_CITATION {"citationID":"8NWcVEXZ","properties":{"formattedCitation":"\\super 1\\nosupersub{}","plainCitation":"1","noteIndex":0},"citationItems":[{"id":2992,"uris":["http://zotero.org/users/11779675/items/C2GK3LAS"],"itemData":{"id":2992,"type":"article-journal","abstract":"Whole-genome association studies (WGAS) bring new computational, as well as analytic, challenges to researchers. Many existing genetic-analysis tools are not designed to handle such large data sets in a convenient manner and do not necessarily exploit the new opportunities that whole-genome data bring. To address these issues, we developed PLINK, an open-source C/C++ WGAS tool set. With PLINK, large data sets comprising hundreds of thousands of markers genotyped for thousands of individuals can be rapidly manipulated and analyzed in their entirety. As well as providing tools to make the basic analytic steps computationally efficient, PLINK also supports some novel approaches to whole-genome data that take advantage of whole-genome coverage. We introduce PLINK and describe the five main domains of function: data management, summary statistics, population stratification, association analysis, and identity-by-descent estimation. In particular, we focus on the estimation and use of identity-by-state and identity-by-descent information in the context of population-based whole-genome studies. This information can be used to detect and correct for population stratification and to identify extended chromosomal segments that are shared identical by descent between very distantly related individuals. Analysis of the patterns of segmental sharing has the potential to map disease loci that contain multiple rare variants in a population-based linkage analysis.","container-title":"American Journal of Human Genetics","DOI":"10.1086/519795","ISSN":"0002-9297","issue":"3","journalAbbreviation":"Am J Hum Genet","language":"eng","note":"PMID: 17701901\nPMCID: PMC1950838","page":"559-575","source":"PubMed","title":"PLINK: a tool set for whole-genome association and population-based linkage analyses","title-short":"PLINK","volume":"81","author":[{"family":"Purcell","given":"Shaun"},{"family":"Neale","given":"Benjamin"},{"family":"Todd-Brown","given":"Kathe"},{"family":"Thomas","given":"Lori"},{"family":"Ferreira","given":"Manuel A. R."},{"family":"Bender","given":"David"},{"family":"Maller","given":"Julian"},{"family":"Sklar","given":"Pamela"},{"family":"Bakker","given":"Paul I. W.","non-dropping-particle":"de"},{"family":"Daly","given":"Mark J."},{"family":"Sham","given":"Pak C."}],"issued":{"date-parts":[["2007",9]]}}}],"schema":"https://github.com/citation-style-language/schema/raw/master/csl-citation.json"} </w:instrText>
      </w:r>
      <w:r w:rsidRPr="00A24087">
        <w:rPr>
          <w:rFonts w:ascii="Times New Roman" w:hAnsi="Times New Roman" w:cs="Times New Roman"/>
          <w:color w:val="000000" w:themeColor="text1"/>
          <w:sz w:val="24"/>
          <w:szCs w:val="24"/>
        </w:rPr>
        <w:fldChar w:fldCharType="separate"/>
      </w:r>
      <w:r w:rsidRPr="00A24087">
        <w:rPr>
          <w:rFonts w:ascii="Times New Roman" w:hAnsi="Times New Roman" w:cs="Times New Roman"/>
          <w:color w:val="000000" w:themeColor="text1"/>
          <w:sz w:val="24"/>
          <w:szCs w:val="24"/>
        </w:rPr>
        <w:fldChar w:fldCharType="end"/>
      </w:r>
      <w:r w:rsidR="0096301D" w:rsidRPr="00A24087">
        <w:rPr>
          <w:rFonts w:ascii="Times New Roman" w:hAnsi="Times New Roman" w:cs="Times New Roman"/>
          <w:color w:val="000000" w:themeColor="text1"/>
          <w:sz w:val="24"/>
          <w:szCs w:val="24"/>
        </w:rPr>
        <w:t>.</w:t>
      </w:r>
      <w:r w:rsidRPr="00A24087">
        <w:rPr>
          <w:rFonts w:ascii="Times New Roman" w:hAnsi="Times New Roman" w:cs="Times New Roman"/>
          <w:color w:val="000000" w:themeColor="text1"/>
          <w:sz w:val="24"/>
          <w:szCs w:val="24"/>
        </w:rPr>
        <w:t xml:space="preserve"> </w:t>
      </w:r>
    </w:p>
    <w:p w14:paraId="79D5DD27" w14:textId="77777777" w:rsidR="001F7F84" w:rsidRPr="00A24087" w:rsidRDefault="00000000">
      <w:pPr>
        <w:spacing w:line="480" w:lineRule="auto"/>
        <w:rPr>
          <w:rFonts w:ascii="Times New Roman" w:hAnsi="Times New Roman" w:cs="Times New Roman"/>
          <w:b/>
          <w:bCs/>
          <w:color w:val="000000" w:themeColor="text1"/>
          <w:sz w:val="24"/>
          <w:szCs w:val="24"/>
        </w:rPr>
      </w:pPr>
      <w:r w:rsidRPr="00A24087">
        <w:rPr>
          <w:rFonts w:ascii="Times New Roman" w:hAnsi="Times New Roman" w:cs="Times New Roman"/>
          <w:b/>
          <w:bCs/>
          <w:color w:val="000000" w:themeColor="text1"/>
          <w:sz w:val="24"/>
          <w:szCs w:val="24"/>
        </w:rPr>
        <w:lastRenderedPageBreak/>
        <w:t>Clinical measures</w:t>
      </w:r>
    </w:p>
    <w:p w14:paraId="7FDFE229" w14:textId="076D993D" w:rsidR="00E3693E" w:rsidRPr="00A24087" w:rsidRDefault="00000000">
      <w:pPr>
        <w:spacing w:line="480" w:lineRule="auto"/>
        <w:rPr>
          <w:rFonts w:ascii="Times New Roman" w:hAnsi="Times New Roman" w:cs="Times New Roman"/>
          <w:color w:val="000000" w:themeColor="text1"/>
          <w:sz w:val="24"/>
          <w:szCs w:val="24"/>
        </w:rPr>
      </w:pPr>
      <w:r w:rsidRPr="00A24087">
        <w:rPr>
          <w:rFonts w:ascii="Times New Roman" w:hAnsi="Times New Roman" w:cs="Times New Roman"/>
          <w:color w:val="000000" w:themeColor="text1"/>
          <w:sz w:val="24"/>
          <w:szCs w:val="24"/>
        </w:rPr>
        <w:t xml:space="preserve">In the CLASS-BD cohort, </w:t>
      </w:r>
      <w:r w:rsidR="00E3693E" w:rsidRPr="00A24087">
        <w:rPr>
          <w:rFonts w:ascii="Times New Roman" w:hAnsi="Times New Roman" w:cs="Times New Roman"/>
          <w:color w:val="000000" w:themeColor="text1"/>
          <w:sz w:val="24"/>
          <w:szCs w:val="24"/>
        </w:rPr>
        <w:t>according to the Diagnostic and Statistical Manual of Mental Disorders, 4</w:t>
      </w:r>
      <w:r w:rsidR="00E3693E" w:rsidRPr="00A24087">
        <w:rPr>
          <w:rFonts w:ascii="Times New Roman" w:hAnsi="Times New Roman" w:cs="Times New Roman"/>
          <w:color w:val="000000" w:themeColor="text1"/>
          <w:sz w:val="24"/>
          <w:szCs w:val="24"/>
          <w:vertAlign w:val="superscript"/>
        </w:rPr>
        <w:t>th</w:t>
      </w:r>
      <w:r w:rsidR="00E3693E" w:rsidRPr="00A24087">
        <w:rPr>
          <w:rFonts w:ascii="Times New Roman" w:hAnsi="Times New Roman" w:cs="Times New Roman"/>
          <w:color w:val="000000" w:themeColor="text1"/>
          <w:sz w:val="24"/>
          <w:szCs w:val="24"/>
        </w:rPr>
        <w:t>/5</w:t>
      </w:r>
      <w:r w:rsidR="00E3693E" w:rsidRPr="00A24087">
        <w:rPr>
          <w:rFonts w:ascii="Times New Roman" w:hAnsi="Times New Roman" w:cs="Times New Roman"/>
          <w:color w:val="000000" w:themeColor="text1"/>
          <w:sz w:val="24"/>
          <w:szCs w:val="24"/>
          <w:vertAlign w:val="superscript"/>
        </w:rPr>
        <w:t>th</w:t>
      </w:r>
      <w:r w:rsidR="00E3693E" w:rsidRPr="00A24087">
        <w:rPr>
          <w:rFonts w:ascii="Times New Roman" w:hAnsi="Times New Roman" w:cs="Times New Roman"/>
          <w:color w:val="000000" w:themeColor="text1"/>
          <w:sz w:val="24"/>
          <w:szCs w:val="24"/>
        </w:rPr>
        <w:t xml:space="preserve"> Edition (DSM-IV/V) criteria for BD type I</w:t>
      </w:r>
      <w:r w:rsidR="00CC7DDE" w:rsidRPr="00A24087">
        <w:rPr>
          <w:rFonts w:ascii="Times New Roman" w:hAnsi="Times New Roman" w:cs="Times New Roman" w:hint="eastAsia"/>
          <w:color w:val="000000" w:themeColor="text1"/>
          <w:sz w:val="24"/>
          <w:szCs w:val="24"/>
        </w:rPr>
        <w:t xml:space="preserve"> and</w:t>
      </w:r>
      <w:r w:rsidR="00E3693E" w:rsidRPr="00A24087">
        <w:rPr>
          <w:rFonts w:ascii="Times New Roman" w:hAnsi="Times New Roman" w:cs="Times New Roman"/>
          <w:color w:val="000000" w:themeColor="text1"/>
          <w:sz w:val="24"/>
          <w:szCs w:val="24"/>
        </w:rPr>
        <w:t xml:space="preserve"> BD type II, the diagnosis was confirmed by two trained psychiatrists fulfilling the Chinese version of the</w:t>
      </w:r>
      <w:r w:rsidR="00635A3A" w:rsidRPr="00A24087">
        <w:rPr>
          <w:rFonts w:ascii="Times New Roman" w:hAnsi="Times New Roman" w:cs="Times New Roman"/>
          <w:color w:val="000000" w:themeColor="text1"/>
          <w:sz w:val="24"/>
          <w:szCs w:val="24"/>
        </w:rPr>
        <w:t xml:space="preserve"> </w:t>
      </w:r>
      <w:r w:rsidR="00635A3A" w:rsidRPr="00A24087">
        <w:rPr>
          <w:rFonts w:ascii="Times New Roman" w:hAnsi="Times New Roman" w:cs="Times New Roman"/>
          <w:i/>
          <w:iCs/>
          <w:color w:val="000000" w:themeColor="text1"/>
          <w:sz w:val="24"/>
          <w:szCs w:val="24"/>
        </w:rPr>
        <w:t>Chinese version of the Mini International Neuropsychiatric Interview</w:t>
      </w:r>
      <w:r w:rsidR="00635A3A" w:rsidRPr="00A24087">
        <w:rPr>
          <w:rFonts w:ascii="Times New Roman" w:hAnsi="Times New Roman" w:cs="Times New Roman"/>
          <w:color w:val="000000" w:themeColor="text1"/>
          <w:sz w:val="24"/>
          <w:szCs w:val="24"/>
        </w:rPr>
        <w:t xml:space="preserve"> (MINI)</w:t>
      </w:r>
      <w:r w:rsidR="00635A3A" w:rsidRPr="00A24087">
        <w:rPr>
          <w:rFonts w:ascii="Times New Roman" w:hAnsi="Times New Roman" w:cs="Times New Roman"/>
          <w:color w:val="000000" w:themeColor="text1"/>
          <w:sz w:val="24"/>
          <w:szCs w:val="24"/>
        </w:rPr>
        <w:fldChar w:fldCharType="begin"/>
      </w:r>
      <w:r w:rsidR="00635A3A" w:rsidRPr="00A24087">
        <w:rPr>
          <w:rFonts w:ascii="Times New Roman" w:hAnsi="Times New Roman" w:cs="Times New Roman"/>
          <w:color w:val="000000" w:themeColor="text1"/>
          <w:sz w:val="24"/>
          <w:szCs w:val="24"/>
        </w:rPr>
        <w:instrText xml:space="preserve"> ADDIN ZOTERO_ITEM CSL_CITATION {"citationID":"wrNKQSwr","properties":{"formattedCitation":"\\super 8\\nosupersub{}","plainCitation":"8","noteIndex":0},"citationItems":[{"id":3213,"uris":["http://zotero.org/users/11779675/items/LZHACVNI"],"itemData":{"id":3213,"type":"article-journal","abstract":"Objective: To evaluate the reliability and validity of the Chinese version of Mini-International Neuropsychiatric Interview(MINI) in psychiatric. Methods: MINI was translated into Chinese with the permission of authors. The Structured Clinical Interview for Diagnostic and Statistical Manual(DSM)-III-R-patient version(SCIDP) working as the 'gold standard', the validity of MINI-Chinese version was investigated in this study. A total of 161 out-patients and in-patients from Peking University Institute of Mental Health, and Beijing Huilongguan Hospital were entered in the study, and 152 of them were performed the SCID-P, MINI and experts' interview. During 7-14 days after the first MINI interview, the subjects were evaluated by another investigator, to assess the test-retest reliability. Nine subjects were included in the inter-rater reliability training. The reliability was indicated with kappa value. Results: In general, interrater and test-retest reliabilities were 0.9429 (P Ps n = 50), anxiety disorders (n = 27), schizophrenia (n = 60) and substance dependence (n = 15). The mean sensitivity of MINI was (94.2 ± 4.0)% (91.2%-100% ). The specificity of schizophrenia and anxiety were 96.4% and 96.3% , 86.0% and 85.7% for depression and substance dependence respectively. The positive predictive value of schizophrenia and substance were 95.4% and 100%, 84.3% and 70.3% for depression and anxiety respectively. The mean negative predictive value was(97.4 ± 2.1)% (93.1%-99.1%) for all four diagnoses. The mean durations of the interview were(23.3 ± 11.6) min for MINI and (103.7 ± 30.30 min for corresponding sections of SCID-P (P &lt; 0.01). Conclusion: The results suggest that the MINI Chinese version succeeds in reliably and validly eliciting symptom criteria used in making DSM-III-R diagnoses, and can be performed in less than half the time required for the SCID-P. (PsycINFO Database Record (c) 2016 APA, all rights reserved)","container-title":"Chinese Mental Health Journal","ISSN":"1000-6729","issue":"7","note":"publisher-place: China\npublisher: Chinese Mental Health","page":"493-503","source":"APA PsycNet","title":"Evaluation of the reliability and validity of Chinese version of the Mini-International Neuropsychiatric Interview in patients with mental disorders","volume":"23","author":[{"family":"Si","given":"Tian-Mei"},{"family":"Shu","given":"Liang"},{"family":"Dang","given":"Wei-Min"},{"family":"Se","given":"Yun-Ai"},{"family":"Chen","given":"Jing-Xu"},{"family":"Dong","given":"Wen-Tian"},{"family":"Kong","given":"Qing-Mei"},{"family":"Zhang","given":"Wei-Hua"}],"issued":{"date-parts":[["2009"]]}}}],"schema":"https://github.com/citation-style-language/schema/raw/master/csl-citation.json"} </w:instrText>
      </w:r>
      <w:r w:rsidR="00635A3A" w:rsidRPr="00A24087">
        <w:rPr>
          <w:rFonts w:ascii="Times New Roman" w:hAnsi="Times New Roman" w:cs="Times New Roman"/>
          <w:color w:val="000000" w:themeColor="text1"/>
          <w:sz w:val="24"/>
          <w:szCs w:val="24"/>
        </w:rPr>
        <w:fldChar w:fldCharType="separate"/>
      </w:r>
      <w:r w:rsidR="00635A3A" w:rsidRPr="00A24087">
        <w:rPr>
          <w:rFonts w:ascii="Times New Roman" w:hAnsi="Times New Roman" w:cs="Times New Roman"/>
          <w:color w:val="000000" w:themeColor="text1"/>
          <w:sz w:val="24"/>
          <w:szCs w:val="24"/>
        </w:rPr>
        <w:fldChar w:fldCharType="end"/>
      </w:r>
      <w:r w:rsidR="00635A3A" w:rsidRPr="00A24087">
        <w:rPr>
          <w:rFonts w:ascii="Times New Roman" w:hAnsi="Times New Roman" w:cs="Times New Roman"/>
          <w:color w:val="000000" w:themeColor="text1"/>
          <w:sz w:val="24"/>
          <w:szCs w:val="24"/>
        </w:rPr>
        <w:t xml:space="preserve"> </w:t>
      </w:r>
      <w:r w:rsidR="00E3693E" w:rsidRPr="00A24087">
        <w:rPr>
          <w:rFonts w:ascii="Times New Roman" w:hAnsi="Times New Roman" w:cs="Times New Roman"/>
          <w:color w:val="000000" w:themeColor="text1"/>
          <w:sz w:val="24"/>
          <w:szCs w:val="24"/>
        </w:rPr>
        <w:t>through a structured clinical interview. P</w:t>
      </w:r>
      <w:r w:rsidRPr="00A24087">
        <w:rPr>
          <w:rFonts w:ascii="Times New Roman" w:hAnsi="Times New Roman" w:cs="Times New Roman"/>
          <w:color w:val="000000" w:themeColor="text1"/>
          <w:sz w:val="24"/>
          <w:szCs w:val="24"/>
        </w:rPr>
        <w:t xml:space="preserve">articipants with BD diagnosis underwent comprehensive evaluations conducted by qualified psychiatrists </w:t>
      </w:r>
      <w:r w:rsidR="0096301D" w:rsidRPr="00A24087">
        <w:rPr>
          <w:rFonts w:ascii="Times New Roman" w:hAnsi="Times New Roman" w:cs="Times New Roman"/>
          <w:color w:val="000000" w:themeColor="text1"/>
          <w:sz w:val="24"/>
          <w:szCs w:val="24"/>
        </w:rPr>
        <w:t>with</w:t>
      </w:r>
      <w:r w:rsidRPr="00A24087">
        <w:rPr>
          <w:rFonts w:ascii="Times New Roman" w:hAnsi="Times New Roman" w:cs="Times New Roman"/>
          <w:color w:val="000000" w:themeColor="text1"/>
          <w:sz w:val="24"/>
          <w:szCs w:val="24"/>
        </w:rPr>
        <w:t xml:space="preserve"> a series of standardized assessment scales when enrolled: </w:t>
      </w:r>
      <w:r w:rsidR="00E1671D" w:rsidRPr="00A24087">
        <w:rPr>
          <w:rFonts w:ascii="Times New Roman" w:hAnsi="Times New Roman" w:cs="Times New Roman"/>
          <w:color w:val="000000" w:themeColor="text1"/>
          <w:sz w:val="24"/>
          <w:szCs w:val="24"/>
        </w:rPr>
        <w:t>the Hamilton Anxiety Rating Scale (HAMA), the Hamilton Depression Rating Scale 24-item scale (HAMD), the Young Mania Rating Scale (YAMARS),</w:t>
      </w:r>
      <w:r w:rsidR="00E1671D" w:rsidRPr="00A24087">
        <w:rPr>
          <w:rFonts w:ascii="Times New Roman" w:hAnsi="Times New Roman" w:cs="Times New Roman" w:hint="eastAsia"/>
          <w:color w:val="000000" w:themeColor="text1"/>
          <w:sz w:val="24"/>
          <w:szCs w:val="24"/>
        </w:rPr>
        <w:t xml:space="preserve"> and</w:t>
      </w:r>
      <w:r w:rsidR="00E1671D" w:rsidRPr="00A24087">
        <w:rPr>
          <w:rFonts w:ascii="Times New Roman" w:hAnsi="Times New Roman" w:cs="Times New Roman"/>
          <w:color w:val="000000" w:themeColor="text1"/>
          <w:sz w:val="24"/>
          <w:szCs w:val="24"/>
        </w:rPr>
        <w:t xml:space="preserve"> the Montgomery-</w:t>
      </w:r>
      <w:proofErr w:type="spellStart"/>
      <w:r w:rsidR="00E1671D" w:rsidRPr="00A24087">
        <w:rPr>
          <w:rFonts w:ascii="Times New Roman" w:hAnsi="Times New Roman" w:cs="Times New Roman" w:hint="eastAsia"/>
          <w:color w:val="000000" w:themeColor="text1"/>
          <w:sz w:val="24"/>
          <w:szCs w:val="24"/>
        </w:rPr>
        <w:t>Å</w:t>
      </w:r>
      <w:r w:rsidR="00E1671D" w:rsidRPr="00A24087">
        <w:rPr>
          <w:rFonts w:ascii="Times New Roman" w:hAnsi="Times New Roman" w:cs="Times New Roman"/>
          <w:color w:val="000000" w:themeColor="text1"/>
          <w:sz w:val="24"/>
          <w:szCs w:val="24"/>
        </w:rPr>
        <w:t>sberg</w:t>
      </w:r>
      <w:proofErr w:type="spellEnd"/>
      <w:r w:rsidR="00E1671D" w:rsidRPr="00A24087">
        <w:rPr>
          <w:rFonts w:ascii="Times New Roman" w:hAnsi="Times New Roman" w:cs="Times New Roman"/>
          <w:color w:val="000000" w:themeColor="text1"/>
          <w:sz w:val="24"/>
          <w:szCs w:val="24"/>
        </w:rPr>
        <w:t xml:space="preserve"> Depression Rating Scale (MADRS)</w:t>
      </w:r>
      <w:r w:rsidR="00E1671D" w:rsidRPr="00A24087">
        <w:rPr>
          <w:rFonts w:ascii="Times New Roman" w:hAnsi="Times New Roman" w:cs="Times New Roman" w:hint="eastAsia"/>
          <w:color w:val="000000" w:themeColor="text1"/>
          <w:sz w:val="24"/>
          <w:szCs w:val="24"/>
        </w:rPr>
        <w:t xml:space="preserve">. </w:t>
      </w:r>
      <w:r w:rsidR="00CC7DDE" w:rsidRPr="00A24087">
        <w:rPr>
          <w:rFonts w:ascii="Times New Roman" w:hAnsi="Times New Roman" w:cs="Times New Roman" w:hint="eastAsia"/>
          <w:color w:val="000000" w:themeColor="text1"/>
          <w:sz w:val="24"/>
          <w:szCs w:val="24"/>
        </w:rPr>
        <w:t xml:space="preserve">Additionally, the participants with BD also went through self-report scales: </w:t>
      </w:r>
      <w:r w:rsidR="00E1671D" w:rsidRPr="00A24087">
        <w:rPr>
          <w:rFonts w:ascii="Times New Roman" w:hAnsi="Times New Roman" w:cs="Times New Roman"/>
          <w:color w:val="000000" w:themeColor="text1"/>
          <w:sz w:val="24"/>
          <w:szCs w:val="24"/>
        </w:rPr>
        <w:t>the Generalized Anxiety Disorder 7-item scale (GAD-7), the Patient Health Questionnaire 9-item scale (PHQ-9), and the Clinically Useful Depression Outcome Scale supplemented with questions for the DSM-5 Mixed subtype (CUDOS)</w:t>
      </w:r>
      <w:r w:rsidRPr="00A24087">
        <w:rPr>
          <w:rFonts w:ascii="Times New Roman" w:hAnsi="Times New Roman" w:cs="Times New Roman"/>
          <w:color w:val="000000" w:themeColor="text1"/>
          <w:sz w:val="24"/>
          <w:szCs w:val="24"/>
        </w:rPr>
        <w:t>. Each of these scales served a distinct purpose in assessing various aspects of mental health. GAD-7 and HAMA are designed to measure the severity of anxious symptoms. PHQ-9, HAMD, and MADRS are tailored to evaluate the severity of depressive symptoms. YAMARS is developed to assess manic symptoms. CUDOS assesses</w:t>
      </w:r>
      <w:r w:rsidR="00E1671D" w:rsidRPr="00A24087">
        <w:rPr>
          <w:rFonts w:ascii="Times New Roman" w:hAnsi="Times New Roman" w:cs="Times New Roman" w:hint="eastAsia"/>
          <w:color w:val="000000" w:themeColor="text1"/>
          <w:sz w:val="24"/>
          <w:szCs w:val="24"/>
        </w:rPr>
        <w:t xml:space="preserve"> the</w:t>
      </w:r>
      <w:r w:rsidRPr="00A24087">
        <w:rPr>
          <w:rFonts w:ascii="Times New Roman" w:hAnsi="Times New Roman" w:cs="Times New Roman"/>
          <w:color w:val="000000" w:themeColor="text1"/>
          <w:sz w:val="24"/>
          <w:szCs w:val="24"/>
        </w:rPr>
        <w:t xml:space="preserve"> </w:t>
      </w:r>
      <w:r w:rsidR="00CC7DDE" w:rsidRPr="00A24087">
        <w:rPr>
          <w:rFonts w:ascii="Times New Roman" w:hAnsi="Times New Roman" w:cs="Times New Roman" w:hint="eastAsia"/>
          <w:color w:val="000000" w:themeColor="text1"/>
          <w:sz w:val="24"/>
          <w:szCs w:val="24"/>
        </w:rPr>
        <w:t xml:space="preserve">mixed </w:t>
      </w:r>
      <w:r w:rsidR="00CC7DDE" w:rsidRPr="00A24087">
        <w:rPr>
          <w:rFonts w:ascii="Times New Roman" w:hAnsi="Times New Roman" w:cs="Times New Roman"/>
          <w:color w:val="000000" w:themeColor="text1"/>
          <w:sz w:val="24"/>
          <w:szCs w:val="24"/>
        </w:rPr>
        <w:t>features</w:t>
      </w:r>
      <w:r w:rsidR="00CC7DDE" w:rsidRPr="00A24087">
        <w:rPr>
          <w:rFonts w:ascii="Times New Roman" w:hAnsi="Times New Roman" w:cs="Times New Roman" w:hint="eastAsia"/>
          <w:color w:val="000000" w:themeColor="text1"/>
          <w:sz w:val="24"/>
          <w:szCs w:val="24"/>
        </w:rPr>
        <w:t xml:space="preserve"> of bipolar depression</w:t>
      </w:r>
      <w:r w:rsidRPr="00A24087">
        <w:rPr>
          <w:rFonts w:ascii="Times New Roman" w:hAnsi="Times New Roman" w:cs="Times New Roman"/>
          <w:color w:val="000000" w:themeColor="text1"/>
          <w:sz w:val="24"/>
          <w:szCs w:val="24"/>
        </w:rPr>
        <w:t xml:space="preserve">. </w:t>
      </w:r>
      <w:r w:rsidR="0096301D" w:rsidRPr="00A24087">
        <w:rPr>
          <w:rFonts w:ascii="Times New Roman" w:hAnsi="Times New Roman" w:cs="Times New Roman"/>
          <w:color w:val="000000" w:themeColor="text1"/>
          <w:sz w:val="24"/>
          <w:szCs w:val="24"/>
        </w:rPr>
        <w:t>Of note, suicide risk was evaluated by the M</w:t>
      </w:r>
      <w:r w:rsidR="00CC7DDE" w:rsidRPr="00A24087">
        <w:rPr>
          <w:rFonts w:ascii="Times New Roman" w:hAnsi="Times New Roman" w:cs="Times New Roman" w:hint="eastAsia"/>
          <w:color w:val="000000" w:themeColor="text1"/>
          <w:sz w:val="24"/>
          <w:szCs w:val="24"/>
        </w:rPr>
        <w:t>.</w:t>
      </w:r>
      <w:r w:rsidR="0096301D" w:rsidRPr="00A24087">
        <w:rPr>
          <w:rFonts w:ascii="Times New Roman" w:hAnsi="Times New Roman" w:cs="Times New Roman"/>
          <w:color w:val="000000" w:themeColor="text1"/>
          <w:sz w:val="24"/>
          <w:szCs w:val="24"/>
        </w:rPr>
        <w:t>I</w:t>
      </w:r>
      <w:r w:rsidR="00CC7DDE" w:rsidRPr="00A24087">
        <w:rPr>
          <w:rFonts w:ascii="Times New Roman" w:hAnsi="Times New Roman" w:cs="Times New Roman" w:hint="eastAsia"/>
          <w:color w:val="000000" w:themeColor="text1"/>
          <w:sz w:val="24"/>
          <w:szCs w:val="24"/>
        </w:rPr>
        <w:t>.</w:t>
      </w:r>
      <w:r w:rsidR="0096301D" w:rsidRPr="00A24087">
        <w:rPr>
          <w:rFonts w:ascii="Times New Roman" w:hAnsi="Times New Roman" w:cs="Times New Roman"/>
          <w:color w:val="000000" w:themeColor="text1"/>
          <w:sz w:val="24"/>
          <w:szCs w:val="24"/>
        </w:rPr>
        <w:t>N</w:t>
      </w:r>
      <w:r w:rsidR="00CC7DDE" w:rsidRPr="00A24087">
        <w:rPr>
          <w:rFonts w:ascii="Times New Roman" w:hAnsi="Times New Roman" w:cs="Times New Roman" w:hint="eastAsia"/>
          <w:color w:val="000000" w:themeColor="text1"/>
          <w:sz w:val="24"/>
          <w:szCs w:val="24"/>
        </w:rPr>
        <w:t>.</w:t>
      </w:r>
      <w:r w:rsidR="0096301D" w:rsidRPr="00A24087">
        <w:rPr>
          <w:rFonts w:ascii="Times New Roman" w:hAnsi="Times New Roman" w:cs="Times New Roman"/>
          <w:color w:val="000000" w:themeColor="text1"/>
          <w:sz w:val="24"/>
          <w:szCs w:val="24"/>
        </w:rPr>
        <w:t>I</w:t>
      </w:r>
      <w:r w:rsidR="00CC7DDE" w:rsidRPr="00A24087">
        <w:rPr>
          <w:rFonts w:ascii="Times New Roman" w:hAnsi="Times New Roman" w:cs="Times New Roman" w:hint="eastAsia"/>
          <w:color w:val="000000" w:themeColor="text1"/>
          <w:sz w:val="24"/>
          <w:szCs w:val="24"/>
        </w:rPr>
        <w:t>.</w:t>
      </w:r>
      <w:r w:rsidR="0096301D" w:rsidRPr="00A24087">
        <w:rPr>
          <w:rFonts w:ascii="Times New Roman" w:hAnsi="Times New Roman" w:cs="Times New Roman"/>
          <w:color w:val="000000" w:themeColor="text1"/>
          <w:sz w:val="24"/>
          <w:szCs w:val="24"/>
        </w:rPr>
        <w:t xml:space="preserve"> Suicide Subscale was divided into 4 classes including none (0 point), low (1-5 points), moderate (6-9 points), and high (&gt;9 points) risks. Additionally, </w:t>
      </w:r>
      <w:r w:rsidR="00CC7DDE" w:rsidRPr="00A24087">
        <w:rPr>
          <w:rFonts w:ascii="Times New Roman" w:hAnsi="Times New Roman" w:cs="Times New Roman"/>
          <w:color w:val="000000" w:themeColor="text1"/>
          <w:sz w:val="24"/>
          <w:szCs w:val="24"/>
        </w:rPr>
        <w:t xml:space="preserve">the </w:t>
      </w:r>
      <w:r w:rsidR="0096301D" w:rsidRPr="00A24087">
        <w:rPr>
          <w:rFonts w:ascii="Times New Roman" w:hAnsi="Times New Roman" w:cs="Times New Roman"/>
          <w:color w:val="000000" w:themeColor="text1"/>
          <w:sz w:val="24"/>
          <w:szCs w:val="24"/>
        </w:rPr>
        <w:t xml:space="preserve">age of onset and duration of </w:t>
      </w:r>
      <w:r w:rsidR="00CC7DDE" w:rsidRPr="00A24087">
        <w:rPr>
          <w:rFonts w:ascii="Times New Roman" w:hAnsi="Times New Roman" w:cs="Times New Roman" w:hint="eastAsia"/>
          <w:color w:val="000000" w:themeColor="text1"/>
          <w:sz w:val="24"/>
          <w:szCs w:val="24"/>
        </w:rPr>
        <w:t>the</w:t>
      </w:r>
      <w:r w:rsidR="00CC7DDE" w:rsidRPr="00A24087">
        <w:rPr>
          <w:rFonts w:ascii="Times New Roman" w:hAnsi="Times New Roman" w:cs="Times New Roman"/>
          <w:color w:val="000000" w:themeColor="text1"/>
          <w:sz w:val="24"/>
          <w:szCs w:val="24"/>
        </w:rPr>
        <w:t xml:space="preserve"> </w:t>
      </w:r>
      <w:r w:rsidR="0096301D" w:rsidRPr="00A24087">
        <w:rPr>
          <w:rFonts w:ascii="Times New Roman" w:hAnsi="Times New Roman" w:cs="Times New Roman"/>
          <w:color w:val="000000" w:themeColor="text1"/>
          <w:sz w:val="24"/>
          <w:szCs w:val="24"/>
        </w:rPr>
        <w:t xml:space="preserve">disease were self-reported by the participants and recorded by the psychiatrists. </w:t>
      </w:r>
    </w:p>
    <w:p w14:paraId="710A0F77" w14:textId="55DEBF14" w:rsidR="00635A3A" w:rsidRPr="00A24087" w:rsidRDefault="00635A3A">
      <w:pPr>
        <w:widowControl/>
        <w:spacing w:line="480" w:lineRule="auto"/>
        <w:jc w:val="left"/>
        <w:rPr>
          <w:rFonts w:ascii="Times New Roman" w:eastAsia="宋体" w:hAnsi="Times New Roman" w:cs="Times New Roman"/>
          <w:color w:val="000000" w:themeColor="text1"/>
          <w:sz w:val="24"/>
          <w:szCs w:val="24"/>
        </w:rPr>
      </w:pPr>
      <w:r w:rsidRPr="00A24087">
        <w:rPr>
          <w:rFonts w:ascii="Times New Roman" w:eastAsia="宋体" w:hAnsi="Times New Roman" w:cs="Times New Roman"/>
          <w:color w:val="000000" w:themeColor="text1"/>
          <w:sz w:val="24"/>
          <w:szCs w:val="24"/>
        </w:rPr>
        <w:lastRenderedPageBreak/>
        <w:br w:type="page"/>
      </w:r>
    </w:p>
    <w:p w14:paraId="2A002E36" w14:textId="77777777" w:rsidR="001F7F84" w:rsidRPr="00A24087" w:rsidRDefault="00000000">
      <w:pPr>
        <w:spacing w:line="480" w:lineRule="auto"/>
        <w:rPr>
          <w:rFonts w:ascii="Times New Roman" w:hAnsi="Times New Roman" w:cs="Times New Roman"/>
          <w:b/>
          <w:bCs/>
          <w:color w:val="000000" w:themeColor="text1"/>
          <w:sz w:val="24"/>
          <w:szCs w:val="24"/>
        </w:rPr>
      </w:pPr>
      <w:r w:rsidRPr="00A24087">
        <w:rPr>
          <w:rFonts w:ascii="Times New Roman" w:hAnsi="Times New Roman" w:cs="Times New Roman"/>
          <w:b/>
          <w:bCs/>
          <w:color w:val="000000" w:themeColor="text1"/>
          <w:sz w:val="24"/>
          <w:szCs w:val="24"/>
        </w:rPr>
        <w:t>Fig. S1. Q-Q plots of meta-analysis results for EAS-BD.</w:t>
      </w:r>
    </w:p>
    <w:p w14:paraId="63F98955" w14:textId="77777777" w:rsidR="001F7F84" w:rsidRPr="00A24087" w:rsidRDefault="00000000">
      <w:pPr>
        <w:spacing w:line="480" w:lineRule="auto"/>
        <w:jc w:val="center"/>
        <w:rPr>
          <w:rFonts w:ascii="Times New Roman" w:hAnsi="Times New Roman" w:cs="Times New Roman"/>
          <w:b/>
          <w:bCs/>
          <w:color w:val="000000" w:themeColor="text1"/>
        </w:rPr>
      </w:pPr>
      <w:r w:rsidRPr="00A24087">
        <w:rPr>
          <w:rFonts w:ascii="Times New Roman" w:hAnsi="Times New Roman" w:cs="Times New Roman" w:hint="eastAsia"/>
          <w:b/>
          <w:bCs/>
          <w:noProof/>
          <w:color w:val="000000" w:themeColor="text1"/>
        </w:rPr>
        <w:drawing>
          <wp:inline distT="0" distB="0" distL="0" distR="0" wp14:anchorId="655E93CB" wp14:editId="7858BBF1">
            <wp:extent cx="4474845" cy="4410075"/>
            <wp:effectExtent l="0" t="0" r="1905" b="0"/>
            <wp:docPr id="12470661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066112" name="图片 1"/>
                    <pic:cNvPicPr>
                      <a:picLocks noChangeAspect="1"/>
                    </pic:cNvPicPr>
                  </pic:nvPicPr>
                  <pic:blipFill>
                    <a:blip r:embed="rId6"/>
                    <a:stretch>
                      <a:fillRect/>
                    </a:stretch>
                  </pic:blipFill>
                  <pic:spPr>
                    <a:xfrm>
                      <a:off x="0" y="0"/>
                      <a:ext cx="4485076" cy="4420075"/>
                    </a:xfrm>
                    <a:prstGeom prst="rect">
                      <a:avLst/>
                    </a:prstGeom>
                  </pic:spPr>
                </pic:pic>
              </a:graphicData>
            </a:graphic>
          </wp:inline>
        </w:drawing>
      </w:r>
    </w:p>
    <w:p w14:paraId="77167929" w14:textId="66EDE76C" w:rsidR="001F7F84" w:rsidRPr="00A24087" w:rsidRDefault="00D03E97" w:rsidP="00CC7DDE">
      <w:pPr>
        <w:spacing w:line="480" w:lineRule="auto"/>
        <w:jc w:val="left"/>
        <w:rPr>
          <w:rFonts w:ascii="Times New Roman" w:hAnsi="Times New Roman" w:cs="Times New Roman"/>
          <w:color w:val="000000" w:themeColor="text1"/>
          <w:sz w:val="22"/>
        </w:rPr>
      </w:pPr>
      <w:r w:rsidRPr="00A24087">
        <w:rPr>
          <w:rFonts w:ascii="Times New Roman" w:hAnsi="Times New Roman" w:cs="Times New Roman" w:hint="eastAsia"/>
          <w:color w:val="000000" w:themeColor="text1"/>
          <w:sz w:val="22"/>
        </w:rPr>
        <w:t>Q-Q plots depict expected -log10 P-values (x-axis) against observed -log10 P-values (y-axis).</w:t>
      </w:r>
    </w:p>
    <w:p w14:paraId="343320B1" w14:textId="77777777" w:rsidR="001F7F84" w:rsidRPr="00A24087" w:rsidRDefault="00000000">
      <w:pPr>
        <w:widowControl/>
        <w:spacing w:line="480" w:lineRule="auto"/>
        <w:jc w:val="left"/>
        <w:rPr>
          <w:rFonts w:ascii="Times New Roman" w:hAnsi="Times New Roman" w:cs="Times New Roman"/>
          <w:b/>
          <w:bCs/>
          <w:color w:val="000000" w:themeColor="text1"/>
          <w:sz w:val="24"/>
          <w:szCs w:val="24"/>
        </w:rPr>
      </w:pPr>
      <w:r w:rsidRPr="00A24087">
        <w:rPr>
          <w:rFonts w:ascii="Times New Roman" w:hAnsi="Times New Roman" w:cs="Times New Roman"/>
          <w:b/>
          <w:bCs/>
          <w:color w:val="000000" w:themeColor="text1"/>
          <w:sz w:val="24"/>
          <w:szCs w:val="24"/>
        </w:rPr>
        <w:br w:type="page"/>
      </w:r>
    </w:p>
    <w:p w14:paraId="2879F773" w14:textId="77777777" w:rsidR="001F7F84" w:rsidRPr="00A24087" w:rsidRDefault="00000000">
      <w:pPr>
        <w:spacing w:line="480" w:lineRule="auto"/>
        <w:rPr>
          <w:rFonts w:ascii="Times New Roman" w:hAnsi="Times New Roman" w:cs="Times New Roman"/>
          <w:b/>
          <w:bCs/>
          <w:color w:val="000000" w:themeColor="text1"/>
          <w:sz w:val="24"/>
          <w:szCs w:val="24"/>
        </w:rPr>
      </w:pPr>
      <w:r w:rsidRPr="00A24087">
        <w:rPr>
          <w:rFonts w:ascii="Times New Roman" w:hAnsi="Times New Roman" w:cs="Times New Roman"/>
          <w:b/>
          <w:bCs/>
          <w:color w:val="000000" w:themeColor="text1"/>
          <w:sz w:val="24"/>
          <w:szCs w:val="24"/>
        </w:rPr>
        <w:t>Fig. S2. Results of GNOVA analysis for traits with significant genetic correlations.</w:t>
      </w:r>
    </w:p>
    <w:p w14:paraId="6A16C5C0" w14:textId="77777777" w:rsidR="001F7F84" w:rsidRPr="00A24087" w:rsidRDefault="00000000">
      <w:pPr>
        <w:spacing w:line="480" w:lineRule="auto"/>
        <w:jc w:val="left"/>
        <w:rPr>
          <w:rFonts w:ascii="Times New Roman" w:hAnsi="Times New Roman" w:cs="Times New Roman"/>
          <w:b/>
          <w:bCs/>
          <w:color w:val="000000" w:themeColor="text1"/>
        </w:rPr>
      </w:pPr>
      <w:r w:rsidRPr="00A24087">
        <w:rPr>
          <w:rFonts w:ascii="Times New Roman" w:hAnsi="Times New Roman" w:cs="Times New Roman" w:hint="eastAsia"/>
          <w:b/>
          <w:bCs/>
          <w:noProof/>
          <w:color w:val="000000" w:themeColor="text1"/>
        </w:rPr>
        <w:drawing>
          <wp:inline distT="0" distB="0" distL="0" distR="0" wp14:anchorId="7F2F0DA6" wp14:editId="4B2B984F">
            <wp:extent cx="5274310" cy="4880610"/>
            <wp:effectExtent l="0" t="0" r="2540" b="0"/>
            <wp:docPr id="11303670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367073" name="图片 2"/>
                    <pic:cNvPicPr>
                      <a:picLocks noChangeAspect="1"/>
                    </pic:cNvPicPr>
                  </pic:nvPicPr>
                  <pic:blipFill>
                    <a:blip r:embed="rId7"/>
                    <a:stretch>
                      <a:fillRect/>
                    </a:stretch>
                  </pic:blipFill>
                  <pic:spPr>
                    <a:xfrm>
                      <a:off x="0" y="0"/>
                      <a:ext cx="5274310" cy="4880610"/>
                    </a:xfrm>
                    <a:prstGeom prst="rect">
                      <a:avLst/>
                    </a:prstGeom>
                  </pic:spPr>
                </pic:pic>
              </a:graphicData>
            </a:graphic>
          </wp:inline>
        </w:drawing>
      </w:r>
    </w:p>
    <w:p w14:paraId="6709D18D" w14:textId="7C46ACAE" w:rsidR="00777AB8" w:rsidRPr="00A24087" w:rsidRDefault="00777AB8" w:rsidP="00777AB8">
      <w:pPr>
        <w:spacing w:line="480" w:lineRule="auto"/>
        <w:jc w:val="left"/>
        <w:rPr>
          <w:rFonts w:ascii="Times New Roman" w:hAnsi="Times New Roman" w:cs="Times New Roman"/>
          <w:b/>
          <w:bCs/>
          <w:color w:val="000000" w:themeColor="text1"/>
        </w:rPr>
      </w:pPr>
      <w:r w:rsidRPr="00A24087">
        <w:rPr>
          <w:rFonts w:ascii="Times New Roman" w:hAnsi="Times New Roman" w:cs="Times New Roman" w:hint="eastAsia"/>
          <w:b/>
          <w:bCs/>
          <w:noProof/>
          <w:color w:val="000000" w:themeColor="text1"/>
        </w:rPr>
        <w:drawing>
          <wp:inline distT="0" distB="0" distL="0" distR="0" wp14:anchorId="5C092CD5" wp14:editId="722E7B8C">
            <wp:extent cx="5274310" cy="2095500"/>
            <wp:effectExtent l="0" t="0" r="2540" b="0"/>
            <wp:docPr id="172987898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2095500"/>
                    </a:xfrm>
                    <a:prstGeom prst="rect">
                      <a:avLst/>
                    </a:prstGeom>
                    <a:noFill/>
                    <a:ln>
                      <a:noFill/>
                    </a:ln>
                  </pic:spPr>
                </pic:pic>
              </a:graphicData>
            </a:graphic>
          </wp:inline>
        </w:drawing>
      </w:r>
    </w:p>
    <w:p w14:paraId="06AD41D4" w14:textId="2A75C85A" w:rsidR="001F7F84" w:rsidRPr="00A24087" w:rsidRDefault="00D03E97" w:rsidP="00B30F06">
      <w:pPr>
        <w:spacing w:line="480" w:lineRule="auto"/>
        <w:jc w:val="left"/>
        <w:rPr>
          <w:rFonts w:ascii="Times New Roman" w:hAnsi="Times New Roman" w:cs="Times New Roman"/>
          <w:b/>
          <w:bCs/>
          <w:color w:val="000000" w:themeColor="text1"/>
          <w:sz w:val="24"/>
          <w:szCs w:val="24"/>
        </w:rPr>
      </w:pPr>
      <w:r w:rsidRPr="00A24087">
        <w:rPr>
          <w:rFonts w:ascii="Times New Roman" w:hAnsi="Times New Roman" w:cs="Times New Roman"/>
          <w:bCs/>
          <w:color w:val="000000" w:themeColor="text1"/>
          <w:sz w:val="22"/>
        </w:rPr>
        <w:t xml:space="preserve">A network diagram </w:t>
      </w:r>
      <w:r w:rsidRPr="00A24087">
        <w:rPr>
          <w:rFonts w:ascii="Times New Roman" w:hAnsi="Times New Roman" w:cs="Times New Roman" w:hint="eastAsia"/>
          <w:bCs/>
          <w:color w:val="000000" w:themeColor="text1"/>
          <w:sz w:val="22"/>
        </w:rPr>
        <w:t>of</w:t>
      </w:r>
      <w:r w:rsidRPr="00A24087">
        <w:rPr>
          <w:rFonts w:ascii="Times New Roman" w:hAnsi="Times New Roman" w:cs="Times New Roman"/>
          <w:bCs/>
          <w:color w:val="000000" w:themeColor="text1"/>
          <w:sz w:val="22"/>
        </w:rPr>
        <w:t xml:space="preserve"> </w:t>
      </w:r>
      <w:r w:rsidR="00D76938" w:rsidRPr="00A24087">
        <w:rPr>
          <w:rFonts w:ascii="Times New Roman" w:hAnsi="Times New Roman" w:cs="Times New Roman"/>
          <w:color w:val="000000" w:themeColor="text1"/>
          <w:sz w:val="24"/>
          <w:szCs w:val="24"/>
        </w:rPr>
        <w:t>126 BD</w:t>
      </w:r>
      <w:r w:rsidR="00D76938" w:rsidRPr="00A24087">
        <w:rPr>
          <w:rFonts w:ascii="Times New Roman" w:hAnsi="Times New Roman" w:cs="Times New Roman" w:hint="eastAsia"/>
          <w:color w:val="000000" w:themeColor="text1"/>
          <w:sz w:val="24"/>
          <w:szCs w:val="24"/>
        </w:rPr>
        <w:t>-IDPs identified in GNOVA</w:t>
      </w:r>
      <w:r w:rsidR="00D76938" w:rsidRPr="00A24087">
        <w:rPr>
          <w:rFonts w:ascii="Times New Roman" w:hAnsi="Times New Roman" w:cs="Times New Roman"/>
          <w:color w:val="000000" w:themeColor="text1"/>
          <w:sz w:val="24"/>
          <w:szCs w:val="24"/>
        </w:rPr>
        <w:t xml:space="preserve"> after Bonferroni correction</w:t>
      </w:r>
      <w:r w:rsidR="00B30F06" w:rsidRPr="00A24087">
        <w:rPr>
          <w:rFonts w:ascii="Times New Roman" w:hAnsi="Times New Roman" w:cs="Times New Roman" w:hint="eastAsia"/>
          <w:color w:val="000000" w:themeColor="text1"/>
          <w:sz w:val="24"/>
          <w:szCs w:val="24"/>
        </w:rPr>
        <w:t xml:space="preserve"> (Top)</w:t>
      </w:r>
      <w:r w:rsidRPr="00A24087">
        <w:rPr>
          <w:rFonts w:ascii="Times New Roman" w:hAnsi="Times New Roman" w:cs="Times New Roman"/>
          <w:bCs/>
          <w:color w:val="000000" w:themeColor="text1"/>
          <w:sz w:val="22"/>
        </w:rPr>
        <w:t>.</w:t>
      </w:r>
      <w:r w:rsidRPr="00A24087">
        <w:rPr>
          <w:rFonts w:ascii="Times New Roman" w:hAnsi="Times New Roman" w:cs="Times New Roman" w:hint="eastAsia"/>
          <w:bCs/>
          <w:color w:val="000000" w:themeColor="text1"/>
          <w:sz w:val="22"/>
        </w:rPr>
        <w:t xml:space="preserve"> </w:t>
      </w:r>
      <w:r w:rsidR="00B30F06" w:rsidRPr="00A24087">
        <w:rPr>
          <w:rFonts w:ascii="Times New Roman" w:hAnsi="Times New Roman" w:cs="Times New Roman" w:hint="eastAsia"/>
          <w:bCs/>
          <w:color w:val="000000" w:themeColor="text1"/>
          <w:sz w:val="24"/>
          <w:szCs w:val="24"/>
        </w:rPr>
        <w:t xml:space="preserve">Three-dimensional glass brain projections showing the top 24 FC edges with </w:t>
      </w:r>
      <w:r w:rsidR="00B30F06" w:rsidRPr="00A24087">
        <w:rPr>
          <w:rFonts w:ascii="Times New Roman" w:hAnsi="Times New Roman" w:cs="Times New Roman" w:hint="eastAsia"/>
          <w:bCs/>
          <w:color w:val="000000" w:themeColor="text1"/>
          <w:sz w:val="24"/>
          <w:szCs w:val="24"/>
        </w:rPr>
        <w:lastRenderedPageBreak/>
        <w:t xml:space="preserve">significant genetic correlations with BD (down). Each node represents the peak coordinate of a group-ICA component from the UK Biobank resting-state fMRI decomposition (ICA-d25: 21 good components; ICA-d100: 55 good components). Edges connect pairs of ICA components whose functional connectivity strength is genetically correlated with BD. Red edges indicate positive genetic correlations; blue edges indicate negative genetic correlations. Node pair assignments were decoded from upper-triangle edge indices using the column-major vectorization convention. Group-ICA spatial maps were obtained from the FMRIB UK Biobank resource (https://www.fmrib.ox.ac.uk/ukbiobank/). </w:t>
      </w:r>
      <w:r w:rsidRPr="00A24087">
        <w:rPr>
          <w:rFonts w:ascii="Times New Roman" w:hAnsi="Times New Roman" w:cs="Times New Roman"/>
          <w:b/>
          <w:bCs/>
          <w:color w:val="000000" w:themeColor="text1"/>
          <w:sz w:val="24"/>
          <w:szCs w:val="24"/>
        </w:rPr>
        <w:br w:type="page"/>
      </w:r>
    </w:p>
    <w:p w14:paraId="3FC304C8" w14:textId="77777777" w:rsidR="001F7F84" w:rsidRPr="00A24087" w:rsidRDefault="00000000">
      <w:pPr>
        <w:spacing w:line="480" w:lineRule="auto"/>
        <w:rPr>
          <w:rFonts w:ascii="Times New Roman" w:hAnsi="Times New Roman" w:cs="Times New Roman"/>
          <w:b/>
          <w:bCs/>
          <w:color w:val="000000" w:themeColor="text1"/>
          <w:sz w:val="24"/>
          <w:szCs w:val="24"/>
        </w:rPr>
      </w:pPr>
      <w:r w:rsidRPr="00A24087">
        <w:rPr>
          <w:rFonts w:ascii="Times New Roman" w:hAnsi="Times New Roman" w:cs="Times New Roman"/>
          <w:b/>
          <w:bCs/>
          <w:color w:val="000000" w:themeColor="text1"/>
          <w:sz w:val="24"/>
          <w:szCs w:val="24"/>
        </w:rPr>
        <w:t>Fig. S3. Manhattan plot of MTAG results for 24 pairs of BD-IDPs identified with shared SNVs.</w:t>
      </w:r>
    </w:p>
    <w:p w14:paraId="379B5149" w14:textId="77777777" w:rsidR="001F7F84" w:rsidRPr="00A24087" w:rsidRDefault="00000000">
      <w:pPr>
        <w:spacing w:line="480" w:lineRule="auto"/>
        <w:jc w:val="center"/>
        <w:rPr>
          <w:rFonts w:ascii="Times New Roman" w:hAnsi="Times New Roman" w:cs="Times New Roman"/>
          <w:b/>
          <w:bCs/>
          <w:color w:val="000000" w:themeColor="text1"/>
        </w:rPr>
      </w:pPr>
      <w:r w:rsidRPr="00A24087">
        <w:rPr>
          <w:rFonts w:ascii="Times New Roman" w:hAnsi="Times New Roman" w:cs="Times New Roman" w:hint="eastAsia"/>
          <w:b/>
          <w:bCs/>
          <w:noProof/>
          <w:color w:val="000000" w:themeColor="text1"/>
        </w:rPr>
        <w:drawing>
          <wp:inline distT="0" distB="0" distL="0" distR="0" wp14:anchorId="627EE40A" wp14:editId="38FF4F91">
            <wp:extent cx="5274310" cy="3100070"/>
            <wp:effectExtent l="0" t="0" r="2540" b="5080"/>
            <wp:docPr id="940216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1672" name="图片 3"/>
                    <pic:cNvPicPr>
                      <a:picLocks noChangeAspect="1"/>
                    </pic:cNvPicPr>
                  </pic:nvPicPr>
                  <pic:blipFill>
                    <a:blip r:embed="rId9"/>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drawing>
          <wp:inline distT="0" distB="0" distL="0" distR="0" wp14:anchorId="359C31C9" wp14:editId="442ECA21">
            <wp:extent cx="5274310" cy="3100070"/>
            <wp:effectExtent l="0" t="0" r="2540" b="5080"/>
            <wp:docPr id="143195739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957399" name="图片 4"/>
                    <pic:cNvPicPr>
                      <a:picLocks noChangeAspect="1"/>
                    </pic:cNvPicPr>
                  </pic:nvPicPr>
                  <pic:blipFill>
                    <a:blip r:embed="rId10"/>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lastRenderedPageBreak/>
        <w:drawing>
          <wp:inline distT="0" distB="0" distL="0" distR="0" wp14:anchorId="520D3339" wp14:editId="5F72E660">
            <wp:extent cx="5274310" cy="3100070"/>
            <wp:effectExtent l="0" t="0" r="2540" b="5080"/>
            <wp:docPr id="178337087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370878" name="图片 5"/>
                    <pic:cNvPicPr>
                      <a:picLocks noChangeAspect="1"/>
                    </pic:cNvPicPr>
                  </pic:nvPicPr>
                  <pic:blipFill>
                    <a:blip r:embed="rId11"/>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drawing>
          <wp:inline distT="0" distB="0" distL="0" distR="0" wp14:anchorId="55FCD474" wp14:editId="5F6F4F57">
            <wp:extent cx="5274310" cy="3100070"/>
            <wp:effectExtent l="0" t="0" r="2540" b="5080"/>
            <wp:docPr id="191602380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23804" name="图片 6"/>
                    <pic:cNvPicPr>
                      <a:picLocks noChangeAspect="1"/>
                    </pic:cNvPicPr>
                  </pic:nvPicPr>
                  <pic:blipFill>
                    <a:blip r:embed="rId12"/>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lastRenderedPageBreak/>
        <w:drawing>
          <wp:inline distT="0" distB="0" distL="0" distR="0" wp14:anchorId="4C439758" wp14:editId="5811E388">
            <wp:extent cx="5274310" cy="3100070"/>
            <wp:effectExtent l="0" t="0" r="2540" b="5080"/>
            <wp:docPr id="20311657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65710" name="图片 7"/>
                    <pic:cNvPicPr>
                      <a:picLocks noChangeAspect="1"/>
                    </pic:cNvPicPr>
                  </pic:nvPicPr>
                  <pic:blipFill>
                    <a:blip r:embed="rId13"/>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drawing>
          <wp:inline distT="0" distB="0" distL="0" distR="0" wp14:anchorId="4152CD12" wp14:editId="2091FE43">
            <wp:extent cx="5274310" cy="3100070"/>
            <wp:effectExtent l="0" t="0" r="2540" b="5080"/>
            <wp:docPr id="121861688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16881" name="图片 8"/>
                    <pic:cNvPicPr>
                      <a:picLocks noChangeAspect="1"/>
                    </pic:cNvPicPr>
                  </pic:nvPicPr>
                  <pic:blipFill>
                    <a:blip r:embed="rId14"/>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lastRenderedPageBreak/>
        <w:drawing>
          <wp:inline distT="0" distB="0" distL="0" distR="0" wp14:anchorId="1BD41833" wp14:editId="32B1176C">
            <wp:extent cx="5274310" cy="3100070"/>
            <wp:effectExtent l="0" t="0" r="2540" b="5080"/>
            <wp:docPr id="205960988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609889" name="图片 9"/>
                    <pic:cNvPicPr>
                      <a:picLocks noChangeAspect="1"/>
                    </pic:cNvPicPr>
                  </pic:nvPicPr>
                  <pic:blipFill>
                    <a:blip r:embed="rId15"/>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drawing>
          <wp:inline distT="0" distB="0" distL="0" distR="0" wp14:anchorId="4EDC5B3B" wp14:editId="76A4CDD5">
            <wp:extent cx="5274310" cy="3100070"/>
            <wp:effectExtent l="0" t="0" r="2540" b="5080"/>
            <wp:docPr id="197085493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854930" name="图片 10"/>
                    <pic:cNvPicPr>
                      <a:picLocks noChangeAspect="1"/>
                    </pic:cNvPicPr>
                  </pic:nvPicPr>
                  <pic:blipFill>
                    <a:blip r:embed="rId16"/>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lastRenderedPageBreak/>
        <w:drawing>
          <wp:inline distT="0" distB="0" distL="0" distR="0" wp14:anchorId="2B7957B2" wp14:editId="6926101E">
            <wp:extent cx="5274310" cy="3100070"/>
            <wp:effectExtent l="0" t="0" r="2540" b="5080"/>
            <wp:docPr id="77520160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01609" name="图片 11"/>
                    <pic:cNvPicPr>
                      <a:picLocks noChangeAspect="1"/>
                    </pic:cNvPicPr>
                  </pic:nvPicPr>
                  <pic:blipFill>
                    <a:blip r:embed="rId17"/>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drawing>
          <wp:inline distT="0" distB="0" distL="0" distR="0" wp14:anchorId="74454189" wp14:editId="1FF02187">
            <wp:extent cx="5274310" cy="3100070"/>
            <wp:effectExtent l="0" t="0" r="2540" b="5080"/>
            <wp:docPr id="68749683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496831" name="图片 12"/>
                    <pic:cNvPicPr>
                      <a:picLocks noChangeAspect="1"/>
                    </pic:cNvPicPr>
                  </pic:nvPicPr>
                  <pic:blipFill>
                    <a:blip r:embed="rId18"/>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lastRenderedPageBreak/>
        <w:drawing>
          <wp:inline distT="0" distB="0" distL="0" distR="0" wp14:anchorId="5A42FC27" wp14:editId="56D04247">
            <wp:extent cx="5274310" cy="3100070"/>
            <wp:effectExtent l="0" t="0" r="2540" b="5080"/>
            <wp:docPr id="27419906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199063" name="图片 13"/>
                    <pic:cNvPicPr>
                      <a:picLocks noChangeAspect="1"/>
                    </pic:cNvPicPr>
                  </pic:nvPicPr>
                  <pic:blipFill>
                    <a:blip r:embed="rId19"/>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drawing>
          <wp:inline distT="0" distB="0" distL="0" distR="0" wp14:anchorId="0E8B7D08" wp14:editId="18484A37">
            <wp:extent cx="5274310" cy="3100070"/>
            <wp:effectExtent l="0" t="0" r="2540" b="5080"/>
            <wp:docPr id="163480830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808305" name="图片 14"/>
                    <pic:cNvPicPr>
                      <a:picLocks noChangeAspect="1"/>
                    </pic:cNvPicPr>
                  </pic:nvPicPr>
                  <pic:blipFill>
                    <a:blip r:embed="rId20"/>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lastRenderedPageBreak/>
        <w:drawing>
          <wp:inline distT="0" distB="0" distL="0" distR="0" wp14:anchorId="2853DD33" wp14:editId="3459B05D">
            <wp:extent cx="5274310" cy="3100070"/>
            <wp:effectExtent l="0" t="0" r="2540" b="5080"/>
            <wp:docPr id="124311638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16385" name="图片 15"/>
                    <pic:cNvPicPr>
                      <a:picLocks noChangeAspect="1"/>
                    </pic:cNvPicPr>
                  </pic:nvPicPr>
                  <pic:blipFill>
                    <a:blip r:embed="rId21"/>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drawing>
          <wp:inline distT="0" distB="0" distL="0" distR="0" wp14:anchorId="6FCFBA85" wp14:editId="0F337F40">
            <wp:extent cx="5274310" cy="3100070"/>
            <wp:effectExtent l="0" t="0" r="2540" b="5080"/>
            <wp:docPr id="199875491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54910" name="图片 16"/>
                    <pic:cNvPicPr>
                      <a:picLocks noChangeAspect="1"/>
                    </pic:cNvPicPr>
                  </pic:nvPicPr>
                  <pic:blipFill>
                    <a:blip r:embed="rId22"/>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lastRenderedPageBreak/>
        <w:drawing>
          <wp:inline distT="0" distB="0" distL="0" distR="0" wp14:anchorId="45A56256" wp14:editId="74BA5DE6">
            <wp:extent cx="5274310" cy="3100070"/>
            <wp:effectExtent l="0" t="0" r="2540" b="5080"/>
            <wp:docPr id="140663517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35173" name="图片 17"/>
                    <pic:cNvPicPr>
                      <a:picLocks noChangeAspect="1"/>
                    </pic:cNvPicPr>
                  </pic:nvPicPr>
                  <pic:blipFill>
                    <a:blip r:embed="rId23"/>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drawing>
          <wp:inline distT="0" distB="0" distL="0" distR="0" wp14:anchorId="2CB12689" wp14:editId="2320117D">
            <wp:extent cx="5274310" cy="3100070"/>
            <wp:effectExtent l="0" t="0" r="2540" b="5080"/>
            <wp:docPr id="3486821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68211" name="图片 18"/>
                    <pic:cNvPicPr>
                      <a:picLocks noChangeAspect="1"/>
                    </pic:cNvPicPr>
                  </pic:nvPicPr>
                  <pic:blipFill>
                    <a:blip r:embed="rId24"/>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lastRenderedPageBreak/>
        <w:drawing>
          <wp:inline distT="0" distB="0" distL="0" distR="0" wp14:anchorId="204BB956" wp14:editId="1411D251">
            <wp:extent cx="5274310" cy="3100070"/>
            <wp:effectExtent l="0" t="0" r="2540" b="5080"/>
            <wp:docPr id="113551884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518842" name="图片 19"/>
                    <pic:cNvPicPr>
                      <a:picLocks noChangeAspect="1"/>
                    </pic:cNvPicPr>
                  </pic:nvPicPr>
                  <pic:blipFill>
                    <a:blip r:embed="rId25"/>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drawing>
          <wp:inline distT="0" distB="0" distL="0" distR="0" wp14:anchorId="0ABE1823" wp14:editId="39B0BEB9">
            <wp:extent cx="5274310" cy="3100070"/>
            <wp:effectExtent l="0" t="0" r="2540" b="5080"/>
            <wp:docPr id="126470956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709568" name="图片 20"/>
                    <pic:cNvPicPr>
                      <a:picLocks noChangeAspect="1"/>
                    </pic:cNvPicPr>
                  </pic:nvPicPr>
                  <pic:blipFill>
                    <a:blip r:embed="rId26"/>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lastRenderedPageBreak/>
        <w:drawing>
          <wp:inline distT="0" distB="0" distL="0" distR="0" wp14:anchorId="4C918809" wp14:editId="061CB064">
            <wp:extent cx="5274310" cy="3100070"/>
            <wp:effectExtent l="0" t="0" r="2540" b="5080"/>
            <wp:docPr id="113543516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35164" name="图片 21"/>
                    <pic:cNvPicPr>
                      <a:picLocks noChangeAspect="1"/>
                    </pic:cNvPicPr>
                  </pic:nvPicPr>
                  <pic:blipFill>
                    <a:blip r:embed="rId27"/>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drawing>
          <wp:inline distT="0" distB="0" distL="0" distR="0" wp14:anchorId="15A7AE1E" wp14:editId="5CCF7ACE">
            <wp:extent cx="5274310" cy="3100070"/>
            <wp:effectExtent l="0" t="0" r="2540" b="5080"/>
            <wp:docPr id="134596670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66706" name="图片 22"/>
                    <pic:cNvPicPr>
                      <a:picLocks noChangeAspect="1"/>
                    </pic:cNvPicPr>
                  </pic:nvPicPr>
                  <pic:blipFill>
                    <a:blip r:embed="rId28"/>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lastRenderedPageBreak/>
        <w:drawing>
          <wp:inline distT="0" distB="0" distL="0" distR="0" wp14:anchorId="1EA71CBC" wp14:editId="0C06215B">
            <wp:extent cx="5274310" cy="3100070"/>
            <wp:effectExtent l="0" t="0" r="2540" b="5080"/>
            <wp:docPr id="140415890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58905" name="图片 23"/>
                    <pic:cNvPicPr>
                      <a:picLocks noChangeAspect="1"/>
                    </pic:cNvPicPr>
                  </pic:nvPicPr>
                  <pic:blipFill>
                    <a:blip r:embed="rId29"/>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drawing>
          <wp:inline distT="0" distB="0" distL="0" distR="0" wp14:anchorId="623A575B" wp14:editId="733619D8">
            <wp:extent cx="5274310" cy="3100070"/>
            <wp:effectExtent l="0" t="0" r="2540" b="5080"/>
            <wp:docPr id="106260015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00158" name="图片 24"/>
                    <pic:cNvPicPr>
                      <a:picLocks noChangeAspect="1"/>
                    </pic:cNvPicPr>
                  </pic:nvPicPr>
                  <pic:blipFill>
                    <a:blip r:embed="rId30"/>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lastRenderedPageBreak/>
        <w:drawing>
          <wp:inline distT="0" distB="0" distL="0" distR="0" wp14:anchorId="7D8A60DC" wp14:editId="40B2DF9E">
            <wp:extent cx="5274310" cy="3100070"/>
            <wp:effectExtent l="0" t="0" r="2540" b="5080"/>
            <wp:docPr id="33025873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258733" name="图片 25"/>
                    <pic:cNvPicPr>
                      <a:picLocks noChangeAspect="1"/>
                    </pic:cNvPicPr>
                  </pic:nvPicPr>
                  <pic:blipFill>
                    <a:blip r:embed="rId31"/>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noProof/>
          <w:color w:val="000000" w:themeColor="text1"/>
        </w:rPr>
        <w:drawing>
          <wp:inline distT="0" distB="0" distL="0" distR="0" wp14:anchorId="29398871" wp14:editId="1F341AF0">
            <wp:extent cx="5274310" cy="3100070"/>
            <wp:effectExtent l="0" t="0" r="2540" b="5080"/>
            <wp:docPr id="131571192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711921" name="图片 26"/>
                    <pic:cNvPicPr>
                      <a:picLocks noChangeAspect="1"/>
                    </pic:cNvPicPr>
                  </pic:nvPicPr>
                  <pic:blipFill>
                    <a:blip r:embed="rId32"/>
                    <a:stretch>
                      <a:fillRect/>
                    </a:stretch>
                  </pic:blipFill>
                  <pic:spPr>
                    <a:xfrm>
                      <a:off x="0" y="0"/>
                      <a:ext cx="5274310" cy="3100070"/>
                    </a:xfrm>
                    <a:prstGeom prst="rect">
                      <a:avLst/>
                    </a:prstGeom>
                  </pic:spPr>
                </pic:pic>
              </a:graphicData>
            </a:graphic>
          </wp:inline>
        </w:drawing>
      </w:r>
      <w:r w:rsidRPr="00A24087">
        <w:rPr>
          <w:rFonts w:ascii="Times New Roman" w:hAnsi="Times New Roman" w:cs="Times New Roman" w:hint="eastAsia"/>
          <w:b/>
          <w:bCs/>
          <w:color w:val="000000" w:themeColor="text1"/>
        </w:rPr>
        <w:br/>
      </w:r>
    </w:p>
    <w:p w14:paraId="5C8A352F" w14:textId="77777777" w:rsidR="001F7F84" w:rsidRPr="00A24087" w:rsidRDefault="00000000">
      <w:pPr>
        <w:widowControl/>
        <w:spacing w:line="480" w:lineRule="auto"/>
        <w:jc w:val="left"/>
        <w:rPr>
          <w:rFonts w:ascii="Times New Roman" w:hAnsi="Times New Roman" w:cs="Times New Roman"/>
          <w:b/>
          <w:bCs/>
          <w:color w:val="000000" w:themeColor="text1"/>
        </w:rPr>
      </w:pPr>
      <w:r w:rsidRPr="00A24087">
        <w:rPr>
          <w:rFonts w:ascii="Times New Roman" w:hAnsi="Times New Roman" w:cs="Times New Roman" w:hint="eastAsia"/>
          <w:b/>
          <w:bCs/>
          <w:color w:val="000000" w:themeColor="text1"/>
        </w:rPr>
        <w:br w:type="page"/>
      </w:r>
    </w:p>
    <w:p w14:paraId="3D2739D8" w14:textId="77777777" w:rsidR="001F7F84" w:rsidRPr="00A24087" w:rsidRDefault="00000000">
      <w:pPr>
        <w:spacing w:line="480" w:lineRule="auto"/>
        <w:rPr>
          <w:rFonts w:ascii="Times New Roman" w:hAnsi="Times New Roman" w:cs="Times New Roman"/>
          <w:b/>
          <w:bCs/>
          <w:color w:val="000000" w:themeColor="text1"/>
          <w:sz w:val="24"/>
          <w:szCs w:val="24"/>
        </w:rPr>
      </w:pPr>
      <w:r w:rsidRPr="00A24087">
        <w:rPr>
          <w:rFonts w:ascii="Times New Roman" w:hAnsi="Times New Roman" w:cs="Times New Roman"/>
          <w:b/>
          <w:bCs/>
          <w:noProof/>
          <w:color w:val="000000" w:themeColor="text1"/>
          <w:sz w:val="24"/>
          <w:szCs w:val="24"/>
        </w:rPr>
        <w:lastRenderedPageBreak/>
        <w:drawing>
          <wp:anchor distT="0" distB="0" distL="114300" distR="114300" simplePos="0" relativeHeight="251661312" behindDoc="0" locked="0" layoutInCell="1" allowOverlap="1" wp14:anchorId="2CFA3265" wp14:editId="156C11EE">
            <wp:simplePos x="0" y="0"/>
            <wp:positionH relativeFrom="column">
              <wp:posOffset>428625</wp:posOffset>
            </wp:positionH>
            <wp:positionV relativeFrom="paragraph">
              <wp:posOffset>782955</wp:posOffset>
            </wp:positionV>
            <wp:extent cx="4539615" cy="8069580"/>
            <wp:effectExtent l="0" t="0" r="0" b="7620"/>
            <wp:wrapSquare wrapText="bothSides"/>
            <wp:docPr id="6299617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961722" name="图片 1"/>
                    <pic:cNvPicPr>
                      <a:picLocks noChangeAspect="1"/>
                    </pic:cNvPicPr>
                  </pic:nvPicPr>
                  <pic:blipFill>
                    <a:blip r:embed="rId33"/>
                    <a:stretch>
                      <a:fillRect/>
                    </a:stretch>
                  </pic:blipFill>
                  <pic:spPr>
                    <a:xfrm>
                      <a:off x="0" y="0"/>
                      <a:ext cx="4539615" cy="8069580"/>
                    </a:xfrm>
                    <a:prstGeom prst="rect">
                      <a:avLst/>
                    </a:prstGeom>
                  </pic:spPr>
                </pic:pic>
              </a:graphicData>
            </a:graphic>
          </wp:anchor>
        </w:drawing>
      </w:r>
      <w:r w:rsidRPr="00A24087">
        <w:rPr>
          <w:rFonts w:ascii="Times New Roman" w:hAnsi="Times New Roman" w:cs="Times New Roman"/>
          <w:b/>
          <w:bCs/>
          <w:color w:val="000000" w:themeColor="text1"/>
          <w:sz w:val="24"/>
          <w:szCs w:val="24"/>
        </w:rPr>
        <w:t xml:space="preserve">Fig. S4. </w:t>
      </w:r>
      <w:proofErr w:type="spellStart"/>
      <w:r w:rsidRPr="00A24087">
        <w:rPr>
          <w:rFonts w:ascii="Times New Roman" w:hAnsi="Times New Roman" w:cs="Times New Roman"/>
          <w:b/>
          <w:bCs/>
          <w:color w:val="000000" w:themeColor="text1"/>
          <w:sz w:val="24"/>
          <w:szCs w:val="24"/>
        </w:rPr>
        <w:t>MESuSiE</w:t>
      </w:r>
      <w:proofErr w:type="spellEnd"/>
      <w:r w:rsidRPr="00A24087">
        <w:rPr>
          <w:rFonts w:ascii="Times New Roman" w:hAnsi="Times New Roman" w:cs="Times New Roman"/>
          <w:b/>
          <w:bCs/>
          <w:color w:val="000000" w:themeColor="text1"/>
          <w:sz w:val="24"/>
          <w:szCs w:val="24"/>
        </w:rPr>
        <w:t xml:space="preserve"> analysis within a 500 kb window surrounding rs7941324.</w:t>
      </w:r>
    </w:p>
    <w:p w14:paraId="24E2F148" w14:textId="77777777" w:rsidR="001F7F84" w:rsidRPr="00A24087" w:rsidRDefault="00000000">
      <w:pPr>
        <w:widowControl/>
        <w:spacing w:line="480" w:lineRule="auto"/>
        <w:jc w:val="center"/>
        <w:rPr>
          <w:rFonts w:ascii="Times New Roman" w:hAnsi="Times New Roman" w:cs="Times New Roman"/>
          <w:b/>
          <w:bCs/>
          <w:color w:val="000000" w:themeColor="text1"/>
          <w:sz w:val="24"/>
          <w:szCs w:val="24"/>
        </w:rPr>
      </w:pPr>
      <w:r w:rsidRPr="00A24087">
        <w:rPr>
          <w:rFonts w:ascii="Times New Roman" w:hAnsi="Times New Roman" w:cs="Times New Roman"/>
          <w:b/>
          <w:bCs/>
          <w:color w:val="000000" w:themeColor="text1"/>
          <w:sz w:val="24"/>
          <w:szCs w:val="24"/>
        </w:rPr>
        <w:br w:type="page"/>
      </w:r>
    </w:p>
    <w:p w14:paraId="314F1A85" w14:textId="77777777" w:rsidR="001F7F84" w:rsidRPr="00A24087" w:rsidRDefault="00000000">
      <w:pPr>
        <w:spacing w:line="480" w:lineRule="auto"/>
        <w:rPr>
          <w:rFonts w:ascii="Times New Roman" w:hAnsi="Times New Roman" w:cs="Times New Roman"/>
          <w:b/>
          <w:bCs/>
          <w:color w:val="000000" w:themeColor="text1"/>
          <w:sz w:val="24"/>
          <w:szCs w:val="24"/>
        </w:rPr>
      </w:pPr>
      <w:r w:rsidRPr="00A24087">
        <w:rPr>
          <w:rFonts w:ascii="Times New Roman" w:hAnsi="Times New Roman" w:cs="Times New Roman"/>
          <w:b/>
          <w:bCs/>
          <w:color w:val="000000" w:themeColor="text1"/>
          <w:sz w:val="24"/>
          <w:szCs w:val="24"/>
        </w:rPr>
        <w:t>Fig. S5. Gene enrichment analysis for genes near shared SNVs.</w:t>
      </w:r>
    </w:p>
    <w:p w14:paraId="42B91F1B" w14:textId="77777777" w:rsidR="001F7F84" w:rsidRPr="00A24087" w:rsidRDefault="00000000">
      <w:pPr>
        <w:widowControl/>
        <w:spacing w:line="480" w:lineRule="auto"/>
        <w:jc w:val="left"/>
        <w:rPr>
          <w:rFonts w:ascii="Times New Roman" w:hAnsi="Times New Roman" w:cs="Times New Roman"/>
          <w:b/>
          <w:bCs/>
          <w:color w:val="000000" w:themeColor="text1"/>
          <w:sz w:val="24"/>
          <w:szCs w:val="24"/>
        </w:rPr>
      </w:pPr>
      <w:r w:rsidRPr="00A24087">
        <w:rPr>
          <w:rFonts w:ascii="Times New Roman" w:hAnsi="Times New Roman" w:cs="Times New Roman"/>
          <w:b/>
          <w:bCs/>
          <w:noProof/>
          <w:color w:val="000000" w:themeColor="text1"/>
          <w:sz w:val="24"/>
          <w:szCs w:val="24"/>
        </w:rPr>
        <w:drawing>
          <wp:anchor distT="0" distB="0" distL="114300" distR="114300" simplePos="0" relativeHeight="251659264" behindDoc="0" locked="0" layoutInCell="1" allowOverlap="1" wp14:anchorId="6DF884A4" wp14:editId="720575B8">
            <wp:simplePos x="0" y="0"/>
            <wp:positionH relativeFrom="margin">
              <wp:align>right</wp:align>
            </wp:positionH>
            <wp:positionV relativeFrom="paragraph">
              <wp:posOffset>87630</wp:posOffset>
            </wp:positionV>
            <wp:extent cx="5274310" cy="4896485"/>
            <wp:effectExtent l="0" t="0" r="2540" b="0"/>
            <wp:wrapTopAndBottom/>
            <wp:docPr id="13663010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301016" name="图片 2"/>
                    <pic:cNvPicPr>
                      <a:picLocks noChangeAspect="1"/>
                    </pic:cNvPicPr>
                  </pic:nvPicPr>
                  <pic:blipFill>
                    <a:blip r:embed="rId34"/>
                    <a:stretch>
                      <a:fillRect/>
                    </a:stretch>
                  </pic:blipFill>
                  <pic:spPr>
                    <a:xfrm>
                      <a:off x="0" y="0"/>
                      <a:ext cx="5274310" cy="4896485"/>
                    </a:xfrm>
                    <a:prstGeom prst="rect">
                      <a:avLst/>
                    </a:prstGeom>
                  </pic:spPr>
                </pic:pic>
              </a:graphicData>
            </a:graphic>
          </wp:anchor>
        </w:drawing>
      </w:r>
      <w:r w:rsidRPr="00A24087">
        <w:rPr>
          <w:rFonts w:ascii="Times New Roman" w:hAnsi="Times New Roman" w:cs="Times New Roman"/>
          <w:b/>
          <w:bCs/>
          <w:color w:val="000000" w:themeColor="text1"/>
          <w:sz w:val="24"/>
          <w:szCs w:val="24"/>
        </w:rPr>
        <w:br w:type="page"/>
      </w:r>
    </w:p>
    <w:p w14:paraId="52EB30E4" w14:textId="77777777" w:rsidR="001F7F84" w:rsidRPr="00A24087" w:rsidRDefault="00000000">
      <w:pPr>
        <w:spacing w:line="480" w:lineRule="auto"/>
        <w:rPr>
          <w:rFonts w:ascii="Times New Roman" w:hAnsi="Times New Roman" w:cs="Times New Roman"/>
          <w:b/>
          <w:bCs/>
          <w:color w:val="000000" w:themeColor="text1"/>
          <w:sz w:val="24"/>
          <w:szCs w:val="24"/>
        </w:rPr>
      </w:pPr>
      <w:r w:rsidRPr="00A24087">
        <w:rPr>
          <w:rFonts w:ascii="Times New Roman" w:hAnsi="Times New Roman" w:cs="Times New Roman"/>
          <w:b/>
          <w:bCs/>
          <w:color w:val="000000" w:themeColor="text1"/>
          <w:sz w:val="24"/>
          <w:szCs w:val="24"/>
        </w:rPr>
        <w:t xml:space="preserve">Fig. S6. Enrichment analysis of SNVs performed using </w:t>
      </w:r>
      <w:proofErr w:type="spellStart"/>
      <w:r w:rsidRPr="00A24087">
        <w:rPr>
          <w:rFonts w:ascii="Times New Roman" w:hAnsi="Times New Roman" w:cs="Times New Roman"/>
          <w:b/>
          <w:bCs/>
          <w:color w:val="000000" w:themeColor="text1"/>
          <w:sz w:val="24"/>
          <w:szCs w:val="24"/>
        </w:rPr>
        <w:t>snpXplorer</w:t>
      </w:r>
      <w:proofErr w:type="spellEnd"/>
      <w:r w:rsidRPr="00A24087">
        <w:rPr>
          <w:rFonts w:ascii="Times New Roman" w:hAnsi="Times New Roman" w:cs="Times New Roman"/>
          <w:b/>
          <w:bCs/>
          <w:color w:val="000000" w:themeColor="text1"/>
          <w:sz w:val="24"/>
          <w:szCs w:val="24"/>
        </w:rPr>
        <w:t>.</w:t>
      </w:r>
    </w:p>
    <w:p w14:paraId="23BF6BC1" w14:textId="77777777" w:rsidR="001F7F84" w:rsidRPr="00A24087" w:rsidRDefault="00000000">
      <w:pPr>
        <w:widowControl/>
        <w:spacing w:line="480" w:lineRule="auto"/>
        <w:jc w:val="left"/>
        <w:rPr>
          <w:rFonts w:ascii="Times New Roman" w:hAnsi="Times New Roman" w:cs="Times New Roman"/>
          <w:b/>
          <w:bCs/>
          <w:color w:val="000000" w:themeColor="text1"/>
          <w:sz w:val="24"/>
          <w:szCs w:val="24"/>
        </w:rPr>
      </w:pPr>
      <w:r w:rsidRPr="00A24087">
        <w:rPr>
          <w:rFonts w:ascii="Times New Roman" w:hAnsi="Times New Roman" w:cs="Times New Roman"/>
          <w:b/>
          <w:bCs/>
          <w:noProof/>
          <w:color w:val="000000" w:themeColor="text1"/>
          <w:sz w:val="24"/>
          <w:szCs w:val="24"/>
        </w:rPr>
        <w:drawing>
          <wp:anchor distT="0" distB="0" distL="114300" distR="114300" simplePos="0" relativeHeight="251660288" behindDoc="0" locked="0" layoutInCell="1" allowOverlap="1" wp14:anchorId="568214A5" wp14:editId="575EE112">
            <wp:simplePos x="0" y="0"/>
            <wp:positionH relativeFrom="margin">
              <wp:align>right</wp:align>
            </wp:positionH>
            <wp:positionV relativeFrom="paragraph">
              <wp:posOffset>163830</wp:posOffset>
            </wp:positionV>
            <wp:extent cx="5274310" cy="4764405"/>
            <wp:effectExtent l="0" t="0" r="2540" b="0"/>
            <wp:wrapTopAndBottom/>
            <wp:docPr id="1887629328" name="图片 3"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629328" name="图片 3" descr="图表, 散点图&#10;&#10;描述已自动生成"/>
                    <pic:cNvPicPr>
                      <a:picLocks noChangeAspect="1"/>
                    </pic:cNvPicPr>
                  </pic:nvPicPr>
                  <pic:blipFill>
                    <a:blip r:embed="rId35"/>
                    <a:stretch>
                      <a:fillRect/>
                    </a:stretch>
                  </pic:blipFill>
                  <pic:spPr>
                    <a:xfrm>
                      <a:off x="0" y="0"/>
                      <a:ext cx="5274310" cy="4764405"/>
                    </a:xfrm>
                    <a:prstGeom prst="rect">
                      <a:avLst/>
                    </a:prstGeom>
                  </pic:spPr>
                </pic:pic>
              </a:graphicData>
            </a:graphic>
          </wp:anchor>
        </w:drawing>
      </w:r>
      <w:r w:rsidRPr="00A24087">
        <w:rPr>
          <w:rFonts w:ascii="Times New Roman" w:hAnsi="Times New Roman" w:cs="Times New Roman"/>
          <w:b/>
          <w:bCs/>
          <w:color w:val="000000" w:themeColor="text1"/>
          <w:sz w:val="24"/>
          <w:szCs w:val="24"/>
        </w:rPr>
        <w:br w:type="page"/>
      </w:r>
    </w:p>
    <w:p w14:paraId="01958530" w14:textId="77777777" w:rsidR="001F7F84" w:rsidRPr="00A24087" w:rsidRDefault="00000000">
      <w:pPr>
        <w:spacing w:line="480" w:lineRule="auto"/>
        <w:rPr>
          <w:rFonts w:ascii="Times New Roman" w:hAnsi="Times New Roman" w:cs="Times New Roman"/>
          <w:b/>
          <w:bCs/>
          <w:color w:val="000000" w:themeColor="text1"/>
          <w:sz w:val="24"/>
          <w:szCs w:val="24"/>
        </w:rPr>
      </w:pPr>
      <w:r w:rsidRPr="00A24087">
        <w:rPr>
          <w:rFonts w:ascii="Times New Roman" w:hAnsi="Times New Roman" w:cs="Times New Roman"/>
          <w:b/>
          <w:bCs/>
          <w:color w:val="000000" w:themeColor="text1"/>
          <w:sz w:val="24"/>
          <w:szCs w:val="24"/>
        </w:rPr>
        <w:t>Fig. S7. Synaptic functional enrichment analysis of shared genes between BD and IDPs using SynGo.</w:t>
      </w:r>
    </w:p>
    <w:p w14:paraId="60232D25" w14:textId="77777777" w:rsidR="001F7F84" w:rsidRPr="00A24087" w:rsidRDefault="00000000">
      <w:pPr>
        <w:spacing w:line="480" w:lineRule="auto"/>
        <w:jc w:val="center"/>
        <w:rPr>
          <w:rFonts w:ascii="Times New Roman" w:hAnsi="Times New Roman" w:cs="Times New Roman"/>
          <w:b/>
          <w:bCs/>
          <w:color w:val="000000" w:themeColor="text1"/>
        </w:rPr>
      </w:pPr>
      <w:r w:rsidRPr="00A24087">
        <w:rPr>
          <w:rFonts w:ascii="Times New Roman" w:hAnsi="Times New Roman" w:cs="Times New Roman" w:hint="eastAsia"/>
          <w:b/>
          <w:bCs/>
          <w:noProof/>
          <w:color w:val="000000" w:themeColor="text1"/>
        </w:rPr>
        <w:drawing>
          <wp:inline distT="0" distB="0" distL="0" distR="0" wp14:anchorId="6DED554A" wp14:editId="44EDEB59">
            <wp:extent cx="5274310" cy="4988560"/>
            <wp:effectExtent l="0" t="0" r="2540" b="2540"/>
            <wp:docPr id="282929197" name="图片 1" descr="图表, 旭日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929197" name="图片 1" descr="图表, 旭日形&#10;&#10;描述已自动生成"/>
                    <pic:cNvPicPr>
                      <a:picLocks noChangeAspect="1"/>
                    </pic:cNvPicPr>
                  </pic:nvPicPr>
                  <pic:blipFill>
                    <a:blip r:embed="rId36"/>
                    <a:stretch>
                      <a:fillRect/>
                    </a:stretch>
                  </pic:blipFill>
                  <pic:spPr>
                    <a:xfrm>
                      <a:off x="0" y="0"/>
                      <a:ext cx="5274310" cy="4988560"/>
                    </a:xfrm>
                    <a:prstGeom prst="rect">
                      <a:avLst/>
                    </a:prstGeom>
                  </pic:spPr>
                </pic:pic>
              </a:graphicData>
            </a:graphic>
          </wp:inline>
        </w:drawing>
      </w:r>
    </w:p>
    <w:p w14:paraId="4087D2D0" w14:textId="77777777" w:rsidR="001F7F84" w:rsidRPr="00A24087" w:rsidRDefault="00000000">
      <w:pPr>
        <w:widowControl/>
        <w:spacing w:line="480" w:lineRule="auto"/>
        <w:jc w:val="left"/>
        <w:rPr>
          <w:rFonts w:ascii="Times New Roman" w:hAnsi="Times New Roman" w:cs="Times New Roman"/>
          <w:b/>
          <w:bCs/>
          <w:color w:val="000000" w:themeColor="text1"/>
        </w:rPr>
      </w:pPr>
      <w:r w:rsidRPr="00A24087">
        <w:rPr>
          <w:rFonts w:ascii="Times New Roman" w:hAnsi="Times New Roman" w:cs="Times New Roman" w:hint="eastAsia"/>
          <w:b/>
          <w:bCs/>
          <w:color w:val="000000" w:themeColor="text1"/>
        </w:rPr>
        <w:br w:type="page"/>
      </w:r>
    </w:p>
    <w:p w14:paraId="35AF49DC" w14:textId="77777777" w:rsidR="001F7F84" w:rsidRPr="00A24087" w:rsidRDefault="001F7F84">
      <w:pPr>
        <w:spacing w:line="480" w:lineRule="auto"/>
        <w:jc w:val="left"/>
        <w:rPr>
          <w:rFonts w:ascii="Times New Roman" w:hAnsi="Times New Roman" w:cs="Times New Roman"/>
          <w:b/>
          <w:bCs/>
          <w:color w:val="000000" w:themeColor="text1"/>
        </w:rPr>
        <w:sectPr w:rsidR="001F7F84" w:rsidRPr="00A24087">
          <w:pgSz w:w="11906" w:h="16838"/>
          <w:pgMar w:top="1440" w:right="1800" w:bottom="1440" w:left="1800" w:header="851" w:footer="992" w:gutter="0"/>
          <w:cols w:space="425"/>
          <w:docGrid w:type="lines" w:linePitch="312"/>
        </w:sectPr>
      </w:pPr>
    </w:p>
    <w:p w14:paraId="20B13DAA" w14:textId="77777777" w:rsidR="001F7F84" w:rsidRPr="00A24087" w:rsidRDefault="00000000">
      <w:pPr>
        <w:spacing w:line="480" w:lineRule="auto"/>
        <w:jc w:val="left"/>
        <w:rPr>
          <w:rFonts w:ascii="Times New Roman" w:hAnsi="Times New Roman" w:cs="Times New Roman"/>
          <w:b/>
          <w:bCs/>
          <w:color w:val="000000" w:themeColor="text1"/>
          <w:sz w:val="24"/>
          <w:szCs w:val="24"/>
        </w:rPr>
      </w:pPr>
      <w:r w:rsidRPr="00A24087">
        <w:rPr>
          <w:rFonts w:ascii="Times New Roman" w:hAnsi="Times New Roman" w:cs="Times New Roman"/>
          <w:b/>
          <w:bCs/>
          <w:color w:val="000000" w:themeColor="text1"/>
          <w:sz w:val="24"/>
          <w:szCs w:val="24"/>
        </w:rPr>
        <w:t xml:space="preserve">Fig. S8. Developmental trajectories of gene expression for BD and IDPs across </w:t>
      </w:r>
      <w:proofErr w:type="gramStart"/>
      <w:r w:rsidRPr="00A24087">
        <w:rPr>
          <w:rFonts w:ascii="Times New Roman" w:hAnsi="Times New Roman" w:cs="Times New Roman"/>
          <w:b/>
          <w:bCs/>
          <w:color w:val="000000" w:themeColor="text1"/>
          <w:sz w:val="24"/>
          <w:szCs w:val="24"/>
        </w:rPr>
        <w:t>nine time</w:t>
      </w:r>
      <w:proofErr w:type="gramEnd"/>
      <w:r w:rsidRPr="00A24087">
        <w:rPr>
          <w:rFonts w:ascii="Times New Roman" w:hAnsi="Times New Roman" w:cs="Times New Roman"/>
          <w:b/>
          <w:bCs/>
          <w:color w:val="000000" w:themeColor="text1"/>
          <w:sz w:val="24"/>
          <w:szCs w:val="24"/>
        </w:rPr>
        <w:t xml:space="preserve"> windows and brain regions.</w:t>
      </w:r>
    </w:p>
    <w:p w14:paraId="4A9753D6" w14:textId="77777777" w:rsidR="001F7F84" w:rsidRPr="00A24087" w:rsidRDefault="00000000">
      <w:pPr>
        <w:spacing w:line="480" w:lineRule="auto"/>
        <w:jc w:val="left"/>
        <w:rPr>
          <w:rFonts w:ascii="Times New Roman" w:hAnsi="Times New Roman" w:cs="Times New Roman"/>
          <w:b/>
          <w:bCs/>
          <w:color w:val="000000" w:themeColor="text1"/>
        </w:rPr>
      </w:pPr>
      <w:r w:rsidRPr="00A24087">
        <w:rPr>
          <w:rFonts w:ascii="Times New Roman" w:hAnsi="Times New Roman" w:cs="Times New Roman" w:hint="eastAsia"/>
          <w:b/>
          <w:bCs/>
          <w:noProof/>
          <w:color w:val="000000" w:themeColor="text1"/>
        </w:rPr>
        <w:drawing>
          <wp:inline distT="0" distB="0" distL="0" distR="0" wp14:anchorId="766A8BB9" wp14:editId="707F229A">
            <wp:extent cx="8928735" cy="4371975"/>
            <wp:effectExtent l="0" t="0" r="5715" b="0"/>
            <wp:docPr id="16619370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937016" name="图片 2"/>
                    <pic:cNvPicPr>
                      <a:picLocks noChangeAspect="1"/>
                    </pic:cNvPicPr>
                  </pic:nvPicPr>
                  <pic:blipFill>
                    <a:blip r:embed="rId37"/>
                    <a:stretch>
                      <a:fillRect/>
                    </a:stretch>
                  </pic:blipFill>
                  <pic:spPr>
                    <a:xfrm>
                      <a:off x="0" y="0"/>
                      <a:ext cx="8947986" cy="4381346"/>
                    </a:xfrm>
                    <a:prstGeom prst="rect">
                      <a:avLst/>
                    </a:prstGeom>
                  </pic:spPr>
                </pic:pic>
              </a:graphicData>
            </a:graphic>
          </wp:inline>
        </w:drawing>
      </w:r>
    </w:p>
    <w:p w14:paraId="2A78119C" w14:textId="77777777" w:rsidR="001F7F84" w:rsidRPr="00A24087" w:rsidRDefault="00000000">
      <w:pPr>
        <w:widowControl/>
        <w:spacing w:line="480" w:lineRule="auto"/>
        <w:jc w:val="left"/>
        <w:rPr>
          <w:rFonts w:ascii="Times New Roman" w:hAnsi="Times New Roman" w:cs="Times New Roman"/>
          <w:b/>
          <w:bCs/>
          <w:color w:val="000000" w:themeColor="text1"/>
        </w:rPr>
      </w:pPr>
      <w:r w:rsidRPr="00A24087">
        <w:rPr>
          <w:rFonts w:ascii="Times New Roman" w:hAnsi="Times New Roman" w:cs="Times New Roman" w:hint="eastAsia"/>
          <w:b/>
          <w:bCs/>
          <w:color w:val="000000" w:themeColor="text1"/>
        </w:rPr>
        <w:br w:type="page"/>
      </w:r>
    </w:p>
    <w:p w14:paraId="5B48517B" w14:textId="77777777" w:rsidR="001F7F84" w:rsidRPr="00A24087" w:rsidRDefault="00000000">
      <w:pPr>
        <w:spacing w:line="480" w:lineRule="auto"/>
        <w:jc w:val="left"/>
        <w:rPr>
          <w:rFonts w:ascii="Times New Roman" w:hAnsi="Times New Roman" w:cs="Times New Roman"/>
          <w:b/>
          <w:bCs/>
          <w:color w:val="000000" w:themeColor="text1"/>
          <w:sz w:val="24"/>
          <w:szCs w:val="24"/>
        </w:rPr>
      </w:pPr>
      <w:r w:rsidRPr="00A24087">
        <w:rPr>
          <w:rFonts w:ascii="Times New Roman" w:hAnsi="Times New Roman" w:cs="Times New Roman"/>
          <w:b/>
          <w:bCs/>
          <w:color w:val="000000" w:themeColor="text1"/>
          <w:sz w:val="24"/>
          <w:szCs w:val="24"/>
        </w:rPr>
        <w:t>Fig. S9. Identification of shared proteins between BD and IDPs using SMR and BLISS.</w:t>
      </w:r>
    </w:p>
    <w:p w14:paraId="006AC44A" w14:textId="77777777" w:rsidR="001F7F84" w:rsidRPr="00A24087" w:rsidRDefault="00000000">
      <w:pPr>
        <w:spacing w:line="480" w:lineRule="auto"/>
        <w:jc w:val="center"/>
        <w:rPr>
          <w:rFonts w:ascii="Times New Roman" w:hAnsi="Times New Roman" w:cs="Times New Roman"/>
          <w:b/>
          <w:bCs/>
          <w:color w:val="000000" w:themeColor="text1"/>
        </w:rPr>
        <w:sectPr w:rsidR="001F7F84" w:rsidRPr="00A24087">
          <w:pgSz w:w="16838" w:h="11906" w:orient="landscape"/>
          <w:pgMar w:top="1797" w:right="1440" w:bottom="1797" w:left="1440" w:header="851" w:footer="992" w:gutter="0"/>
          <w:cols w:space="425"/>
          <w:docGrid w:type="linesAndChars" w:linePitch="312"/>
        </w:sectPr>
      </w:pPr>
      <w:r w:rsidRPr="00A24087">
        <w:rPr>
          <w:rFonts w:ascii="Times New Roman" w:hAnsi="Times New Roman" w:cs="Times New Roman" w:hint="eastAsia"/>
          <w:b/>
          <w:bCs/>
          <w:noProof/>
          <w:color w:val="000000" w:themeColor="text1"/>
        </w:rPr>
        <w:drawing>
          <wp:inline distT="0" distB="0" distL="0" distR="0" wp14:anchorId="585F6B73" wp14:editId="5FA9FE35">
            <wp:extent cx="8867775" cy="2364740"/>
            <wp:effectExtent l="0" t="0" r="0" b="0"/>
            <wp:docPr id="318453353" name="图片 3" descr="厨房的摆设布局&#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53353" name="图片 3" descr="厨房的摆设布局&#10;&#10;低可信度描述已自动生成"/>
                    <pic:cNvPicPr>
                      <a:picLocks noChangeAspect="1"/>
                    </pic:cNvPicPr>
                  </pic:nvPicPr>
                  <pic:blipFill>
                    <a:blip r:embed="rId38"/>
                    <a:stretch>
                      <a:fillRect/>
                    </a:stretch>
                  </pic:blipFill>
                  <pic:spPr>
                    <a:xfrm>
                      <a:off x="0" y="0"/>
                      <a:ext cx="8877413" cy="2367382"/>
                    </a:xfrm>
                    <a:prstGeom prst="rect">
                      <a:avLst/>
                    </a:prstGeom>
                  </pic:spPr>
                </pic:pic>
              </a:graphicData>
            </a:graphic>
          </wp:inline>
        </w:drawing>
      </w:r>
    </w:p>
    <w:p w14:paraId="1AF8EDE0" w14:textId="77777777" w:rsidR="001F7F84" w:rsidRPr="00A24087" w:rsidRDefault="00000000">
      <w:pPr>
        <w:spacing w:line="480" w:lineRule="auto"/>
        <w:jc w:val="left"/>
        <w:rPr>
          <w:rFonts w:ascii="Times New Roman" w:hAnsi="Times New Roman" w:cs="Times New Roman"/>
          <w:b/>
          <w:bCs/>
          <w:color w:val="000000" w:themeColor="text1"/>
          <w:sz w:val="24"/>
          <w:szCs w:val="24"/>
        </w:rPr>
      </w:pPr>
      <w:r w:rsidRPr="00A24087">
        <w:rPr>
          <w:rFonts w:ascii="Times New Roman" w:hAnsi="Times New Roman" w:cs="Times New Roman"/>
          <w:b/>
          <w:bCs/>
          <w:color w:val="000000" w:themeColor="text1"/>
          <w:sz w:val="24"/>
          <w:szCs w:val="24"/>
        </w:rPr>
        <w:t>Fig. S10. Protein-protein interaction (PPI) analysis of shared proteins using STRING.</w:t>
      </w:r>
    </w:p>
    <w:p w14:paraId="6698ECFA" w14:textId="77777777" w:rsidR="000314AB" w:rsidRPr="00A24087" w:rsidRDefault="00000000">
      <w:pPr>
        <w:spacing w:line="480" w:lineRule="auto"/>
        <w:jc w:val="left"/>
        <w:rPr>
          <w:rFonts w:ascii="Times New Roman" w:hAnsi="Times New Roman" w:cs="Times New Roman"/>
          <w:b/>
          <w:bCs/>
          <w:color w:val="000000" w:themeColor="text1"/>
        </w:rPr>
      </w:pPr>
      <w:r w:rsidRPr="00A24087">
        <w:rPr>
          <w:rFonts w:ascii="Times New Roman" w:hAnsi="Times New Roman" w:cs="Times New Roman" w:hint="eastAsia"/>
          <w:b/>
          <w:bCs/>
          <w:noProof/>
          <w:color w:val="000000" w:themeColor="text1"/>
        </w:rPr>
        <w:drawing>
          <wp:inline distT="0" distB="0" distL="0" distR="0" wp14:anchorId="178A1285" wp14:editId="26F534EF">
            <wp:extent cx="5278120" cy="5278120"/>
            <wp:effectExtent l="0" t="0" r="0" b="0"/>
            <wp:docPr id="10383970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397019" name="图片 4"/>
                    <pic:cNvPicPr>
                      <a:picLocks noChangeAspect="1"/>
                    </pic:cNvPicPr>
                  </pic:nvPicPr>
                  <pic:blipFill>
                    <a:blip r:embed="rId39"/>
                    <a:stretch>
                      <a:fillRect/>
                    </a:stretch>
                  </pic:blipFill>
                  <pic:spPr>
                    <a:xfrm>
                      <a:off x="0" y="0"/>
                      <a:ext cx="5278120" cy="5278120"/>
                    </a:xfrm>
                    <a:prstGeom prst="rect">
                      <a:avLst/>
                    </a:prstGeom>
                  </pic:spPr>
                </pic:pic>
              </a:graphicData>
            </a:graphic>
          </wp:inline>
        </w:drawing>
      </w:r>
      <w:r w:rsidR="000314AB" w:rsidRPr="00A24087">
        <w:rPr>
          <w:rFonts w:ascii="Times New Roman" w:hAnsi="Times New Roman" w:cs="Times New Roman"/>
          <w:b/>
          <w:bCs/>
          <w:color w:val="000000" w:themeColor="text1"/>
        </w:rPr>
        <w:br w:type="page"/>
      </w:r>
    </w:p>
    <w:p w14:paraId="274729D4" w14:textId="32CEC7F7" w:rsidR="000314AB" w:rsidRPr="00A24087" w:rsidRDefault="000314AB" w:rsidP="000314AB">
      <w:pPr>
        <w:spacing w:line="480" w:lineRule="auto"/>
        <w:jc w:val="left"/>
        <w:rPr>
          <w:rFonts w:ascii="Times New Roman" w:hAnsi="Times New Roman" w:cs="Times New Roman"/>
          <w:b/>
          <w:bCs/>
          <w:noProof/>
          <w:color w:val="000000" w:themeColor="text1"/>
        </w:rPr>
      </w:pPr>
      <w:r w:rsidRPr="00A24087">
        <w:rPr>
          <w:rFonts w:ascii="Times New Roman" w:hAnsi="Times New Roman" w:cs="Times New Roman"/>
          <w:b/>
          <w:bCs/>
          <w:color w:val="000000" w:themeColor="text1"/>
          <w:sz w:val="24"/>
          <w:szCs w:val="24"/>
        </w:rPr>
        <w:t>Fig. S11</w:t>
      </w:r>
      <w:r w:rsidRPr="00A24087">
        <w:rPr>
          <w:rFonts w:ascii="Times New Roman" w:hAnsi="Times New Roman" w:cs="Times New Roman" w:hint="eastAsia"/>
          <w:b/>
          <w:bCs/>
          <w:color w:val="000000" w:themeColor="text1"/>
          <w:sz w:val="24"/>
          <w:szCs w:val="24"/>
        </w:rPr>
      </w:r>
      <w:r w:rsidRPr="00A24087">
        <w:rPr>
          <w:rFonts w:ascii="Times New Roman" w:hAnsi="Times New Roman" w:cs="Times New Roman"/>
          <w:b/>
          <w:bCs/>
          <w:color w:val="000000" w:themeColor="text1"/>
          <w:sz w:val="24"/>
          <w:szCs w:val="24"/>
        </w:rPr>
        <w:t xml:space="preserve">. </w:t>
      </w:r>
      <w:r w:rsidRPr="00A24087">
        <w:rPr>
          <w:rFonts w:ascii="Times New Roman" w:hAnsi="Times New Roman" w:cs="Times New Roman" w:hint="eastAsia"/>
          <w:b/>
          <w:bCs/>
          <w:color w:val="000000" w:themeColor="text1"/>
          <w:sz w:val="24"/>
          <w:szCs w:val="24"/>
        </w:rPr>
        <w:t>Statistical mediation of clinical features between BD-IDP PRS and suicide risk.</w:t>
      </w:r>
    </w:p>
    <w:p w14:paraId="6825684A" w14:textId="2A328D02" w:rsidR="00167D34" w:rsidRPr="00A24087" w:rsidRDefault="00167D34" w:rsidP="000314AB">
      <w:pPr>
        <w:spacing w:line="480" w:lineRule="auto"/>
        <w:jc w:val="left"/>
        <w:rPr>
          <w:rFonts w:ascii="Times New Roman" w:hAnsi="Times New Roman" w:cs="Times New Roman"/>
          <w:b/>
          <w:bCs/>
          <w:color w:val="000000" w:themeColor="text1"/>
          <w:sz w:val="24"/>
          <w:szCs w:val="24"/>
        </w:rPr>
      </w:pPr>
      <w:r w:rsidRPr="00A24087">
        <w:rPr>
          <w:rFonts w:cs="Times New Roman"/>
          <w:b/>
          <w:bCs/>
          <w:noProof/>
          <w:color w:val="000000" w:themeColor="text1"/>
        </w:rPr>
        <w:drawing>
          <wp:inline distT="0" distB="0" distL="0" distR="0" wp14:anchorId="70585B11" wp14:editId="39620F89">
            <wp:extent cx="5278120" cy="3631762"/>
            <wp:effectExtent l="0" t="0" r="0" b="6985"/>
            <wp:docPr id="864046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3631762"/>
                    </a:xfrm>
                    <a:prstGeom prst="rect">
                      <a:avLst/>
                    </a:prstGeom>
                    <a:noFill/>
                    <a:ln>
                      <a:noFill/>
                    </a:ln>
                  </pic:spPr>
                </pic:pic>
              </a:graphicData>
            </a:graphic>
          </wp:inline>
        </w:drawing>
      </w:r>
    </w:p>
    <w:p w14:paraId="5ACA7D8C" w14:textId="26C3BF2D" w:rsidR="001F7F84" w:rsidRPr="00A24087" w:rsidRDefault="000314AB">
      <w:pPr>
        <w:spacing w:line="480" w:lineRule="auto"/>
        <w:jc w:val="left"/>
        <w:rPr>
          <w:rFonts w:ascii="Times New Roman" w:hAnsi="Times New Roman" w:cs="Times New Roman"/>
          <w:b/>
          <w:bCs/>
          <w:color w:val="000000" w:themeColor="text1"/>
        </w:rPr>
      </w:pPr>
      <w:bookmarkStart w:id="0" w:name="OLE_LINK1"/>
      <w:r w:rsidRPr="00A24087">
        <w:rPr>
          <w:rFonts w:ascii="Times New Roman" w:hAnsi="Times New Roman" w:cs="Times New Roman" w:hint="eastAsia"/>
          <w:color w:val="000000" w:themeColor="text1"/>
        </w:rPr>
        <w:t xml:space="preserve">Mediation path diagrams for four significant mediation pathways linking BD-IDP PRS to suicide risk through clinical features. Each panel shows the standard mediation triangle: </w:t>
      </w:r>
      <w:r w:rsidR="00167D34" w:rsidRPr="00A24087">
        <w:rPr>
          <w:rFonts w:ascii="Times New Roman" w:hAnsi="Times New Roman" w:cs="Times New Roman" w:hint="eastAsia"/>
          <w:color w:val="000000" w:themeColor="text1"/>
        </w:rPr>
        <w:t>left p</w:t>
      </w:r>
      <w:r w:rsidRPr="00A24087">
        <w:rPr>
          <w:rFonts w:ascii="Times New Roman" w:hAnsi="Times New Roman" w:cs="Times New Roman" w:hint="eastAsia"/>
          <w:color w:val="000000" w:themeColor="text1"/>
        </w:rPr>
        <w:t>ath represents the association between BD-IDP PRS and the mediator (Additional file 1: Table S21</w:t>
      </w:r>
      <w:r w:rsidR="007556F5" w:rsidRPr="00A24087">
        <w:rPr>
          <w:rFonts w:ascii="Times New Roman" w:hAnsi="Times New Roman" w:cs="Times New Roman" w:hint="eastAsia"/>
          <w:color w:val="000000" w:themeColor="text1"/>
        </w:rPr>
      </w:r>
      <w:r w:rsidRPr="00A24087">
        <w:rPr>
          <w:rFonts w:ascii="Times New Roman" w:hAnsi="Times New Roman" w:cs="Times New Roman" w:hint="eastAsia"/>
          <w:color w:val="000000" w:themeColor="text1"/>
        </w:rPr>
        <w:t xml:space="preserve">); </w:t>
      </w:r>
      <w:r w:rsidR="00167D34" w:rsidRPr="00A24087">
        <w:rPr>
          <w:rFonts w:ascii="Times New Roman" w:hAnsi="Times New Roman" w:cs="Times New Roman" w:hint="eastAsia"/>
          <w:color w:val="000000" w:themeColor="text1"/>
        </w:rPr>
        <w:t>right path</w:t>
      </w:r>
      <w:r w:rsidRPr="00A24087">
        <w:rPr>
          <w:rFonts w:ascii="Times New Roman" w:hAnsi="Times New Roman" w:cs="Times New Roman" w:hint="eastAsia"/>
          <w:color w:val="000000" w:themeColor="text1"/>
        </w:rPr>
        <w:t xml:space="preserve"> represents the association between the mediator and suicide risk controlling for PRS (Additional file 1: Table S22</w:t>
      </w:r>
      <w:r w:rsidR="007556F5" w:rsidRPr="00A24087">
        <w:rPr>
          <w:rFonts w:ascii="Times New Roman" w:hAnsi="Times New Roman" w:cs="Times New Roman" w:hint="eastAsia"/>
          <w:color w:val="000000" w:themeColor="text1"/>
        </w:rPr>
      </w:r>
      <w:r w:rsidRPr="00A24087">
        <w:rPr>
          <w:rFonts w:ascii="Times New Roman" w:hAnsi="Times New Roman" w:cs="Times New Roman" w:hint="eastAsia"/>
          <w:color w:val="000000" w:themeColor="text1"/>
        </w:rPr>
        <w:t>).</w:t>
      </w:r>
      <w:bookmarkEnd w:id="0"/>
    </w:p>
    <w:sectPr w:rsidR="001F7F84" w:rsidRPr="00A24087">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D9508" w14:textId="77777777" w:rsidR="004F675E" w:rsidRDefault="004F675E" w:rsidP="000B57A0">
      <w:pPr>
        <w:rPr>
          <w:rFonts w:hint="eastAsia"/>
        </w:rPr>
      </w:pPr>
      <w:r>
        <w:separator/>
      </w:r>
    </w:p>
  </w:endnote>
  <w:endnote w:type="continuationSeparator" w:id="0">
    <w:p w14:paraId="691771F2" w14:textId="77777777" w:rsidR="004F675E" w:rsidRDefault="004F675E" w:rsidP="000B57A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528EE" w14:textId="77777777" w:rsidR="004F675E" w:rsidRDefault="004F675E" w:rsidP="000B57A0">
      <w:pPr>
        <w:rPr>
          <w:rFonts w:hint="eastAsia"/>
        </w:rPr>
      </w:pPr>
      <w:r>
        <w:separator/>
      </w:r>
    </w:p>
  </w:footnote>
  <w:footnote w:type="continuationSeparator" w:id="0">
    <w:p w14:paraId="2427AC53" w14:textId="77777777" w:rsidR="004F675E" w:rsidRDefault="004F675E" w:rsidP="000B57A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M1NjYyYWQ0NTk1OGRjZTY2NjlmMmM1YzEzOGRhYzgifQ=="/>
    <w:docVar w:name="KSO_WPS_MARK_KEY" w:val="a93576cf-21b7-4da6-a2a0-60d83a26cd20"/>
  </w:docVars>
  <w:rsids>
    <w:rsidRoot w:val="00AF0D51"/>
    <w:rsid w:val="00030B37"/>
    <w:rsid w:val="000314AB"/>
    <w:rsid w:val="000467FC"/>
    <w:rsid w:val="00085564"/>
    <w:rsid w:val="0008574D"/>
    <w:rsid w:val="00085A8B"/>
    <w:rsid w:val="00086356"/>
    <w:rsid w:val="000A2743"/>
    <w:rsid w:val="000B57A0"/>
    <w:rsid w:val="000E03CC"/>
    <w:rsid w:val="00103529"/>
    <w:rsid w:val="00156575"/>
    <w:rsid w:val="00167D34"/>
    <w:rsid w:val="001875DD"/>
    <w:rsid w:val="00193233"/>
    <w:rsid w:val="001F06B3"/>
    <w:rsid w:val="001F7F84"/>
    <w:rsid w:val="002047CB"/>
    <w:rsid w:val="0021697D"/>
    <w:rsid w:val="00225B85"/>
    <w:rsid w:val="00255625"/>
    <w:rsid w:val="0027670A"/>
    <w:rsid w:val="00277242"/>
    <w:rsid w:val="00292C2E"/>
    <w:rsid w:val="002A289B"/>
    <w:rsid w:val="002B55BB"/>
    <w:rsid w:val="002C1E05"/>
    <w:rsid w:val="002C7664"/>
    <w:rsid w:val="002E45C1"/>
    <w:rsid w:val="0031782E"/>
    <w:rsid w:val="0032564A"/>
    <w:rsid w:val="003314A4"/>
    <w:rsid w:val="00335798"/>
    <w:rsid w:val="00337CFC"/>
    <w:rsid w:val="00343DFE"/>
    <w:rsid w:val="00392AE9"/>
    <w:rsid w:val="00392E19"/>
    <w:rsid w:val="003B1645"/>
    <w:rsid w:val="003D31F5"/>
    <w:rsid w:val="003F0881"/>
    <w:rsid w:val="003F1FB1"/>
    <w:rsid w:val="003F51EB"/>
    <w:rsid w:val="003F69AF"/>
    <w:rsid w:val="00410785"/>
    <w:rsid w:val="00421066"/>
    <w:rsid w:val="00423539"/>
    <w:rsid w:val="004513CF"/>
    <w:rsid w:val="0046450E"/>
    <w:rsid w:val="00491906"/>
    <w:rsid w:val="004948AB"/>
    <w:rsid w:val="004B3163"/>
    <w:rsid w:val="004F675E"/>
    <w:rsid w:val="005262C2"/>
    <w:rsid w:val="005635DD"/>
    <w:rsid w:val="005C5E27"/>
    <w:rsid w:val="005D6E60"/>
    <w:rsid w:val="005E3F4A"/>
    <w:rsid w:val="00616298"/>
    <w:rsid w:val="00625776"/>
    <w:rsid w:val="006277D7"/>
    <w:rsid w:val="00635A3A"/>
    <w:rsid w:val="00680490"/>
    <w:rsid w:val="006C15BE"/>
    <w:rsid w:val="006C5F6D"/>
    <w:rsid w:val="006C7F6C"/>
    <w:rsid w:val="006D223E"/>
    <w:rsid w:val="006D69FA"/>
    <w:rsid w:val="006E39BD"/>
    <w:rsid w:val="0070590C"/>
    <w:rsid w:val="0071295C"/>
    <w:rsid w:val="00735881"/>
    <w:rsid w:val="00744A2E"/>
    <w:rsid w:val="007556F5"/>
    <w:rsid w:val="0076368E"/>
    <w:rsid w:val="00777AB8"/>
    <w:rsid w:val="007A3D43"/>
    <w:rsid w:val="007C4EF9"/>
    <w:rsid w:val="007C5DF8"/>
    <w:rsid w:val="007D51EF"/>
    <w:rsid w:val="007E46C1"/>
    <w:rsid w:val="007E6345"/>
    <w:rsid w:val="007E7E24"/>
    <w:rsid w:val="00826F90"/>
    <w:rsid w:val="00831977"/>
    <w:rsid w:val="00854081"/>
    <w:rsid w:val="00871DAA"/>
    <w:rsid w:val="00874788"/>
    <w:rsid w:val="008B2A83"/>
    <w:rsid w:val="008E45CB"/>
    <w:rsid w:val="008E5A53"/>
    <w:rsid w:val="008E6EE2"/>
    <w:rsid w:val="008F4531"/>
    <w:rsid w:val="009052F4"/>
    <w:rsid w:val="00914CB4"/>
    <w:rsid w:val="00914EB0"/>
    <w:rsid w:val="009212A6"/>
    <w:rsid w:val="0092398B"/>
    <w:rsid w:val="009556B3"/>
    <w:rsid w:val="0096301D"/>
    <w:rsid w:val="00963089"/>
    <w:rsid w:val="009B507E"/>
    <w:rsid w:val="009B619B"/>
    <w:rsid w:val="009D2838"/>
    <w:rsid w:val="009F2943"/>
    <w:rsid w:val="00A056BE"/>
    <w:rsid w:val="00A24087"/>
    <w:rsid w:val="00A24AD4"/>
    <w:rsid w:val="00A30DD7"/>
    <w:rsid w:val="00A5456A"/>
    <w:rsid w:val="00A54F4B"/>
    <w:rsid w:val="00A70C3D"/>
    <w:rsid w:val="00A75939"/>
    <w:rsid w:val="00A94AA0"/>
    <w:rsid w:val="00AC01DF"/>
    <w:rsid w:val="00AC5D38"/>
    <w:rsid w:val="00AD7D49"/>
    <w:rsid w:val="00AE0FEF"/>
    <w:rsid w:val="00AE7D15"/>
    <w:rsid w:val="00AF0D51"/>
    <w:rsid w:val="00AF702E"/>
    <w:rsid w:val="00B055F4"/>
    <w:rsid w:val="00B1738A"/>
    <w:rsid w:val="00B30F06"/>
    <w:rsid w:val="00B40F0D"/>
    <w:rsid w:val="00B61876"/>
    <w:rsid w:val="00B6231D"/>
    <w:rsid w:val="00BA76E8"/>
    <w:rsid w:val="00BD166A"/>
    <w:rsid w:val="00BD3734"/>
    <w:rsid w:val="00BF45E5"/>
    <w:rsid w:val="00BF4778"/>
    <w:rsid w:val="00C113AF"/>
    <w:rsid w:val="00C22A19"/>
    <w:rsid w:val="00C62E53"/>
    <w:rsid w:val="00C761B7"/>
    <w:rsid w:val="00C91450"/>
    <w:rsid w:val="00CC3E06"/>
    <w:rsid w:val="00CC6212"/>
    <w:rsid w:val="00CC7DDE"/>
    <w:rsid w:val="00CF3383"/>
    <w:rsid w:val="00CF6FC3"/>
    <w:rsid w:val="00D03E97"/>
    <w:rsid w:val="00D26678"/>
    <w:rsid w:val="00D6251E"/>
    <w:rsid w:val="00D734E2"/>
    <w:rsid w:val="00D73FD1"/>
    <w:rsid w:val="00D76938"/>
    <w:rsid w:val="00D90A35"/>
    <w:rsid w:val="00DA135F"/>
    <w:rsid w:val="00DA5A59"/>
    <w:rsid w:val="00DC5F8D"/>
    <w:rsid w:val="00DD3CF1"/>
    <w:rsid w:val="00DF753F"/>
    <w:rsid w:val="00E13C8C"/>
    <w:rsid w:val="00E1671D"/>
    <w:rsid w:val="00E2278A"/>
    <w:rsid w:val="00E3693E"/>
    <w:rsid w:val="00E423FF"/>
    <w:rsid w:val="00E6350E"/>
    <w:rsid w:val="00E7036C"/>
    <w:rsid w:val="00E723DC"/>
    <w:rsid w:val="00E72407"/>
    <w:rsid w:val="00E843AE"/>
    <w:rsid w:val="00EC5E7F"/>
    <w:rsid w:val="00EF460A"/>
    <w:rsid w:val="00F02C57"/>
    <w:rsid w:val="00F04328"/>
    <w:rsid w:val="00F237F2"/>
    <w:rsid w:val="00F31808"/>
    <w:rsid w:val="00F72790"/>
    <w:rsid w:val="00F72C97"/>
    <w:rsid w:val="00FA1174"/>
    <w:rsid w:val="00FD6AE5"/>
    <w:rsid w:val="00FE2CBB"/>
    <w:rsid w:val="00FF38DC"/>
    <w:rsid w:val="3DF26C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1C0C3D84"/>
  <w14:defaultImageDpi w14:val="32767"/>
  <w15:docId w15:val="{AC4ED839-A21A-4821-B9E8-FC8DE2451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Pr>
      <w:rFonts w:cstheme="majorBidi"/>
      <w:color w:val="0F4761" w:themeColor="accent1" w:themeShade="BF"/>
      <w:sz w:val="28"/>
      <w:szCs w:val="28"/>
    </w:rPr>
  </w:style>
  <w:style w:type="character" w:customStyle="1" w:styleId="50">
    <w:name w:val="标题 5 字符"/>
    <w:basedOn w:val="a0"/>
    <w:link w:val="5"/>
    <w:uiPriority w:val="9"/>
    <w:semiHidden/>
    <w:rPr>
      <w:rFonts w:cstheme="majorBidi"/>
      <w:color w:val="0F4761" w:themeColor="accent1" w:themeShade="BF"/>
      <w:sz w:val="24"/>
      <w:szCs w:val="24"/>
    </w:rPr>
  </w:style>
  <w:style w:type="character" w:customStyle="1" w:styleId="60">
    <w:name w:val="标题 6 字符"/>
    <w:basedOn w:val="a0"/>
    <w:link w:val="6"/>
    <w:uiPriority w:val="9"/>
    <w:semiHidden/>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after="160"/>
      <w:jc w:val="center"/>
    </w:pPr>
    <w:rPr>
      <w:i/>
      <w:iCs/>
      <w:color w:val="404040" w:themeColor="text1" w:themeTint="BF"/>
    </w:rPr>
  </w:style>
  <w:style w:type="character" w:customStyle="1" w:styleId="ac">
    <w:name w:val="引用 字符"/>
    <w:basedOn w:val="a0"/>
    <w:link w:val="ab"/>
    <w:uiPriority w:val="29"/>
    <w:rPr>
      <w:i/>
      <w:iCs/>
      <w:color w:val="404040" w:themeColor="text1" w:themeTint="BF"/>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e">
    <w:name w:val="Intense Quote"/>
    <w:basedOn w:val="a"/>
    <w:next w:val="a"/>
    <w:link w:val="af"/>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
    <w:name w:val="明显引用 字符"/>
    <w:basedOn w:val="a0"/>
    <w:link w:val="ae"/>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customStyle="1" w:styleId="13">
    <w:name w:val="书目1"/>
    <w:basedOn w:val="a"/>
    <w:next w:val="a"/>
    <w:uiPriority w:val="37"/>
    <w:unhideWhenUsed/>
    <w:pPr>
      <w:tabs>
        <w:tab w:val="left" w:pos="264"/>
      </w:tabs>
      <w:spacing w:line="480" w:lineRule="auto"/>
      <w:ind w:left="264" w:hanging="264"/>
    </w:pPr>
  </w:style>
  <w:style w:type="paragraph" w:customStyle="1" w:styleId="14">
    <w:name w:val="修订1"/>
    <w:hidden/>
    <w:uiPriority w:val="99"/>
    <w:semiHidden/>
    <w:rPr>
      <w:kern w:val="2"/>
      <w:sz w:val="21"/>
      <w:szCs w:val="22"/>
    </w:rPr>
  </w:style>
  <w:style w:type="paragraph" w:styleId="af0">
    <w:name w:val="Revision"/>
    <w:hidden/>
    <w:uiPriority w:val="99"/>
    <w:unhideWhenUsed/>
    <w:rsid w:val="000B57A0"/>
    <w:rPr>
      <w:kern w:val="2"/>
      <w:sz w:val="21"/>
      <w:szCs w:val="22"/>
    </w:rPr>
  </w:style>
  <w:style w:type="paragraph" w:styleId="af1">
    <w:name w:val="Bibliography"/>
    <w:basedOn w:val="a"/>
    <w:next w:val="a"/>
    <w:uiPriority w:val="37"/>
    <w:unhideWhenUsed/>
    <w:rsid w:val="00963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185495">
      <w:bodyDiv w:val="1"/>
      <w:marLeft w:val="0"/>
      <w:marRight w:val="0"/>
      <w:marTop w:val="0"/>
      <w:marBottom w:val="0"/>
      <w:divBdr>
        <w:top w:val="none" w:sz="0" w:space="0" w:color="auto"/>
        <w:left w:val="none" w:sz="0" w:space="0" w:color="auto"/>
        <w:bottom w:val="none" w:sz="0" w:space="0" w:color="auto"/>
        <w:right w:val="none" w:sz="0" w:space="0" w:color="auto"/>
      </w:divBdr>
    </w:div>
    <w:div w:id="248464037">
      <w:bodyDiv w:val="1"/>
      <w:marLeft w:val="0"/>
      <w:marRight w:val="0"/>
      <w:marTop w:val="0"/>
      <w:marBottom w:val="0"/>
      <w:divBdr>
        <w:top w:val="none" w:sz="0" w:space="0" w:color="auto"/>
        <w:left w:val="none" w:sz="0" w:space="0" w:color="auto"/>
        <w:bottom w:val="none" w:sz="0" w:space="0" w:color="auto"/>
        <w:right w:val="none" w:sz="0" w:space="0" w:color="auto"/>
      </w:divBdr>
    </w:div>
    <w:div w:id="1083800050">
      <w:bodyDiv w:val="1"/>
      <w:marLeft w:val="0"/>
      <w:marRight w:val="0"/>
      <w:marTop w:val="0"/>
      <w:marBottom w:val="0"/>
      <w:divBdr>
        <w:top w:val="none" w:sz="0" w:space="0" w:color="auto"/>
        <w:left w:val="none" w:sz="0" w:space="0" w:color="auto"/>
        <w:bottom w:val="none" w:sz="0" w:space="0" w:color="auto"/>
        <w:right w:val="none" w:sz="0" w:space="0" w:color="auto"/>
      </w:divBdr>
    </w:div>
    <w:div w:id="1247810861">
      <w:bodyDiv w:val="1"/>
      <w:marLeft w:val="0"/>
      <w:marRight w:val="0"/>
      <w:marTop w:val="0"/>
      <w:marBottom w:val="0"/>
      <w:divBdr>
        <w:top w:val="none" w:sz="0" w:space="0" w:color="auto"/>
        <w:left w:val="none" w:sz="0" w:space="0" w:color="auto"/>
        <w:bottom w:val="none" w:sz="0" w:space="0" w:color="auto"/>
        <w:right w:val="none" w:sz="0" w:space="0" w:color="auto"/>
      </w:divBdr>
    </w:div>
    <w:div w:id="1665625908">
      <w:bodyDiv w:val="1"/>
      <w:marLeft w:val="0"/>
      <w:marRight w:val="0"/>
      <w:marTop w:val="0"/>
      <w:marBottom w:val="0"/>
      <w:divBdr>
        <w:top w:val="none" w:sz="0" w:space="0" w:color="auto"/>
        <w:left w:val="none" w:sz="0" w:space="0" w:color="auto"/>
        <w:bottom w:val="none" w:sz="0" w:space="0" w:color="auto"/>
        <w:right w:val="none" w:sz="0" w:space="0" w:color="auto"/>
      </w:divBdr>
    </w:div>
    <w:div w:id="1709140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pn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615</TotalTime>
  <Pages>29</Pages>
  <Words>6363</Words>
  <Characters>36270</Characters>
  <Application>Microsoft Office Word</Application>
  <DocSecurity>0</DocSecurity>
  <Lines>302</Lines>
  <Paragraphs>85</Paragraphs>
  <ScaleCrop>false</ScaleCrop>
  <Company/>
  <LinksUpToDate>false</LinksUpToDate>
  <CharactersWithSpaces>42548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 Feng</dc:creator>
  <cp:lastModifiedBy>xiaonan guo</cp:lastModifiedBy>
  <cp:revision>100</cp:revision>
  <dcterms:created xsi:type="dcterms:W3CDTF">2024-11-30T12:44:00Z</dcterms:created>
  <dcterms:modified xsi:type="dcterms:W3CDTF">2026-06-18T17:26:00Z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id="DSOCXAWu"/&gt;&lt;style id="http://www.zotero.org/styles/nature" hasBibliography="1" bibliographyStyleHasBeenSet="1"/&gt;&lt;prefs&gt;&lt;pref name="fieldType" value="Field"/&gt;&lt;/prefs&gt;&lt;/data&gt;</vt:lpwstr>
  </property>
  <property fmtid="{D5CDD505-2E9C-101B-9397-08002B2CF9AE}" pid="3" name="KSOProductBuildVer">
    <vt:lpwstr>2052-11.1.0.12165</vt:lpwstr>
  </property>
  <property fmtid="{D5CDD505-2E9C-101B-9397-08002B2CF9AE}" pid="4" name="ICV">
    <vt:lpwstr>699AC0334A04452A879364BCDE878665</vt:lpwstr>
  </property>
  <property fmtid="{D5CDD505-2E9C-101B-9397-08002B2CF9AE}" pid="5" name="GrammarlyDocumentId">
    <vt:lpwstr>b7862a366268118ba90011c75270f263f11c082b553dd59b230a1b87c3dc3150</vt:lpwstr>
  </property>
</Properties>
</file>