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9C5172" w14:textId="77777777" w:rsidR="00C843C1" w:rsidRDefault="00C843C1" w:rsidP="00C843C1">
      <w:pPr>
        <w:spacing w:before="60" w:after="120"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28EC079D" w14:textId="51740E10" w:rsidR="00C843C1" w:rsidRPr="00F85361" w:rsidRDefault="00C843C1" w:rsidP="00C843C1">
      <w:pPr>
        <w:spacing w:before="60" w:after="120" w:line="360" w:lineRule="auto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Effectiveness of Structured Lactation Support and Human Donor Milk Banking in German        NICUs: A Stepped-Wedge Cluster Randomized Trial</w:t>
      </w:r>
    </w:p>
    <w:p w14:paraId="01ECE8E2" w14:textId="77777777" w:rsidR="00C843C1" w:rsidRDefault="00C843C1" w:rsidP="00C843C1">
      <w:pPr>
        <w:spacing w:before="60" w:after="120"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Authors:</w:t>
      </w:r>
      <w:r>
        <w:rPr>
          <w:rFonts w:ascii="Times New Roman" w:hAnsi="Times New Roman" w:cs="Times New Roman"/>
          <w:lang w:val="en-GB"/>
        </w:rPr>
        <w:t xml:space="preserve"> Juliane Köberlein-Neu¹, Nicola Gabriela Dymek¹, Viola Zimmer¹, </w:t>
      </w:r>
      <w:proofErr w:type="spellStart"/>
      <w:r>
        <w:rPr>
          <w:rFonts w:ascii="Times New Roman" w:hAnsi="Times New Roman" w:cs="Times New Roman"/>
          <w:lang w:val="en-GB"/>
        </w:rPr>
        <w:t>Trutz</w:t>
      </w:r>
      <w:proofErr w:type="spellEnd"/>
      <w:r>
        <w:rPr>
          <w:rFonts w:ascii="Times New Roman" w:hAnsi="Times New Roman" w:cs="Times New Roman"/>
          <w:lang w:val="en-GB"/>
        </w:rPr>
        <w:t xml:space="preserve"> Bommhardt</w:t>
      </w:r>
      <w:r>
        <w:rPr>
          <w:rFonts w:ascii="Times New Roman" w:hAnsi="Times New Roman" w:cs="Times New Roman"/>
          <w:vertAlign w:val="superscript"/>
          <w:lang w:val="en-GB"/>
        </w:rPr>
        <w:t>1</w:t>
      </w:r>
      <w:r>
        <w:rPr>
          <w:rFonts w:ascii="Times New Roman" w:hAnsi="Times New Roman" w:cs="Times New Roman"/>
          <w:lang w:val="en-GB"/>
        </w:rPr>
        <w:t>, Anna Katharina Stirner², Isabella Güldenring</w:t>
      </w:r>
      <w:r>
        <w:rPr>
          <w:rFonts w:ascii="Times New Roman" w:hAnsi="Times New Roman" w:cs="Times New Roman"/>
          <w:vertAlign w:val="superscript"/>
          <w:lang w:val="en-GB"/>
        </w:rPr>
        <w:t>4</w:t>
      </w:r>
      <w:r>
        <w:rPr>
          <w:rFonts w:ascii="Times New Roman" w:hAnsi="Times New Roman" w:cs="Times New Roman"/>
          <w:lang w:val="en-GB"/>
        </w:rPr>
        <w:t>, Tim Ohnhäuser³, Daniel Wiesen²</w:t>
      </w:r>
      <w:r>
        <w:rPr>
          <w:rFonts w:ascii="Times New Roman" w:hAnsi="Times New Roman" w:cs="Times New Roman"/>
          <w:vertAlign w:val="superscript"/>
          <w:lang w:val="en-GB"/>
        </w:rPr>
        <w:t>,5</w:t>
      </w:r>
      <w:r>
        <w:rPr>
          <w:rFonts w:ascii="Times New Roman" w:hAnsi="Times New Roman" w:cs="Times New Roman"/>
          <w:lang w:val="en-GB"/>
        </w:rPr>
        <w:t>, Till Dresbach</w:t>
      </w:r>
      <w:r>
        <w:rPr>
          <w:rFonts w:ascii="Times New Roman" w:hAnsi="Times New Roman" w:cs="Times New Roman"/>
          <w:vertAlign w:val="superscript"/>
          <w:lang w:val="en-GB"/>
        </w:rPr>
        <w:t>6</w:t>
      </w:r>
      <w:r>
        <w:rPr>
          <w:rFonts w:ascii="Times New Roman" w:hAnsi="Times New Roman" w:cs="Times New Roman"/>
          <w:lang w:val="en-GB"/>
        </w:rPr>
        <w:t>, Nadine Scholten³</w:t>
      </w:r>
      <w:r>
        <w:rPr>
          <w:rFonts w:ascii="Times New Roman" w:hAnsi="Times New Roman" w:cs="Times New Roman"/>
          <w:vertAlign w:val="superscript"/>
          <w:lang w:val="en-GB"/>
        </w:rPr>
        <w:t>,4</w:t>
      </w:r>
      <w:r>
        <w:rPr>
          <w:rFonts w:ascii="Times New Roman" w:hAnsi="Times New Roman" w:cs="Times New Roman"/>
          <w:lang w:val="en-GB"/>
        </w:rPr>
        <w:t>; the Neo-MILK Consortium</w:t>
      </w:r>
    </w:p>
    <w:p w14:paraId="78AEC737" w14:textId="77777777" w:rsidR="00C843C1" w:rsidRDefault="00C843C1" w:rsidP="00C843C1">
      <w:pPr>
        <w:spacing w:before="60" w:after="120" w:line="360" w:lineRule="auto"/>
        <w:rPr>
          <w:rFonts w:ascii="Times New Roman" w:hAnsi="Times New Roman" w:cs="Times New Roman"/>
          <w:lang w:val="en-GB"/>
        </w:rPr>
      </w:pPr>
    </w:p>
    <w:p w14:paraId="641D941F" w14:textId="77777777" w:rsidR="00C843C1" w:rsidRDefault="00C843C1" w:rsidP="00C843C1">
      <w:pPr>
        <w:spacing w:before="60" w:after="120" w:line="360" w:lineRule="auto"/>
        <w:rPr>
          <w:rFonts w:ascii="Times New Roman" w:hAnsi="Times New Roman" w:cs="Times New Roman"/>
          <w:lang w:val="en-GB"/>
        </w:rPr>
      </w:pPr>
    </w:p>
    <w:p w14:paraId="5DC865DE" w14:textId="77777777" w:rsidR="00C843C1" w:rsidRPr="00F85361" w:rsidRDefault="00C843C1" w:rsidP="00C843C1">
      <w:pPr>
        <w:spacing w:before="60" w:after="120"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Affiliations:</w:t>
      </w:r>
      <w:r>
        <w:rPr>
          <w:rFonts w:ascii="Times New Roman" w:hAnsi="Times New Roman" w:cs="Times New Roman"/>
          <w:lang w:val="en-GB"/>
        </w:rPr>
        <w:t xml:space="preserve"> ¹Centre for Health Economics and Health Services Research, University of Wuppertal, Wuppertal, Germany; ²Department of Business Administration and Health Care Management, University of Cologne, Cologne, Germany; ³Department of Health Services Research, University of Cologne, Cologne, Germany; ⁴Department for Psychosomatic Medicine and Psychotherapy, Centre for Health Services Research and Communication (CHSR), University Hospital Bonn, Bonn, Germany; </w:t>
      </w:r>
      <w:r>
        <w:rPr>
          <w:rFonts w:ascii="Times New Roman" w:hAnsi="Times New Roman" w:cs="Times New Roman"/>
          <w:vertAlign w:val="superscript"/>
          <w:lang w:val="en-GB"/>
        </w:rPr>
        <w:t>5</w:t>
      </w:r>
      <w:r>
        <w:rPr>
          <w:rFonts w:ascii="Times New Roman" w:hAnsi="Times New Roman" w:cs="Times New Roman"/>
          <w:lang w:val="en-GB"/>
        </w:rPr>
        <w:t xml:space="preserve">Erasmus School of Health Policy &amp; Management (ESHPM), Erasmus University Rotterdam, Rotterdam, Netherlands; </w:t>
      </w:r>
      <w:r>
        <w:rPr>
          <w:rFonts w:ascii="Times New Roman" w:hAnsi="Times New Roman" w:cs="Times New Roman"/>
          <w:vertAlign w:val="superscript"/>
          <w:lang w:val="en-GB"/>
        </w:rPr>
        <w:t>6</w:t>
      </w:r>
      <w:r>
        <w:rPr>
          <w:rFonts w:ascii="Times New Roman" w:hAnsi="Times New Roman" w:cs="Times New Roman"/>
          <w:lang w:val="en-GB"/>
        </w:rPr>
        <w:t>Department of Neonatology, University Hospital Bonn, Bonn, Germany</w:t>
      </w:r>
    </w:p>
    <w:p w14:paraId="6BF8D21C" w14:textId="77777777" w:rsidR="00C843C1" w:rsidRDefault="00C843C1" w:rsidP="00C843C1">
      <w:pPr>
        <w:spacing w:before="60" w:after="120"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43A15B8E" w14:textId="77777777" w:rsidR="00C843C1" w:rsidRDefault="00C843C1" w:rsidP="00C843C1">
      <w:pPr>
        <w:spacing w:before="60" w:after="120"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20423945" w14:textId="3B0307D5" w:rsidR="00C843C1" w:rsidRPr="00F85361" w:rsidRDefault="00C843C1" w:rsidP="00C843C1">
      <w:pPr>
        <w:spacing w:before="60" w:after="12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GB"/>
        </w:rPr>
        <w:t>Additional File 1</w:t>
      </w:r>
    </w:p>
    <w:p w14:paraId="279BC803" w14:textId="3E16DA03" w:rsidR="00C843C1" w:rsidRDefault="00C843C1" w:rsidP="00C843C1">
      <w:pPr>
        <w:spacing w:before="60" w:after="120" w:line="360" w:lineRule="auto"/>
        <w:jc w:val="center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Reporting Standards: StaRI and CONSORT 2025 + SWD-Extension</w:t>
      </w:r>
    </w:p>
    <w:p w14:paraId="554302BE" w14:textId="77777777" w:rsidR="008437C9" w:rsidRDefault="008437C9" w:rsidP="00C843C1">
      <w:pPr>
        <w:spacing w:before="60" w:after="120" w:line="360" w:lineRule="auto"/>
        <w:jc w:val="center"/>
        <w:rPr>
          <w:rFonts w:ascii="Times New Roman" w:hAnsi="Times New Roman" w:cs="Times New Roman"/>
          <w:b/>
          <w:bCs/>
          <w:lang w:val="en-GB"/>
        </w:rPr>
        <w:sectPr w:rsidR="008437C9">
          <w:headerReference w:type="default" r:id="rId7"/>
          <w:footerReference w:type="even" r:id="rId8"/>
          <w:footerReference w:type="default" r:id="rId9"/>
          <w:pgSz w:w="11906" w:h="16838"/>
          <w:pgMar w:top="1080" w:right="1080" w:bottom="1080" w:left="1080" w:header="708" w:footer="708" w:gutter="0"/>
          <w:cols w:space="720"/>
          <w:docGrid w:linePitch="360"/>
        </w:sectPr>
      </w:pPr>
    </w:p>
    <w:p w14:paraId="13F72BC6" w14:textId="77777777" w:rsidR="008437C9" w:rsidRDefault="008437C9" w:rsidP="008437C9">
      <w:pPr>
        <w:pStyle w:val="berschrift2"/>
        <w:spacing w:before="300" w:after="130"/>
      </w:pPr>
      <w:r>
        <w:rPr>
          <w:rFonts w:ascii="Calibri" w:eastAsia="Calibri" w:hAnsi="Calibri" w:cs="Calibri"/>
        </w:rPr>
        <w:lastRenderedPageBreak/>
        <w:t xml:space="preserve">Table 1: </w:t>
      </w:r>
      <w:proofErr w:type="spellStart"/>
      <w:r>
        <w:rPr>
          <w:rFonts w:ascii="Calibri" w:eastAsia="Calibri" w:hAnsi="Calibri" w:cs="Calibri"/>
        </w:rPr>
        <w:t>StaRI</w:t>
      </w:r>
      <w:proofErr w:type="spellEnd"/>
      <w:r>
        <w:rPr>
          <w:rFonts w:ascii="Calibri" w:eastAsia="Calibri" w:hAnsi="Calibri" w:cs="Calibri"/>
        </w:rPr>
        <w:t xml:space="preserve"> Checklist</w:t>
      </w:r>
    </w:p>
    <w:p w14:paraId="27893BA6" w14:textId="77777777" w:rsidR="001B09FE" w:rsidRPr="00330251" w:rsidRDefault="00000000">
      <w:pPr>
        <w:spacing w:after="150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i/>
          <w:iCs/>
          <w:color w:val="555555"/>
          <w:sz w:val="18"/>
          <w:szCs w:val="18"/>
          <w:lang w:val="en-GB"/>
        </w:rPr>
        <w:t>Standards for Reporting Implementation Studies (Pinnock et al., BMJ 2017;356:i6795)</w:t>
      </w:r>
    </w:p>
    <w:tbl>
      <w:tblPr>
        <w:tblW w:w="15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7400"/>
        <w:gridCol w:w="6700"/>
      </w:tblGrid>
      <w:tr w:rsidR="008437C9" w:rsidRPr="008437C9" w14:paraId="01303A61" w14:textId="77777777" w:rsidTr="001C2D68">
        <w:trPr>
          <w:tblHeader/>
        </w:trPr>
        <w:tc>
          <w:tcPr>
            <w:tcW w:w="900" w:type="dxa"/>
            <w:shd w:val="clear" w:color="auto" w:fill="D9E2F3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DFCE650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Item</w:t>
            </w:r>
          </w:p>
        </w:tc>
        <w:tc>
          <w:tcPr>
            <w:tcW w:w="7400" w:type="dxa"/>
            <w:shd w:val="clear" w:color="auto" w:fill="D9E2F3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6A1C747C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Checklist Item</w:t>
            </w:r>
          </w:p>
        </w:tc>
        <w:tc>
          <w:tcPr>
            <w:tcW w:w="6700" w:type="dxa"/>
            <w:shd w:val="clear" w:color="auto" w:fill="D9E2F3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60ADA8C3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Location (Page / Line)</w:t>
            </w:r>
          </w:p>
        </w:tc>
      </w:tr>
      <w:tr w:rsidR="008437C9" w:rsidRPr="008437C9" w14:paraId="4C76ED3E" w14:textId="77777777" w:rsidTr="001C2D68">
        <w:tc>
          <w:tcPr>
            <w:tcW w:w="15000" w:type="dxa"/>
            <w:gridSpan w:val="3"/>
            <w:shd w:val="clear" w:color="auto" w:fill="EDEDED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23C402E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Title and Abstract</w:t>
            </w:r>
          </w:p>
        </w:tc>
      </w:tr>
      <w:tr w:rsidR="008437C9" w:rsidRPr="008437C9" w14:paraId="3447D0A5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9784246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1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65933206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Identification as an implementation study, and description of the methodology in the title and/or keywords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5AF2EBAA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1 (title); p. 3, l. 65 (abstract: hybrid type 1 effectiveness-implementation trial)</w:t>
            </w:r>
          </w:p>
        </w:tc>
      </w:tr>
      <w:tr w:rsidR="008437C9" w:rsidRPr="008437C9" w14:paraId="014A0794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21C1565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2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A6D9A29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Abstract: identification as implementation study with description of implementation strategy, intervention, key implementation and health outcomes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69BFE1E5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pp. 3–4, l. 62–97 (structured abstract)</w:t>
            </w:r>
          </w:p>
        </w:tc>
      </w:tr>
      <w:tr w:rsidR="008437C9" w:rsidRPr="008437C9" w14:paraId="08EDC721" w14:textId="77777777" w:rsidTr="001C2D68">
        <w:tc>
          <w:tcPr>
            <w:tcW w:w="15000" w:type="dxa"/>
            <w:gridSpan w:val="3"/>
            <w:shd w:val="clear" w:color="auto" w:fill="EDEDED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10117623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Introduction</w:t>
            </w:r>
          </w:p>
        </w:tc>
      </w:tr>
      <w:tr w:rsidR="008437C9" w:rsidRPr="008437C9" w14:paraId="681B492D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4FCF4A0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3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17415FBA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Description of the problem, challenge or deficiency in healthcare that the intervention aims to address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2022A3D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pp. 5–7, section 1, l. 106–177</w:t>
            </w:r>
          </w:p>
        </w:tc>
      </w:tr>
      <w:tr w:rsidR="008437C9" w:rsidRPr="008437C9" w14:paraId="02F0C581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9D331DD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4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62CE86B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Rationale: scientific background including underpinning theory/framework, pilot work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3DD1162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pp. 5–7, section 1 (refs [20,21] implementation frameworks; [29] formative work); Additional file 2 (Proctor specification)</w:t>
            </w:r>
          </w:p>
        </w:tc>
      </w:tr>
      <w:tr w:rsidR="008437C9" w:rsidRPr="008437C9" w14:paraId="369C496B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69D5A4BA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5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41D5C9F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Aims of the study, differentiating implementation objectives and intervention objectives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5772391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7, l. 178–189 (three objectives)</w:t>
            </w:r>
          </w:p>
        </w:tc>
      </w:tr>
      <w:tr w:rsidR="008437C9" w:rsidRPr="008437C9" w14:paraId="7614B693" w14:textId="77777777" w:rsidTr="001C2D68">
        <w:tc>
          <w:tcPr>
            <w:tcW w:w="15000" w:type="dxa"/>
            <w:gridSpan w:val="3"/>
            <w:shd w:val="clear" w:color="auto" w:fill="EDEDED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4B95C40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Methods: Description</w:t>
            </w:r>
          </w:p>
        </w:tc>
      </w:tr>
      <w:tr w:rsidR="008437C9" w:rsidRPr="008437C9" w14:paraId="73C0A3CF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13AD0F81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6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1388321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Design and key features of the evaluation; changes to protocol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00B7CD4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pp. 8–9, section 2, l. 192–227; p. 9, l. 231–233 (Level II sites not recruited)</w:t>
            </w:r>
          </w:p>
        </w:tc>
      </w:tr>
      <w:tr w:rsidR="008437C9" w:rsidRPr="008437C9" w14:paraId="072ED3CF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0593163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7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8C8801A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Context in which the intervention was implemented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EE736D0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9, section 2.1, l. 229–233; Additional file 4 (structural representativeness)</w:t>
            </w:r>
          </w:p>
        </w:tc>
      </w:tr>
      <w:tr w:rsidR="008437C9" w:rsidRPr="008437C9" w14:paraId="46B1EF5D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A80649F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8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1AA0F8FD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Targeted sites: characteristics, eligibility criteria / Target population and eligibility criteria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C7CB17E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9, section 2.1, l. 229–241; Additional file 4 (Tables 1–4)</w:t>
            </w:r>
          </w:p>
        </w:tc>
      </w:tr>
      <w:tr w:rsidR="008437C9" w:rsidRPr="008437C9" w14:paraId="5988FE85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3388C4A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9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1B6AD3FE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Description of the implementation strategy / Description of the intervention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6C537A55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pp. 9–10, section 2.3, l. 253–270; Additional file 2 (</w:t>
            </w:r>
            <w:proofErr w:type="spellStart"/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TIDieR</w:t>
            </w:r>
            <w:proofErr w:type="spellEnd"/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 xml:space="preserve"> and Proctor tables)</w:t>
            </w:r>
          </w:p>
        </w:tc>
      </w:tr>
      <w:tr w:rsidR="008437C9" w:rsidRPr="008437C9" w14:paraId="0A91254C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79926E1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10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9757B86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Sub-groups recruited for additional research tasks and/or nested studies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B10B233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9, section 2.1, l. 238–241 (staff and maternal surveys); p. 10, section 2.4</w:t>
            </w:r>
          </w:p>
        </w:tc>
      </w:tr>
      <w:tr w:rsidR="008437C9" w:rsidRPr="008437C9" w14:paraId="1775AF2A" w14:textId="77777777" w:rsidTr="001C2D68">
        <w:tc>
          <w:tcPr>
            <w:tcW w:w="15000" w:type="dxa"/>
            <w:gridSpan w:val="3"/>
            <w:shd w:val="clear" w:color="auto" w:fill="EDEDED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D50951F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Methods: Evaluation</w:t>
            </w:r>
          </w:p>
        </w:tc>
      </w:tr>
      <w:tr w:rsidR="008437C9" w:rsidRPr="008437C9" w14:paraId="4F4F9318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18CD9D20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11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3119750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Defined pre-specified primary and other outcomes; how assessed; targets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4E6A4DC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pp. 10–11, section 2.4, l. 272–308; Table 1 (p. 11, l. 310); Additional file 5 (full regression models)</w:t>
            </w:r>
          </w:p>
        </w:tc>
      </w:tr>
      <w:tr w:rsidR="008437C9" w:rsidRPr="008437C9" w14:paraId="5E14D223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ACACD45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12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1131A9D5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Process evaluation objectives and outcomes related to mechanism of strategy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94D1B15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7, l. 188–189 (process evaluation reported separately); Table 1 (fidelity measures)</w:t>
            </w:r>
          </w:p>
        </w:tc>
      </w:tr>
      <w:tr w:rsidR="008437C9" w:rsidRPr="008437C9" w14:paraId="5E2C5FBF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5FCE7CED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13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F9B85BD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Methods for resource use, costs, economic outcomes and analysis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5C665DE1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11, section 2.4, l. 300–302; Additional file 3 (full methodology)</w:t>
            </w:r>
          </w:p>
        </w:tc>
      </w:tr>
      <w:tr w:rsidR="008437C9" w:rsidRPr="008437C9" w14:paraId="20D5D9FD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67620883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14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6ED7989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Rationale for sample sizes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F5C3E7B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11, section 2.5, l. 312–318</w:t>
            </w:r>
          </w:p>
        </w:tc>
      </w:tr>
      <w:tr w:rsidR="008437C9" w:rsidRPr="008437C9" w14:paraId="0EDA8B8E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7188891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15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133BEB5C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Methods of analysis (with reasons)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CC0E33D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pp. 11–12, section 2.6, l. 320–342</w:t>
            </w:r>
          </w:p>
        </w:tc>
      </w:tr>
      <w:tr w:rsidR="008437C9" w:rsidRPr="008437C9" w14:paraId="10DE0DC5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1288BBE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16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B85EAF7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A priori sub-group analyses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1B93D1A3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12, section 2.6, l. 326–335</w:t>
            </w:r>
          </w:p>
        </w:tc>
      </w:tr>
      <w:tr w:rsidR="008437C9" w:rsidRPr="008437C9" w14:paraId="1E9E63BD" w14:textId="77777777" w:rsidTr="001C2D68">
        <w:tc>
          <w:tcPr>
            <w:tcW w:w="15000" w:type="dxa"/>
            <w:gridSpan w:val="3"/>
            <w:shd w:val="clear" w:color="auto" w:fill="EDEDED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1C2F0D8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Results</w:t>
            </w:r>
          </w:p>
        </w:tc>
      </w:tr>
      <w:tr w:rsidR="008437C9" w:rsidRPr="008437C9" w14:paraId="60ABEEAF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D651843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lastRenderedPageBreak/>
              <w:t>17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6A608A92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Proportion recruited and characteristics of recipient population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14B0E0C7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pp. 13–14, section 3.1, l. 351–376; Table 2 (p. 14, l. 370); Figure 1 (p. 13, l. 356); Additional file 4</w:t>
            </w:r>
          </w:p>
        </w:tc>
      </w:tr>
      <w:tr w:rsidR="008437C9" w:rsidRPr="008437C9" w14:paraId="5E014470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EF098D9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18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F249E8A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Primary and other outcomes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AE2E894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pp. 14–17, sections 3.2–3.4, l. 377–472; Table 3; Figures 2–3; Additional files 4–5</w:t>
            </w:r>
          </w:p>
        </w:tc>
      </w:tr>
      <w:tr w:rsidR="008437C9" w:rsidRPr="008437C9" w14:paraId="53B04F42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1AB723F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19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594ADADD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Process data mapped to mechanism of strategy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7BB336B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pp. 16–17, section 3.4, l. 444–472; Additional file 4</w:t>
            </w:r>
          </w:p>
        </w:tc>
      </w:tr>
      <w:tr w:rsidR="008437C9" w:rsidRPr="008437C9" w14:paraId="6BD9DD07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DDD8A71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20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714E75F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Resource use, costs, economic outcomes and analysis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67FCE493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18, section 3.5, l. 476–483; Additional file 3</w:t>
            </w:r>
          </w:p>
        </w:tc>
      </w:tr>
      <w:tr w:rsidR="008437C9" w:rsidRPr="008437C9" w14:paraId="09A25B25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0013887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21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69E24491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Representativeness and outcomes of subgroups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86D715A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pp. 14–16, sections 3.2–3.3 (subgroup analyses); Additional file 4 (representativeness)</w:t>
            </w:r>
          </w:p>
        </w:tc>
      </w:tr>
      <w:tr w:rsidR="008437C9" w:rsidRPr="008437C9" w14:paraId="7B357737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48F5EED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22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B3984AF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Fidelity to implementation strategy as planned and adaptation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68A41E90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pp. 16–17, section 3.4; pp. 19–21, section 4.1; Additional file 4</w:t>
            </w:r>
          </w:p>
        </w:tc>
      </w:tr>
      <w:tr w:rsidR="008437C9" w:rsidRPr="008437C9" w14:paraId="0A236C3B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D2B7151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23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16A6FF54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Contextual changes which may have affected outcomes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1F9DF742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8, l. 216–217 (no major external disruptions); p. 15, l. 415 (fourth period: increase in HDM use)</w:t>
            </w:r>
          </w:p>
        </w:tc>
      </w:tr>
      <w:tr w:rsidR="008437C9" w:rsidRPr="008437C9" w14:paraId="6DF8B255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BFBD154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24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569A3857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proofErr w:type="spellStart"/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All important</w:t>
            </w:r>
            <w:proofErr w:type="spellEnd"/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 xml:space="preserve"> harms or unintended effects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5703D9D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10, l. 288–290 (definition and ascertainment); p. 15, l. 410–412 (results); pp. 19–20, l. 518–521 (interpretation)</w:t>
            </w:r>
          </w:p>
        </w:tc>
      </w:tr>
      <w:tr w:rsidR="008437C9" w:rsidRPr="008437C9" w14:paraId="066D6AA8" w14:textId="77777777" w:rsidTr="001C2D68">
        <w:tc>
          <w:tcPr>
            <w:tcW w:w="15000" w:type="dxa"/>
            <w:gridSpan w:val="3"/>
            <w:shd w:val="clear" w:color="auto" w:fill="EDEDED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8DE6248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Discussion</w:t>
            </w:r>
          </w:p>
        </w:tc>
      </w:tr>
      <w:tr w:rsidR="008437C9" w:rsidRPr="008437C9" w14:paraId="6C973D01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EA1644F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25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091E3CC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Summary of findings, strengths and limitations, comparisons, conclusions and implications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7DCCC51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pp. 19–23, sections 4.1–4.3 and section 5, l. 485–639</w:t>
            </w:r>
          </w:p>
        </w:tc>
      </w:tr>
      <w:tr w:rsidR="008437C9" w:rsidRPr="008437C9" w14:paraId="013A4ACF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10C453B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26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EC89145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Implications: policy, practice, research (including scalability/sustainability)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F79DDAE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pp. 22–23, section 4.3, l. 611–624; p. 23, section 5, l. 625–639</w:t>
            </w:r>
          </w:p>
        </w:tc>
      </w:tr>
      <w:tr w:rsidR="008437C9" w:rsidRPr="008437C9" w14:paraId="2D5429CC" w14:textId="77777777" w:rsidTr="001C2D68">
        <w:tc>
          <w:tcPr>
            <w:tcW w:w="15000" w:type="dxa"/>
            <w:gridSpan w:val="3"/>
            <w:shd w:val="clear" w:color="auto" w:fill="EDEDED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4549E93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General</w:t>
            </w:r>
          </w:p>
        </w:tc>
      </w:tr>
      <w:tr w:rsidR="008437C9" w:rsidRPr="008437C9" w14:paraId="6EE3E176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10D44586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27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A7BEFAC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Statements on regulatory approvals, registration, protocol, funding, COI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FA66E57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8, l. 218–220 (registration, ethics); pp. 23–25, Declarations, l. 647–707; protocol refs [29,32]</w:t>
            </w:r>
          </w:p>
        </w:tc>
      </w:tr>
    </w:tbl>
    <w:p w14:paraId="0769FE4F" w14:textId="77777777" w:rsidR="008437C9" w:rsidRDefault="008437C9">
      <w:pPr>
        <w:rPr>
          <w:rFonts w:ascii="Times New Roman" w:hAnsi="Times New Roman" w:cs="Times New Roman"/>
          <w:lang w:val="en-GB"/>
        </w:rPr>
      </w:pPr>
    </w:p>
    <w:p w14:paraId="1A1524B2" w14:textId="06CD2751" w:rsidR="001B09FE" w:rsidRPr="00330251" w:rsidRDefault="00000000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br w:type="page"/>
      </w:r>
    </w:p>
    <w:p w14:paraId="1E79A024" w14:textId="77777777" w:rsidR="008437C9" w:rsidRDefault="008437C9" w:rsidP="008437C9">
      <w:pPr>
        <w:pStyle w:val="berschrift2"/>
        <w:spacing w:before="300" w:after="130"/>
      </w:pPr>
      <w:r>
        <w:rPr>
          <w:rFonts w:ascii="Calibri" w:eastAsia="Calibri" w:hAnsi="Calibri" w:cs="Calibri"/>
        </w:rPr>
        <w:lastRenderedPageBreak/>
        <w:t xml:space="preserve">Table 2: CONSORT Extension for </w:t>
      </w:r>
      <w:proofErr w:type="spellStart"/>
      <w:r>
        <w:rPr>
          <w:rFonts w:ascii="Calibri" w:eastAsia="Calibri" w:hAnsi="Calibri" w:cs="Calibri"/>
        </w:rPr>
        <w:t>Stepped</w:t>
      </w:r>
      <w:proofErr w:type="spellEnd"/>
      <w:r>
        <w:rPr>
          <w:rFonts w:ascii="Calibri" w:eastAsia="Calibri" w:hAnsi="Calibri" w:cs="Calibri"/>
        </w:rPr>
        <w:t xml:space="preserve">-Wedge Cluster </w:t>
      </w:r>
      <w:proofErr w:type="spellStart"/>
      <w:r>
        <w:rPr>
          <w:rFonts w:ascii="Calibri" w:eastAsia="Calibri" w:hAnsi="Calibri" w:cs="Calibri"/>
        </w:rPr>
        <w:t>Randomised</w:t>
      </w:r>
      <w:proofErr w:type="spellEnd"/>
      <w:r>
        <w:rPr>
          <w:rFonts w:ascii="Calibri" w:eastAsia="Calibri" w:hAnsi="Calibri" w:cs="Calibri"/>
        </w:rPr>
        <w:t xml:space="preserve"> Trials</w:t>
      </w:r>
    </w:p>
    <w:p w14:paraId="439C5170" w14:textId="77777777" w:rsidR="001B09FE" w:rsidRPr="008437C9" w:rsidRDefault="00000000">
      <w:pPr>
        <w:spacing w:after="150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i/>
          <w:iCs/>
          <w:color w:val="555555"/>
          <w:sz w:val="18"/>
          <w:szCs w:val="18"/>
          <w:lang w:val="en-GB"/>
        </w:rPr>
        <w:t>Hemming et al., BMJ 2018;363:k1614</w:t>
      </w:r>
    </w:p>
    <w:tbl>
      <w:tblPr>
        <w:tblW w:w="15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7400"/>
        <w:gridCol w:w="6700"/>
      </w:tblGrid>
      <w:tr w:rsidR="00F948E2" w:rsidRPr="00F948E2" w14:paraId="31FD22C5" w14:textId="77777777" w:rsidTr="001C2D68">
        <w:trPr>
          <w:tblHeader/>
        </w:trPr>
        <w:tc>
          <w:tcPr>
            <w:tcW w:w="900" w:type="dxa"/>
            <w:shd w:val="clear" w:color="auto" w:fill="D9E2F3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1AE101F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Item</w:t>
            </w:r>
          </w:p>
        </w:tc>
        <w:tc>
          <w:tcPr>
            <w:tcW w:w="7400" w:type="dxa"/>
            <w:shd w:val="clear" w:color="auto" w:fill="D9E2F3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DAD7251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Checklist Item</w:t>
            </w:r>
          </w:p>
        </w:tc>
        <w:tc>
          <w:tcPr>
            <w:tcW w:w="6700" w:type="dxa"/>
            <w:shd w:val="clear" w:color="auto" w:fill="D9E2F3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2076D69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Location (Page / Line)</w:t>
            </w:r>
          </w:p>
        </w:tc>
      </w:tr>
      <w:tr w:rsidR="00F948E2" w:rsidRPr="00F948E2" w14:paraId="447D108E" w14:textId="77777777" w:rsidTr="001C2D68">
        <w:tc>
          <w:tcPr>
            <w:tcW w:w="15000" w:type="dxa"/>
            <w:gridSpan w:val="3"/>
            <w:shd w:val="clear" w:color="auto" w:fill="EDEDED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572BC04C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Title and Abstract</w:t>
            </w:r>
          </w:p>
        </w:tc>
      </w:tr>
      <w:tr w:rsidR="00F948E2" w:rsidRPr="00F948E2" w14:paraId="1E6F05AE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CF0F579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1a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1305ED4A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Identification as a SW-CRT in the title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656CEA8D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1 (title: Stepped-Wedge Cluster-Randomized Trial)</w:t>
            </w:r>
          </w:p>
        </w:tc>
      </w:tr>
      <w:tr w:rsidR="00F948E2" w:rsidRPr="00F948E2" w14:paraId="45031832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439B19D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1b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545F9FDD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Structured summary of trial design, methods, results, conclusions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384B43A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pp. 3–4, l. 62–97 (structured abstract)</w:t>
            </w:r>
          </w:p>
        </w:tc>
      </w:tr>
      <w:tr w:rsidR="00F948E2" w:rsidRPr="00F948E2" w14:paraId="55E91092" w14:textId="77777777" w:rsidTr="001C2D68">
        <w:tc>
          <w:tcPr>
            <w:tcW w:w="15000" w:type="dxa"/>
            <w:gridSpan w:val="3"/>
            <w:shd w:val="clear" w:color="auto" w:fill="EDEDED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2C40B0F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Introduction</w:t>
            </w:r>
          </w:p>
        </w:tc>
      </w:tr>
      <w:tr w:rsidR="00F948E2" w:rsidRPr="00F948E2" w14:paraId="7FF0421A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692D8DDF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2a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13A8A63D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Scientific background; rationale for cluster design and SW design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7FE4029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pp. 5–7, section 1; p. 8, l. 200–201 (rationale for stepped-wedge design); p. 22, section 4.2</w:t>
            </w:r>
          </w:p>
        </w:tc>
      </w:tr>
      <w:tr w:rsidR="00F948E2" w:rsidRPr="00F948E2" w14:paraId="2AC16FAE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F24DE26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2b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46B37A4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Specific objectives or hypotheses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0424E45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7, l. 178–189</w:t>
            </w:r>
          </w:p>
        </w:tc>
      </w:tr>
      <w:tr w:rsidR="00F948E2" w:rsidRPr="00F948E2" w14:paraId="6E3486EC" w14:textId="77777777" w:rsidTr="001C2D68">
        <w:tc>
          <w:tcPr>
            <w:tcW w:w="15000" w:type="dxa"/>
            <w:gridSpan w:val="3"/>
            <w:shd w:val="clear" w:color="auto" w:fill="EDEDED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59E62C0B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Methods</w:t>
            </w:r>
          </w:p>
        </w:tc>
      </w:tr>
      <w:tr w:rsidR="00F948E2" w:rsidRPr="00F948E2" w14:paraId="01BFE4F8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028FF45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3a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6FD5FDB6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Description and diagram: cluster definition, sequences, clusters/sequence, periods, step duration, participants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F7334DC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8, section 2, l. 196–208; p. 13, Figure 1 (l. 356)</w:t>
            </w:r>
          </w:p>
        </w:tc>
      </w:tr>
      <w:tr w:rsidR="00F948E2" w:rsidRPr="00F948E2" w14:paraId="6869F2DD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9BFBA1D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3b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B53B0F9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Important changes to methods after commencement, with reasons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4B9010C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9, l. 231–233 (Level II sites not recruited); p. 11, l. 303–308</w:t>
            </w:r>
          </w:p>
        </w:tc>
      </w:tr>
      <w:tr w:rsidR="00F948E2" w:rsidRPr="00F948E2" w14:paraId="291309E5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396E964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4a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F848AC1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Eligibility criteria for clusters and participants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6ACBD764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9, section 2.1, l. 229–241</w:t>
            </w:r>
          </w:p>
        </w:tc>
      </w:tr>
      <w:tr w:rsidR="00F948E2" w:rsidRPr="00F948E2" w14:paraId="19556FDA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5A6F65B0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4b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E9D066C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Settings and locations where data were collected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690C563E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9, section 2.1, l. 229–230; Acknowledgements (consortium, p. 26); Additional file 4</w:t>
            </w:r>
          </w:p>
        </w:tc>
      </w:tr>
      <w:tr w:rsidR="00F948E2" w:rsidRPr="00F948E2" w14:paraId="04D755EB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DB0C42D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5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162E538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Intervention and control conditions with sufficient detail for replication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A0033FD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pp. 9–10, section 2.3, l. 253–270; p. 10, l. 258–259 (control condition); Additional file 2</w:t>
            </w:r>
          </w:p>
        </w:tc>
      </w:tr>
      <w:tr w:rsidR="00F948E2" w:rsidRPr="00F948E2" w14:paraId="3F64DE74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5407D19E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6a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B016B8C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Pre-specified primary and secondary outcome measures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1087A8D6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pp. 10–11, section 2.4, l. 272–308; Table 1 (p. 11, l. 310)</w:t>
            </w:r>
          </w:p>
        </w:tc>
      </w:tr>
      <w:tr w:rsidR="00F948E2" w:rsidRPr="00F948E2" w14:paraId="67B2E049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1BB6D146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6b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F8728B2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Changes to trial outcomes after commencement, with reasons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F310C55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11, l. 303–308 (registration, operationalisation of registered outcome constructs, no post-commencement changes)</w:t>
            </w:r>
          </w:p>
        </w:tc>
      </w:tr>
      <w:tr w:rsidR="00F948E2" w:rsidRPr="00F948E2" w14:paraId="5D858A24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54532E54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7a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1625363E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Sample size determination with ICC assumption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C9EA751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11, section 2.5, l. 312–318</w:t>
            </w:r>
          </w:p>
        </w:tc>
      </w:tr>
      <w:tr w:rsidR="00F948E2" w:rsidRPr="00F948E2" w14:paraId="6313D7E0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67117E5D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7b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5299638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Interim analyses and stopping guidelines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774B36B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11, l. 317–318 (no interim analyses, no stopping guidelines)</w:t>
            </w:r>
          </w:p>
        </w:tc>
      </w:tr>
      <w:tr w:rsidR="00F948E2" w:rsidRPr="00F948E2" w14:paraId="3B55F8CC" w14:textId="77777777" w:rsidTr="001C2D68">
        <w:tc>
          <w:tcPr>
            <w:tcW w:w="15000" w:type="dxa"/>
            <w:gridSpan w:val="3"/>
            <w:shd w:val="clear" w:color="auto" w:fill="EDEDED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B4D9B92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Randomisation</w:t>
            </w:r>
          </w:p>
        </w:tc>
      </w:tr>
      <w:tr w:rsidR="00F948E2" w:rsidRPr="00F948E2" w14:paraId="0CEEF635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6C366BE5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8a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ED61C76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Method used to generate random allocation to sequences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70EC6D6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9, section 2.2, l. 243–244 (independent statistician, computer-generated)</w:t>
            </w:r>
          </w:p>
        </w:tc>
      </w:tr>
      <w:tr w:rsidR="00F948E2" w:rsidRPr="00F948E2" w14:paraId="254C9381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6680979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8b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04045F8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Type of randomisation; constrained/stratification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5CC8FADB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9, section 2.2, l. 243–244 (three sequences, 1:1:1, five NICUs per sequence)</w:t>
            </w:r>
          </w:p>
        </w:tc>
      </w:tr>
      <w:tr w:rsidR="00F948E2" w:rsidRPr="00F948E2" w14:paraId="6D52E6D3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5C37D94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9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7B555B5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Allocation concealment mechanism based on clusters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2A5CA69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9, section 2.2, l. 245–246</w:t>
            </w:r>
          </w:p>
        </w:tc>
      </w:tr>
      <w:tr w:rsidR="00F948E2" w:rsidRPr="00F948E2" w14:paraId="60BCE9D2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06E0DD6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10a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91594D9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Who generated randomisation, enrolled clusters, assigned to sequences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BFC14F6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9, section 2.2, l. 243–244</w:t>
            </w:r>
          </w:p>
        </w:tc>
      </w:tr>
      <w:tr w:rsidR="00F948E2" w:rsidRPr="00F948E2" w14:paraId="1B0C8A5D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A630FEE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10b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5566F3DA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Mechanism for including individual participants in clusters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69A5DC97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9, section 2.1, l. 234–235 (consecutive enrolment)</w:t>
            </w:r>
          </w:p>
        </w:tc>
      </w:tr>
      <w:tr w:rsidR="00F948E2" w:rsidRPr="00F948E2" w14:paraId="651637A8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B24CEC7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10c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5E1D7C96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Consent: from whom, when, for what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C416D98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9, section 2.1, l. 238–241; pp. 23–24, Declarations, l. 648–660</w:t>
            </w:r>
          </w:p>
        </w:tc>
      </w:tr>
      <w:tr w:rsidR="00F948E2" w:rsidRPr="00F948E2" w14:paraId="761AD222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0622743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11a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088F926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Blinding: who was blinded, how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51CB0F67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9, section 2.2, l. 247–252</w:t>
            </w:r>
          </w:p>
        </w:tc>
      </w:tr>
      <w:tr w:rsidR="00F948E2" w:rsidRPr="00F948E2" w14:paraId="369F1633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DFC5BE2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lastRenderedPageBreak/>
              <w:t>11b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555DDEC4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Similarity of treatments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D37F42D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10, section 2.3, l. 258–259 and l. 264–268</w:t>
            </w:r>
          </w:p>
        </w:tc>
      </w:tr>
      <w:tr w:rsidR="00F948E2" w:rsidRPr="00F948E2" w14:paraId="470139CE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102370AE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12a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AA687FF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Statistical methods: time effects, clustering, repeated measures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1BC11BD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pp. 11–12, section 2.6, l. 320–342</w:t>
            </w:r>
          </w:p>
        </w:tc>
      </w:tr>
      <w:tr w:rsidR="00F948E2" w:rsidRPr="00F948E2" w14:paraId="1FAD031D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15136BE1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12b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51E5AA0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Additional analyses: subgroup, sensitivity, adjusted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18877555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12, section 2.6, l. 326–335</w:t>
            </w:r>
          </w:p>
        </w:tc>
      </w:tr>
      <w:tr w:rsidR="00F948E2" w:rsidRPr="00F948E2" w14:paraId="53E34469" w14:textId="77777777" w:rsidTr="001C2D68">
        <w:tc>
          <w:tcPr>
            <w:tcW w:w="15000" w:type="dxa"/>
            <w:gridSpan w:val="3"/>
            <w:shd w:val="clear" w:color="auto" w:fill="EDEDED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B5D4314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Results</w:t>
            </w:r>
          </w:p>
        </w:tc>
      </w:tr>
      <w:tr w:rsidR="00F948E2" w:rsidRPr="00F948E2" w14:paraId="224D6EBE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50C44A6F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13a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15685972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Participant flow: numbers assessed, assigned, received treatment, analysed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5F3C2B13" w14:textId="77FD9EEA" w:rsidR="00F948E2" w:rsidRPr="00F948E2" w:rsidRDefault="00AC2D05" w:rsidP="001C2D68">
            <w:pPr>
              <w:spacing w:after="30"/>
              <w:rPr>
                <w:lang w:val="en-GB"/>
              </w:rPr>
            </w:pPr>
            <w:r w:rsidRPr="00AC2D05">
              <w:rPr>
                <w:rFonts w:ascii="Calibri" w:eastAsia="Calibri" w:hAnsi="Calibri" w:cs="Calibri"/>
                <w:sz w:val="17"/>
                <w:szCs w:val="17"/>
                <w:lang w:val="en-GB"/>
              </w:rPr>
              <w:t>pp. 13–14, section 3.1, l. 351–368; Figure 1 (l. 356)</w:t>
            </w:r>
          </w:p>
        </w:tc>
      </w:tr>
      <w:tr w:rsidR="00F948E2" w:rsidRPr="00F948E2" w14:paraId="293D109E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F9E25A6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13b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11714BE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Losses and exclusions with reasons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D8382C8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13, section 3.1; p. 12, l. 338–339 (32 cases excluded, reason stated)</w:t>
            </w:r>
          </w:p>
        </w:tc>
      </w:tr>
      <w:tr w:rsidR="00F948E2" w:rsidRPr="00F948E2" w14:paraId="7F20E0AC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6B34EB3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14a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7DEDF93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Dates defining steps, intervention initiation, deviations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C33ED3B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8, l. 216–217 (April 2022 – March 2024, four periods at 6-month intervals, two-month follow-up)</w:t>
            </w:r>
          </w:p>
        </w:tc>
      </w:tr>
      <w:tr w:rsidR="00F948E2" w:rsidRPr="00F948E2" w14:paraId="435D9111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B582A6F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14b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060B937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Why the trial ended or was stopped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9AE6B77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Completed as planned</w:t>
            </w:r>
          </w:p>
        </w:tc>
      </w:tr>
      <w:tr w:rsidR="00F948E2" w:rsidRPr="00F948E2" w14:paraId="48431006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7931509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15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609AEEA2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Baseline characteristics by treatment condition or sequence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2C19A23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14, Table 2 (l. 370); Additional file 4 (by period and sequence)</w:t>
            </w:r>
          </w:p>
        </w:tc>
      </w:tr>
      <w:tr w:rsidR="00F948E2" w:rsidRPr="00F948E2" w14:paraId="64EC7890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FCA91D1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16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948DE63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Number of observations/clusters per analysis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6B883F2C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pp. 14–15, Table 3 (l. 394); Additional file 5</w:t>
            </w:r>
          </w:p>
        </w:tc>
      </w:tr>
      <w:tr w:rsidR="00F948E2" w:rsidRPr="00F948E2" w14:paraId="40F7BF0C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5EDA16A2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17a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6FA33B63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Results for each outcome: effect size, precision, correlations, time effects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642A2C70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pp. 14–16, sections 3.2–3.3, l. 377–443; Figures 2–3; Additional file 5</w:t>
            </w:r>
          </w:p>
        </w:tc>
      </w:tr>
      <w:tr w:rsidR="00F948E2" w:rsidRPr="00F948E2" w14:paraId="445509ED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B68FA96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17b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562346C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Binary outcomes: both absolute and relative effect sizes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381C451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pp. 14–16, sections 3.2–3.3 (primarily absolute effects); Additional file 5</w:t>
            </w:r>
          </w:p>
        </w:tc>
      </w:tr>
      <w:tr w:rsidR="00F948E2" w:rsidRPr="00F948E2" w14:paraId="435A367E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D6AB346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18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516C46AA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Ancillary analyses: subgroup, adjusted, pre-specified vs. exploratory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1DFD77A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pp. 14–16, sections 3.2–3.3 (subgroups, sensitivity analyses); p. 15, l. 400–401 (no adjustment for multiple testing)</w:t>
            </w:r>
          </w:p>
        </w:tc>
      </w:tr>
      <w:tr w:rsidR="00F948E2" w:rsidRPr="00F948E2" w14:paraId="2F50DC68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6E94B13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19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6EF206CB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Important harms or unintended effects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55FB935B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10, l. 288–290 (ascertainment); p. 15, l. 410–412 (results); pp. 19–20, l. 518–521</w:t>
            </w:r>
          </w:p>
        </w:tc>
      </w:tr>
      <w:tr w:rsidR="00F948E2" w:rsidRPr="00F948E2" w14:paraId="27B0ED65" w14:textId="77777777" w:rsidTr="001C2D68">
        <w:tc>
          <w:tcPr>
            <w:tcW w:w="15000" w:type="dxa"/>
            <w:gridSpan w:val="3"/>
            <w:shd w:val="clear" w:color="auto" w:fill="EDEDED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C244D29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Discussion</w:t>
            </w:r>
          </w:p>
        </w:tc>
      </w:tr>
      <w:tr w:rsidR="00F948E2" w:rsidRPr="00F948E2" w14:paraId="1E471A43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9900AD1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20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5FBC693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Limitations: bias, imprecision, multiplicity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16FDB64B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22, section 4.2, l. 590–610</w:t>
            </w:r>
          </w:p>
        </w:tc>
      </w:tr>
      <w:tr w:rsidR="00F948E2" w:rsidRPr="00F948E2" w14:paraId="77A5518E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8C74CF7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21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0E0644B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Generalisability: clusters and/or individual participants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B744C71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22, section 4.2, l. 590–610; Additional file 4</w:t>
            </w:r>
          </w:p>
        </w:tc>
      </w:tr>
      <w:tr w:rsidR="00F948E2" w:rsidRPr="00F948E2" w14:paraId="013CB48E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1C36BD55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22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B0A2C62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Interpretation consistent with results, balancing benefits and harms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5055A8E2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pp. 19–23, sections 4.1–4.3 and section 5, l. 485–639</w:t>
            </w:r>
          </w:p>
        </w:tc>
      </w:tr>
      <w:tr w:rsidR="00F948E2" w:rsidRPr="00F948E2" w14:paraId="183C4EB8" w14:textId="77777777" w:rsidTr="001C2D68">
        <w:tc>
          <w:tcPr>
            <w:tcW w:w="15000" w:type="dxa"/>
            <w:gridSpan w:val="3"/>
            <w:shd w:val="clear" w:color="auto" w:fill="EDEDED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10E765E2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Other Information</w:t>
            </w:r>
          </w:p>
        </w:tc>
      </w:tr>
      <w:tr w:rsidR="00F948E2" w:rsidRPr="00F948E2" w14:paraId="10DC065E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5CA4AFFD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23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5005584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Registration number and registry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68DD6797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4, l. 99 (abstract); p. 8, l. 218–220 (DRKS00025058, with URL and date of registration)</w:t>
            </w:r>
          </w:p>
        </w:tc>
      </w:tr>
      <w:tr w:rsidR="00F948E2" w:rsidRPr="00F948E2" w14:paraId="66743FE6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63ECF6F3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24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14CAA7F7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Where full protocol can be accessed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D9A607C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8, l. 224–225 (protocol, ref [32]); p. 9, l. 226–227 (statistical analysis plan)</w:t>
            </w:r>
          </w:p>
        </w:tc>
      </w:tr>
      <w:tr w:rsidR="00F948E2" w:rsidRPr="00F948E2" w14:paraId="793DC938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14C44601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25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8BE59F9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Sources of funding, role of funders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98E757B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25, l. 703–707 (Innovation Fund, 01NVF19027)</w:t>
            </w:r>
          </w:p>
        </w:tc>
      </w:tr>
      <w:tr w:rsidR="00F948E2" w:rsidRPr="00F948E2" w14:paraId="6117619E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525D6BDE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26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65000D85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Ethics review, consent, justification for waivers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E139A68" w14:textId="77777777" w:rsidR="00F948E2" w:rsidRPr="00F948E2" w:rsidRDefault="00F948E2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8, l. 218–219 (ethics approval 21-1506); pp. 23–24, Declarations, l. 648–660</w:t>
            </w:r>
          </w:p>
        </w:tc>
      </w:tr>
    </w:tbl>
    <w:p w14:paraId="7C3AC4FF" w14:textId="77777777" w:rsidR="00805F1B" w:rsidRDefault="00805F1B">
      <w:pPr>
        <w:rPr>
          <w:rFonts w:ascii="Times New Roman" w:hAnsi="Times New Roman" w:cs="Times New Roman"/>
          <w:lang w:val="en-GB"/>
        </w:rPr>
      </w:pPr>
    </w:p>
    <w:p w14:paraId="11A941A8" w14:textId="6BC3F636" w:rsidR="008437C9" w:rsidRDefault="008437C9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br w:type="page"/>
      </w:r>
    </w:p>
    <w:p w14:paraId="5F65CC4D" w14:textId="77777777" w:rsidR="008437C9" w:rsidRPr="008437C9" w:rsidRDefault="008437C9" w:rsidP="008437C9">
      <w:pPr>
        <w:pStyle w:val="berschrift2"/>
        <w:spacing w:before="300" w:after="130"/>
        <w:rPr>
          <w:lang w:val="en-GB"/>
        </w:rPr>
      </w:pPr>
      <w:r>
        <w:rPr>
          <w:rFonts w:ascii="Calibri" w:eastAsia="Calibri" w:hAnsi="Calibri" w:cs="Calibri"/>
          <w:lang w:val="en-GB"/>
        </w:rPr>
        <w:lastRenderedPageBreak/>
        <w:t>Table 3: CONSORT 2025 Checklist</w:t>
      </w:r>
    </w:p>
    <w:p w14:paraId="5F5B8787" w14:textId="77777777" w:rsidR="008437C9" w:rsidRPr="008437C9" w:rsidRDefault="008437C9" w:rsidP="008437C9">
      <w:pPr>
        <w:spacing w:after="100"/>
        <w:rPr>
          <w:lang w:val="en-GB"/>
        </w:rPr>
      </w:pPr>
      <w:r>
        <w:rPr>
          <w:rFonts w:ascii="Calibri" w:eastAsia="Calibri" w:hAnsi="Calibri" w:cs="Calibri"/>
          <w:i/>
          <w:iCs/>
          <w:color w:val="595959"/>
          <w:sz w:val="18"/>
          <w:szCs w:val="18"/>
          <w:lang w:val="en-GB"/>
        </w:rPr>
        <w:t>Hopewell et al., BMJ 2025;389:e081123. The CONSORT extension for stepped-wedge cluster randomised trials (Table 2) has not yet been updated to the CONSORT 2025 checklist; both instruments are therefore provided.</w:t>
      </w:r>
    </w:p>
    <w:tbl>
      <w:tblPr>
        <w:tblW w:w="15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7400"/>
        <w:gridCol w:w="6700"/>
      </w:tblGrid>
      <w:tr w:rsidR="008437C9" w:rsidRPr="008437C9" w14:paraId="572AFE84" w14:textId="77777777" w:rsidTr="001C2D68">
        <w:trPr>
          <w:tblHeader/>
        </w:trPr>
        <w:tc>
          <w:tcPr>
            <w:tcW w:w="900" w:type="dxa"/>
            <w:shd w:val="clear" w:color="auto" w:fill="D9E2F3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556B32EA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Item</w:t>
            </w:r>
          </w:p>
        </w:tc>
        <w:tc>
          <w:tcPr>
            <w:tcW w:w="7400" w:type="dxa"/>
            <w:shd w:val="clear" w:color="auto" w:fill="D9E2F3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C8D11EE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Checklist Item</w:t>
            </w:r>
          </w:p>
        </w:tc>
        <w:tc>
          <w:tcPr>
            <w:tcW w:w="6700" w:type="dxa"/>
            <w:shd w:val="clear" w:color="auto" w:fill="D9E2F3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1AF57F8D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Location (Page / Line)</w:t>
            </w:r>
          </w:p>
        </w:tc>
      </w:tr>
      <w:tr w:rsidR="008437C9" w:rsidRPr="008437C9" w14:paraId="0004D379" w14:textId="77777777" w:rsidTr="001C2D68">
        <w:tc>
          <w:tcPr>
            <w:tcW w:w="15000" w:type="dxa"/>
            <w:gridSpan w:val="3"/>
            <w:shd w:val="clear" w:color="auto" w:fill="EDEDED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772F3EF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Title and abstract</w:t>
            </w:r>
          </w:p>
        </w:tc>
      </w:tr>
      <w:tr w:rsidR="008437C9" w:rsidRPr="008437C9" w14:paraId="2EB9BEDC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54316C8C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1a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71E1B6B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Identification as a randomised trial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90E9012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1 (title)</w:t>
            </w:r>
          </w:p>
        </w:tc>
      </w:tr>
      <w:tr w:rsidR="008437C9" w:rsidRPr="008437C9" w14:paraId="2ED0C982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6DBB9DE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1b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5676391D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Structured summary of the trial design, methods, results, and conclusions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1079E19C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pp. 3–4, l. 62–97</w:t>
            </w:r>
          </w:p>
        </w:tc>
      </w:tr>
      <w:tr w:rsidR="008437C9" w:rsidRPr="008437C9" w14:paraId="1B7DA0DD" w14:textId="77777777" w:rsidTr="001C2D68">
        <w:tc>
          <w:tcPr>
            <w:tcW w:w="15000" w:type="dxa"/>
            <w:gridSpan w:val="3"/>
            <w:shd w:val="clear" w:color="auto" w:fill="EDEDED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1ACF3DAC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Open science</w:t>
            </w:r>
          </w:p>
        </w:tc>
      </w:tr>
      <w:tr w:rsidR="008437C9" w:rsidRPr="008437C9" w14:paraId="4E9FC534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D910CA9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2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09F8917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Name of trial registry, identifying number (with URL) and date of registration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35AD4BB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8, l. 218–220; p. 11, l. 303–304; p. 4, l. 99 (abstract)</w:t>
            </w:r>
          </w:p>
        </w:tc>
      </w:tr>
      <w:tr w:rsidR="008437C9" w:rsidRPr="008437C9" w14:paraId="724FFADD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625D34DE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3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CC20A22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Where the trial protocol and statistical analysis plan can be accessed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B0B79E4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8, l. 224–225 (protocol, ref [32]); p. 9, l. 226–227 (statistical analysis plan)</w:t>
            </w:r>
          </w:p>
        </w:tc>
      </w:tr>
      <w:tr w:rsidR="008437C9" w:rsidRPr="008437C9" w14:paraId="1E0071B6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157E4BA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4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3EE7163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Where and how the individual de-identified participant data (including data dictionary), statistical code and any other materials can be accessed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D80B730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pp. 24–25, Data Availability, l. 662–696; Additional file 6 (codebook); dataset ref [78]</w:t>
            </w:r>
          </w:p>
        </w:tc>
      </w:tr>
      <w:tr w:rsidR="008437C9" w:rsidRPr="008437C9" w14:paraId="4DB190DF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121716F8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5a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1AD8DAA3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Sources of funding and other support, and role of funders in the design, conduct, analysis and reporting of the trial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C485355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25, l. 703–707</w:t>
            </w:r>
          </w:p>
        </w:tc>
      </w:tr>
      <w:tr w:rsidR="008437C9" w:rsidRPr="008437C9" w14:paraId="1CE0EC85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00FAAEB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5b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641CCAD1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Financial and other conflicts of interest of the manuscript authors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F9D9EC6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25, l. 699–700</w:t>
            </w:r>
          </w:p>
        </w:tc>
      </w:tr>
      <w:tr w:rsidR="008437C9" w:rsidRPr="008437C9" w14:paraId="20393E75" w14:textId="77777777" w:rsidTr="001C2D68">
        <w:tc>
          <w:tcPr>
            <w:tcW w:w="15000" w:type="dxa"/>
            <w:gridSpan w:val="3"/>
            <w:shd w:val="clear" w:color="auto" w:fill="EDEDED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BDE74F1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Introduction</w:t>
            </w:r>
          </w:p>
        </w:tc>
      </w:tr>
      <w:tr w:rsidR="008437C9" w:rsidRPr="008437C9" w14:paraId="08CEF03C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F1DE08D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6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83C5717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Scientific background and rationale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DE5ED57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pp. 5–7, section 1, l. 106–177</w:t>
            </w:r>
          </w:p>
        </w:tc>
      </w:tr>
      <w:tr w:rsidR="008437C9" w:rsidRPr="008437C9" w14:paraId="57B924B2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5E2E82B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7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6CF18033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Specific objectives related to benefits and harms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7D028C8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7, l. 178–189</w:t>
            </w:r>
          </w:p>
        </w:tc>
      </w:tr>
      <w:tr w:rsidR="008437C9" w:rsidRPr="008437C9" w14:paraId="44706018" w14:textId="77777777" w:rsidTr="001C2D68">
        <w:tc>
          <w:tcPr>
            <w:tcW w:w="15000" w:type="dxa"/>
            <w:gridSpan w:val="3"/>
            <w:shd w:val="clear" w:color="auto" w:fill="EDEDED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4C1A8A9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Methods</w:t>
            </w:r>
          </w:p>
        </w:tc>
      </w:tr>
      <w:tr w:rsidR="008437C9" w:rsidRPr="008437C9" w14:paraId="5D886FF3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6234692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8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2571E50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Details of patient or public involvement in the design, conduct and reporting of the trial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5332C3A5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10, section 2.3, l. 268–270</w:t>
            </w:r>
          </w:p>
        </w:tc>
      </w:tr>
      <w:tr w:rsidR="008437C9" w:rsidRPr="008437C9" w14:paraId="26040071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563BA367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9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8F8965C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Description of trial design including type of trial, allocation ratio, and framework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3AD2F80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8, l. 196–208; p. 9, l. 243–244 (1:1:1)</w:t>
            </w:r>
          </w:p>
        </w:tc>
      </w:tr>
      <w:tr w:rsidR="008437C9" w:rsidRPr="008437C9" w14:paraId="4380B342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291B8B6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10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B67C070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Important changes to the trial after it commenced including any outcomes or analyses that were not prespecified, with reason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64E4382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11, l. 303–308; p. 9, l. 231–233 (Level II sites not recruited)</w:t>
            </w:r>
          </w:p>
        </w:tc>
      </w:tr>
      <w:tr w:rsidR="008437C9" w:rsidRPr="008437C9" w14:paraId="208C6301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B69CD6F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11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64FAE8B9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Settings and locations where the trial was conducted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8BEF367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9, l. 229–233</w:t>
            </w:r>
          </w:p>
        </w:tc>
      </w:tr>
      <w:tr w:rsidR="008437C9" w:rsidRPr="008437C9" w14:paraId="76E47FB4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4BED3C3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12a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67CEB4BB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Eligibility criteria for participants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FF8626A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9, l. 234–241</w:t>
            </w:r>
          </w:p>
        </w:tc>
      </w:tr>
      <w:tr w:rsidR="008437C9" w:rsidRPr="008437C9" w14:paraId="1B7FBA24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7041EB1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12b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41A4158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If applicable, eligibility criteria for sites and for individuals delivering the interventions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6E49AD06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9, l. 229–230</w:t>
            </w:r>
          </w:p>
        </w:tc>
      </w:tr>
      <w:tr w:rsidR="008437C9" w:rsidRPr="008437C9" w14:paraId="7A316813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E14AD68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13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A4D1658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Intervention and comparator with sufficient details to allow replication; where additional materials describing the intervention and comparator can be accessed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A5F0437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pp. 9–10, section 2.3, l. 253–270; Additional file 2 (</w:t>
            </w:r>
            <w:proofErr w:type="spellStart"/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TIDieR</w:t>
            </w:r>
            <w:proofErr w:type="spellEnd"/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, Proctor)</w:t>
            </w:r>
          </w:p>
        </w:tc>
      </w:tr>
      <w:tr w:rsidR="008437C9" w:rsidRPr="008437C9" w14:paraId="79DE1205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5472A6A6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14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D7010FC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Prespecified primary and secondary outcomes, including the specific measurement variable, analysis metric, method of aggregation, and time point for each outcome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5F4875DA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pp. 10–11, section 2.4, l. 272–308; Table 1 (p. 11, l. 310)</w:t>
            </w:r>
          </w:p>
        </w:tc>
      </w:tr>
      <w:tr w:rsidR="008437C9" w:rsidRPr="008437C9" w14:paraId="352B7616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57664440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lastRenderedPageBreak/>
              <w:t>15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9551D73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How harms were defined and assessed (</w:t>
            </w:r>
            <w:proofErr w:type="spellStart"/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eg</w:t>
            </w:r>
            <w:proofErr w:type="spellEnd"/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, systematically, non-systematically)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1578239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10, l. 288–290</w:t>
            </w:r>
          </w:p>
        </w:tc>
      </w:tr>
      <w:tr w:rsidR="008437C9" w:rsidRPr="008437C9" w14:paraId="51F4C7BC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5F5DF85E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16a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30E07D7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How sample size was determined, including all assumptions supporting the sample size calculation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C4F86D7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11, section 2.5, l. 312–318</w:t>
            </w:r>
          </w:p>
        </w:tc>
      </w:tr>
      <w:tr w:rsidR="008437C9" w:rsidRPr="008437C9" w14:paraId="5AF6DFA4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69F6B23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16b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1CDDF083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Explanation of any interim analyses and stopping guidelines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960A06B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11, l. 317–318</w:t>
            </w:r>
          </w:p>
        </w:tc>
      </w:tr>
      <w:tr w:rsidR="008437C9" w:rsidRPr="008437C9" w14:paraId="69CB0697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BEE8E50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17a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19D676F2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Who generated the random allocation sequence and the method used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539DDA42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9, l. 243–244</w:t>
            </w:r>
          </w:p>
        </w:tc>
      </w:tr>
      <w:tr w:rsidR="008437C9" w:rsidRPr="008437C9" w14:paraId="7F1EEF7F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CC8CF49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17b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EC4E3BC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Type of randomisation and details of any restriction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52617053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9, l. 243–244</w:t>
            </w:r>
          </w:p>
        </w:tc>
      </w:tr>
      <w:tr w:rsidR="008437C9" w:rsidRPr="008437C9" w14:paraId="4DFDD168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60D6E90D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18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FB7729D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Mechanism used to implement the random allocation sequence, describing any steps to conceal the sequence until interventions were assigned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BB4B12D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9, l. 245–246</w:t>
            </w:r>
          </w:p>
        </w:tc>
      </w:tr>
      <w:tr w:rsidR="008437C9" w:rsidRPr="008437C9" w14:paraId="5BF4A178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1D575641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19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A94BC6D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Whether the personnel who enrolled and those who assigned participants to the interventions had access to the random allocation sequence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70D8001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9, l. 243–246</w:t>
            </w:r>
          </w:p>
        </w:tc>
      </w:tr>
      <w:tr w:rsidR="008437C9" w:rsidRPr="008437C9" w14:paraId="1547BD44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52E36337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20a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8622106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Who was blinded after assignment to interventions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6799E088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9, l. 247–252</w:t>
            </w:r>
          </w:p>
        </w:tc>
      </w:tr>
      <w:tr w:rsidR="008437C9" w:rsidRPr="008437C9" w14:paraId="7FE13786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C3496D7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20b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88BBEB4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If blinded, how blinding was achieved and description of the similarity of interventions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41FB7F5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9, l. 247–252</w:t>
            </w:r>
          </w:p>
        </w:tc>
      </w:tr>
      <w:tr w:rsidR="008437C9" w:rsidRPr="008437C9" w14:paraId="4066A3ED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E1C03BD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21a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13C877CD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Statistical methods used to compare groups for primary and secondary outcomes, including harms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CA8BCFB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pp. 11–12, section 2.6, l. 320–325</w:t>
            </w:r>
          </w:p>
        </w:tc>
      </w:tr>
      <w:tr w:rsidR="008437C9" w:rsidRPr="008437C9" w14:paraId="41B3CE77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CABA486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21b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1FD371F6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Definition of who is included in each analysis, and in which group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DC7B693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11, l. 320; p. 12, l. 335–341</w:t>
            </w:r>
          </w:p>
        </w:tc>
      </w:tr>
      <w:tr w:rsidR="008437C9" w:rsidRPr="008437C9" w14:paraId="2BB5F51A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A047363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21c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7CB73BC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How missing data were handled in the analysis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323B3D0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12, l. 336–341</w:t>
            </w:r>
          </w:p>
        </w:tc>
      </w:tr>
      <w:tr w:rsidR="008437C9" w:rsidRPr="008437C9" w14:paraId="69EC3C07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E88A54F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21d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5B3AB0BF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Methods for any additional analyses, distinguishing prespecified from post hoc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59B828C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12, section 2.6, l. 326–335</w:t>
            </w:r>
          </w:p>
        </w:tc>
      </w:tr>
      <w:tr w:rsidR="008437C9" w:rsidRPr="008437C9" w14:paraId="59FB7E44" w14:textId="77777777" w:rsidTr="001C2D68">
        <w:tc>
          <w:tcPr>
            <w:tcW w:w="15000" w:type="dxa"/>
            <w:gridSpan w:val="3"/>
            <w:shd w:val="clear" w:color="auto" w:fill="EDEDED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6C7CC75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Results</w:t>
            </w:r>
          </w:p>
        </w:tc>
      </w:tr>
      <w:tr w:rsidR="008437C9" w:rsidRPr="008437C9" w14:paraId="76DB052B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027E7C6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22a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5F34E14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For each group, the numbers of participants who were randomly assigned, received intended intervention, and were analysed for the primary outcome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5207231E" w14:textId="4E87D7E7" w:rsidR="008437C9" w:rsidRPr="008437C9" w:rsidRDefault="00AC2D05" w:rsidP="001C2D68">
            <w:pPr>
              <w:spacing w:after="30"/>
              <w:rPr>
                <w:lang w:val="en-GB"/>
              </w:rPr>
            </w:pPr>
            <w:r w:rsidRPr="00AC2D05">
              <w:rPr>
                <w:rFonts w:ascii="Calibri" w:eastAsia="Calibri" w:hAnsi="Calibri" w:cs="Calibri"/>
                <w:sz w:val="17"/>
                <w:szCs w:val="17"/>
                <w:lang w:val="en-GB"/>
              </w:rPr>
              <w:t>pp. 13–14, section 3.1, l. 351–368; Figure 1 (l. 356)</w:t>
            </w:r>
          </w:p>
        </w:tc>
      </w:tr>
      <w:tr w:rsidR="008437C9" w:rsidRPr="008437C9" w14:paraId="2250FDDD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B624991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22b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14AD1EC3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For each group, losses and exclusions after randomisation, together with reasons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5081E592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13, section 3.1; p. 12, l. 338–339 (32 cases excluded, reason stated)</w:t>
            </w:r>
          </w:p>
        </w:tc>
      </w:tr>
      <w:tr w:rsidR="008437C9" w:rsidRPr="008437C9" w14:paraId="6EB650F2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1827C960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23a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965234B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Dates defining the periods of recruitment and follow-up for outcomes of benefits and harms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807CFA9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8, l. 216–217</w:t>
            </w:r>
          </w:p>
        </w:tc>
      </w:tr>
      <w:tr w:rsidR="008437C9" w:rsidRPr="008437C9" w14:paraId="61456468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634C49D9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23b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0BA064B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If relevant, why the trial ended or was stopped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B901368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Not applicable — the trial was completed as planned</w:t>
            </w:r>
          </w:p>
        </w:tc>
      </w:tr>
      <w:tr w:rsidR="008437C9" w:rsidRPr="008437C9" w14:paraId="3760BA6D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E29D71A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24a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662DDACF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Intervention and comparator as they were actually administered, including who delivered them, adherence and fidelity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830134A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pp. 16–17, section 3.4, l. 444–472; Additional file 4</w:t>
            </w:r>
          </w:p>
        </w:tc>
      </w:tr>
      <w:tr w:rsidR="008437C9" w:rsidRPr="008437C9" w14:paraId="5926EA88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14DCB873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24b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29CC6E0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Concomitant care received during the trial for each group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3867AF0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10, l. 258–259 (control condition: standard NICU care)</w:t>
            </w:r>
          </w:p>
        </w:tc>
      </w:tr>
      <w:tr w:rsidR="008437C9" w:rsidRPr="008437C9" w14:paraId="2F056431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50036BA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25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44056D0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A table showing baseline demographic and clinical characteristics for each group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34F29DA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14, Table 2 (l. 370); Additional file 4 (Tables 1–2)</w:t>
            </w:r>
          </w:p>
        </w:tc>
      </w:tr>
      <w:tr w:rsidR="008437C9" w:rsidRPr="008437C9" w14:paraId="4A0AC036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CE17707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26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0A02F77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For each primary and secondary outcome, by group: number analysed, number with available data, result and estimated effect size with its precision, and for binary outcomes both absolute and relative effect size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C49E609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pp. 14–16, sections 3.2–3.3, l. 377–443; Table 3 (l. 394); Figures 2–3; Additional file 5</w:t>
            </w:r>
          </w:p>
        </w:tc>
      </w:tr>
      <w:tr w:rsidR="008437C9" w:rsidRPr="008437C9" w14:paraId="68C42221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197CA266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27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5D6EE12B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All harms or unintended events in each group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1C11EB8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15, l. 410–412; pp. 19–20, l. 518–521</w:t>
            </w:r>
          </w:p>
        </w:tc>
      </w:tr>
      <w:tr w:rsidR="008437C9" w:rsidRPr="008437C9" w14:paraId="32900DE6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75E290D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lastRenderedPageBreak/>
              <w:t>28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259B922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Any other analyses performed, including subgroup and sensitivity analyses, distinguishing prespecified from post hoc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72005EC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pp. 14–16, sections 3.2–3.3; p. 12, l. 326–335; Additional file 5</w:t>
            </w:r>
          </w:p>
        </w:tc>
      </w:tr>
      <w:tr w:rsidR="008437C9" w:rsidRPr="008437C9" w14:paraId="3CE6A5D4" w14:textId="77777777" w:rsidTr="001C2D68">
        <w:tc>
          <w:tcPr>
            <w:tcW w:w="15000" w:type="dxa"/>
            <w:gridSpan w:val="3"/>
            <w:shd w:val="clear" w:color="auto" w:fill="EDEDED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5B71EEE5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Discussion</w:t>
            </w:r>
          </w:p>
        </w:tc>
      </w:tr>
      <w:tr w:rsidR="008437C9" w:rsidRPr="008437C9" w14:paraId="30A0B5B7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774794C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29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A5E5D28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Interpretation consistent with results, balancing benefits and harms, and considering other relevant evidence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128ADD0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pp. 19–21, section 4.1, l. 485–588</w:t>
            </w:r>
          </w:p>
        </w:tc>
      </w:tr>
      <w:tr w:rsidR="008437C9" w:rsidRPr="008437C9" w14:paraId="265C806D" w14:textId="77777777" w:rsidTr="001C2D68">
        <w:tc>
          <w:tcPr>
            <w:tcW w:w="9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0680D51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en-GB"/>
              </w:rPr>
              <w:t>30</w:t>
            </w:r>
          </w:p>
        </w:tc>
        <w:tc>
          <w:tcPr>
            <w:tcW w:w="74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52D39C1D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Trial limitations, addressing sources of potential bias, imprecision, generalisability, and, if relevant, multiplicity of analyses</w:t>
            </w:r>
          </w:p>
        </w:tc>
        <w:tc>
          <w:tcPr>
            <w:tcW w:w="67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1B18ED83" w14:textId="77777777" w:rsidR="008437C9" w:rsidRPr="008437C9" w:rsidRDefault="008437C9" w:rsidP="001C2D68">
            <w:pPr>
              <w:spacing w:after="30"/>
              <w:rPr>
                <w:lang w:val="en-GB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en-GB"/>
              </w:rPr>
              <w:t>p. 22, section 4.2, l. 590–610; p. 15, l. 400–401 (no adjustment for multiple testing)</w:t>
            </w:r>
          </w:p>
        </w:tc>
      </w:tr>
    </w:tbl>
    <w:p w14:paraId="57C96928" w14:textId="77777777" w:rsidR="008437C9" w:rsidRPr="008437C9" w:rsidRDefault="008437C9">
      <w:pPr>
        <w:rPr>
          <w:rFonts w:ascii="Times New Roman" w:hAnsi="Times New Roman" w:cs="Times New Roman"/>
          <w:lang w:val="en-GB"/>
        </w:rPr>
      </w:pPr>
    </w:p>
    <w:sectPr w:rsidR="008437C9" w:rsidRPr="008437C9" w:rsidSect="008437C9">
      <w:pgSz w:w="16838" w:h="11906" w:orient="landscape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2806759" w14:textId="77777777" w:rsidR="007F3B7D" w:rsidRDefault="007F3B7D">
      <w:r>
        <w:separator/>
      </w:r>
    </w:p>
  </w:endnote>
  <w:endnote w:type="continuationSeparator" w:id="0">
    <w:p w14:paraId="6BDEA5DD" w14:textId="77777777" w:rsidR="007F3B7D" w:rsidRDefault="007F3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eitenzahl"/>
      </w:rPr>
      <w:id w:val="843434767"/>
      <w:docPartObj>
        <w:docPartGallery w:val="Page Numbers (Bottom of Page)"/>
        <w:docPartUnique/>
      </w:docPartObj>
    </w:sdtPr>
    <w:sdtContent>
      <w:p w14:paraId="2C0556C9" w14:textId="011837D6" w:rsidR="00330251" w:rsidRDefault="00330251" w:rsidP="00241C84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</w:rPr>
          <w:fldChar w:fldCharType="end"/>
        </w:r>
      </w:p>
    </w:sdtContent>
  </w:sdt>
  <w:p w14:paraId="60433D7C" w14:textId="77777777" w:rsidR="00C843C1" w:rsidRDefault="00C843C1" w:rsidP="00330251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eitenzahl"/>
      </w:rPr>
      <w:id w:val="198985990"/>
      <w:docPartObj>
        <w:docPartGallery w:val="Page Numbers (Bottom of Page)"/>
        <w:docPartUnique/>
      </w:docPartObj>
    </w:sdtPr>
    <w:sdtContent>
      <w:p w14:paraId="698D0EC2" w14:textId="5E3748F1" w:rsidR="00330251" w:rsidRDefault="00330251" w:rsidP="00241C84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3</w:t>
        </w:r>
        <w:r>
          <w:rPr>
            <w:rStyle w:val="Seitenzahl"/>
          </w:rPr>
          <w:fldChar w:fldCharType="end"/>
        </w:r>
      </w:p>
    </w:sdtContent>
  </w:sdt>
  <w:p w14:paraId="6DF7FBA9" w14:textId="09F62995" w:rsidR="001B09FE" w:rsidRDefault="001B09FE" w:rsidP="00330251">
    <w:pPr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C34A181" w14:textId="77777777" w:rsidR="007F3B7D" w:rsidRDefault="007F3B7D">
      <w:r>
        <w:separator/>
      </w:r>
    </w:p>
  </w:footnote>
  <w:footnote w:type="continuationSeparator" w:id="0">
    <w:p w14:paraId="2E09910D" w14:textId="77777777" w:rsidR="007F3B7D" w:rsidRDefault="007F3B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3BF6A9" w14:textId="75C2FCC8" w:rsidR="001B09FE" w:rsidRDefault="001B09FE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A44957"/>
    <w:multiLevelType w:val="hybridMultilevel"/>
    <w:tmpl w:val="CB702FBA"/>
    <w:lvl w:ilvl="0" w:tplc="47087838">
      <w:start w:val="1"/>
      <w:numFmt w:val="bullet"/>
      <w:lvlText w:val="●"/>
      <w:lvlJc w:val="left"/>
      <w:pPr>
        <w:ind w:left="720" w:hanging="360"/>
      </w:pPr>
    </w:lvl>
    <w:lvl w:ilvl="1" w:tplc="74765C68">
      <w:start w:val="1"/>
      <w:numFmt w:val="bullet"/>
      <w:lvlText w:val="○"/>
      <w:lvlJc w:val="left"/>
      <w:pPr>
        <w:ind w:left="1440" w:hanging="360"/>
      </w:pPr>
    </w:lvl>
    <w:lvl w:ilvl="2" w:tplc="77348398">
      <w:start w:val="1"/>
      <w:numFmt w:val="bullet"/>
      <w:lvlText w:val="■"/>
      <w:lvlJc w:val="left"/>
      <w:pPr>
        <w:ind w:left="2160" w:hanging="360"/>
      </w:pPr>
    </w:lvl>
    <w:lvl w:ilvl="3" w:tplc="F8D0FE62">
      <w:start w:val="1"/>
      <w:numFmt w:val="bullet"/>
      <w:lvlText w:val="●"/>
      <w:lvlJc w:val="left"/>
      <w:pPr>
        <w:ind w:left="2880" w:hanging="360"/>
      </w:pPr>
    </w:lvl>
    <w:lvl w:ilvl="4" w:tplc="9710B936">
      <w:start w:val="1"/>
      <w:numFmt w:val="bullet"/>
      <w:lvlText w:val="○"/>
      <w:lvlJc w:val="left"/>
      <w:pPr>
        <w:ind w:left="3600" w:hanging="360"/>
      </w:pPr>
    </w:lvl>
    <w:lvl w:ilvl="5" w:tplc="F55452FA">
      <w:start w:val="1"/>
      <w:numFmt w:val="bullet"/>
      <w:lvlText w:val="■"/>
      <w:lvlJc w:val="left"/>
      <w:pPr>
        <w:ind w:left="4320" w:hanging="360"/>
      </w:pPr>
    </w:lvl>
    <w:lvl w:ilvl="6" w:tplc="94924AD8">
      <w:start w:val="1"/>
      <w:numFmt w:val="bullet"/>
      <w:lvlText w:val="●"/>
      <w:lvlJc w:val="left"/>
      <w:pPr>
        <w:ind w:left="5040" w:hanging="360"/>
      </w:pPr>
    </w:lvl>
    <w:lvl w:ilvl="7" w:tplc="AC18BE18">
      <w:start w:val="1"/>
      <w:numFmt w:val="bullet"/>
      <w:lvlText w:val="●"/>
      <w:lvlJc w:val="left"/>
      <w:pPr>
        <w:ind w:left="5760" w:hanging="360"/>
      </w:pPr>
    </w:lvl>
    <w:lvl w:ilvl="8" w:tplc="5936D852">
      <w:start w:val="1"/>
      <w:numFmt w:val="bullet"/>
      <w:lvlText w:val="●"/>
      <w:lvlJc w:val="left"/>
      <w:pPr>
        <w:ind w:left="6480" w:hanging="360"/>
      </w:pPr>
    </w:lvl>
  </w:abstractNum>
  <w:num w:numId="1" w16cid:durableId="49893219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9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9FE"/>
    <w:rsid w:val="001B09FE"/>
    <w:rsid w:val="00330251"/>
    <w:rsid w:val="004B6280"/>
    <w:rsid w:val="006304C6"/>
    <w:rsid w:val="007F3B7D"/>
    <w:rsid w:val="00805F1B"/>
    <w:rsid w:val="008437C9"/>
    <w:rsid w:val="00AC2D05"/>
    <w:rsid w:val="00C56842"/>
    <w:rsid w:val="00C843C1"/>
    <w:rsid w:val="00D42BB6"/>
    <w:rsid w:val="00E04890"/>
    <w:rsid w:val="00F94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1EB42"/>
  <w15:docId w15:val="{074867EC-B0C7-094F-800B-2ECBAD1B8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spacing w:before="360" w:after="200"/>
      <w:outlineLvl w:val="0"/>
    </w:pPr>
    <w:rPr>
      <w:b/>
      <w:bCs/>
      <w:color w:val="1A3C4F"/>
      <w:sz w:val="28"/>
      <w:szCs w:val="28"/>
    </w:rPr>
  </w:style>
  <w:style w:type="paragraph" w:styleId="berschrift2">
    <w:name w:val="heading 2"/>
    <w:uiPriority w:val="9"/>
    <w:semiHidden/>
    <w:unhideWhenUsed/>
    <w:qFormat/>
    <w:pPr>
      <w:spacing w:before="240" w:after="120"/>
      <w:outlineLvl w:val="1"/>
    </w:pPr>
    <w:rPr>
      <w:b/>
      <w:bCs/>
      <w:color w:val="2C5F7C"/>
      <w:sz w:val="24"/>
      <w:szCs w:val="24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C843C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843C1"/>
  </w:style>
  <w:style w:type="paragraph" w:styleId="Fuzeile">
    <w:name w:val="footer"/>
    <w:basedOn w:val="Standard"/>
    <w:link w:val="FuzeileZchn"/>
    <w:uiPriority w:val="99"/>
    <w:unhideWhenUsed/>
    <w:rsid w:val="00C843C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843C1"/>
  </w:style>
  <w:style w:type="character" w:styleId="Seitenzahl">
    <w:name w:val="page number"/>
    <w:basedOn w:val="Absatz-Standardschriftart"/>
    <w:uiPriority w:val="99"/>
    <w:semiHidden/>
    <w:unhideWhenUsed/>
    <w:rsid w:val="003302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2568</Words>
  <Characters>13616</Characters>
  <Application>Microsoft Office Word</Application>
  <DocSecurity>0</DocSecurity>
  <Lines>412</Lines>
  <Paragraphs>425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Juliane Köberlein-Neu</cp:lastModifiedBy>
  <cp:revision>6</cp:revision>
  <dcterms:created xsi:type="dcterms:W3CDTF">2026-03-03T10:07:00Z</dcterms:created>
  <dcterms:modified xsi:type="dcterms:W3CDTF">2026-09-02T08:32:00Z</dcterms:modified>
</cp:coreProperties>
</file>