
<file path=[Content_Types].xml><?xml version="1.0" encoding="utf-8"?>
<Types xmlns="http://schemas.openxmlformats.org/package/2006/content-types">
  <Default Extension="xml" ContentType="application/xml"/>
  <Default Extension="tiff" ContentType="image/tif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Times New Roman" w:hAnsi="Times New Roman" w:eastAsiaTheme="minorHAnsi"/>
          <w:b/>
          <w:bCs/>
          <w:kern w:val="2"/>
          <w:sz w:val="22"/>
          <w:szCs w:val="22"/>
        </w:rPr>
        <w:id w:val="198987061"/>
        <w:docPartObj>
          <w:docPartGallery w:val="Table of Contents"/>
          <w:docPartUnique/>
        </w:docPartObj>
      </w:sdtPr>
      <w:sdtEndPr>
        <w:rPr>
          <w:rFonts w:ascii="Times New Roman" w:hAnsi="Times New Roman" w:eastAsia="宋体"/>
          <w:b w:val="0"/>
          <w:bCs w:val="0"/>
          <w:kern w:val="0"/>
          <w:sz w:val="24"/>
          <w:szCs w:val="24"/>
        </w:rPr>
      </w:sdtEndPr>
      <w:sdtContent>
        <w:sdt>
          <w:sdtPr>
            <w:rPr>
              <w:rFonts w:ascii="Times New Roman" w:hAnsi="Times New Roman" w:eastAsiaTheme="minorHAnsi"/>
              <w:b/>
              <w:bCs/>
              <w:kern w:val="2"/>
              <w:sz w:val="22"/>
              <w:szCs w:val="22"/>
            </w:rPr>
            <w:id w:val="122890271"/>
          </w:sdtPr>
          <w:sdtEndPr>
            <w:rPr>
              <w:rFonts w:ascii="Times New Roman" w:hAnsi="Times New Roman" w:eastAsia="宋体"/>
              <w:b w:val="0"/>
              <w:bCs w:val="0"/>
              <w:kern w:val="0"/>
              <w:sz w:val="24"/>
              <w:szCs w:val="24"/>
            </w:rPr>
          </w:sdtEndPr>
          <w:sdtContent>
            <w:p w14:paraId="54F48C8F">
              <w:pPr>
                <w:rPr>
                  <w:rFonts w:ascii="Times New Roman" w:hAnsi="Times New Roman"/>
                </w:rPr>
              </w:pPr>
              <w:r>
                <w:rPr>
                  <w:rStyle w:val="34"/>
                  <w:rFonts w:ascii="Times New Roman" w:hAnsi="Times New Roman"/>
                  <w:b/>
                  <w:bCs/>
                  <w:sz w:val="32"/>
                  <w:szCs w:val="36"/>
                  <w:lang w:eastAsia="zh"/>
                </w:rPr>
                <w:t xml:space="preserve">Supplementary </w:t>
              </w:r>
              <w:r>
                <w:rPr>
                  <w:rStyle w:val="34"/>
                  <w:rFonts w:ascii="Times New Roman" w:hAnsi="Times New Roman"/>
                  <w:b/>
                  <w:bCs/>
                  <w:sz w:val="32"/>
                  <w:szCs w:val="36"/>
                </w:rPr>
                <w:t>Methods</w:t>
              </w:r>
              <w:r>
                <w:rPr>
                  <w:rStyle w:val="34"/>
                  <w:rFonts w:ascii="Times New Roman" w:hAnsi="Times New Roman"/>
                  <w:sz w:val="32"/>
                  <w:szCs w:val="36"/>
                  <w:lang w:eastAsia="zh"/>
                </w:rPr>
                <w:t xml:space="preserve"> </w:t>
              </w:r>
              <w:r>
                <w:rPr>
                  <w:rFonts w:ascii="Times New Roman" w:hAnsi="Times New Roman"/>
                </w:rPr>
                <w:ptab w:relativeTo="margin" w:alignment="right" w:leader="dot"/>
              </w:r>
              <w:r>
                <w:rPr>
                  <w:rFonts w:ascii="Times New Roman" w:hAnsi="Times New Roman"/>
                </w:rPr>
                <w:t xml:space="preserve">2 </w:t>
              </w:r>
              <w:r>
                <w:rPr>
                  <w:rFonts w:ascii="Times New Roman" w:hAnsi="Times New Roman"/>
                </w:rPr>
                <w:tab/>
              </w:r>
              <w:r>
                <w:rPr>
                  <w:rFonts w:ascii="Times New Roman" w:hAnsi="Times New Roman"/>
                  <w:b/>
                  <w:bCs/>
                  <w:kern w:val="2"/>
                  <w:lang w:eastAsia="zh" w:bidi="ar"/>
                </w:rPr>
                <w:t>PL_G, PL_S1 and PL_S2 (S01, S02, S07) .</w:t>
              </w:r>
              <w:r>
                <w:rPr>
                  <w:rFonts w:ascii="Times New Roman" w:hAnsi="Times New Roman"/>
                </w:rPr>
                <w:ptab w:relativeTo="margin" w:alignment="right" w:leader="dot"/>
              </w:r>
              <w:r>
                <w:rPr>
                  <w:rFonts w:ascii="Times New Roman" w:hAnsi="Times New Roman"/>
                </w:rPr>
                <w:t xml:space="preserve">2 </w:t>
              </w:r>
              <w:r>
                <w:rPr>
                  <w:rFonts w:ascii="Times New Roman" w:hAnsi="Times New Roman"/>
                </w:rPr>
                <w:tab/>
              </w:r>
              <w:r>
                <w:rPr>
                  <w:rFonts w:ascii="Times New Roman" w:hAnsi="Times New Roman"/>
                  <w:b/>
                  <w:bCs/>
                  <w:kern w:val="2"/>
                  <w:lang w:eastAsia="zh" w:bidi="ar"/>
                </w:rPr>
                <w:t>HH_Z (S03) .</w:t>
              </w:r>
              <w:r>
                <w:rPr>
                  <w:rFonts w:ascii="Times New Roman" w:hAnsi="Times New Roman"/>
                </w:rPr>
                <w:ptab w:relativeTo="margin" w:alignment="right" w:leader="dot"/>
              </w:r>
              <w:r>
                <w:rPr>
                  <w:rFonts w:ascii="Times New Roman" w:hAnsi="Times New Roman"/>
                </w:rPr>
                <w:t xml:space="preserve">2 </w:t>
              </w:r>
              <w:r>
                <w:rPr>
                  <w:rFonts w:ascii="Times New Roman" w:hAnsi="Times New Roman"/>
                </w:rPr>
                <w:tab/>
              </w:r>
              <w:r>
                <w:rPr>
                  <w:rFonts w:ascii="Times New Roman" w:hAnsi="Times New Roman"/>
                  <w:b/>
                  <w:bCs/>
                  <w:kern w:val="2"/>
                  <w:lang w:eastAsia="zh" w:bidi="ar"/>
                </w:rPr>
                <w:t xml:space="preserve">QL_W (S04) </w:t>
              </w:r>
              <w:r>
                <w:rPr>
                  <w:rFonts w:ascii="Times New Roman" w:hAnsi="Times New Roman"/>
                  <w:b/>
                  <w:bCs/>
                  <w:kern w:val="2"/>
                  <w:lang w:bidi="ar"/>
                </w:rPr>
                <w:t>.</w:t>
              </w:r>
              <w:r>
                <w:rPr>
                  <w:rFonts w:ascii="Times New Roman" w:hAnsi="Times New Roman"/>
                </w:rPr>
                <w:ptab w:relativeTo="margin" w:alignment="right" w:leader="dot"/>
              </w:r>
              <w:r>
                <w:rPr>
                  <w:rFonts w:ascii="Times New Roman" w:hAnsi="Times New Roman"/>
                </w:rPr>
                <w:t>2</w:t>
              </w:r>
            </w:p>
            <w:p w14:paraId="44C11A59">
              <w:pPr>
                <w:ind w:firstLine="420"/>
                <w:rPr>
                  <w:rFonts w:ascii="Times New Roman" w:hAnsi="Times New Roman"/>
                </w:rPr>
              </w:pPr>
              <w:r>
                <w:rPr>
                  <w:rFonts w:ascii="Times New Roman" w:hAnsi="Times New Roman"/>
                  <w:b/>
                  <w:bCs/>
                  <w:kern w:val="2"/>
                  <w:lang w:bidi="ar"/>
                </w:rPr>
                <w:t>XW</w:t>
              </w:r>
              <w:r>
                <w:rPr>
                  <w:rFonts w:ascii="Times New Roman" w:hAnsi="Times New Roman"/>
                  <w:b/>
                  <w:bCs/>
                  <w:kern w:val="2"/>
                  <w:lang w:eastAsia="zh" w:bidi="ar"/>
                </w:rPr>
                <w:t>_</w:t>
              </w:r>
              <w:r>
                <w:rPr>
                  <w:rFonts w:ascii="Times New Roman" w:hAnsi="Times New Roman"/>
                  <w:b/>
                  <w:bCs/>
                  <w:kern w:val="2"/>
                  <w:lang w:bidi="ar"/>
                </w:rPr>
                <w:t>H</w:t>
              </w:r>
              <w:r>
                <w:rPr>
                  <w:rFonts w:ascii="Times New Roman" w:hAnsi="Times New Roman"/>
                  <w:b/>
                  <w:bCs/>
                  <w:kern w:val="2"/>
                  <w:lang w:eastAsia="zh" w:bidi="ar"/>
                </w:rPr>
                <w:t xml:space="preserve"> (S0</w:t>
              </w:r>
              <w:r>
                <w:rPr>
                  <w:rFonts w:ascii="Times New Roman" w:hAnsi="Times New Roman"/>
                  <w:b/>
                  <w:bCs/>
                  <w:kern w:val="2"/>
                  <w:lang w:bidi="ar"/>
                </w:rPr>
                <w:t>5</w:t>
              </w:r>
              <w:r>
                <w:rPr>
                  <w:rFonts w:ascii="Times New Roman" w:hAnsi="Times New Roman"/>
                  <w:b/>
                  <w:bCs/>
                  <w:kern w:val="2"/>
                  <w:lang w:eastAsia="zh" w:bidi="ar"/>
                </w:rPr>
                <w:t>)</w:t>
              </w:r>
              <w:r>
                <w:rPr>
                  <w:rFonts w:ascii="Times New Roman" w:hAnsi="Times New Roman"/>
                  <w:b/>
                  <w:bCs/>
                  <w:kern w:val="2"/>
                  <w:lang w:bidi="ar"/>
                </w:rPr>
                <w:t>.</w:t>
              </w:r>
              <w:r>
                <w:rPr>
                  <w:rFonts w:ascii="Times New Roman" w:hAnsi="Times New Roman"/>
                </w:rPr>
                <w:ptab w:relativeTo="margin" w:alignment="right" w:leader="dot"/>
              </w:r>
              <w:r>
                <w:rPr>
                  <w:rFonts w:ascii="Times New Roman" w:hAnsi="Times New Roman"/>
                </w:rPr>
                <w:t>2</w:t>
              </w:r>
            </w:p>
            <w:p w14:paraId="3F1C9E5A">
              <w:pPr>
                <w:rPr>
                  <w:rFonts w:ascii="Times New Roman" w:hAnsi="Times New Roman"/>
                </w:rPr>
              </w:pPr>
              <w:r>
                <w:rPr>
                  <w:rFonts w:ascii="Times New Roman" w:hAnsi="Times New Roman"/>
                  <w:smallCaps/>
                </w:rPr>
                <w:tab/>
              </w:r>
              <w:r>
                <w:rPr>
                  <w:rFonts w:ascii="Times New Roman" w:hAnsi="Times New Roman"/>
                  <w:b/>
                  <w:bCs/>
                  <w:kern w:val="2"/>
                  <w:lang w:bidi="ar"/>
                </w:rPr>
                <w:t>XW</w:t>
              </w:r>
              <w:r>
                <w:rPr>
                  <w:rFonts w:ascii="Times New Roman" w:hAnsi="Times New Roman"/>
                  <w:b/>
                  <w:bCs/>
                  <w:kern w:val="2"/>
                  <w:lang w:eastAsia="zh" w:bidi="ar"/>
                </w:rPr>
                <w:t>_</w:t>
              </w:r>
              <w:r>
                <w:rPr>
                  <w:rFonts w:ascii="Times New Roman" w:hAnsi="Times New Roman"/>
                  <w:b/>
                  <w:bCs/>
                  <w:kern w:val="2"/>
                  <w:lang w:bidi="ar"/>
                </w:rPr>
                <w:t>Z</w:t>
              </w:r>
              <w:r>
                <w:rPr>
                  <w:rFonts w:ascii="Times New Roman" w:hAnsi="Times New Roman"/>
                  <w:b/>
                  <w:bCs/>
                  <w:kern w:val="2"/>
                  <w:lang w:eastAsia="zh" w:bidi="ar"/>
                </w:rPr>
                <w:t xml:space="preserve"> (S0</w:t>
              </w:r>
              <w:r>
                <w:rPr>
                  <w:rFonts w:ascii="Times New Roman" w:hAnsi="Times New Roman"/>
                  <w:b/>
                  <w:bCs/>
                  <w:kern w:val="2"/>
                  <w:lang w:bidi="ar"/>
                </w:rPr>
                <w:t>6</w:t>
              </w:r>
              <w:r>
                <w:rPr>
                  <w:rFonts w:ascii="Times New Roman" w:hAnsi="Times New Roman"/>
                  <w:b/>
                  <w:bCs/>
                  <w:kern w:val="2"/>
                  <w:lang w:eastAsia="zh" w:bidi="ar"/>
                </w:rPr>
                <w:t>)</w:t>
              </w:r>
              <w:r>
                <w:rPr>
                  <w:rFonts w:ascii="Times New Roman" w:hAnsi="Times New Roman"/>
                  <w:b/>
                  <w:bCs/>
                  <w:kern w:val="2"/>
                  <w:lang w:bidi="ar"/>
                </w:rPr>
                <w:t>.</w:t>
              </w:r>
              <w:r>
                <w:rPr>
                  <w:rFonts w:ascii="Times New Roman" w:hAnsi="Times New Roman"/>
                </w:rPr>
                <w:ptab w:relativeTo="margin" w:alignment="right" w:leader="dot"/>
              </w:r>
              <w:r>
                <w:rPr>
                  <w:rFonts w:ascii="Times New Roman" w:hAnsi="Times New Roman"/>
                </w:rPr>
                <w:t>3</w:t>
              </w:r>
            </w:p>
            <w:p w14:paraId="47F3AA40">
              <w:pPr>
                <w:rPr>
                  <w:rFonts w:ascii="Times New Roman" w:hAnsi="Times New Roman"/>
                </w:rPr>
              </w:pPr>
              <w:r>
                <w:rPr>
                  <w:rStyle w:val="34"/>
                  <w:rFonts w:ascii="Times New Roman" w:hAnsi="Times New Roman"/>
                  <w:b/>
                  <w:bCs/>
                  <w:sz w:val="32"/>
                  <w:szCs w:val="36"/>
                  <w:lang w:eastAsia="zh"/>
                </w:rPr>
                <w:t>Supplementary Results</w:t>
              </w:r>
              <w:r>
                <w:rPr>
                  <w:rStyle w:val="34"/>
                  <w:rFonts w:ascii="Times New Roman" w:hAnsi="Times New Roman"/>
                  <w:sz w:val="32"/>
                  <w:szCs w:val="36"/>
                  <w:lang w:eastAsia="zh"/>
                </w:rPr>
                <w:t xml:space="preserve"> </w:t>
              </w:r>
              <w:r>
                <w:rPr>
                  <w:rFonts w:ascii="Times New Roman" w:hAnsi="Times New Roman"/>
                </w:rPr>
                <w:ptab w:relativeTo="margin" w:alignment="right" w:leader="dot"/>
              </w:r>
              <w:r>
                <w:rPr>
                  <w:rFonts w:ascii="Times New Roman" w:hAnsi="Times New Roman"/>
                </w:rPr>
                <w:t xml:space="preserve">4 </w:t>
              </w:r>
              <w:r>
                <w:rPr>
                  <w:rFonts w:ascii="Times New Roman" w:hAnsi="Times New Roman"/>
                </w:rPr>
                <w:tab/>
              </w:r>
              <w:sdt>
                <w:sdtPr>
                  <w:rPr>
                    <w:rFonts w:ascii="Times New Roman" w:hAnsi="Times New Roman"/>
                    <w:smallCaps/>
                  </w:rPr>
                  <w:id w:val="946268238"/>
                  <w:placeholder>
                    <w:docPart w:val="AA3A2CBAC459774EBC11D5954CD5CCA2"/>
                  </w:placeholder>
                  <w:temporary/>
                </w:sdtPr>
                <w:sdtEndPr>
                  <w:rPr>
                    <w:rFonts w:ascii="Times New Roman" w:hAnsi="Times New Roman"/>
                    <w:smallCaps/>
                  </w:rPr>
                </w:sdtEndPr>
                <w:sdtContent>
                  <w:r>
                    <w:rPr>
                      <w:rFonts w:ascii="Times New Roman" w:hAnsi="Times New Roman"/>
                      <w:b/>
                      <w:bCs/>
                      <w:kern w:val="2"/>
                      <w:lang w:bidi="ar"/>
                    </w:rPr>
                    <w:t xml:space="preserve">Alterations in </w:t>
                  </w:r>
                  <w:r>
                    <w:rPr>
                      <w:rFonts w:ascii="Times New Roman" w:hAnsi="Times New Roman"/>
                      <w:b/>
                      <w:bCs/>
                      <w:kern w:val="2"/>
                      <w:lang w:eastAsia="zh" w:bidi="ar"/>
                    </w:rPr>
                    <w:t>AI of structural morphological metrics</w:t>
                  </w:r>
                  <w:r>
                    <w:rPr>
                      <w:rFonts w:ascii="Times New Roman" w:hAnsi="Times New Roman"/>
                      <w:b/>
                      <w:bCs/>
                      <w:kern w:val="2"/>
                      <w:lang w:bidi="ar"/>
                    </w:rPr>
                    <w:t xml:space="preserve"> </w:t>
                  </w:r>
                  <w:r>
                    <w:rPr>
                      <w:rFonts w:ascii="Times New Roman" w:hAnsi="Times New Roman"/>
                      <w:b/>
                      <w:bCs/>
                      <w:kern w:val="2"/>
                      <w:lang w:eastAsia="zh" w:bidi="ar"/>
                    </w:rPr>
                    <w:t>in AD.</w:t>
                  </w:r>
                </w:sdtContent>
              </w:sdt>
              <w:r>
                <w:rPr>
                  <w:rFonts w:ascii="Times New Roman" w:hAnsi="Times New Roman"/>
                </w:rPr>
                <w:ptab w:relativeTo="margin" w:alignment="right" w:leader="dot"/>
              </w:r>
              <w:r>
                <w:rPr>
                  <w:rFonts w:ascii="Times New Roman" w:hAnsi="Times New Roman"/>
                </w:rPr>
                <w:t xml:space="preserve">4 </w:t>
              </w:r>
              <w:r>
                <w:rPr>
                  <w:rFonts w:ascii="Times New Roman" w:hAnsi="Times New Roman"/>
                </w:rPr>
                <w:tab/>
              </w:r>
              <w:sdt>
                <w:sdtPr>
                  <w:rPr>
                    <w:rFonts w:ascii="Times New Roman" w:hAnsi="Times New Roman"/>
                    <w:smallCaps/>
                  </w:rPr>
                  <w:id w:val="991754410"/>
                  <w:placeholder>
                    <w:docPart w:val="E1A71BB1DF93D04CB9E4A8F832B1AEF5"/>
                  </w:placeholder>
                  <w:temporary/>
                </w:sdtPr>
                <w:sdtEndPr>
                  <w:rPr>
                    <w:rFonts w:ascii="Times New Roman" w:hAnsi="Times New Roman"/>
                    <w:smallCaps/>
                  </w:rPr>
                </w:sdtEndPr>
                <w:sdtContent>
                  <w:r>
                    <w:rPr>
                      <w:rFonts w:ascii="Times New Roman" w:hAnsi="Times New Roman"/>
                      <w:b/>
                      <w:bCs/>
                      <w:kern w:val="2"/>
                      <w:lang w:bidi="ar"/>
                    </w:rPr>
                    <w:t xml:space="preserve">Alterations in HFC </w:t>
                  </w:r>
                  <w:r>
                    <w:rPr>
                      <w:rFonts w:ascii="Times New Roman" w:hAnsi="Times New Roman"/>
                      <w:b/>
                      <w:bCs/>
                      <w:kern w:val="2"/>
                      <w:lang w:eastAsia="zh" w:bidi="ar"/>
                    </w:rPr>
                    <w:t>and the AI of structural morphological metrics</w:t>
                  </w:r>
                  <w:r>
                    <w:rPr>
                      <w:rFonts w:ascii="Times New Roman" w:hAnsi="Times New Roman"/>
                      <w:b/>
                      <w:bCs/>
                      <w:kern w:val="2"/>
                      <w:lang w:bidi="ar"/>
                    </w:rPr>
                    <w:t xml:space="preserve"> </w:t>
                  </w:r>
                  <w:r>
                    <w:rPr>
                      <w:rFonts w:ascii="Times New Roman" w:hAnsi="Times New Roman"/>
                      <w:b/>
                      <w:bCs/>
                      <w:kern w:val="2"/>
                      <w:lang w:eastAsia="zh" w:bidi="ar"/>
                    </w:rPr>
                    <w:t>in MCI.</w:t>
                  </w:r>
                </w:sdtContent>
              </w:sdt>
              <w:r>
                <w:rPr>
                  <w:rFonts w:ascii="Times New Roman" w:hAnsi="Times New Roman"/>
                </w:rPr>
                <w:ptab w:relativeTo="margin" w:alignment="right" w:leader="dot"/>
              </w:r>
              <w:r>
                <w:rPr>
                  <w:rFonts w:ascii="Times New Roman" w:hAnsi="Times New Roman"/>
                </w:rPr>
                <w:t xml:space="preserve">4 </w:t>
              </w:r>
              <w:r>
                <w:rPr>
                  <w:rFonts w:ascii="Times New Roman" w:hAnsi="Times New Roman"/>
                </w:rPr>
                <w:tab/>
              </w:r>
              <w:sdt>
                <w:sdtPr>
                  <w:rPr>
                    <w:rFonts w:ascii="Times New Roman" w:hAnsi="Times New Roman"/>
                    <w:smallCaps/>
                  </w:rPr>
                  <w:id w:val="-1"/>
                  <w:placeholder>
                    <w:docPart w:val="75B9518530145143B71F0FFB78B03696"/>
                  </w:placeholder>
                  <w:temporary/>
                </w:sdtPr>
                <w:sdtEndPr>
                  <w:rPr>
                    <w:rFonts w:ascii="Times New Roman" w:hAnsi="Times New Roman"/>
                    <w:smallCaps/>
                  </w:rPr>
                </w:sdtEndPr>
                <w:sdtContent>
                  <w:r>
                    <w:rPr>
                      <w:rFonts w:ascii="Times New Roman" w:hAnsi="Times New Roman"/>
                      <w:b/>
                      <w:bCs/>
                      <w:kern w:val="2"/>
                      <w:lang w:bidi="ar"/>
                    </w:rPr>
                    <w:t>Model performance under different feature selection schemes in classification task</w:t>
                  </w:r>
                  <w:r>
                    <w:rPr>
                      <w:rFonts w:ascii="Times New Roman" w:hAnsi="Times New Roman"/>
                      <w:b/>
                      <w:bCs/>
                      <w:kern w:val="2"/>
                      <w:lang w:eastAsia="zh" w:bidi="ar"/>
                    </w:rPr>
                    <w:t xml:space="preserve"> </w:t>
                  </w:r>
                  <w:r>
                    <w:rPr>
                      <w:rFonts w:ascii="Times New Roman" w:hAnsi="Times New Roman"/>
                      <w:b/>
                      <w:bCs/>
                      <w:kern w:val="2"/>
                      <w:lang w:bidi="ar"/>
                    </w:rPr>
                    <w:t xml:space="preserve">distinguishing AD from </w:t>
                  </w:r>
                  <w:r>
                    <w:rPr>
                      <w:rFonts w:ascii="Times New Roman" w:hAnsi="Times New Roman"/>
                      <w:b/>
                      <w:bCs/>
                      <w:kern w:val="2"/>
                      <w:lang w:eastAsia="zh" w:bidi="ar"/>
                    </w:rPr>
                    <w:t>MCI</w:t>
                  </w:r>
                  <w:r>
                    <w:rPr>
                      <w:rFonts w:ascii="Times New Roman" w:hAnsi="Times New Roman"/>
                      <w:b/>
                      <w:bCs/>
                      <w:kern w:val="2"/>
                      <w:lang w:bidi="ar"/>
                    </w:rPr>
                    <w:t>.</w:t>
                  </w:r>
                </w:sdtContent>
              </w:sdt>
              <w:r>
                <w:rPr>
                  <w:rFonts w:ascii="Times New Roman" w:hAnsi="Times New Roman"/>
                </w:rPr>
                <w:ptab w:relativeTo="margin" w:alignment="right" w:leader="dot"/>
              </w:r>
              <w:r>
                <w:rPr>
                  <w:rFonts w:ascii="Times New Roman" w:hAnsi="Times New Roman"/>
                </w:rPr>
                <w:t>4</w:t>
              </w:r>
            </w:p>
            <w:p w14:paraId="69D744FF">
              <w:pPr>
                <w:rPr>
                  <w:rFonts w:ascii="Times New Roman" w:hAnsi="Times New Roman"/>
                </w:rPr>
              </w:pPr>
              <w:r>
                <w:rPr>
                  <w:rFonts w:ascii="Times New Roman" w:hAnsi="Times New Roman"/>
                  <w:smallCaps/>
                </w:rPr>
                <w:tab/>
              </w:r>
              <w:r>
                <w:rPr>
                  <w:rFonts w:ascii="Times New Roman" w:hAnsi="Times New Roman"/>
                  <w:b/>
                  <w:bCs/>
                  <w:kern w:val="2"/>
                  <w:lang w:bidi="ar"/>
                </w:rPr>
                <w:t xml:space="preserve">Model performance under different feature selection schemes in </w:t>
              </w:r>
              <w:r>
                <w:rPr>
                  <w:rFonts w:ascii="Times New Roman" w:hAnsi="Times New Roman"/>
                  <w:b/>
                  <w:bCs/>
                  <w:lang w:eastAsia="zh" w:bidi="ar"/>
                </w:rPr>
                <w:t xml:space="preserve">prediction clinical cognitive scores for </w:t>
              </w:r>
              <w:r>
                <w:rPr>
                  <w:rFonts w:ascii="Times New Roman" w:hAnsi="Times New Roman"/>
                  <w:b/>
                  <w:bCs/>
                  <w:kern w:val="2"/>
                  <w:lang w:bidi="ar"/>
                </w:rPr>
                <w:t xml:space="preserve">AD from </w:t>
              </w:r>
              <w:r>
                <w:rPr>
                  <w:rFonts w:ascii="Times New Roman" w:hAnsi="Times New Roman"/>
                  <w:b/>
                  <w:bCs/>
                  <w:kern w:val="2"/>
                  <w:lang w:eastAsia="zh" w:bidi="ar"/>
                </w:rPr>
                <w:t>MCI</w:t>
              </w:r>
              <w:r>
                <w:rPr>
                  <w:rFonts w:ascii="Times New Roman" w:hAnsi="Times New Roman"/>
                  <w:b/>
                  <w:bCs/>
                  <w:kern w:val="2"/>
                  <w:lang w:bidi="ar"/>
                </w:rPr>
                <w:t>.</w:t>
              </w:r>
              <w:r>
                <w:rPr>
                  <w:rFonts w:ascii="Times New Roman" w:hAnsi="Times New Roman"/>
                </w:rPr>
                <w:ptab w:relativeTo="margin" w:alignment="right" w:leader="dot"/>
              </w:r>
              <w:r>
                <w:rPr>
                  <w:rFonts w:ascii="Times New Roman" w:hAnsi="Times New Roman"/>
                </w:rPr>
                <w:t>5</w:t>
              </w:r>
            </w:p>
            <w:p w14:paraId="027ECC1F">
              <w:pPr>
                <w:rPr>
                  <w:rFonts w:ascii="Times New Roman" w:hAnsi="Times New Roman"/>
                </w:rPr>
              </w:pPr>
              <w:sdt>
                <w:sdtPr>
                  <w:rPr>
                    <w:rFonts w:ascii="Times New Roman" w:hAnsi="Times New Roman"/>
                    <w:b/>
                    <w:caps/>
                  </w:rPr>
                  <w:id w:val="225605361"/>
                  <w:placeholder>
                    <w:docPart w:val="D1750E7CCDC50A4488E58645E352CB1E"/>
                  </w:placeholder>
                  <w:temporary/>
                </w:sdtPr>
                <w:sdtEndPr>
                  <w:rPr>
                    <w:rFonts w:ascii="Times New Roman" w:hAnsi="Times New Roman"/>
                    <w:b/>
                    <w:caps/>
                  </w:rPr>
                </w:sdtEndPr>
                <w:sdtContent>
                  <w:r>
                    <w:rPr>
                      <w:rStyle w:val="34"/>
                      <w:rFonts w:ascii="Times New Roman" w:hAnsi="Times New Roman"/>
                      <w:b/>
                      <w:bCs/>
                      <w:sz w:val="32"/>
                      <w:szCs w:val="36"/>
                    </w:rPr>
                    <w:t>Supplementary Figures</w:t>
                  </w:r>
                  <w:r>
                    <w:rPr>
                      <w:rStyle w:val="34"/>
                      <w:rFonts w:ascii="Times New Roman" w:hAnsi="Times New Roman"/>
                      <w:sz w:val="32"/>
                      <w:szCs w:val="36"/>
                    </w:rPr>
                    <w:t xml:space="preserve"> </w:t>
                  </w:r>
                </w:sdtContent>
              </w:sdt>
              <w:r>
                <w:rPr>
                  <w:rFonts w:ascii="Times New Roman" w:hAnsi="Times New Roman"/>
                </w:rPr>
                <w:ptab w:relativeTo="margin" w:alignment="right" w:leader="dot"/>
              </w:r>
              <w:r>
                <w:rPr>
                  <w:rFonts w:ascii="Times New Roman" w:hAnsi="Times New Roman"/>
                </w:rPr>
                <w:t xml:space="preserve">6 </w:t>
              </w:r>
              <w:r>
                <w:rPr>
                  <w:rFonts w:ascii="Times New Roman" w:hAnsi="Times New Roman"/>
                </w:rPr>
                <w:tab/>
              </w:r>
              <w:r>
                <w:rPr>
                  <w:rFonts w:ascii="Times New Roman" w:hAnsi="Times New Roman"/>
                  <w:b/>
                  <w:bCs/>
                  <w:kern w:val="2"/>
                  <w:lang w:bidi="ar"/>
                </w:rPr>
                <w:t>Fig. S</w:t>
              </w:r>
              <w:r>
                <w:rPr>
                  <w:rStyle w:val="34"/>
                  <w:rFonts w:ascii="Times New Roman" w:hAnsi="Times New Roman"/>
                  <w:b/>
                  <w:bCs/>
                  <w:lang w:eastAsia="zh"/>
                </w:rPr>
                <w:t>1</w:t>
              </w:r>
              <w:r>
                <w:rPr>
                  <w:rStyle w:val="34"/>
                  <w:rFonts w:ascii="Times New Roman" w:hAnsi="Times New Roman"/>
                  <w:b/>
                  <w:bCs/>
                </w:rPr>
                <w:t>. Original asymmetry index and b</w:t>
              </w:r>
              <w:r>
                <w:rPr>
                  <w:rFonts w:ascii="Times New Roman" w:hAnsi="Times New Roman"/>
                  <w:b/>
                  <w:bCs/>
                  <w:lang w:bidi="ar"/>
                </w:rPr>
                <w:t>rain regions of group difference with significant lateralization in GMV</w:t>
              </w:r>
              <w:r>
                <w:rPr>
                  <w:rStyle w:val="34"/>
                  <w:rFonts w:ascii="Times New Roman" w:hAnsi="Times New Roman"/>
                  <w:b/>
                  <w:bCs/>
                </w:rPr>
                <w:t>.</w:t>
              </w:r>
              <w:r>
                <w:rPr>
                  <w:rFonts w:ascii="Times New Roman" w:hAnsi="Times New Roman"/>
                </w:rPr>
                <w:ptab w:relativeTo="margin" w:alignment="right" w:leader="dot"/>
              </w:r>
              <w:r>
                <w:rPr>
                  <w:rFonts w:ascii="Times New Roman" w:hAnsi="Times New Roman"/>
                </w:rPr>
                <w:t xml:space="preserve">6 </w:t>
              </w:r>
            </w:p>
            <w:p w14:paraId="556980CD">
              <w:pPr>
                <w:ind w:firstLine="420"/>
                <w:rPr>
                  <w:rFonts w:ascii="Times New Roman" w:hAnsi="Times New Roman"/>
                </w:rPr>
              </w:pPr>
              <w:r>
                <w:rPr>
                  <w:rFonts w:ascii="Times New Roman" w:hAnsi="Times New Roman"/>
                  <w:b/>
                  <w:bCs/>
                  <w:kern w:val="2"/>
                  <w:lang w:bidi="ar"/>
                </w:rPr>
                <w:t>Fig. S</w:t>
              </w:r>
              <w:r>
                <w:rPr>
                  <w:rStyle w:val="34"/>
                  <w:rFonts w:ascii="Times New Roman" w:hAnsi="Times New Roman"/>
                  <w:b/>
                  <w:bCs/>
                  <w:lang w:eastAsia="zh"/>
                </w:rPr>
                <w:t>2</w:t>
              </w:r>
              <w:r>
                <w:rPr>
                  <w:rStyle w:val="34"/>
                  <w:rFonts w:ascii="Times New Roman" w:hAnsi="Times New Roman"/>
                  <w:b/>
                  <w:bCs/>
                </w:rPr>
                <w:t>. Original asymmetry index and b</w:t>
              </w:r>
              <w:r>
                <w:rPr>
                  <w:rFonts w:ascii="Times New Roman" w:hAnsi="Times New Roman"/>
                  <w:b/>
                  <w:bCs/>
                  <w:lang w:bidi="ar"/>
                </w:rPr>
                <w:t>rain regions of group difference with significant lateralization in FD</w:t>
              </w:r>
              <w:r>
                <w:rPr>
                  <w:rFonts w:ascii="Times New Roman" w:hAnsi="Times New Roman"/>
                  <w:b/>
                  <w:bCs/>
                  <w:kern w:val="2"/>
                  <w:lang w:eastAsia="zh" w:bidi="ar"/>
                </w:rPr>
                <w:t>.</w:t>
              </w:r>
              <w:r>
                <w:rPr>
                  <w:rFonts w:ascii="Times New Roman" w:hAnsi="Times New Roman"/>
                </w:rPr>
                <w:ptab w:relativeTo="margin" w:alignment="right" w:leader="dot"/>
              </w:r>
              <w:r>
                <w:rPr>
                  <w:rFonts w:ascii="Times New Roman" w:hAnsi="Times New Roman"/>
                </w:rPr>
                <w:t>7</w:t>
              </w:r>
              <w:r>
                <w:rPr>
                  <w:rFonts w:ascii="Times New Roman" w:hAnsi="Times New Roman"/>
                </w:rPr>
                <w:tab/>
              </w:r>
              <w:r>
                <w:rPr>
                  <w:rFonts w:ascii="Times New Roman" w:hAnsi="Times New Roman"/>
                  <w:b/>
                  <w:bCs/>
                  <w:kern w:val="2"/>
                  <w:lang w:bidi="ar"/>
                </w:rPr>
                <w:t>Fig. S</w:t>
              </w:r>
              <w:r>
                <w:rPr>
                  <w:rStyle w:val="34"/>
                  <w:rFonts w:ascii="Times New Roman" w:hAnsi="Times New Roman"/>
                  <w:b/>
                  <w:bCs/>
                  <w:lang w:eastAsia="zh"/>
                </w:rPr>
                <w:t>3</w:t>
              </w:r>
              <w:r>
                <w:rPr>
                  <w:rStyle w:val="34"/>
                  <w:rFonts w:ascii="Times New Roman" w:hAnsi="Times New Roman"/>
                  <w:b/>
                  <w:bCs/>
                </w:rPr>
                <w:t>. Original asymmetry index and b</w:t>
              </w:r>
              <w:r>
                <w:rPr>
                  <w:rFonts w:ascii="Times New Roman" w:hAnsi="Times New Roman"/>
                  <w:b/>
                  <w:bCs/>
                  <w:lang w:bidi="ar"/>
                </w:rPr>
                <w:t>rain regions of group difference with significant lateralization in CT</w:t>
              </w:r>
              <w:r>
                <w:rPr>
                  <w:rFonts w:ascii="Times New Roman" w:hAnsi="Times New Roman"/>
                  <w:b/>
                  <w:bCs/>
                  <w:kern w:val="2"/>
                  <w:lang w:eastAsia="zh" w:bidi="ar"/>
                </w:rPr>
                <w:t>.</w:t>
              </w:r>
              <w:r>
                <w:rPr>
                  <w:rFonts w:ascii="Times New Roman" w:hAnsi="Times New Roman"/>
                </w:rPr>
                <w:ptab w:relativeTo="margin" w:alignment="right" w:leader="dot"/>
              </w:r>
              <w:r>
                <w:rPr>
                  <w:rFonts w:ascii="Times New Roman" w:hAnsi="Times New Roman"/>
                </w:rPr>
                <w:t xml:space="preserve">7 </w:t>
              </w:r>
              <w:r>
                <w:rPr>
                  <w:rFonts w:ascii="Times New Roman" w:hAnsi="Times New Roman"/>
                </w:rPr>
                <w:tab/>
              </w:r>
              <w:r>
                <w:rPr>
                  <w:rFonts w:ascii="Times New Roman" w:hAnsi="Times New Roman"/>
                  <w:b/>
                  <w:bCs/>
                  <w:kern w:val="2"/>
                  <w:lang w:bidi="ar"/>
                </w:rPr>
                <w:t>Fig. S</w:t>
              </w:r>
              <w:r>
                <w:rPr>
                  <w:rStyle w:val="34"/>
                  <w:rFonts w:ascii="Times New Roman" w:hAnsi="Times New Roman"/>
                  <w:b/>
                  <w:bCs/>
                  <w:lang w:eastAsia="zh"/>
                </w:rPr>
                <w:t>4</w:t>
              </w:r>
              <w:r>
                <w:rPr>
                  <w:rStyle w:val="34"/>
                  <w:rFonts w:ascii="Times New Roman" w:hAnsi="Times New Roman"/>
                  <w:b/>
                  <w:bCs/>
                </w:rPr>
                <w:t>. Original asymmetry index and b</w:t>
              </w:r>
              <w:r>
                <w:rPr>
                  <w:rFonts w:ascii="Times New Roman" w:hAnsi="Times New Roman"/>
                  <w:b/>
                  <w:bCs/>
                  <w:lang w:bidi="ar"/>
                </w:rPr>
                <w:t>rain regions of group difference with significant lateralization in GI</w:t>
              </w:r>
              <w:r>
                <w:rPr>
                  <w:rStyle w:val="34"/>
                  <w:rFonts w:ascii="Times New Roman" w:hAnsi="Times New Roman"/>
                  <w:b/>
                  <w:bCs/>
                </w:rPr>
                <w:t>.</w:t>
              </w:r>
              <w:r>
                <w:rPr>
                  <w:rFonts w:ascii="Times New Roman" w:hAnsi="Times New Roman"/>
                </w:rPr>
                <w:ptab w:relativeTo="margin" w:alignment="right" w:leader="dot"/>
              </w:r>
              <w:r>
                <w:rPr>
                  <w:rFonts w:ascii="Times New Roman" w:hAnsi="Times New Roman"/>
                </w:rPr>
                <w:t xml:space="preserve">8 </w:t>
              </w:r>
              <w:r>
                <w:rPr>
                  <w:rFonts w:ascii="Times New Roman" w:hAnsi="Times New Roman"/>
                </w:rPr>
                <w:tab/>
              </w:r>
              <w:r>
                <w:rPr>
                  <w:rFonts w:ascii="Times New Roman" w:hAnsi="Times New Roman"/>
                  <w:b/>
                  <w:bCs/>
                  <w:kern w:val="2"/>
                  <w:lang w:bidi="ar"/>
                </w:rPr>
                <w:t>Fig. S</w:t>
              </w:r>
              <w:r>
                <w:rPr>
                  <w:rStyle w:val="34"/>
                  <w:rFonts w:ascii="Times New Roman" w:hAnsi="Times New Roman"/>
                  <w:b/>
                  <w:bCs/>
                  <w:lang w:eastAsia="zh"/>
                </w:rPr>
                <w:t>5</w:t>
              </w:r>
              <w:r>
                <w:rPr>
                  <w:rStyle w:val="34"/>
                  <w:rFonts w:ascii="Times New Roman" w:hAnsi="Times New Roman"/>
                  <w:b/>
                  <w:bCs/>
                </w:rPr>
                <w:t>. Original asymmetry index and b</w:t>
              </w:r>
              <w:r>
                <w:rPr>
                  <w:rFonts w:ascii="Times New Roman" w:hAnsi="Times New Roman"/>
                  <w:b/>
                  <w:bCs/>
                  <w:lang w:bidi="ar"/>
                </w:rPr>
                <w:t>rain regions of group difference with significant lateralization in SD</w:t>
              </w:r>
              <w:r>
                <w:rPr>
                  <w:rStyle w:val="34"/>
                  <w:rFonts w:ascii="Times New Roman" w:hAnsi="Times New Roman"/>
                  <w:b/>
                  <w:bCs/>
                </w:rPr>
                <w:t>.</w:t>
              </w:r>
              <w:r>
                <w:rPr>
                  <w:rFonts w:ascii="Times New Roman" w:hAnsi="Times New Roman"/>
                </w:rPr>
                <w:ptab w:relativeTo="margin" w:alignment="right" w:leader="dot"/>
              </w:r>
              <w:r>
                <w:rPr>
                  <w:rFonts w:ascii="Times New Roman" w:hAnsi="Times New Roman"/>
                </w:rPr>
                <w:t xml:space="preserve">8 </w:t>
              </w:r>
              <w:r>
                <w:rPr>
                  <w:rFonts w:ascii="Times New Roman" w:hAnsi="Times New Roman"/>
                </w:rPr>
                <w:tab/>
              </w:r>
              <w:r>
                <w:rPr>
                  <w:rFonts w:ascii="Times New Roman" w:hAnsi="Times New Roman"/>
                  <w:b/>
                  <w:bCs/>
                  <w:kern w:val="2"/>
                  <w:lang w:bidi="ar"/>
                </w:rPr>
                <w:t>Fig. S</w:t>
              </w:r>
              <w:r>
                <w:rPr>
                  <w:rStyle w:val="34"/>
                  <w:rFonts w:ascii="Times New Roman" w:hAnsi="Times New Roman"/>
                  <w:b/>
                  <w:bCs/>
                </w:rPr>
                <w:t xml:space="preserve">6. </w:t>
              </w:r>
              <w:r>
                <w:rPr>
                  <w:rFonts w:ascii="Times New Roman" w:hAnsi="Times New Roman"/>
                  <w:b/>
                  <w:bCs/>
                  <w:lang w:bidi="ar"/>
                </w:rPr>
                <w:t xml:space="preserve">Gene analysis results for group difference pattern of HFC </w:t>
              </w:r>
              <w:r>
                <w:rPr>
                  <w:rFonts w:ascii="Times New Roman" w:hAnsi="Times New Roman"/>
                  <w:b/>
                  <w:bCs/>
                  <w:lang w:eastAsia="zh" w:bidi="ar"/>
                </w:rPr>
                <w:t xml:space="preserve">between </w:t>
              </w:r>
              <w:r>
                <w:rPr>
                  <w:rFonts w:ascii="Times New Roman" w:hAnsi="Times New Roman"/>
                  <w:b/>
                  <w:bCs/>
                  <w:lang w:bidi="ar"/>
                </w:rPr>
                <w:t>AD</w:t>
              </w:r>
              <w:r>
                <w:rPr>
                  <w:rFonts w:ascii="Times New Roman" w:hAnsi="Times New Roman"/>
                  <w:b/>
                  <w:bCs/>
                  <w:lang w:eastAsia="zh" w:bidi="ar"/>
                </w:rPr>
                <w:t xml:space="preserve"> and </w:t>
              </w:r>
              <w:r>
                <w:rPr>
                  <w:rFonts w:ascii="Times New Roman" w:hAnsi="Times New Roman"/>
                  <w:b/>
                  <w:bCs/>
                  <w:lang w:bidi="ar"/>
                </w:rPr>
                <w:t>MCI.</w:t>
              </w:r>
              <w:r>
                <w:rPr>
                  <w:rFonts w:ascii="Times New Roman" w:hAnsi="Times New Roman"/>
                </w:rPr>
                <w:ptab w:relativeTo="margin" w:alignment="right" w:leader="dot"/>
              </w:r>
              <w:r>
                <w:rPr>
                  <w:rFonts w:ascii="Times New Roman" w:hAnsi="Times New Roman"/>
                </w:rPr>
                <w:t xml:space="preserve">9 </w:t>
              </w:r>
              <w:r>
                <w:rPr>
                  <w:rFonts w:ascii="Times New Roman" w:hAnsi="Times New Roman"/>
                </w:rPr>
                <w:tab/>
              </w:r>
              <w:r>
                <w:rPr>
                  <w:rFonts w:ascii="Times New Roman" w:hAnsi="Times New Roman"/>
                  <w:b/>
                  <w:bCs/>
                  <w:kern w:val="2"/>
                  <w:lang w:bidi="ar"/>
                </w:rPr>
                <w:t>Fig. S</w:t>
              </w:r>
              <w:r>
                <w:rPr>
                  <w:rStyle w:val="34"/>
                  <w:rFonts w:ascii="Times New Roman" w:hAnsi="Times New Roman"/>
                  <w:b/>
                  <w:bCs/>
                </w:rPr>
                <w:t xml:space="preserve">7. </w:t>
              </w:r>
              <w:r>
                <w:rPr>
                  <w:rFonts w:ascii="Times New Roman" w:hAnsi="Times New Roman"/>
                  <w:b/>
                  <w:bCs/>
                  <w:lang w:bidi="ar"/>
                </w:rPr>
                <w:t>Model performance under different feature selection schemes in classification task</w:t>
              </w:r>
              <w:r>
                <w:rPr>
                  <w:rFonts w:ascii="Times New Roman" w:hAnsi="Times New Roman"/>
                  <w:b/>
                  <w:bCs/>
                  <w:lang w:eastAsia="zh" w:bidi="ar"/>
                </w:rPr>
                <w:t xml:space="preserve"> </w:t>
              </w:r>
              <w:r>
                <w:rPr>
                  <w:rFonts w:ascii="Times New Roman" w:hAnsi="Times New Roman"/>
                  <w:b/>
                  <w:bCs/>
                  <w:lang w:bidi="ar"/>
                </w:rPr>
                <w:t xml:space="preserve">distinguishing AD from </w:t>
              </w:r>
              <w:r>
                <w:rPr>
                  <w:rFonts w:ascii="Times New Roman" w:hAnsi="Times New Roman"/>
                  <w:b/>
                  <w:bCs/>
                  <w:lang w:eastAsia="zh" w:bidi="ar"/>
                </w:rPr>
                <w:t>MCI</w:t>
              </w:r>
              <w:r>
                <w:rPr>
                  <w:rFonts w:ascii="Times New Roman" w:hAnsi="Times New Roman"/>
                  <w:b/>
                  <w:bCs/>
                  <w:lang w:bidi="ar"/>
                </w:rPr>
                <w:t>.</w:t>
              </w:r>
              <w:r>
                <w:rPr>
                  <w:rFonts w:ascii="Times New Roman" w:hAnsi="Times New Roman"/>
                </w:rPr>
                <w:ptab w:relativeTo="margin" w:alignment="right" w:leader="dot"/>
              </w:r>
              <w:r>
                <w:rPr>
                  <w:rFonts w:ascii="Times New Roman" w:hAnsi="Times New Roman"/>
                </w:rPr>
                <w:t xml:space="preserve">10 </w:t>
              </w:r>
              <w:r>
                <w:rPr>
                  <w:rFonts w:ascii="Times New Roman" w:hAnsi="Times New Roman"/>
                </w:rPr>
                <w:tab/>
              </w:r>
              <w:r>
                <w:rPr>
                  <w:rFonts w:ascii="Times New Roman" w:hAnsi="Times New Roman"/>
                  <w:b/>
                  <w:bCs/>
                  <w:kern w:val="2"/>
                  <w:lang w:bidi="ar"/>
                </w:rPr>
                <w:t>Fig. S</w:t>
              </w:r>
              <w:r>
                <w:rPr>
                  <w:rStyle w:val="34"/>
                  <w:rFonts w:ascii="Times New Roman" w:hAnsi="Times New Roman"/>
                  <w:b/>
                  <w:bCs/>
                </w:rPr>
                <w:t>8. Model p</w:t>
              </w:r>
              <w:r>
                <w:rPr>
                  <w:rFonts w:ascii="Times New Roman" w:hAnsi="Times New Roman"/>
                  <w:b/>
                  <w:bCs/>
                  <w:lang w:bidi="ar"/>
                </w:rPr>
                <w:t xml:space="preserve">erformance </w:t>
              </w:r>
              <w:r>
                <w:rPr>
                  <w:rFonts w:hint="eastAsia" w:ascii="Times New Roman" w:hAnsi="Times New Roman"/>
                  <w:b/>
                  <w:bCs/>
                  <w:lang w:val="en-US" w:eastAsia="zh-CN" w:bidi="ar"/>
                </w:rPr>
                <w:t xml:space="preserve">for AD only </w:t>
              </w:r>
              <w:r>
                <w:rPr>
                  <w:rFonts w:ascii="Times New Roman" w:hAnsi="Times New Roman"/>
                  <w:b/>
                  <w:bCs/>
                  <w:lang w:bidi="ar"/>
                </w:rPr>
                <w:t xml:space="preserve">under different feature selection schemes </w:t>
              </w:r>
              <w:r>
                <w:rPr>
                  <w:rFonts w:ascii="Times New Roman" w:hAnsi="Times New Roman"/>
                  <w:b/>
                  <w:bCs/>
                  <w:lang w:eastAsia="zh" w:bidi="ar"/>
                </w:rPr>
                <w:t xml:space="preserve">based on differences between AD and </w:t>
              </w:r>
              <w:r>
                <w:rPr>
                  <w:rFonts w:hint="eastAsia" w:ascii="Times New Roman" w:hAnsi="Times New Roman"/>
                  <w:b/>
                  <w:bCs/>
                  <w:lang w:val="en-US" w:eastAsia="zh-CN" w:bidi="ar"/>
                </w:rPr>
                <w:t xml:space="preserve">NC </w:t>
              </w:r>
              <w:r>
                <w:rPr>
                  <w:rFonts w:ascii="Times New Roman" w:hAnsi="Times New Roman"/>
                  <w:b/>
                  <w:bCs/>
                  <w:lang w:bidi="ar"/>
                </w:rPr>
                <w:t>in predict</w:t>
              </w:r>
              <w:r>
                <w:rPr>
                  <w:rFonts w:ascii="Times New Roman" w:hAnsi="Times New Roman"/>
                  <w:b/>
                  <w:bCs/>
                  <w:lang w:eastAsia="zh" w:bidi="ar"/>
                </w:rPr>
                <w:t>ion of the clinical cognitive scores</w:t>
              </w:r>
              <w:r>
                <w:rPr>
                  <w:rFonts w:ascii="Times New Roman" w:hAnsi="Times New Roman"/>
                  <w:b/>
                  <w:bCs/>
                  <w:lang w:bidi="ar"/>
                </w:rPr>
                <w:t>.</w:t>
              </w:r>
              <w:r>
                <w:rPr>
                  <w:rFonts w:ascii="Times New Roman" w:hAnsi="Times New Roman"/>
                </w:rPr>
                <w:ptab w:relativeTo="margin" w:alignment="right" w:leader="dot"/>
              </w:r>
              <w:r>
                <w:rPr>
                  <w:rFonts w:ascii="Times New Roman" w:hAnsi="Times New Roman"/>
                </w:rPr>
                <w:t>11</w:t>
              </w:r>
            </w:p>
            <w:p w14:paraId="4B7F1383">
              <w:pPr>
                <w:ind w:firstLine="420"/>
                <w:rPr>
                  <w:rFonts w:ascii="Times New Roman" w:hAnsi="Times New Roman"/>
                </w:rPr>
              </w:pPr>
              <w:r>
                <w:rPr>
                  <w:rFonts w:ascii="Times New Roman" w:hAnsi="Times New Roman"/>
                  <w:b/>
                  <w:bCs/>
                  <w:kern w:val="2"/>
                  <w:lang w:bidi="ar"/>
                </w:rPr>
                <w:t>Fig. S9</w:t>
              </w:r>
              <w:r>
                <w:rPr>
                  <w:rStyle w:val="34"/>
                  <w:rFonts w:ascii="Times New Roman" w:hAnsi="Times New Roman"/>
                  <w:b/>
                  <w:bCs/>
                </w:rPr>
                <w:t>. Sensitivity analysis of age adjustment</w:t>
              </w:r>
              <w:r>
                <w:rPr>
                  <w:rFonts w:ascii="Times New Roman" w:hAnsi="Times New Roman"/>
                  <w:b/>
                  <w:bCs/>
                  <w:lang w:bidi="ar"/>
                </w:rPr>
                <w:t>.</w:t>
              </w:r>
              <w:r>
                <w:rPr>
                  <w:rFonts w:ascii="Times New Roman" w:hAnsi="Times New Roman"/>
                </w:rPr>
                <w:ptab w:relativeTo="margin" w:alignment="right" w:leader="dot"/>
              </w:r>
              <w:r>
                <w:rPr>
                  <w:rFonts w:ascii="Times New Roman" w:hAnsi="Times New Roman"/>
                </w:rPr>
                <w:t>12</w:t>
              </w:r>
            </w:p>
            <w:p w14:paraId="651C6DAB">
              <w:pPr>
                <w:rPr>
                  <w:rFonts w:ascii="Times New Roman" w:hAnsi="Times New Roman"/>
                </w:rPr>
              </w:pPr>
              <w:r>
                <w:rPr>
                  <w:rFonts w:ascii="Times New Roman" w:hAnsi="Times New Roman"/>
                </w:rPr>
                <w:t xml:space="preserve"> </w:t>
              </w:r>
              <w:r>
                <w:rPr>
                  <w:rStyle w:val="34"/>
                  <w:rFonts w:ascii="Times New Roman" w:hAnsi="Times New Roman"/>
                  <w:b/>
                  <w:bCs/>
                  <w:sz w:val="32"/>
                  <w:szCs w:val="36"/>
                </w:rPr>
                <w:t>Tables</w:t>
              </w:r>
              <w:r>
                <w:rPr>
                  <w:rStyle w:val="34"/>
                  <w:rFonts w:ascii="Times New Roman" w:hAnsi="Times New Roman"/>
                  <w:sz w:val="32"/>
                  <w:szCs w:val="36"/>
                </w:rPr>
                <w:t xml:space="preserve"> </w:t>
              </w:r>
              <w:r>
                <w:rPr>
                  <w:rFonts w:ascii="Times New Roman" w:hAnsi="Times New Roman"/>
                </w:rPr>
                <w:ptab w:relativeTo="margin" w:alignment="right" w:leader="dot"/>
              </w:r>
              <w:r>
                <w:rPr>
                  <w:rFonts w:ascii="Times New Roman" w:hAnsi="Times New Roman"/>
                </w:rPr>
                <w:t xml:space="preserve">13 </w:t>
              </w:r>
              <w:r>
                <w:rPr>
                  <w:rFonts w:ascii="Times New Roman" w:hAnsi="Times New Roman"/>
                </w:rPr>
                <w:tab/>
              </w:r>
              <w:r>
                <w:rPr>
                  <w:rStyle w:val="34"/>
                  <w:rFonts w:ascii="Times New Roman" w:hAnsi="Times New Roman"/>
                  <w:b/>
                  <w:bCs/>
                </w:rPr>
                <w:t>Table S</w:t>
              </w:r>
              <w:r>
                <w:rPr>
                  <w:rStyle w:val="34"/>
                  <w:rFonts w:ascii="Times New Roman" w:hAnsi="Times New Roman"/>
                  <w:b/>
                  <w:bCs/>
                  <w:lang w:eastAsia="zh"/>
                </w:rPr>
                <w:t>1</w:t>
              </w:r>
              <w:r>
                <w:rPr>
                  <w:rStyle w:val="34"/>
                  <w:rFonts w:ascii="Times New Roman" w:hAnsi="Times New Roman"/>
                  <w:b/>
                  <w:bCs/>
                </w:rPr>
                <w:t xml:space="preserve">. </w:t>
              </w:r>
              <w:r>
                <w:rPr>
                  <w:rFonts w:ascii="Times New Roman" w:hAnsi="Times New Roman"/>
                  <w:b/>
                  <w:bCs/>
                  <w:lang w:bidi="ar"/>
                </w:rPr>
                <w:t>Brain regions of group difference with significant lateralization in GMV after FDR correction.</w:t>
              </w:r>
              <w:r>
                <w:rPr>
                  <w:rFonts w:ascii="Times New Roman" w:hAnsi="Times New Roman"/>
                </w:rPr>
                <w:ptab w:relativeTo="margin" w:alignment="right" w:leader="dot"/>
              </w:r>
              <w:r>
                <w:rPr>
                  <w:rFonts w:ascii="Times New Roman" w:hAnsi="Times New Roman"/>
                </w:rPr>
                <w:t xml:space="preserve">13 </w:t>
              </w:r>
              <w:r>
                <w:rPr>
                  <w:rFonts w:ascii="Times New Roman" w:hAnsi="Times New Roman"/>
                </w:rPr>
                <w:tab/>
              </w:r>
              <w:r>
                <w:rPr>
                  <w:rStyle w:val="34"/>
                  <w:rFonts w:ascii="Times New Roman" w:hAnsi="Times New Roman"/>
                  <w:b/>
                  <w:bCs/>
                </w:rPr>
                <w:t>Table S</w:t>
              </w:r>
              <w:r>
                <w:rPr>
                  <w:rStyle w:val="34"/>
                  <w:rFonts w:ascii="Times New Roman" w:hAnsi="Times New Roman"/>
                  <w:b/>
                  <w:bCs/>
                  <w:lang w:eastAsia="zh"/>
                </w:rPr>
                <w:t>2</w:t>
              </w:r>
              <w:r>
                <w:rPr>
                  <w:rStyle w:val="34"/>
                  <w:rFonts w:ascii="Times New Roman" w:hAnsi="Times New Roman"/>
                  <w:b/>
                  <w:bCs/>
                </w:rPr>
                <w:t xml:space="preserve">. </w:t>
              </w:r>
              <w:r>
                <w:rPr>
                  <w:rFonts w:ascii="Times New Roman" w:hAnsi="Times New Roman"/>
                  <w:b/>
                  <w:bCs/>
                  <w:lang w:bidi="ar"/>
                </w:rPr>
                <w:t>Brain regions of group difference with significant lateralization in FD after FDR correction.</w:t>
              </w:r>
              <w:r>
                <w:rPr>
                  <w:rFonts w:ascii="Times New Roman" w:hAnsi="Times New Roman"/>
                </w:rPr>
                <w:ptab w:relativeTo="margin" w:alignment="right" w:leader="dot"/>
              </w:r>
              <w:r>
                <w:rPr>
                  <w:rFonts w:ascii="Times New Roman" w:hAnsi="Times New Roman"/>
                </w:rPr>
                <w:t xml:space="preserve">13 </w:t>
              </w:r>
              <w:r>
                <w:rPr>
                  <w:rFonts w:ascii="Times New Roman" w:hAnsi="Times New Roman"/>
                </w:rPr>
                <w:tab/>
              </w:r>
              <w:r>
                <w:rPr>
                  <w:rStyle w:val="34"/>
                  <w:rFonts w:ascii="Times New Roman" w:hAnsi="Times New Roman"/>
                  <w:b/>
                  <w:bCs/>
                </w:rPr>
                <w:t>Table S</w:t>
              </w:r>
              <w:r>
                <w:rPr>
                  <w:rStyle w:val="34"/>
                  <w:rFonts w:ascii="Times New Roman" w:hAnsi="Times New Roman"/>
                  <w:b/>
                  <w:bCs/>
                  <w:lang w:eastAsia="zh"/>
                </w:rPr>
                <w:t>3</w:t>
              </w:r>
              <w:r>
                <w:rPr>
                  <w:rStyle w:val="34"/>
                  <w:rFonts w:ascii="Times New Roman" w:hAnsi="Times New Roman"/>
                  <w:b/>
                  <w:bCs/>
                </w:rPr>
                <w:t xml:space="preserve">. </w:t>
              </w:r>
              <w:r>
                <w:rPr>
                  <w:rFonts w:ascii="Times New Roman" w:hAnsi="Times New Roman"/>
                  <w:b/>
                  <w:bCs/>
                  <w:lang w:bidi="ar"/>
                </w:rPr>
                <w:t>Brain regions of group difference with significant lateralization in CT after FDR correction.</w:t>
              </w:r>
              <w:r>
                <w:rPr>
                  <w:rFonts w:ascii="Times New Roman" w:hAnsi="Times New Roman"/>
                </w:rPr>
                <w:ptab w:relativeTo="margin" w:alignment="right" w:leader="dot"/>
              </w:r>
              <w:r>
                <w:rPr>
                  <w:rFonts w:ascii="Times New Roman" w:hAnsi="Times New Roman"/>
                </w:rPr>
                <w:t xml:space="preserve">13 </w:t>
              </w:r>
              <w:r>
                <w:rPr>
                  <w:rFonts w:ascii="Times New Roman" w:hAnsi="Times New Roman"/>
                </w:rPr>
                <w:tab/>
              </w:r>
              <w:r>
                <w:rPr>
                  <w:rStyle w:val="34"/>
                  <w:rFonts w:ascii="Times New Roman" w:hAnsi="Times New Roman"/>
                  <w:b/>
                  <w:bCs/>
                </w:rPr>
                <w:t>Table S</w:t>
              </w:r>
              <w:r>
                <w:rPr>
                  <w:rStyle w:val="34"/>
                  <w:rFonts w:ascii="Times New Roman" w:hAnsi="Times New Roman"/>
                  <w:b/>
                  <w:bCs/>
                  <w:lang w:eastAsia="zh"/>
                </w:rPr>
                <w:t>4</w:t>
              </w:r>
              <w:r>
                <w:rPr>
                  <w:rStyle w:val="34"/>
                  <w:rFonts w:ascii="Times New Roman" w:hAnsi="Times New Roman"/>
                  <w:b/>
                  <w:bCs/>
                </w:rPr>
                <w:t xml:space="preserve">. </w:t>
              </w:r>
              <w:r>
                <w:rPr>
                  <w:rFonts w:ascii="Times New Roman" w:hAnsi="Times New Roman"/>
                  <w:b/>
                  <w:bCs/>
                  <w:lang w:bidi="ar"/>
                </w:rPr>
                <w:t>Brain regions of group difference with significant lateralization in GI after FDR correction.</w:t>
              </w:r>
              <w:r>
                <w:rPr>
                  <w:rFonts w:ascii="Times New Roman" w:hAnsi="Times New Roman"/>
                </w:rPr>
                <w:ptab w:relativeTo="margin" w:alignment="right" w:leader="dot"/>
              </w:r>
              <w:r>
                <w:rPr>
                  <w:rFonts w:ascii="Times New Roman" w:hAnsi="Times New Roman"/>
                </w:rPr>
                <w:t xml:space="preserve">13 </w:t>
              </w:r>
              <w:r>
                <w:rPr>
                  <w:rFonts w:ascii="Times New Roman" w:hAnsi="Times New Roman"/>
                </w:rPr>
                <w:tab/>
              </w:r>
              <w:r>
                <w:rPr>
                  <w:rStyle w:val="34"/>
                  <w:rFonts w:ascii="Times New Roman" w:hAnsi="Times New Roman"/>
                  <w:b/>
                  <w:bCs/>
                </w:rPr>
                <w:t>Table S</w:t>
              </w:r>
              <w:r>
                <w:rPr>
                  <w:rStyle w:val="34"/>
                  <w:rFonts w:ascii="Times New Roman" w:hAnsi="Times New Roman"/>
                  <w:b/>
                  <w:bCs/>
                  <w:lang w:eastAsia="zh"/>
                </w:rPr>
                <w:t>5</w:t>
              </w:r>
              <w:r>
                <w:rPr>
                  <w:rStyle w:val="34"/>
                  <w:rFonts w:ascii="Times New Roman" w:hAnsi="Times New Roman"/>
                  <w:b/>
                  <w:bCs/>
                </w:rPr>
                <w:t xml:space="preserve">. </w:t>
              </w:r>
              <w:r>
                <w:rPr>
                  <w:rFonts w:ascii="Times New Roman" w:hAnsi="Times New Roman"/>
                  <w:b/>
                  <w:bCs/>
                  <w:lang w:bidi="ar"/>
                </w:rPr>
                <w:t>Brain regions of group difference with significant lateralization in SD after FDR correction.</w:t>
              </w:r>
              <w:r>
                <w:rPr>
                  <w:rFonts w:ascii="Times New Roman" w:hAnsi="Times New Roman"/>
                </w:rPr>
                <w:ptab w:relativeTo="margin" w:alignment="right" w:leader="dot"/>
              </w:r>
              <w:r>
                <w:rPr>
                  <w:rFonts w:ascii="Times New Roman" w:hAnsi="Times New Roman"/>
                </w:rPr>
                <w:t xml:space="preserve">14 </w:t>
              </w:r>
              <w:r>
                <w:rPr>
                  <w:rFonts w:ascii="Times New Roman" w:hAnsi="Times New Roman"/>
                </w:rPr>
                <w:tab/>
              </w:r>
              <w:r>
                <w:rPr>
                  <w:rStyle w:val="34"/>
                  <w:rFonts w:ascii="Times New Roman" w:hAnsi="Times New Roman"/>
                  <w:b/>
                  <w:bCs/>
                </w:rPr>
                <w:t>Table S6. Detailed statistical results of gene expression for AD VS. NC.</w:t>
              </w:r>
              <w:r>
                <w:rPr>
                  <w:rFonts w:ascii="Times New Roman" w:hAnsi="Times New Roman"/>
                </w:rPr>
                <w:ptab w:relativeTo="margin" w:alignment="right" w:leader="dot"/>
              </w:r>
              <w:r>
                <w:rPr>
                  <w:rFonts w:ascii="Times New Roman" w:hAnsi="Times New Roman"/>
                </w:rPr>
                <w:t xml:space="preserve">14 </w:t>
              </w:r>
              <w:r>
                <w:rPr>
                  <w:rFonts w:ascii="Times New Roman" w:hAnsi="Times New Roman"/>
                </w:rPr>
                <w:tab/>
              </w:r>
              <w:r>
                <w:rPr>
                  <w:rStyle w:val="34"/>
                  <w:rFonts w:ascii="Times New Roman" w:hAnsi="Times New Roman"/>
                  <w:b/>
                  <w:bCs/>
                </w:rPr>
                <w:t>Table S7. Detailed statistical results of gene expression for AD VS. MCI.</w:t>
              </w:r>
              <w:r>
                <w:rPr>
                  <w:rFonts w:ascii="Times New Roman" w:hAnsi="Times New Roman"/>
                </w:rPr>
                <w:ptab w:relativeTo="margin" w:alignment="right" w:leader="dot"/>
              </w:r>
              <w:r>
                <w:rPr>
                  <w:rFonts w:ascii="Times New Roman" w:hAnsi="Times New Roman"/>
                </w:rPr>
                <w:t xml:space="preserve">15 </w:t>
              </w:r>
              <w:r>
                <w:rPr>
                  <w:rFonts w:ascii="Times New Roman" w:hAnsi="Times New Roman"/>
                </w:rPr>
                <w:tab/>
              </w:r>
              <w:r>
                <w:rPr>
                  <w:rStyle w:val="34"/>
                  <w:rFonts w:ascii="Times New Roman" w:hAnsi="Times New Roman"/>
                  <w:b/>
                  <w:bCs/>
                </w:rPr>
                <w:t>Table S8. The statistical results of the classification between AD and NC for each site.</w:t>
              </w:r>
              <w:r>
                <w:rPr>
                  <w:rFonts w:ascii="Times New Roman" w:hAnsi="Times New Roman"/>
                </w:rPr>
                <w:ptab w:relativeTo="margin" w:alignment="right" w:leader="dot"/>
              </w:r>
              <w:r>
                <w:rPr>
                  <w:rFonts w:ascii="Times New Roman" w:hAnsi="Times New Roman"/>
                </w:rPr>
                <w:t xml:space="preserve">15 </w:t>
              </w:r>
              <w:r>
                <w:rPr>
                  <w:rFonts w:ascii="Times New Roman" w:hAnsi="Times New Roman"/>
                </w:rPr>
                <w:tab/>
              </w:r>
              <w:r>
                <w:rPr>
                  <w:rStyle w:val="34"/>
                  <w:rFonts w:ascii="Times New Roman" w:hAnsi="Times New Roman"/>
                  <w:b/>
                  <w:bCs/>
                </w:rPr>
                <w:t>Table S9. The statistical results of the classification between AD and MCI for each site.</w:t>
              </w:r>
              <w:r>
                <w:rPr>
                  <w:rFonts w:ascii="Times New Roman" w:hAnsi="Times New Roman"/>
                </w:rPr>
                <w:ptab w:relativeTo="margin" w:alignment="right" w:leader="dot"/>
              </w:r>
              <w:r>
                <w:rPr>
                  <w:rFonts w:ascii="Times New Roman" w:hAnsi="Times New Roman"/>
                </w:rPr>
                <w:t>15</w:t>
              </w:r>
            </w:p>
            <w:p w14:paraId="0EA8143D">
              <w:pPr>
                <w:rPr>
                  <w:rFonts w:ascii="Times New Roman" w:hAnsi="Times New Roman"/>
                </w:rPr>
              </w:pPr>
              <w:r>
                <w:rPr>
                  <w:rFonts w:ascii="Times New Roman" w:hAnsi="Times New Roman"/>
                  <w:smallCaps/>
                </w:rPr>
                <w:tab/>
              </w:r>
              <w:r>
                <w:rPr>
                  <w:rStyle w:val="34"/>
                  <w:rFonts w:ascii="Times New Roman" w:hAnsi="Times New Roman"/>
                  <w:b/>
                  <w:bCs/>
                </w:rPr>
                <w:t xml:space="preserve">Table S10. </w:t>
              </w:r>
              <w:r>
                <w:rPr>
                  <w:rStyle w:val="60"/>
                  <w:b/>
                  <w:bCs/>
                </w:rPr>
                <w:t>Bootstrap analysis of performance improvement by adding HFC features to structural asymmetry metrics between AD and NC</w:t>
              </w:r>
              <w:r>
                <w:rPr>
                  <w:rStyle w:val="34"/>
                  <w:rFonts w:ascii="Times New Roman" w:hAnsi="Times New Roman"/>
                  <w:b/>
                  <w:bCs/>
                </w:rPr>
                <w:t>.</w:t>
              </w:r>
              <w:r>
                <w:rPr>
                  <w:rFonts w:ascii="Times New Roman" w:hAnsi="Times New Roman"/>
                </w:rPr>
                <w:ptab w:relativeTo="margin" w:alignment="right" w:leader="dot"/>
              </w:r>
              <w:r>
                <w:rPr>
                  <w:rFonts w:ascii="Times New Roman" w:hAnsi="Times New Roman"/>
                </w:rPr>
                <w:t>15</w:t>
              </w:r>
            </w:p>
            <w:p w14:paraId="611D16D7">
              <w:pPr>
                <w:rPr>
                  <w:rFonts w:ascii="Times New Roman" w:hAnsi="Times New Roman"/>
                </w:rPr>
              </w:pPr>
              <w:r>
                <w:rPr>
                  <w:rFonts w:ascii="Times New Roman" w:hAnsi="Times New Roman"/>
                  <w:smallCaps/>
                </w:rPr>
                <w:tab/>
              </w:r>
              <w:r>
                <w:rPr>
                  <w:rStyle w:val="34"/>
                  <w:rFonts w:ascii="Times New Roman" w:hAnsi="Times New Roman"/>
                  <w:b/>
                  <w:bCs/>
                </w:rPr>
                <w:t xml:space="preserve">Table S11. </w:t>
              </w:r>
              <w:r>
                <w:rPr>
                  <w:rStyle w:val="60"/>
                  <w:b/>
                  <w:bCs/>
                </w:rPr>
                <w:t>Bootstrap analysis of performance improvement by adding HFC features to structural asymmetry metrics between AD and MCI</w:t>
              </w:r>
              <w:r>
                <w:rPr>
                  <w:rStyle w:val="34"/>
                  <w:rFonts w:ascii="Times New Roman" w:hAnsi="Times New Roman"/>
                  <w:b/>
                  <w:bCs/>
                </w:rPr>
                <w:t>.</w:t>
              </w:r>
              <w:r>
                <w:rPr>
                  <w:rFonts w:ascii="Times New Roman" w:hAnsi="Times New Roman"/>
                </w:rPr>
                <w:ptab w:relativeTo="margin" w:alignment="right" w:leader="dot"/>
              </w:r>
              <w:r>
                <w:rPr>
                  <w:rFonts w:ascii="Times New Roman" w:hAnsi="Times New Roman"/>
                </w:rPr>
                <w:t>16</w:t>
              </w:r>
            </w:p>
            <w:p w14:paraId="3402162A">
              <w:pPr>
                <w:rPr>
                  <w:rFonts w:ascii="Times New Roman" w:hAnsi="Times New Roman"/>
                </w:rPr>
              </w:pPr>
              <w:r>
                <w:rPr>
                  <w:rFonts w:ascii="Times New Roman" w:hAnsi="Times New Roman"/>
                </w:rPr>
                <w:t xml:space="preserve"> </w:t>
              </w:r>
              <w:r>
                <w:rPr>
                  <w:rFonts w:ascii="Times New Roman" w:hAnsi="Times New Roman"/>
                </w:rPr>
                <w:tab/>
              </w:r>
              <w:r>
                <w:rPr>
                  <w:rStyle w:val="34"/>
                  <w:rFonts w:ascii="Times New Roman" w:hAnsi="Times New Roman"/>
                  <w:b/>
                  <w:bCs/>
                </w:rPr>
                <w:t>Table</w:t>
              </w:r>
              <w:r>
                <w:rPr>
                  <w:rStyle w:val="60"/>
                  <w:b/>
                  <w:bCs/>
                </w:rPr>
                <w:t xml:space="preserve"> S1</w:t>
              </w:r>
              <w:r>
                <w:rPr>
                  <w:rStyle w:val="60"/>
                  <w:rFonts w:hint="eastAsia"/>
                  <w:b/>
                  <w:bCs/>
                  <w:lang w:val="en-US" w:eastAsia="zh-CN"/>
                </w:rPr>
                <w:t>2</w:t>
              </w:r>
              <w:r>
                <w:rPr>
                  <w:rStyle w:val="60"/>
                  <w:b/>
                  <w:bCs/>
                </w:rPr>
                <w:t>. The statistical results of the prediction between AD and MCI for each site.</w:t>
              </w:r>
              <w:r>
                <w:rPr>
                  <w:rFonts w:ascii="Times New Roman" w:hAnsi="Times New Roman"/>
                </w:rPr>
                <w:ptab w:relativeTo="margin" w:alignment="right" w:leader="dot"/>
              </w:r>
              <w:r>
                <w:rPr>
                  <w:rFonts w:ascii="Times New Roman" w:hAnsi="Times New Roman"/>
                </w:rPr>
                <w:t xml:space="preserve">16 </w:t>
              </w:r>
              <w:r>
                <w:rPr>
                  <w:rFonts w:ascii="Times New Roman" w:hAnsi="Times New Roman"/>
                </w:rPr>
                <w:tab/>
              </w:r>
              <w:r>
                <w:rPr>
                  <w:rStyle w:val="34"/>
                  <w:rFonts w:ascii="Times New Roman" w:hAnsi="Times New Roman"/>
                  <w:b/>
                  <w:bCs/>
                </w:rPr>
                <w:t>Table S1</w:t>
              </w:r>
              <w:r>
                <w:rPr>
                  <w:rStyle w:val="34"/>
                  <w:rFonts w:hint="eastAsia" w:ascii="Times New Roman" w:hAnsi="Times New Roman"/>
                  <w:b/>
                  <w:bCs/>
                  <w:lang w:val="en-US"/>
                </w:rPr>
                <w:t>3</w:t>
              </w:r>
              <w:r>
                <w:rPr>
                  <w:rStyle w:val="34"/>
                  <w:rFonts w:ascii="Times New Roman" w:hAnsi="Times New Roman"/>
                  <w:b/>
                  <w:bCs/>
                </w:rPr>
                <w:t>. Brainnetome atlas.</w:t>
              </w:r>
              <w:r>
                <w:rPr>
                  <w:rFonts w:ascii="Times New Roman" w:hAnsi="Times New Roman"/>
                </w:rPr>
                <w:ptab w:relativeTo="margin" w:alignment="right" w:leader="dot"/>
              </w:r>
              <w:r>
                <w:rPr>
                  <w:rFonts w:ascii="Times New Roman" w:hAnsi="Times New Roman"/>
                </w:rPr>
                <w:t>16</w:t>
              </w:r>
            </w:p>
          </w:sdtContent>
        </w:sdt>
      </w:sdtContent>
    </w:sdt>
    <w:p w14:paraId="4F191DDA">
      <w:pPr>
        <w:pStyle w:val="14"/>
        <w:ind w:left="0"/>
        <w:rPr>
          <w:rStyle w:val="34"/>
          <w:rFonts w:ascii="Times New Roman" w:hAnsi="Times New Roman" w:eastAsiaTheme="minorHAnsi"/>
          <w:kern w:val="0"/>
          <w:sz w:val="20"/>
          <w:szCs w:val="20"/>
        </w:rPr>
      </w:pPr>
      <w:r>
        <w:rPr>
          <w:rStyle w:val="34"/>
          <w:rFonts w:ascii="Times New Roman" w:hAnsi="Times New Roman"/>
          <w:b/>
          <w:bCs/>
          <w:sz w:val="32"/>
          <w:szCs w:val="36"/>
          <w:lang w:eastAsia="zh"/>
        </w:rPr>
        <w:br w:type="page"/>
      </w:r>
    </w:p>
    <w:p w14:paraId="119B10CF">
      <w:pPr>
        <w:rPr>
          <w:rStyle w:val="34"/>
          <w:rFonts w:ascii="Times New Roman" w:hAnsi="Times New Roman"/>
          <w:b/>
          <w:bCs/>
          <w:sz w:val="32"/>
          <w:szCs w:val="36"/>
          <w:lang w:eastAsia="zh"/>
        </w:rPr>
        <w:sectPr>
          <w:footerReference r:id="rId3" w:type="default"/>
          <w:footerReference r:id="rId4" w:type="even"/>
          <w:pgSz w:w="16840" w:h="23820"/>
          <w:pgMar w:top="1440" w:right="1800" w:bottom="1440" w:left="1800" w:header="851" w:footer="992" w:gutter="0"/>
          <w:cols w:space="425" w:num="1"/>
          <w:docGrid w:type="lines" w:linePitch="312" w:charSpace="0"/>
        </w:sectPr>
      </w:pPr>
    </w:p>
    <w:p w14:paraId="04E09C29">
      <w:pPr>
        <w:rPr>
          <w:rFonts w:ascii="Times New Roman" w:hAnsi="Times New Roman"/>
          <w:b/>
          <w:bCs/>
          <w:kern w:val="2"/>
          <w:lang w:bidi="ar"/>
        </w:rPr>
      </w:pPr>
      <w:bookmarkStart w:id="0" w:name="_Toc168902319"/>
      <w:r>
        <w:rPr>
          <w:rStyle w:val="34"/>
          <w:rFonts w:ascii="Times New Roman" w:hAnsi="Times New Roman"/>
          <w:b/>
          <w:bCs/>
          <w:sz w:val="32"/>
          <w:szCs w:val="36"/>
          <w:lang w:eastAsia="zh"/>
        </w:rPr>
        <w:t xml:space="preserve">Supplementary </w:t>
      </w:r>
      <w:r>
        <w:rPr>
          <w:rStyle w:val="34"/>
          <w:rFonts w:ascii="Times New Roman" w:hAnsi="Times New Roman"/>
          <w:b/>
          <w:bCs/>
          <w:sz w:val="32"/>
          <w:szCs w:val="36"/>
        </w:rPr>
        <w:t>Methods</w:t>
      </w:r>
    </w:p>
    <w:p w14:paraId="37D384E5">
      <w:pPr>
        <w:pStyle w:val="4"/>
        <w:tabs>
          <w:tab w:val="center" w:pos="4873"/>
          <w:tab w:val="left" w:pos="5325"/>
        </w:tabs>
        <w:rPr>
          <w:rFonts w:ascii="Times New Roman" w:hAnsi="Times New Roman" w:eastAsia="宋体" w:cs="Times New Roman"/>
          <w:b/>
          <w:bCs/>
          <w:color w:val="auto"/>
          <w:kern w:val="2"/>
          <w:sz w:val="24"/>
          <w:szCs w:val="24"/>
          <w:lang w:eastAsia="zh" w:bidi="ar"/>
        </w:rPr>
      </w:pPr>
      <w:r>
        <w:rPr>
          <w:rFonts w:ascii="Times New Roman" w:hAnsi="Times New Roman" w:eastAsia="宋体" w:cs="Times New Roman"/>
          <w:b/>
          <w:bCs/>
          <w:color w:val="auto"/>
          <w:kern w:val="2"/>
          <w:sz w:val="24"/>
          <w:szCs w:val="24"/>
          <w:lang w:eastAsia="zh" w:bidi="ar"/>
        </w:rPr>
        <w:t>PL_G, PL_S1 and PL_S2 (S01, S02, S07)</w:t>
      </w:r>
      <w:bookmarkEnd w:id="0"/>
    </w:p>
    <w:p w14:paraId="489E2147">
      <w:pPr>
        <w:jc w:val="both"/>
        <w:rPr>
          <w:rFonts w:ascii="Times New Roman" w:hAnsi="Times New Roman"/>
          <w:kern w:val="2"/>
          <w:lang w:eastAsia="zh"/>
        </w:rPr>
      </w:pPr>
      <w:r>
        <w:rPr>
          <w:rFonts w:ascii="Times New Roman" w:hAnsi="Times New Roman"/>
          <w:kern w:val="2"/>
          <w:lang w:eastAsia="zh"/>
        </w:rPr>
        <w:t>This study was approved by the Medical Ethics Committee of PLA General Hospital. Written informed consent was obtained from each enrolled subject or his/her authorized guardian. All of the participants were recruited by an advertisement. Before selection for this study, all of the participants were given free physical, psychological, and laboratory examinations. All patients received professional suggestions for further treatment.</w:t>
      </w:r>
    </w:p>
    <w:p w14:paraId="756F83B2">
      <w:pPr>
        <w:jc w:val="both"/>
        <w:rPr>
          <w:rFonts w:ascii="Times New Roman" w:hAnsi="Times New Roman"/>
          <w:kern w:val="2"/>
          <w:lang w:eastAsia="zh"/>
        </w:rPr>
      </w:pPr>
      <w:r>
        <w:rPr>
          <w:rFonts w:ascii="Times New Roman" w:hAnsi="Times New Roman"/>
          <w:kern w:val="2"/>
          <w:lang w:eastAsia="zh"/>
        </w:rPr>
        <w:t xml:space="preserve">All of the subjects were right-handed and underwent a battery of neuropsychological tests, including the Mini-Mental State Examination (MMSE), auditory verbal learning test (AVLT), Geriatric Depression Scale (GDS) </w:t>
      </w:r>
      <w:r>
        <w:rPr>
          <w:rFonts w:ascii="Times New Roman" w:hAnsi="Times New Roman"/>
          <w:kern w:val="2"/>
          <w:lang w:eastAsia="zh" w:bidi="ar"/>
        </w:rPr>
        <w:fldChar w:fldCharType="begin"/>
      </w:r>
      <w:r>
        <w:rPr>
          <w:rFonts w:ascii="Times New Roman" w:hAnsi="Times New Roman"/>
          <w:kern w:val="2"/>
          <w:lang w:bidi="ar"/>
        </w:rPr>
        <w:instrText xml:space="preserve"> ADDIN ZOTERO_ITEM CSL_CITATION {"citationID":"K1kdPJM2","properties":{"formattedCitation":"[62, 63]","plainCitation":"[62, 63]","noteIndex":0},"citationItems":[{"id":"pcQaaJAh/zvKYnere","uris":["http://zotero.org/users/12740427/items/ZQGCJJTK"],"itemData":{"id":7163,"type":"article-journal","abstract":"Abstract\n            \n              The human brain demonstrates structural and functional asymmetries which have implications for ageing and mental and neurological disease development. We used a set of magnetic resonance imaging (MRI) metrics derived from structural and diffusion MRI data in\n              N\n              =48,040 UK Biobank participants to evaluate age-related differences in brain asymmetry. Most regional grey and white matter metrics presented asymmetry, which were higher later in life. Informed by these results, we conducted\n              hemispheric brain age\n              (HBA) predictions from left/right multimodal MRI metrics. HBA was concordant to conventional brain age predictions, using metrics from both hemispheres, but offers a supplemental general marker of brain asymmetry when setting left/right HBA into relationship with each other. In contrast to WM brain asymmetries, left/right discrepancies in HBA are lower at higher ages. Our findings outline various sex-specific differences, particularly important for brain age estimates, and the value of further investigating the role of brain asymmetries in brain ageing and disease development.","container-title":"Nature Communications","DOI":"10.1038/s41467-024-45282-3","ISSN":"2041-1723","issue":"1","journalAbbreviation":"Nat Commun","language":"en","page":"956","source":"DOI.org (Crossref)","title":"Brain asymmetries from mid- to late life and hemispheric brain age","volume":"15","author":[{"family":"Korbmacher","given":"Max"},{"family":"Van Der Meer","given":"Dennis"},{"family":"Beck","given":"Dani"},{"family":"De Lange","given":"Ann-Marie G."},{"family":"Eikefjord","given":"Eli"},{"family":"Lundervold","given":"Arvid"},{"family":"Andreassen","given":"Ole A."},{"family":"Westlye","given":"Lars T."},{"family":"Maximov","given":"Ivan I."}],"issued":{"date-parts":[["2024",2,1]]}},"label":"page"},{"id":"pcQaaJAh/UDdC7qMA","uris":["http://zotero.org/users/12740427/items/XY99U6BL"],"itemData":{"id":14543,"type":"article-journal","abstract":"Human brain asymmetries have been well described. Intriguingly, a number of asymmetries in brain phenotypes have been shown to change throughout the lifespan. Recent studies have revealed topological asymmetries between hemispheric white matter networks in the human brain. However, it remains unknown whether and how these topological asymmetries evolve from adolescence to young adulthood, a critical period that constitutes the second peak of human brain and cognitive development. To address this question, the present study included a large cohort of healthy adolescents and young adults. Diffusion and structural magnetic resonance imaging were acquired to construct hemispheric white matter networks, and graph-theory was applied to quantify topological parameters of the hemispheric networks. In both adolescents and young adults, rightward asymmetry in both global and local network efficiencies was consistently observed between the 2 hemispheres, but the degree of the asymmetry was significantly decreased in young adults. At the nodal level, the young adults exhibited less rightward asymmetry of nodal efficiency mainly around the parasylvian area, posterior tempo-parietal cortex, and fusiform gyrus. These developmental patterns of network asymmetry provide novel insight into the human brain structural development from adolescence to young adulthood and also likely relate to the maturation of language and social cognition that takes place during this period.","container-title":"Cerebral Cortex","DOI":"10.1093/cercor/bhw109","ISSN":"1047-3211","issue":"4","journalAbbreviation":"Cereb Cortex","page":"2560-2570","source":"Silverchair","title":"Developmental Changes in Topological Asymmetry Between Hemispheric Brain White Matter Networks from Adolescence to Young Adulthood","volume":"27","author":[{"family":"Zhong","given":"Suyu"},{"family":"He","given":"Yong"},{"family":"Shu","given":"Hua"},{"family":"Gong","given":"Gaolang"}],"issued":{"date-parts":[["2017",4,1]]}},"label":"page"}],"schema":"https://github.com/citation-style-language/schema/raw/master/csl-citation.json"} </w:instrText>
      </w:r>
      <w:r>
        <w:rPr>
          <w:rFonts w:ascii="Times New Roman" w:hAnsi="Times New Roman"/>
          <w:kern w:val="2"/>
          <w:lang w:eastAsia="zh" w:bidi="ar"/>
        </w:rPr>
        <w:fldChar w:fldCharType="separate"/>
      </w:r>
      <w:r>
        <w:rPr>
          <w:rFonts w:ascii="Times New Roman" w:hAnsi="Times New Roman"/>
        </w:rPr>
        <w:t>[</w:t>
      </w:r>
      <w:r>
        <w:fldChar w:fldCharType="begin"/>
      </w:r>
      <w:r>
        <w:instrText xml:space="preserve"> HYPERLINK \l "_ENREF_5" \o "Yesavage, 1982 #165" </w:instrText>
      </w:r>
      <w:r>
        <w:fldChar w:fldCharType="separate"/>
      </w:r>
      <w:r>
        <w:rPr>
          <w:rFonts w:ascii="Times New Roman" w:hAnsi="Times New Roman"/>
          <w:kern w:val="2"/>
        </w:rPr>
        <w:t>33</w:t>
      </w:r>
      <w:r>
        <w:rPr>
          <w:rFonts w:ascii="Times New Roman" w:hAnsi="Times New Roman"/>
          <w:kern w:val="2"/>
        </w:rPr>
        <w:fldChar w:fldCharType="end"/>
      </w:r>
      <w:r>
        <w:rPr>
          <w:rFonts w:ascii="Times New Roman" w:hAnsi="Times New Roman"/>
        </w:rPr>
        <w:t>]</w:t>
      </w:r>
      <w:r>
        <w:rPr>
          <w:rFonts w:ascii="Times New Roman" w:hAnsi="Times New Roman"/>
          <w:kern w:val="2"/>
          <w:lang w:eastAsia="zh" w:bidi="ar"/>
        </w:rPr>
        <w:fldChar w:fldCharType="end"/>
      </w:r>
      <w:r>
        <w:rPr>
          <w:rFonts w:ascii="Times New Roman" w:hAnsi="Times New Roman"/>
          <w:kern w:val="2"/>
          <w:lang w:eastAsia="zh"/>
        </w:rPr>
        <w:t xml:space="preserve">, </w:t>
      </w:r>
      <w:bookmarkStart w:id="1" w:name="OLE_LINK66"/>
      <w:r>
        <w:rPr>
          <w:rFonts w:ascii="Times New Roman" w:hAnsi="Times New Roman"/>
          <w:kern w:val="2"/>
          <w:lang w:eastAsia="zh"/>
        </w:rPr>
        <w:t xml:space="preserve">Clinical Dementia Rating </w:t>
      </w:r>
      <w:bookmarkEnd w:id="1"/>
      <w:r>
        <w:rPr>
          <w:rFonts w:ascii="Times New Roman" w:hAnsi="Times New Roman"/>
          <w:kern w:val="2"/>
          <w:lang w:eastAsia="zh"/>
        </w:rPr>
        <w:t xml:space="preserve">(CDR) </w:t>
      </w:r>
      <w:r>
        <w:rPr>
          <w:rFonts w:ascii="Times New Roman" w:hAnsi="Times New Roman"/>
          <w:kern w:val="2"/>
          <w:lang w:eastAsia="zh" w:bidi="ar"/>
        </w:rPr>
        <w:fldChar w:fldCharType="begin"/>
      </w:r>
      <w:r>
        <w:rPr>
          <w:rFonts w:ascii="Times New Roman" w:hAnsi="Times New Roman"/>
          <w:kern w:val="2"/>
          <w:lang w:bidi="ar"/>
        </w:rPr>
        <w:instrText xml:space="preserve"> ADDIN ZOTERO_ITEM CSL_CITATION {"citationID":"K1kdPJM2","properties":{"formattedCitation":"[62, 63]","plainCitation":"[62, 63]","noteIndex":0},"citationItems":[{"id":"pcQaaJAh/zvKYnere","uris":["http://zotero.org/users/12740427/items/ZQGCJJTK"],"itemData":{"id":7163,"type":"article-journal","abstract":"Abstract\n            \n              The human brain demonstrates structural and functional asymmetries which have implications for ageing and mental and neurological disease development. We used a set of magnetic resonance imaging (MRI) metrics derived from structural and diffusion MRI data in\n              N\n              =48,040 UK Biobank participants to evaluate age-related differences in brain asymmetry. Most regional grey and white matter metrics presented asymmetry, which were higher later in life. Informed by these results, we conducted\n              hemispheric brain age\n              (HBA) predictions from left/right multimodal MRI metrics. HBA was concordant to conventional brain age predictions, using metrics from both hemispheres, but offers a supplemental general marker of brain asymmetry when setting left/right HBA into relationship with each other. In contrast to WM brain asymmetries, left/right discrepancies in HBA are lower at higher ages. Our findings outline various sex-specific differences, particularly important for brain age estimates, and the value of further investigating the role of brain asymmetries in brain ageing and disease development.","container-title":"Nature Communications","DOI":"10.1038/s41467-024-45282-3","ISSN":"2041-1723","issue":"1","journalAbbreviation":"Nat Commun","language":"en","page":"956","source":"DOI.org (Crossref)","title":"Brain asymmetries from mid- to late life and hemispheric brain age","volume":"15","author":[{"family":"Korbmacher","given":"Max"},{"family":"Van Der Meer","given":"Dennis"},{"family":"Beck","given":"Dani"},{"family":"De Lange","given":"Ann-Marie G."},{"family":"Eikefjord","given":"Eli"},{"family":"Lundervold","given":"Arvid"},{"family":"Andreassen","given":"Ole A."},{"family":"Westlye","given":"Lars T."},{"family":"Maximov","given":"Ivan I."}],"issued":{"date-parts":[["2024",2,1]]}},"label":"page"},{"id":"pcQaaJAh/UDdC7qMA","uris":["http://zotero.org/users/12740427/items/XY99U6BL"],"itemData":{"id":14543,"type":"article-journal","abstract":"Human brain asymmetries have been well described. Intriguingly, a number of asymmetries in brain phenotypes have been shown to change throughout the lifespan. Recent studies have revealed topological asymmetries between hemispheric white matter networks in the human brain. However, it remains unknown whether and how these topological asymmetries evolve from adolescence to young adulthood, a critical period that constitutes the second peak of human brain and cognitive development. To address this question, the present study included a large cohort of healthy adolescents and young adults. Diffusion and structural magnetic resonance imaging were acquired to construct hemispheric white matter networks, and graph-theory was applied to quantify topological parameters of the hemispheric networks. In both adolescents and young adults, rightward asymmetry in both global and local network efficiencies was consistently observed between the 2 hemispheres, but the degree of the asymmetry was significantly decreased in young adults. At the nodal level, the young adults exhibited less rightward asymmetry of nodal efficiency mainly around the parasylvian area, posterior tempo-parietal cortex, and fusiform gyrus. These developmental patterns of network asymmetry provide novel insight into the human brain structural development from adolescence to young adulthood and also likely relate to the maturation of language and social cognition that takes place during this period.","container-title":"Cerebral Cortex","DOI":"10.1093/cercor/bhw109","ISSN":"1047-3211","issue":"4","journalAbbreviation":"Cereb Cortex","page":"2560-2570","source":"Silverchair","title":"Developmental Changes in Topological Asymmetry Between Hemispheric Brain White Matter Networks from Adolescence to Young Adulthood","volume":"27","author":[{"family":"Zhong","given":"Suyu"},{"family":"He","given":"Yong"},{"family":"Shu","given":"Hua"},{"family":"Gong","given":"Gaolang"}],"issued":{"date-parts":[["2017",4,1]]}},"label":"page"}],"schema":"https://github.com/citation-style-language/schema/raw/master/csl-citation.json"} </w:instrText>
      </w:r>
      <w:r>
        <w:rPr>
          <w:rFonts w:ascii="Times New Roman" w:hAnsi="Times New Roman"/>
          <w:kern w:val="2"/>
          <w:lang w:eastAsia="zh" w:bidi="ar"/>
        </w:rPr>
        <w:fldChar w:fldCharType="separate"/>
      </w:r>
      <w:r>
        <w:rPr>
          <w:rFonts w:ascii="Times New Roman" w:hAnsi="Times New Roman"/>
        </w:rPr>
        <w:t>[</w:t>
      </w:r>
      <w:r>
        <w:fldChar w:fldCharType="begin"/>
      </w:r>
      <w:r>
        <w:instrText xml:space="preserve"> HYPERLINK \l "_ENREF_5" \o "Yesavage, 1982 #165" </w:instrText>
      </w:r>
      <w:r>
        <w:fldChar w:fldCharType="separate"/>
      </w:r>
      <w:r>
        <w:rPr>
          <w:rFonts w:ascii="Times New Roman" w:hAnsi="Times New Roman"/>
          <w:kern w:val="2"/>
        </w:rPr>
        <w:t>34</w:t>
      </w:r>
      <w:r>
        <w:rPr>
          <w:rFonts w:ascii="Times New Roman" w:hAnsi="Times New Roman"/>
          <w:kern w:val="2"/>
        </w:rPr>
        <w:fldChar w:fldCharType="end"/>
      </w:r>
      <w:r>
        <w:rPr>
          <w:rFonts w:ascii="Times New Roman" w:hAnsi="Times New Roman"/>
        </w:rPr>
        <w:t>]</w:t>
      </w:r>
      <w:r>
        <w:rPr>
          <w:rFonts w:ascii="Times New Roman" w:hAnsi="Times New Roman"/>
          <w:kern w:val="2"/>
          <w:lang w:eastAsia="zh" w:bidi="ar"/>
        </w:rPr>
        <w:fldChar w:fldCharType="end"/>
      </w:r>
      <w:r>
        <w:rPr>
          <w:rFonts w:ascii="Times New Roman" w:hAnsi="Times New Roman"/>
          <w:kern w:val="2"/>
          <w:lang w:eastAsia="zh"/>
        </w:rPr>
        <w:t>, and Activities of Daily Living (ADL) Scale. In brief, the AVLT consisted of 1 learning trial in which a list of 10 Chinese double-character words was read and the subject was asked to immediately recall as many items as possible. The trial was repeated twice, and the immediate recall score was the average of 3 accurate recalls. After a 5-minute delay, each subject was asked to recall the words from the initial list (AVLT-delayed recall). The subjects were then told to identify the 10 studied words, which were inter-mixed with 10 novel words (AVLT-recognition).</w:t>
      </w:r>
    </w:p>
    <w:p w14:paraId="521C3AE0">
      <w:pPr>
        <w:jc w:val="both"/>
        <w:rPr>
          <w:rFonts w:ascii="Times New Roman" w:hAnsi="Times New Roman"/>
          <w:kern w:val="2"/>
          <w:lang w:eastAsia="zh"/>
        </w:rPr>
      </w:pPr>
      <w:r>
        <w:rPr>
          <w:rFonts w:ascii="Times New Roman" w:hAnsi="Times New Roman"/>
          <w:kern w:val="2"/>
          <w:lang w:eastAsia="zh"/>
        </w:rPr>
        <w:t>The recruited AD patients fulfilled the following inclusion criteria: (1) diagnosed using the National Institute of Neurological and Communicative Disorders and Stroke and the Alzheimer Disease and Related Disorders Association criteria for probable AD</w:t>
      </w:r>
      <w:r>
        <w:rPr>
          <w:rFonts w:hint="eastAsia" w:ascii="Times New Roman" w:hAnsi="Times New Roman"/>
          <w:kern w:val="2"/>
        </w:rPr>
        <w:t xml:space="preserve"> </w:t>
      </w:r>
      <w:r>
        <w:rPr>
          <w:rFonts w:ascii="Times New Roman" w:hAnsi="Times New Roman"/>
          <w:kern w:val="2"/>
        </w:rPr>
        <w:t>[31]</w:t>
      </w:r>
      <w:r>
        <w:rPr>
          <w:rFonts w:ascii="Times New Roman" w:hAnsi="Times New Roman"/>
          <w:kern w:val="2"/>
          <w:lang w:eastAsia="zh"/>
        </w:rPr>
        <w:t>; (2) CDR = 1 or 2; (3) currently receiving no tropic drugs, such as cholinesterase inhibitors; and (4) able to perform the neuropsychological tests and tolerate MR scanning.</w:t>
      </w:r>
    </w:p>
    <w:p w14:paraId="200B7CEB">
      <w:pPr>
        <w:jc w:val="both"/>
        <w:rPr>
          <w:rFonts w:ascii="Times New Roman" w:hAnsi="Times New Roman"/>
          <w:kern w:val="2"/>
          <w:lang w:eastAsia="zh"/>
        </w:rPr>
      </w:pPr>
      <w:r>
        <w:rPr>
          <w:rFonts w:ascii="Times New Roman" w:hAnsi="Times New Roman"/>
          <w:kern w:val="2"/>
          <w:lang w:eastAsia="zh"/>
        </w:rPr>
        <w:t xml:space="preserve">The diagnostic criteria for MCI were determined as previously described </w:t>
      </w:r>
      <w:r>
        <w:rPr>
          <w:rFonts w:ascii="Times New Roman" w:hAnsi="Times New Roman"/>
          <w:kern w:val="2"/>
          <w:lang w:eastAsia="zh" w:bidi="ar"/>
        </w:rPr>
        <w:fldChar w:fldCharType="begin"/>
      </w:r>
      <w:r>
        <w:rPr>
          <w:rFonts w:ascii="Times New Roman" w:hAnsi="Times New Roman"/>
          <w:kern w:val="2"/>
          <w:lang w:bidi="ar"/>
        </w:rPr>
        <w:instrText xml:space="preserve"> ADDIN ZOTERO_ITEM CSL_CITATION {"citationID":"K1kdPJM2","properties":{"formattedCitation":"[62, 63]","plainCitation":"[62, 63]","noteIndex":0},"citationItems":[{"id":"pcQaaJAh/zvKYnere","uris":["http://zotero.org/users/12740427/items/ZQGCJJTK"],"itemData":{"id":7163,"type":"article-journal","abstract":"Abstract\n            \n              The human brain demonstrates structural and functional asymmetries which have implications for ageing and mental and neurological disease development. We used a set of magnetic resonance imaging (MRI) metrics derived from structural and diffusion MRI data in\n              N\n              =48,040 UK Biobank participants to evaluate age-related differences in brain asymmetry. Most regional grey and white matter metrics presented asymmetry, which were higher later in life. Informed by these results, we conducted\n              hemispheric brain age\n              (HBA) predictions from left/right multimodal MRI metrics. HBA was concordant to conventional brain age predictions, using metrics from both hemispheres, but offers a supplemental general marker of brain asymmetry when setting left/right HBA into relationship with each other. In contrast to WM brain asymmetries, left/right discrepancies in HBA are lower at higher ages. Our findings outline various sex-specific differences, particularly important for brain age estimates, and the value of further investigating the role of brain asymmetries in brain ageing and disease development.","container-title":"Nature Communications","DOI":"10.1038/s41467-024-45282-3","ISSN":"2041-1723","issue":"1","journalAbbreviation":"Nat Commun","language":"en","page":"956","source":"DOI.org (Crossref)","title":"Brain asymmetries from mid- to late life and hemispheric brain age","volume":"15","author":[{"family":"Korbmacher","given":"Max"},{"family":"Van Der Meer","given":"Dennis"},{"family":"Beck","given":"Dani"},{"family":"De Lange","given":"Ann-Marie G."},{"family":"Eikefjord","given":"Eli"},{"family":"Lundervold","given":"Arvid"},{"family":"Andreassen","given":"Ole A."},{"family":"Westlye","given":"Lars T."},{"family":"Maximov","given":"Ivan I."}],"issued":{"date-parts":[["2024",2,1]]}},"label":"page"},{"id":"pcQaaJAh/UDdC7qMA","uris":["http://zotero.org/users/12740427/items/XY99U6BL"],"itemData":{"id":14543,"type":"article-journal","abstract":"Human brain asymmetries have been well described. Intriguingly, a number of asymmetries in brain phenotypes have been shown to change throughout the lifespan. Recent studies have revealed topological asymmetries between hemispheric white matter networks in the human brain. However, it remains unknown whether and how these topological asymmetries evolve from adolescence to young adulthood, a critical period that constitutes the second peak of human brain and cognitive development. To address this question, the present study included a large cohort of healthy adolescents and young adults. Diffusion and structural magnetic resonance imaging were acquired to construct hemispheric white matter networks, and graph-theory was applied to quantify topological parameters of the hemispheric networks. In both adolescents and young adults, rightward asymmetry in both global and local network efficiencies was consistently observed between the 2 hemispheres, but the degree of the asymmetry was significantly decreased in young adults. At the nodal level, the young adults exhibited less rightward asymmetry of nodal efficiency mainly around the parasylvian area, posterior tempo-parietal cortex, and fusiform gyrus. These developmental patterns of network asymmetry provide novel insight into the human brain structural development from adolescence to young adulthood and also likely relate to the maturation of language and social cognition that takes place during this period.","container-title":"Cerebral Cortex","DOI":"10.1093/cercor/bhw109","ISSN":"1047-3211","issue":"4","journalAbbreviation":"Cereb Cortex","page":"2560-2570","source":"Silverchair","title":"Developmental Changes in Topological Asymmetry Between Hemispheric Brain White Matter Networks from Adolescence to Young Adulthood","volume":"27","author":[{"family":"Zhong","given":"Suyu"},{"family":"He","given":"Yong"},{"family":"Shu","given":"Hua"},{"family":"Gong","given":"Gaolang"}],"issued":{"date-parts":[["2017",4,1]]}},"label":"page"}],"schema":"https://github.com/citation-style-language/schema/raw/master/csl-citation.json"} </w:instrText>
      </w:r>
      <w:r>
        <w:rPr>
          <w:rFonts w:ascii="Times New Roman" w:hAnsi="Times New Roman"/>
          <w:kern w:val="2"/>
          <w:lang w:eastAsia="zh" w:bidi="ar"/>
        </w:rPr>
        <w:fldChar w:fldCharType="separate"/>
      </w:r>
      <w:r>
        <w:rPr>
          <w:rFonts w:ascii="Times New Roman" w:hAnsi="Times New Roman"/>
        </w:rPr>
        <w:t>[</w:t>
      </w:r>
      <w:r>
        <w:fldChar w:fldCharType="begin"/>
      </w:r>
      <w:r>
        <w:instrText xml:space="preserve"> HYPERLINK \l "_ENREF_5" \o "Yesavage, 1982 #165" </w:instrText>
      </w:r>
      <w:r>
        <w:fldChar w:fldCharType="separate"/>
      </w:r>
      <w:r>
        <w:rPr>
          <w:rFonts w:ascii="Times New Roman" w:hAnsi="Times New Roman"/>
          <w:kern w:val="2"/>
        </w:rPr>
        <w:t>35</w:t>
      </w:r>
      <w:r>
        <w:rPr>
          <w:rFonts w:ascii="Times New Roman" w:hAnsi="Times New Roman"/>
          <w:kern w:val="2"/>
        </w:rPr>
        <w:fldChar w:fldCharType="end"/>
      </w:r>
      <w:r>
        <w:rPr>
          <w:rFonts w:ascii="Times New Roman" w:hAnsi="Times New Roman"/>
        </w:rPr>
        <w:t>]</w:t>
      </w:r>
      <w:r>
        <w:rPr>
          <w:rFonts w:ascii="Times New Roman" w:hAnsi="Times New Roman"/>
          <w:kern w:val="2"/>
          <w:lang w:eastAsia="zh" w:bidi="ar"/>
        </w:rPr>
        <w:fldChar w:fldCharType="end"/>
      </w:r>
      <w:r>
        <w:rPr>
          <w:rFonts w:ascii="Times New Roman" w:hAnsi="Times New Roman"/>
          <w:kern w:val="2"/>
          <w:lang w:eastAsia="zh"/>
        </w:rPr>
        <w:t xml:space="preserve"> and included the following: (1) memory complaints lasting at least 6 months; (2) CDR = 0.5; (3) intact functional status and ADL&lt; 26; and (4) lack of dementia. The criteria for NC included the following: (1) normal physical status; (2) CDR = 0; and (3) without memory complaints.</w:t>
      </w:r>
    </w:p>
    <w:p w14:paraId="73C3F92B">
      <w:pPr>
        <w:jc w:val="both"/>
        <w:rPr>
          <w:rFonts w:ascii="Times New Roman" w:hAnsi="Times New Roman"/>
          <w:kern w:val="2"/>
          <w:lang w:eastAsia="zh"/>
        </w:rPr>
      </w:pPr>
      <w:bookmarkStart w:id="2" w:name="_Toc27057116"/>
      <w:bookmarkStart w:id="3" w:name="_Toc528850432"/>
      <w:r>
        <w:rPr>
          <w:rFonts w:ascii="Times New Roman" w:hAnsi="Times New Roman"/>
          <w:kern w:val="2"/>
          <w:lang w:eastAsia="zh"/>
        </w:rPr>
        <w:t>The following exclusion criteria were used in this study: (1) metabolic conditions such as hypothyroidism or vitamin B12/folic acid deficiencies; (2) psychiatric disorders such as schizophrenia or depression; (3) infarction or brain hemorrhaging, as indicated by MR/CT imaging; and (4) Parkinsonian syndrome, epilepsy, or other nervous system diseases that can influence cognitive function. In addition, patients with a metallic foreign body, such as a cochlear implant, heart stent, or other relevant MR scanning contraindications, were excluded from the study.</w:t>
      </w:r>
    </w:p>
    <w:p w14:paraId="403AD07F">
      <w:pPr>
        <w:jc w:val="both"/>
        <w:rPr>
          <w:rFonts w:ascii="Times New Roman" w:hAnsi="Times New Roman"/>
          <w:kern w:val="2"/>
          <w:lang w:eastAsia="zh"/>
        </w:rPr>
      </w:pPr>
      <w:r>
        <w:rPr>
          <w:rFonts w:ascii="Times New Roman" w:hAnsi="Times New Roman"/>
          <w:kern w:val="2"/>
          <w:lang w:eastAsia="zh"/>
        </w:rPr>
        <w:t xml:space="preserve">Related publications can be found elsewhere </w:t>
      </w:r>
      <w:r>
        <w:rPr>
          <w:rFonts w:ascii="Times New Roman" w:hAnsi="Times New Roman"/>
          <w:kern w:val="2"/>
          <w:lang w:eastAsia="zh" w:bidi="ar"/>
        </w:rPr>
        <w:fldChar w:fldCharType="begin"/>
      </w:r>
      <w:r>
        <w:rPr>
          <w:rFonts w:ascii="Times New Roman" w:hAnsi="Times New Roman"/>
          <w:kern w:val="2"/>
          <w:lang w:bidi="ar"/>
        </w:rPr>
        <w:instrText xml:space="preserve"> ADDIN ZOTERO_ITEM CSL_CITATION {"citationID":"K1kdPJM2","properties":{"formattedCitation":"[62, 63]","plainCitation":"[62, 63]","noteIndex":0},"citationItems":[{"id":"pcQaaJAh/zvKYnere","uris":["http://zotero.org/users/12740427/items/ZQGCJJTK"],"itemData":{"id":7163,"type":"article-journal","abstract":"Abstract\n            \n              The human brain demonstrates structural and functional asymmetries which have implications for ageing and mental and neurological disease development. We used a set of magnetic resonance imaging (MRI) metrics derived from structural and diffusion MRI data in\n              N\n              =48,040 UK Biobank participants to evaluate age-related differences in brain asymmetry. Most regional grey and white matter metrics presented asymmetry, which were higher later in life. Informed by these results, we conducted\n              hemispheric brain age\n              (HBA) predictions from left/right multimodal MRI metrics. HBA was concordant to conventional brain age predictions, using metrics from both hemispheres, but offers a supplemental general marker of brain asymmetry when setting left/right HBA into relationship with each other. In contrast to WM brain asymmetries, left/right discrepancies in HBA are lower at higher ages. Our findings outline various sex-specific differences, particularly important for brain age estimates, and the value of further investigating the role of brain asymmetries in brain ageing and disease development.","container-title":"Nature Communications","DOI":"10.1038/s41467-024-45282-3","ISSN":"2041-1723","issue":"1","journalAbbreviation":"Nat Commun","language":"en","page":"956","source":"DOI.org (Crossref)","title":"Brain asymmetries from mid- to late life and hemispheric brain age","volume":"15","author":[{"family":"Korbmacher","given":"Max"},{"family":"Van Der Meer","given":"Dennis"},{"family":"Beck","given":"Dani"},{"family":"De Lange","given":"Ann-Marie G."},{"family":"Eikefjord","given":"Eli"},{"family":"Lundervold","given":"Arvid"},{"family":"Andreassen","given":"Ole A."},{"family":"Westlye","given":"Lars T."},{"family":"Maximov","given":"Ivan I."}],"issued":{"date-parts":[["2024",2,1]]}},"label":"page"},{"id":"pcQaaJAh/UDdC7qMA","uris":["http://zotero.org/users/12740427/items/XY99U6BL"],"itemData":{"id":14543,"type":"article-journal","abstract":"Human brain asymmetries have been well described. Intriguingly, a number of asymmetries in brain phenotypes have been shown to change throughout the lifespan. Recent studies have revealed topological asymmetries between hemispheric white matter networks in the human brain. However, it remains unknown whether and how these topological asymmetries evolve from adolescence to young adulthood, a critical period that constitutes the second peak of human brain and cognitive development. To address this question, the present study included a large cohort of healthy adolescents and young adults. Diffusion and structural magnetic resonance imaging were acquired to construct hemispheric white matter networks, and graph-theory was applied to quantify topological parameters of the hemispheric networks. In both adolescents and young adults, rightward asymmetry in both global and local network efficiencies was consistently observed between the 2 hemispheres, but the degree of the asymmetry was significantly decreased in young adults. At the nodal level, the young adults exhibited less rightward asymmetry of nodal efficiency mainly around the parasylvian area, posterior tempo-parietal cortex, and fusiform gyrus. These developmental patterns of network asymmetry provide novel insight into the human brain structural development from adolescence to young adulthood and also likely relate to the maturation of language and social cognition that takes place during this period.","container-title":"Cerebral Cortex","DOI":"10.1093/cercor/bhw109","ISSN":"1047-3211","issue":"4","journalAbbreviation":"Cereb Cortex","page":"2560-2570","source":"Silverchair","title":"Developmental Changes in Topological Asymmetry Between Hemispheric Brain White Matter Networks from Adolescence to Young Adulthood","volume":"27","author":[{"family":"Zhong","given":"Suyu"},{"family":"He","given":"Yong"},{"family":"Shu","given":"Hua"},{"family":"Gong","given":"Gaolang"}],"issued":{"date-parts":[["2017",4,1]]}},"label":"page"}],"schema":"https://github.com/citation-style-language/schema/raw/master/csl-citation.json"} </w:instrText>
      </w:r>
      <w:r>
        <w:rPr>
          <w:rFonts w:ascii="Times New Roman" w:hAnsi="Times New Roman"/>
          <w:kern w:val="2"/>
          <w:lang w:eastAsia="zh" w:bidi="ar"/>
        </w:rPr>
        <w:fldChar w:fldCharType="separate"/>
      </w:r>
      <w:r>
        <w:rPr>
          <w:rFonts w:ascii="Times New Roman" w:hAnsi="Times New Roman"/>
        </w:rPr>
        <w:t>[</w:t>
      </w:r>
      <w:r>
        <w:fldChar w:fldCharType="begin"/>
      </w:r>
      <w:r>
        <w:instrText xml:space="preserve"> HYPERLINK \l "_ENREF_5" \o "Yesavage, 1982 #165" </w:instrText>
      </w:r>
      <w:r>
        <w:fldChar w:fldCharType="separate"/>
      </w:r>
      <w:r>
        <w:rPr>
          <w:rFonts w:ascii="Times New Roman" w:hAnsi="Times New Roman"/>
          <w:kern w:val="2"/>
        </w:rPr>
        <w:t>36</w:t>
      </w:r>
      <w:r>
        <w:rPr>
          <w:rFonts w:ascii="Times New Roman" w:hAnsi="Times New Roman"/>
        </w:rPr>
        <w:t>–</w:t>
      </w:r>
      <w:r>
        <w:rPr>
          <w:rFonts w:ascii="Times New Roman" w:hAnsi="Times New Roman"/>
          <w:kern w:val="2"/>
        </w:rPr>
        <w:t>45</w:t>
      </w:r>
      <w:r>
        <w:rPr>
          <w:rFonts w:ascii="Times New Roman" w:hAnsi="Times New Roman"/>
          <w:kern w:val="2"/>
        </w:rPr>
        <w:fldChar w:fldCharType="end"/>
      </w:r>
      <w:r>
        <w:rPr>
          <w:rFonts w:ascii="Times New Roman" w:hAnsi="Times New Roman"/>
        </w:rPr>
        <w:t>]</w:t>
      </w:r>
      <w:r>
        <w:rPr>
          <w:rFonts w:ascii="Times New Roman" w:hAnsi="Times New Roman"/>
          <w:kern w:val="2"/>
          <w:lang w:eastAsia="zh" w:bidi="ar"/>
        </w:rPr>
        <w:fldChar w:fldCharType="end"/>
      </w:r>
      <w:r>
        <w:rPr>
          <w:rFonts w:ascii="Times New Roman" w:hAnsi="Times New Roman"/>
          <w:kern w:val="2"/>
          <w:lang w:eastAsia="zh"/>
        </w:rPr>
        <w:t xml:space="preserve">. </w:t>
      </w:r>
    </w:p>
    <w:p w14:paraId="2B5D64F1">
      <w:pPr>
        <w:pStyle w:val="4"/>
        <w:tabs>
          <w:tab w:val="center" w:pos="4873"/>
          <w:tab w:val="left" w:pos="5325"/>
        </w:tabs>
        <w:rPr>
          <w:rFonts w:ascii="Times New Roman" w:hAnsi="Times New Roman" w:eastAsia="宋体" w:cs="Times New Roman"/>
          <w:b/>
          <w:bCs/>
          <w:color w:val="auto"/>
          <w:kern w:val="2"/>
          <w:sz w:val="24"/>
          <w:szCs w:val="24"/>
          <w:lang w:eastAsia="zh" w:bidi="ar"/>
        </w:rPr>
      </w:pPr>
      <w:bookmarkStart w:id="4" w:name="_Toc168902320"/>
      <w:r>
        <w:rPr>
          <w:rFonts w:ascii="Times New Roman" w:hAnsi="Times New Roman" w:eastAsia="宋体" w:cs="Times New Roman"/>
          <w:b/>
          <w:bCs/>
          <w:color w:val="auto"/>
          <w:kern w:val="2"/>
          <w:sz w:val="24"/>
          <w:szCs w:val="24"/>
          <w:lang w:eastAsia="zh" w:bidi="ar"/>
        </w:rPr>
        <w:t>HH_Z</w:t>
      </w:r>
      <w:bookmarkEnd w:id="2"/>
      <w:bookmarkEnd w:id="3"/>
      <w:r>
        <w:rPr>
          <w:rFonts w:ascii="Times New Roman" w:hAnsi="Times New Roman" w:eastAsia="宋体" w:cs="Times New Roman"/>
          <w:b/>
          <w:bCs/>
          <w:color w:val="auto"/>
          <w:kern w:val="2"/>
          <w:sz w:val="24"/>
          <w:szCs w:val="24"/>
          <w:lang w:eastAsia="zh" w:bidi="ar"/>
        </w:rPr>
        <w:t xml:space="preserve"> (S03)</w:t>
      </w:r>
      <w:bookmarkEnd w:id="4"/>
    </w:p>
    <w:p w14:paraId="38F62BFF">
      <w:pPr>
        <w:jc w:val="both"/>
        <w:rPr>
          <w:rFonts w:ascii="Times New Roman" w:hAnsi="Times New Roman"/>
          <w:kern w:val="2"/>
          <w:lang w:eastAsia="zh"/>
        </w:rPr>
      </w:pPr>
      <w:r>
        <w:rPr>
          <w:rFonts w:ascii="Times New Roman" w:hAnsi="Times New Roman"/>
          <w:kern w:val="2"/>
          <w:lang w:eastAsia="zh"/>
        </w:rPr>
        <w:t>The dataset followed the same protocol as PL_G and PL_S. This study was approved by the Medical Ethics Committee of Tianjin Huanhu Hospital. The patients were recruited from the memory clinic of the Neurology Department of Tianjin Huanhu Hospital, Tianjin, China. The control subjects were recruited from the local community using advertisements. Written informed consent was obtained from each enrolled subject or his/her authorized guardian. The participants underwent general physical, psychological, and laboratory examinations prior to enrollment in the formal study. The participants did not undergo the auditory verbal learning test. The participants did not take medications that might have influenced cognition during the scans, and all patients received professional suggestions for further treatment.</w:t>
      </w:r>
    </w:p>
    <w:p w14:paraId="5702A330">
      <w:pPr>
        <w:pStyle w:val="4"/>
        <w:tabs>
          <w:tab w:val="center" w:pos="4873"/>
          <w:tab w:val="left" w:pos="5325"/>
        </w:tabs>
        <w:rPr>
          <w:rFonts w:ascii="Times New Roman" w:hAnsi="Times New Roman" w:eastAsia="宋体" w:cs="Times New Roman"/>
          <w:b/>
          <w:bCs/>
          <w:color w:val="auto"/>
          <w:kern w:val="2"/>
          <w:sz w:val="24"/>
          <w:szCs w:val="24"/>
          <w:lang w:eastAsia="zh" w:bidi="ar"/>
        </w:rPr>
      </w:pPr>
      <w:bookmarkStart w:id="5" w:name="_Toc27057117"/>
      <w:bookmarkStart w:id="6" w:name="_Toc528850433"/>
      <w:bookmarkStart w:id="7" w:name="_Toc168902321"/>
      <w:r>
        <w:rPr>
          <w:rFonts w:ascii="Times New Roman" w:hAnsi="Times New Roman" w:eastAsia="宋体" w:cs="Times New Roman"/>
          <w:b/>
          <w:bCs/>
          <w:color w:val="auto"/>
          <w:kern w:val="2"/>
          <w:sz w:val="24"/>
          <w:szCs w:val="24"/>
          <w:lang w:eastAsia="zh" w:bidi="ar"/>
        </w:rPr>
        <w:t>QL_W</w:t>
      </w:r>
      <w:bookmarkEnd w:id="5"/>
      <w:bookmarkEnd w:id="6"/>
      <w:r>
        <w:rPr>
          <w:rFonts w:ascii="Times New Roman" w:hAnsi="Times New Roman" w:eastAsia="宋体" w:cs="Times New Roman"/>
          <w:b/>
          <w:bCs/>
          <w:color w:val="auto"/>
          <w:kern w:val="2"/>
          <w:sz w:val="24"/>
          <w:szCs w:val="24"/>
          <w:lang w:eastAsia="zh" w:bidi="ar"/>
        </w:rPr>
        <w:t xml:space="preserve"> (S04)</w:t>
      </w:r>
      <w:bookmarkEnd w:id="7"/>
    </w:p>
    <w:p w14:paraId="1B3B4234">
      <w:pPr>
        <w:jc w:val="both"/>
        <w:rPr>
          <w:rFonts w:ascii="Times New Roman" w:hAnsi="Times New Roman"/>
          <w:kern w:val="2"/>
          <w:lang w:eastAsia="zh"/>
        </w:rPr>
      </w:pPr>
      <w:r>
        <w:rPr>
          <w:rFonts w:ascii="Times New Roman" w:hAnsi="Times New Roman"/>
          <w:kern w:val="2"/>
          <w:lang w:eastAsia="zh"/>
        </w:rPr>
        <w:t>The dataset followed the same protocol as PL_G and PL_S. This study was approved by the Medical Ethics Committee of Qilu Hospital of Shandong University. The patients were recruited from the memory clinic of the Department of Neurology and Radiology, Qilu Hospital of Shandong University, Ji'nan, China. The control subjects were recruited from the local community using advertisements. Written informed consent was obtained from each enrolled subject or his/her authorized guardian. The participants underwent general physical, psychological, and laboratory examinations prior to enrollment in the formal study. The participants did not take medications that might have influenced cognition during the scans, and all patients received professional suggestions for further treatment.</w:t>
      </w:r>
    </w:p>
    <w:p w14:paraId="4B678F98">
      <w:pPr>
        <w:pStyle w:val="4"/>
        <w:tabs>
          <w:tab w:val="center" w:pos="4873"/>
          <w:tab w:val="left" w:pos="5325"/>
        </w:tabs>
        <w:rPr>
          <w:rFonts w:ascii="Times New Roman" w:hAnsi="Times New Roman" w:eastAsia="宋体" w:cs="Times New Roman"/>
          <w:b/>
          <w:bCs/>
          <w:color w:val="auto"/>
          <w:kern w:val="2"/>
          <w:sz w:val="24"/>
          <w:szCs w:val="24"/>
          <w:lang w:eastAsia="zh" w:bidi="ar"/>
        </w:rPr>
      </w:pPr>
      <w:bookmarkStart w:id="8" w:name="_Toc27057118"/>
      <w:bookmarkStart w:id="9" w:name="_Toc528850434"/>
      <w:bookmarkStart w:id="10" w:name="_Toc168902322"/>
      <w:r>
        <w:rPr>
          <w:rFonts w:ascii="Times New Roman" w:hAnsi="Times New Roman" w:eastAsia="宋体" w:cs="Times New Roman"/>
          <w:b/>
          <w:bCs/>
          <w:color w:val="auto"/>
          <w:kern w:val="2"/>
          <w:sz w:val="24"/>
          <w:szCs w:val="24"/>
          <w:lang w:eastAsia="zh" w:bidi="ar"/>
        </w:rPr>
        <w:t>XW_H</w:t>
      </w:r>
      <w:bookmarkEnd w:id="8"/>
      <w:bookmarkEnd w:id="9"/>
      <w:r>
        <w:rPr>
          <w:rFonts w:ascii="Times New Roman" w:hAnsi="Times New Roman" w:eastAsia="宋体" w:cs="Times New Roman"/>
          <w:b/>
          <w:bCs/>
          <w:color w:val="auto"/>
          <w:kern w:val="2"/>
          <w:sz w:val="24"/>
          <w:szCs w:val="24"/>
          <w:lang w:eastAsia="zh" w:bidi="ar"/>
        </w:rPr>
        <w:t xml:space="preserve"> (S05)</w:t>
      </w:r>
      <w:bookmarkEnd w:id="10"/>
    </w:p>
    <w:p w14:paraId="5EFC97BA">
      <w:pPr>
        <w:jc w:val="both"/>
        <w:rPr>
          <w:rFonts w:ascii="Times New Roman" w:hAnsi="Times New Roman"/>
          <w:kern w:val="2"/>
          <w:lang w:eastAsia="zh"/>
        </w:rPr>
      </w:pPr>
      <w:r>
        <w:rPr>
          <w:rFonts w:ascii="Times New Roman" w:hAnsi="Times New Roman"/>
          <w:kern w:val="2"/>
          <w:lang w:eastAsia="zh"/>
        </w:rPr>
        <w:t xml:space="preserve">The study was approved by the Medical Research Ethics Committee and Institutional Review Board of Xuanwu Hospital (ClinicalTrials.gov identifiers: NCT02353884 and NCT02225964). Part of the data has been used in several previous studies, and detailed information can be found elsewhere </w:t>
      </w:r>
      <w:r>
        <w:rPr>
          <w:rFonts w:ascii="Times New Roman" w:hAnsi="Times New Roman"/>
          <w:kern w:val="2"/>
          <w:lang w:eastAsia="zh" w:bidi="ar"/>
        </w:rPr>
        <w:fldChar w:fldCharType="begin"/>
      </w:r>
      <w:r>
        <w:rPr>
          <w:rFonts w:ascii="Times New Roman" w:hAnsi="Times New Roman"/>
          <w:kern w:val="2"/>
          <w:lang w:bidi="ar"/>
        </w:rPr>
        <w:instrText xml:space="preserve"> ADDIN ZOTERO_ITEM CSL_CITATION {"citationID":"K1kdPJM2","properties":{"formattedCitation":"[62, 63]","plainCitation":"[62, 63]","noteIndex":0},"citationItems":[{"id":"pcQaaJAh/zvKYnere","uris":["http://zotero.org/users/12740427/items/ZQGCJJTK"],"itemData":{"id":7163,"type":"article-journal","abstract":"Abstract\n            \n              The human brain demonstrates structural and functional asymmetries which have implications for ageing and mental and neurological disease development. We used a set of magnetic resonance imaging (MRI) metrics derived from structural and diffusion MRI data in\n              N\n              =48,040 UK Biobank participants to evaluate age-related differences in brain asymmetry. Most regional grey and white matter metrics presented asymmetry, which were higher later in life. Informed by these results, we conducted\n              hemispheric brain age\n              (HBA) predictions from left/right multimodal MRI metrics. HBA was concordant to conventional brain age predictions, using metrics from both hemispheres, but offers a supplemental general marker of brain asymmetry when setting left/right HBA into relationship with each other. In contrast to WM brain asymmetries, left/right discrepancies in HBA are lower at higher ages. Our findings outline various sex-specific differences, particularly important for brain age estimates, and the value of further investigating the role of brain asymmetries in brain ageing and disease development.","container-title":"Nature Communications","DOI":"10.1038/s41467-024-45282-3","ISSN":"2041-1723","issue":"1","journalAbbreviation":"Nat Commun","language":"en","page":"956","source":"DOI.org (Crossref)","title":"Brain asymmetries from mid- to late life and hemispheric brain age","volume":"15","author":[{"family":"Korbmacher","given":"Max"},{"family":"Van Der Meer","given":"Dennis"},{"family":"Beck","given":"Dani"},{"family":"De Lange","given":"Ann-Marie G."},{"family":"Eikefjord","given":"Eli"},{"family":"Lundervold","given":"Arvid"},{"family":"Andreassen","given":"Ole A."},{"family":"Westlye","given":"Lars T."},{"family":"Maximov","given":"Ivan I."}],"issued":{"date-parts":[["2024",2,1]]}},"label":"page"},{"id":"pcQaaJAh/UDdC7qMA","uris":["http://zotero.org/users/12740427/items/XY99U6BL"],"itemData":{"id":14543,"type":"article-journal","abstract":"Human brain asymmetries have been well described. Intriguingly, a number of asymmetries in brain phenotypes have been shown to change throughout the lifespan. Recent studies have revealed topological asymmetries between hemispheric white matter networks in the human brain. However, it remains unknown whether and how these topological asymmetries evolve from adolescence to young adulthood, a critical period that constitutes the second peak of human brain and cognitive development. To address this question, the present study included a large cohort of healthy adolescents and young adults. Diffusion and structural magnetic resonance imaging were acquired to construct hemispheric white matter networks, and graph-theory was applied to quantify topological parameters of the hemispheric networks. In both adolescents and young adults, rightward asymmetry in both global and local network efficiencies was consistently observed between the 2 hemispheres, but the degree of the asymmetry was significantly decreased in young adults. At the nodal level, the young adults exhibited less rightward asymmetry of nodal efficiency mainly around the parasylvian area, posterior tempo-parietal cortex, and fusiform gyrus. These developmental patterns of network asymmetry provide novel insight into the human brain structural development from adolescence to young adulthood and also likely relate to the maturation of language and social cognition that takes place during this period.","container-title":"Cerebral Cortex","DOI":"10.1093/cercor/bhw109","ISSN":"1047-3211","issue":"4","journalAbbreviation":"Cereb Cortex","page":"2560-2570","source":"Silverchair","title":"Developmental Changes in Topological Asymmetry Between Hemispheric Brain White Matter Networks from Adolescence to Young Adulthood","volume":"27","author":[{"family":"Zhong","given":"Suyu"},{"family":"He","given":"Yong"},{"family":"Shu","given":"Hua"},{"family":"Gong","given":"Gaolang"}],"issued":{"date-parts":[["2017",4,1]]}},"label":"page"}],"schema":"https://github.com/citation-style-language/schema/raw/master/csl-citation.json"} </w:instrText>
      </w:r>
      <w:r>
        <w:rPr>
          <w:rFonts w:ascii="Times New Roman" w:hAnsi="Times New Roman"/>
          <w:kern w:val="2"/>
          <w:lang w:eastAsia="zh" w:bidi="ar"/>
        </w:rPr>
        <w:fldChar w:fldCharType="separate"/>
      </w:r>
      <w:r>
        <w:rPr>
          <w:rFonts w:ascii="Times New Roman" w:hAnsi="Times New Roman"/>
        </w:rPr>
        <w:t>[4</w:t>
      </w:r>
      <w:r>
        <w:fldChar w:fldCharType="begin"/>
      </w:r>
      <w:r>
        <w:instrText xml:space="preserve"> HYPERLINK \l "_ENREF_5" \o "Yesavage, 1982 #165" </w:instrText>
      </w:r>
      <w:r>
        <w:fldChar w:fldCharType="separate"/>
      </w:r>
      <w:r>
        <w:rPr>
          <w:rFonts w:ascii="Times New Roman" w:hAnsi="Times New Roman"/>
          <w:kern w:val="2"/>
        </w:rPr>
        <w:t>6,47</w:t>
      </w:r>
      <w:r>
        <w:rPr>
          <w:rFonts w:ascii="Times New Roman" w:hAnsi="Times New Roman"/>
          <w:kern w:val="2"/>
        </w:rPr>
        <w:fldChar w:fldCharType="end"/>
      </w:r>
      <w:r>
        <w:rPr>
          <w:rFonts w:ascii="Times New Roman" w:hAnsi="Times New Roman"/>
        </w:rPr>
        <w:t>]</w:t>
      </w:r>
      <w:r>
        <w:rPr>
          <w:rFonts w:ascii="Times New Roman" w:hAnsi="Times New Roman"/>
          <w:kern w:val="2"/>
          <w:lang w:eastAsia="zh" w:bidi="ar"/>
        </w:rPr>
        <w:fldChar w:fldCharType="end"/>
      </w:r>
      <w:r>
        <w:rPr>
          <w:rFonts w:ascii="Times New Roman" w:hAnsi="Times New Roman"/>
          <w:kern w:val="2"/>
          <w:lang w:eastAsia="zh"/>
        </w:rPr>
        <w:t>.</w:t>
      </w:r>
    </w:p>
    <w:p w14:paraId="1B55AEC9">
      <w:pPr>
        <w:jc w:val="both"/>
        <w:rPr>
          <w:rFonts w:ascii="Times New Roman" w:hAnsi="Times New Roman"/>
          <w:kern w:val="2"/>
          <w:lang w:eastAsia="zh"/>
        </w:rPr>
      </w:pPr>
      <w:r>
        <w:rPr>
          <w:rFonts w:ascii="Times New Roman" w:hAnsi="Times New Roman"/>
          <w:kern w:val="2"/>
          <w:lang w:eastAsia="zh"/>
        </w:rPr>
        <w:t>All subjects underwent a series of standardized clinical evaluations, including a medical history interview, neurologic examination, and a battery of neuropsychological tests. The neuropsychological tests included the Chinese version of the MMSE, the Beijing version of MoCA</w:t>
      </w:r>
      <w:r>
        <w:rPr>
          <w:rFonts w:ascii="Times New Roman" w:hAnsi="Times New Roman"/>
          <w:kern w:val="2"/>
        </w:rPr>
        <w:t xml:space="preserve"> </w:t>
      </w:r>
      <w:r>
        <w:rPr>
          <w:rFonts w:ascii="Times New Roman" w:hAnsi="Times New Roman"/>
          <w:kern w:val="2"/>
          <w:lang w:eastAsia="zh" w:bidi="ar"/>
        </w:rPr>
        <w:fldChar w:fldCharType="begin"/>
      </w:r>
      <w:r>
        <w:rPr>
          <w:rFonts w:ascii="Times New Roman" w:hAnsi="Times New Roman"/>
          <w:kern w:val="2"/>
          <w:lang w:bidi="ar"/>
        </w:rPr>
        <w:instrText xml:space="preserve"> ADDIN ZOTERO_ITEM CSL_CITATION {"citationID":"K1kdPJM2","properties":{"formattedCitation":"[62, 63]","plainCitation":"[62, 63]","noteIndex":0},"citationItems":[{"id":"pcQaaJAh/zvKYnere","uris":["http://zotero.org/users/12740427/items/ZQGCJJTK"],"itemData":{"id":7163,"type":"article-journal","abstract":"Abstract\n            \n              The human brain demonstrates structural and functional asymmetries which have implications for ageing and mental and neurological disease development. We used a set of magnetic resonance imaging (MRI) metrics derived from structural and diffusion MRI data in\n              N\n              =48,040 UK Biobank participants to evaluate age-related differences in brain asymmetry. Most regional grey and white matter metrics presented asymmetry, which were higher later in life. Informed by these results, we conducted\n              hemispheric brain age\n              (HBA) predictions from left/right multimodal MRI metrics. HBA was concordant to conventional brain age predictions, using metrics from both hemispheres, but offers a supplemental general marker of brain asymmetry when setting left/right HBA into relationship with each other. In contrast to WM brain asymmetries, left/right discrepancies in HBA are lower at higher ages. Our findings outline various sex-specific differences, particularly important for brain age estimates, and the value of further investigating the role of brain asymmetries in brain ageing and disease development.","container-title":"Nature Communications","DOI":"10.1038/s41467-024-45282-3","ISSN":"2041-1723","issue":"1","journalAbbreviation":"Nat Commun","language":"en","page":"956","source":"DOI.org (Crossref)","title":"Brain asymmetries from mid- to late life and hemispheric brain age","volume":"15","author":[{"family":"Korbmacher","given":"Max"},{"family":"Van Der Meer","given":"Dennis"},{"family":"Beck","given":"Dani"},{"family":"De Lange","given":"Ann-Marie G."},{"family":"Eikefjord","given":"Eli"},{"family":"Lundervold","given":"Arvid"},{"family":"Andreassen","given":"Ole A."},{"family":"Westlye","given":"Lars T."},{"family":"Maximov","given":"Ivan I."}],"issued":{"date-parts":[["2024",2,1]]}},"label":"page"},{"id":"pcQaaJAh/UDdC7qMA","uris":["http://zotero.org/users/12740427/items/XY99U6BL"],"itemData":{"id":14543,"type":"article-journal","abstract":"Human brain asymmetries have been well described. Intriguingly, a number of asymmetries in brain phenotypes have been shown to change throughout the lifespan. Recent studies have revealed topological asymmetries between hemispheric white matter networks in the human brain. However, it remains unknown whether and how these topological asymmetries evolve from adolescence to young adulthood, a critical period that constitutes the second peak of human brain and cognitive development. To address this question, the present study included a large cohort of healthy adolescents and young adults. Diffusion and structural magnetic resonance imaging were acquired to construct hemispheric white matter networks, and graph-theory was applied to quantify topological parameters of the hemispheric networks. In both adolescents and young adults, rightward asymmetry in both global and local network efficiencies was consistently observed between the 2 hemispheres, but the degree of the asymmetry was significantly decreased in young adults. At the nodal level, the young adults exhibited less rightward asymmetry of nodal efficiency mainly around the parasylvian area, posterior tempo-parietal cortex, and fusiform gyrus. These developmental patterns of network asymmetry provide novel insight into the human brain structural development from adolescence to young adulthood and also likely relate to the maturation of language and social cognition that takes place during this period.","container-title":"Cerebral Cortex","DOI":"10.1093/cercor/bhw109","ISSN":"1047-3211","issue":"4","journalAbbreviation":"Cereb Cortex","page":"2560-2570","source":"Silverchair","title":"Developmental Changes in Topological Asymmetry Between Hemispheric Brain White Matter Networks from Adolescence to Young Adulthood","volume":"27","author":[{"family":"Zhong","given":"Suyu"},{"family":"He","given":"Yong"},{"family":"Shu","given":"Hua"},{"family":"Gong","given":"Gaolang"}],"issued":{"date-parts":[["2017",4,1]]}},"label":"page"}],"schema":"https://github.com/citation-style-language/schema/raw/master/csl-citation.json"} </w:instrText>
      </w:r>
      <w:r>
        <w:rPr>
          <w:rFonts w:ascii="Times New Roman" w:hAnsi="Times New Roman"/>
          <w:kern w:val="2"/>
          <w:lang w:eastAsia="zh" w:bidi="ar"/>
        </w:rPr>
        <w:fldChar w:fldCharType="separate"/>
      </w:r>
      <w:r>
        <w:rPr>
          <w:rFonts w:ascii="Times New Roman" w:hAnsi="Times New Roman"/>
        </w:rPr>
        <w:t>[4</w:t>
      </w:r>
      <w:r>
        <w:fldChar w:fldCharType="begin"/>
      </w:r>
      <w:r>
        <w:instrText xml:space="preserve"> HYPERLINK \l "_ENREF_5" \o "Yesavage, 1982 #165" </w:instrText>
      </w:r>
      <w:r>
        <w:fldChar w:fldCharType="separate"/>
      </w:r>
      <w:r>
        <w:rPr>
          <w:rFonts w:ascii="Times New Roman" w:hAnsi="Times New Roman"/>
          <w:kern w:val="2"/>
        </w:rPr>
        <w:t>8</w:t>
      </w:r>
      <w:r>
        <w:rPr>
          <w:rFonts w:ascii="Times New Roman" w:hAnsi="Times New Roman"/>
          <w:kern w:val="2"/>
        </w:rPr>
        <w:fldChar w:fldCharType="end"/>
      </w:r>
      <w:r>
        <w:rPr>
          <w:rFonts w:ascii="Times New Roman" w:hAnsi="Times New Roman"/>
        </w:rPr>
        <w:t>]</w:t>
      </w:r>
      <w:r>
        <w:rPr>
          <w:rFonts w:ascii="Times New Roman" w:hAnsi="Times New Roman"/>
          <w:kern w:val="2"/>
          <w:lang w:eastAsia="zh" w:bidi="ar"/>
        </w:rPr>
        <w:fldChar w:fldCharType="end"/>
      </w:r>
      <w:r>
        <w:rPr>
          <w:rFonts w:ascii="Times New Roman" w:hAnsi="Times New Roman"/>
          <w:kern w:val="2"/>
          <w:lang w:eastAsia="zh"/>
        </w:rPr>
        <w:t>, the CDR</w:t>
      </w:r>
      <w:r>
        <w:fldChar w:fldCharType="begin"/>
      </w:r>
      <w:r>
        <w:instrText xml:space="preserve"> HYPERLINK \l "_ENREF_6" \o "Morris, 1993 #166" </w:instrText>
      </w:r>
      <w:r>
        <w:fldChar w:fldCharType="separate"/>
      </w:r>
      <w:r>
        <w:rPr>
          <w:rFonts w:ascii="Times New Roman" w:hAnsi="Times New Roman"/>
          <w:kern w:val="2"/>
          <w:lang w:eastAsia="zh"/>
        </w:rPr>
        <w:fldChar w:fldCharType="begin"/>
      </w:r>
      <w:r>
        <w:rPr>
          <w:rFonts w:ascii="Times New Roman" w:hAnsi="Times New Roman"/>
          <w:kern w:val="2"/>
          <w:lang w:eastAsia="zh"/>
        </w:rPr>
        <w:instrText xml:space="preserve"> ADDIN EN.CITE &lt;EndNote&gt;&lt;Cite&gt;&lt;Author&gt;Morris&lt;/Author&gt;&lt;Year&gt;1993&lt;/Year&gt;&lt;RecNum&gt;166&lt;/RecNum&gt;&lt;DisplayText&gt;&lt;style face="superscript"&gt;6&lt;/style&gt;&lt;/DisplayText&gt;&lt;record&gt;&lt;rec-number&gt;166&lt;/rec-number&gt;&lt;foreign-keys&gt;&lt;key app="EN" db-id="esw9a0aef5tt5ueepazpvsxosfssww0fzaws" timestamp="1615470045" guid="b4697ca7-7dac-477b-a896-bd855b5810dd"&gt;166&lt;/key&gt;&lt;/foreign-keys&gt;&lt;ref-type name="Journal Article"&gt;17&lt;/ref-type&gt;&lt;contributors&gt;&lt;authors&gt;&lt;author&gt;Morris, J. C.&lt;/author&gt;&lt;/authors&gt;&lt;/contributors&gt;&lt;auth-address&gt;Department of Neurology, Washington University School of Medicine, St. Louis, MO.&lt;/auth-address&gt;&lt;titles&gt;&lt;title&gt;The Clinical Dementia Rating (CDR): current version and scoring rules&lt;/title&gt;&lt;secondary-title&gt;Neurology&lt;/secondary-title&gt;&lt;/titles&gt;&lt;periodical&gt;&lt;full-title&gt;Neurology&lt;/full-title&gt;&lt;/periodical&gt;&lt;pages&gt;2412-4&lt;/pages&gt;&lt;volume&gt;43&lt;/volume&gt;&lt;number&gt;11&lt;/number&gt;&lt;edition&gt;1993/11/01&lt;/edition&gt;&lt;keywords&gt;&lt;keyword&gt;Dementia/*psychology&lt;/keyword&gt;&lt;keyword&gt;Humans&lt;/keyword&gt;&lt;keyword&gt;*Psychiatric Status Rating Scales&lt;/keyword&gt;&lt;keyword&gt;Severity of Illness Index&lt;/keyword&gt;&lt;/keywords&gt;&lt;dates&gt;&lt;year&gt;1993&lt;/year&gt;&lt;pub-dates&gt;&lt;date&gt;Nov&lt;/date&gt;&lt;/pub-dates&gt;&lt;/dates&gt;&lt;isbn&gt;0028-3878 (Print)&amp;#xD;0028-3878 (Linking)&lt;/isbn&gt;&lt;accession-num&gt;8232972&lt;/accession-num&gt;&lt;urls&gt;&lt;related-urls&gt;&lt;url&gt;http://www.ncbi.nlm.nih.gov/entrez/query.fcgi?cmd=Retrieve&amp;amp;db=PubMed&amp;amp;dopt=Citation&amp;amp;list_uids=8232972&lt;/url&gt;&lt;/related-urls&gt;&lt;/urls&gt;&lt;language&gt;eng&lt;/language&gt;&lt;/record&gt;&lt;/Cite&gt;&lt;/EndNote&gt;</w:instrText>
      </w:r>
      <w:r>
        <w:rPr>
          <w:rFonts w:ascii="Times New Roman" w:hAnsi="Times New Roman"/>
          <w:kern w:val="2"/>
          <w:lang w:eastAsia="zh"/>
        </w:rPr>
        <w:fldChar w:fldCharType="separate"/>
      </w:r>
      <w:r>
        <w:rPr>
          <w:rFonts w:ascii="Times New Roman" w:hAnsi="Times New Roman"/>
          <w:kern w:val="2"/>
          <w:lang w:eastAsia="zh"/>
        </w:rPr>
        <w:fldChar w:fldCharType="end"/>
      </w:r>
      <w:r>
        <w:rPr>
          <w:rFonts w:ascii="Times New Roman" w:hAnsi="Times New Roman"/>
          <w:kern w:val="2"/>
          <w:lang w:eastAsia="zh"/>
        </w:rPr>
        <w:fldChar w:fldCharType="end"/>
      </w:r>
      <w:r>
        <w:rPr>
          <w:rFonts w:ascii="Times New Roman" w:hAnsi="Times New Roman"/>
          <w:kern w:val="2"/>
          <w:lang w:eastAsia="zh"/>
        </w:rPr>
        <w:t xml:space="preserve">, the AVLT </w:t>
      </w:r>
      <w:r>
        <w:rPr>
          <w:rFonts w:ascii="Times New Roman" w:hAnsi="Times New Roman"/>
          <w:kern w:val="2"/>
          <w:lang w:eastAsia="zh" w:bidi="ar"/>
        </w:rPr>
        <w:fldChar w:fldCharType="begin"/>
      </w:r>
      <w:r>
        <w:rPr>
          <w:rFonts w:ascii="Times New Roman" w:hAnsi="Times New Roman"/>
          <w:kern w:val="2"/>
          <w:lang w:bidi="ar"/>
        </w:rPr>
        <w:instrText xml:space="preserve"> ADDIN ZOTERO_ITEM CSL_CITATION {"citationID":"K1kdPJM2","properties":{"formattedCitation":"[62, 63]","plainCitation":"[62, 63]","noteIndex":0},"citationItems":[{"id":"pcQaaJAh/zvKYnere","uris":["http://zotero.org/users/12740427/items/ZQGCJJTK"],"itemData":{"id":7163,"type":"article-journal","abstract":"Abstract\n            \n              The human brain demonstrates structural and functional asymmetries which have implications for ageing and mental and neurological disease development. We used a set of magnetic resonance imaging (MRI) metrics derived from structural and diffusion MRI data in\n              N\n              =48,040 UK Biobank participants to evaluate age-related differences in brain asymmetry. Most regional grey and white matter metrics presented asymmetry, which were higher later in life. Informed by these results, we conducted\n              hemispheric brain age\n              (HBA) predictions from left/right multimodal MRI metrics. HBA was concordant to conventional brain age predictions, using metrics from both hemispheres, but offers a supplemental general marker of brain asymmetry when setting left/right HBA into relationship with each other. In contrast to WM brain asymmetries, left/right discrepancies in HBA are lower at higher ages. Our findings outline various sex-specific differences, particularly important for brain age estimates, and the value of further investigating the role of brain asymmetries in brain ageing and disease development.","container-title":"Nature Communications","DOI":"10.1038/s41467-024-45282-3","ISSN":"2041-1723","issue":"1","journalAbbreviation":"Nat Commun","language":"en","page":"956","source":"DOI.org (Crossref)","title":"Brain asymmetries from mid- to late life and hemispheric brain age","volume":"15","author":[{"family":"Korbmacher","given":"Max"},{"family":"Van Der Meer","given":"Dennis"},{"family":"Beck","given":"Dani"},{"family":"De Lange","given":"Ann-Marie G."},{"family":"Eikefjord","given":"Eli"},{"family":"Lundervold","given":"Arvid"},{"family":"Andreassen","given":"Ole A."},{"family":"Westlye","given":"Lars T."},{"family":"Maximov","given":"Ivan I."}],"issued":{"date-parts":[["2024",2,1]]}},"label":"page"},{"id":"pcQaaJAh/UDdC7qMA","uris":["http://zotero.org/users/12740427/items/XY99U6BL"],"itemData":{"id":14543,"type":"article-journal","abstract":"Human brain asymmetries have been well described. Intriguingly, a number of asymmetries in brain phenotypes have been shown to change throughout the lifespan. Recent studies have revealed topological asymmetries between hemispheric white matter networks in the human brain. However, it remains unknown whether and how these topological asymmetries evolve from adolescence to young adulthood, a critical period that constitutes the second peak of human brain and cognitive development. To address this question, the present study included a large cohort of healthy adolescents and young adults. Diffusion and structural magnetic resonance imaging were acquired to construct hemispheric white matter networks, and graph-theory was applied to quantify topological parameters of the hemispheric networks. In both adolescents and young adults, rightward asymmetry in both global and local network efficiencies was consistently observed between the 2 hemispheres, but the degree of the asymmetry was significantly decreased in young adults. At the nodal level, the young adults exhibited less rightward asymmetry of nodal efficiency mainly around the parasylvian area, posterior tempo-parietal cortex, and fusiform gyrus. These developmental patterns of network asymmetry provide novel insight into the human brain structural development from adolescence to young adulthood and also likely relate to the maturation of language and social cognition that takes place during this period.","container-title":"Cerebral Cortex","DOI":"10.1093/cercor/bhw109","ISSN":"1047-3211","issue":"4","journalAbbreviation":"Cereb Cortex","page":"2560-2570","source":"Silverchair","title":"Developmental Changes in Topological Asymmetry Between Hemispheric Brain White Matter Networks from Adolescence to Young Adulthood","volume":"27","author":[{"family":"Zhong","given":"Suyu"},{"family":"He","given":"Yong"},{"family":"Shu","given":"Hua"},{"family":"Gong","given":"Gaolang"}],"issued":{"date-parts":[["2017",4,1]]}},"label":"page"}],"schema":"https://github.com/citation-style-language/schema/raw/master/csl-citation.json"} </w:instrText>
      </w:r>
      <w:r>
        <w:rPr>
          <w:rFonts w:ascii="Times New Roman" w:hAnsi="Times New Roman"/>
          <w:kern w:val="2"/>
          <w:lang w:eastAsia="zh" w:bidi="ar"/>
        </w:rPr>
        <w:fldChar w:fldCharType="separate"/>
      </w:r>
      <w:r>
        <w:rPr>
          <w:rFonts w:ascii="Times New Roman" w:hAnsi="Times New Roman"/>
        </w:rPr>
        <w:t>[</w:t>
      </w:r>
      <w:r>
        <w:fldChar w:fldCharType="begin"/>
      </w:r>
      <w:r>
        <w:instrText xml:space="preserve"> HYPERLINK \l "_ENREF_5" \o "Yesavage, 1982 #165" </w:instrText>
      </w:r>
      <w:r>
        <w:fldChar w:fldCharType="separate"/>
      </w:r>
      <w:r>
        <w:rPr>
          <w:rFonts w:ascii="Times New Roman" w:hAnsi="Times New Roman"/>
          <w:kern w:val="2"/>
        </w:rPr>
        <w:t>49</w:t>
      </w:r>
      <w:r>
        <w:rPr>
          <w:rFonts w:ascii="Times New Roman" w:hAnsi="Times New Roman"/>
          <w:kern w:val="2"/>
        </w:rPr>
        <w:fldChar w:fldCharType="end"/>
      </w:r>
      <w:r>
        <w:rPr>
          <w:rFonts w:ascii="Times New Roman" w:hAnsi="Times New Roman"/>
        </w:rPr>
        <w:t>]</w:t>
      </w:r>
      <w:r>
        <w:rPr>
          <w:rFonts w:ascii="Times New Roman" w:hAnsi="Times New Roman"/>
          <w:kern w:val="2"/>
          <w:lang w:eastAsia="zh" w:bidi="ar"/>
        </w:rPr>
        <w:fldChar w:fldCharType="end"/>
      </w:r>
      <w:r>
        <w:rPr>
          <w:rFonts w:ascii="Times New Roman" w:hAnsi="Times New Roman"/>
          <w:kern w:val="2"/>
          <w:lang w:eastAsia="zh"/>
        </w:rPr>
        <w:t xml:space="preserve">, an ADL assessment, the Hachinski Ischemic Scale, the Hamilton Depression Rating Scale (HAMD) </w:t>
      </w:r>
      <w:r>
        <w:rPr>
          <w:rFonts w:ascii="Times New Roman" w:hAnsi="Times New Roman"/>
          <w:kern w:val="2"/>
          <w:lang w:eastAsia="zh" w:bidi="ar"/>
        </w:rPr>
        <w:fldChar w:fldCharType="begin"/>
      </w:r>
      <w:r>
        <w:rPr>
          <w:rFonts w:ascii="Times New Roman" w:hAnsi="Times New Roman"/>
          <w:kern w:val="2"/>
          <w:lang w:bidi="ar"/>
        </w:rPr>
        <w:instrText xml:space="preserve"> ADDIN ZOTERO_ITEM CSL_CITATION {"citationID":"K1kdPJM2","properties":{"formattedCitation":"[62, 63]","plainCitation":"[62, 63]","noteIndex":0},"citationItems":[{"id":"pcQaaJAh/zvKYnere","uris":["http://zotero.org/users/12740427/items/ZQGCJJTK"],"itemData":{"id":7163,"type":"article-journal","abstract":"Abstract\n            \n              The human brain demonstrates structural and functional asymmetries which have implications for ageing and mental and neurological disease development. We used a set of magnetic resonance imaging (MRI) metrics derived from structural and diffusion MRI data in\n              N\n              =48,040 UK Biobank participants to evaluate age-related differences in brain asymmetry. Most regional grey and white matter metrics presented asymmetry, which were higher later in life. Informed by these results, we conducted\n              hemispheric brain age\n              (HBA) predictions from left/right multimodal MRI metrics. HBA was concordant to conventional brain age predictions, using metrics from both hemispheres, but offers a supplemental general marker of brain asymmetry when setting left/right HBA into relationship with each other. In contrast to WM brain asymmetries, left/right discrepancies in HBA are lower at higher ages. Our findings outline various sex-specific differences, particularly important for brain age estimates, and the value of further investigating the role of brain asymmetries in brain ageing and disease development.","container-title":"Nature Communications","DOI":"10.1038/s41467-024-45282-3","ISSN":"2041-1723","issue":"1","journalAbbreviation":"Nat Commun","language":"en","page":"956","source":"DOI.org (Crossref)","title":"Brain asymmetries from mid- to late life and hemispheric brain age","volume":"15","author":[{"family":"Korbmacher","given":"Max"},{"family":"Van Der Meer","given":"Dennis"},{"family":"Beck","given":"Dani"},{"family":"De Lange","given":"Ann-Marie G."},{"family":"Eikefjord","given":"Eli"},{"family":"Lundervold","given":"Arvid"},{"family":"Andreassen","given":"Ole A."},{"family":"Westlye","given":"Lars T."},{"family":"Maximov","given":"Ivan I."}],"issued":{"date-parts":[["2024",2,1]]}},"label":"page"},{"id":"pcQaaJAh/UDdC7qMA","uris":["http://zotero.org/users/12740427/items/XY99U6BL"],"itemData":{"id":14543,"type":"article-journal","abstract":"Human brain asymmetries have been well described. Intriguingly, a number of asymmetries in brain phenotypes have been shown to change throughout the lifespan. Recent studies have revealed topological asymmetries between hemispheric white matter networks in the human brain. However, it remains unknown whether and how these topological asymmetries evolve from adolescence to young adulthood, a critical period that constitutes the second peak of human brain and cognitive development. To address this question, the present study included a large cohort of healthy adolescents and young adults. Diffusion and structural magnetic resonance imaging were acquired to construct hemispheric white matter networks, and graph-theory was applied to quantify topological parameters of the hemispheric networks. In both adolescents and young adults, rightward asymmetry in both global and local network efficiencies was consistently observed between the 2 hemispheres, but the degree of the asymmetry was significantly decreased in young adults. At the nodal level, the young adults exhibited less rightward asymmetry of nodal efficiency mainly around the parasylvian area, posterior tempo-parietal cortex, and fusiform gyrus. These developmental patterns of network asymmetry provide novel insight into the human brain structural development from adolescence to young adulthood and also likely relate to the maturation of language and social cognition that takes place during this period.","container-title":"Cerebral Cortex","DOI":"10.1093/cercor/bhw109","ISSN":"1047-3211","issue":"4","journalAbbreviation":"Cereb Cortex","page":"2560-2570","source":"Silverchair","title":"Developmental Changes in Topological Asymmetry Between Hemispheric Brain White Matter Networks from Adolescence to Young Adulthood","volume":"27","author":[{"family":"Zhong","given":"Suyu"},{"family":"He","given":"Yong"},{"family":"Shu","given":"Hua"},{"family":"Gong","given":"Gaolang"}],"issued":{"date-parts":[["2017",4,1]]}},"label":"page"}],"schema":"https://github.com/citation-style-language/schema/raw/master/csl-citation.json"} </w:instrText>
      </w:r>
      <w:r>
        <w:rPr>
          <w:rFonts w:ascii="Times New Roman" w:hAnsi="Times New Roman"/>
          <w:kern w:val="2"/>
          <w:lang w:eastAsia="zh" w:bidi="ar"/>
        </w:rPr>
        <w:fldChar w:fldCharType="separate"/>
      </w:r>
      <w:r>
        <w:rPr>
          <w:rFonts w:ascii="Times New Roman" w:hAnsi="Times New Roman"/>
        </w:rPr>
        <w:t>[</w:t>
      </w:r>
      <w:r>
        <w:fldChar w:fldCharType="begin"/>
      </w:r>
      <w:r>
        <w:instrText xml:space="preserve"> HYPERLINK \l "_ENREF_5" \o "Yesavage, 1982 #165" </w:instrText>
      </w:r>
      <w:r>
        <w:fldChar w:fldCharType="separate"/>
      </w:r>
      <w:r>
        <w:rPr>
          <w:rFonts w:ascii="Times New Roman" w:hAnsi="Times New Roman"/>
          <w:kern w:val="2"/>
        </w:rPr>
        <w:t>50</w:t>
      </w:r>
      <w:r>
        <w:rPr>
          <w:rFonts w:ascii="Times New Roman" w:hAnsi="Times New Roman"/>
          <w:kern w:val="2"/>
        </w:rPr>
        <w:fldChar w:fldCharType="end"/>
      </w:r>
      <w:r>
        <w:rPr>
          <w:rFonts w:ascii="Times New Roman" w:hAnsi="Times New Roman"/>
        </w:rPr>
        <w:t>]</w:t>
      </w:r>
      <w:r>
        <w:rPr>
          <w:rFonts w:ascii="Times New Roman" w:hAnsi="Times New Roman"/>
          <w:kern w:val="2"/>
          <w:lang w:eastAsia="zh" w:bidi="ar"/>
        </w:rPr>
        <w:fldChar w:fldCharType="end"/>
      </w:r>
      <w:r>
        <w:rPr>
          <w:rFonts w:ascii="Times New Roman" w:hAnsi="Times New Roman"/>
          <w:kern w:val="2"/>
          <w:lang w:eastAsia="zh"/>
        </w:rPr>
        <w:t xml:space="preserve">, and The Center for Epidemiologic Studies Depression Scale </w:t>
      </w:r>
      <w:r>
        <w:rPr>
          <w:rFonts w:ascii="Times New Roman" w:hAnsi="Times New Roman"/>
          <w:kern w:val="2"/>
          <w:lang w:eastAsia="zh" w:bidi="ar"/>
        </w:rPr>
        <w:fldChar w:fldCharType="begin"/>
      </w:r>
      <w:r>
        <w:rPr>
          <w:rFonts w:ascii="Times New Roman" w:hAnsi="Times New Roman"/>
          <w:kern w:val="2"/>
          <w:lang w:bidi="ar"/>
        </w:rPr>
        <w:instrText xml:space="preserve"> ADDIN ZOTERO_ITEM CSL_CITATION {"citationID":"K1kdPJM2","properties":{"formattedCitation":"[62, 63]","plainCitation":"[62, 63]","noteIndex":0},"citationItems":[{"id":"pcQaaJAh/zvKYnere","uris":["http://zotero.org/users/12740427/items/ZQGCJJTK"],"itemData":{"id":7163,"type":"article-journal","abstract":"Abstract\n            \n              The human brain demonstrates structural and functional asymmetries which have implications for ageing and mental and neurological disease development. We used a set of magnetic resonance imaging (MRI) metrics derived from structural and diffusion MRI data in\n              N\n              =48,040 UK Biobank participants to evaluate age-related differences in brain asymmetry. Most regional grey and white matter metrics presented asymmetry, which were higher later in life. Informed by these results, we conducted\n              hemispheric brain age\n              (HBA) predictions from left/right multimodal MRI metrics. HBA was concordant to conventional brain age predictions, using metrics from both hemispheres, but offers a supplemental general marker of brain asymmetry when setting left/right HBA into relationship with each other. In contrast to WM brain asymmetries, left/right discrepancies in HBA are lower at higher ages. Our findings outline various sex-specific differences, particularly important for brain age estimates, and the value of further investigating the role of brain asymmetries in brain ageing and disease development.","container-title":"Nature Communications","DOI":"10.1038/s41467-024-45282-3","ISSN":"2041-1723","issue":"1","journalAbbreviation":"Nat Commun","language":"en","page":"956","source":"DOI.org (Crossref)","title":"Brain asymmetries from mid- to late life and hemispheric brain age","volume":"15","author":[{"family":"Korbmacher","given":"Max"},{"family":"Van Der Meer","given":"Dennis"},{"family":"Beck","given":"Dani"},{"family":"De Lange","given":"Ann-Marie G."},{"family":"Eikefjord","given":"Eli"},{"family":"Lundervold","given":"Arvid"},{"family":"Andreassen","given":"Ole A."},{"family":"Westlye","given":"Lars T."},{"family":"Maximov","given":"Ivan I."}],"issued":{"date-parts":[["2024",2,1]]}},"label":"page"},{"id":"pcQaaJAh/UDdC7qMA","uris":["http://zotero.org/users/12740427/items/XY99U6BL"],"itemData":{"id":14543,"type":"article-journal","abstract":"Human brain asymmetries have been well described. Intriguingly, a number of asymmetries in brain phenotypes have been shown to change throughout the lifespan. Recent studies have revealed topological asymmetries between hemispheric white matter networks in the human brain. However, it remains unknown whether and how these topological asymmetries evolve from adolescence to young adulthood, a critical period that constitutes the second peak of human brain and cognitive development. To address this question, the present study included a large cohort of healthy adolescents and young adults. Diffusion and structural magnetic resonance imaging were acquired to construct hemispheric white matter networks, and graph-theory was applied to quantify topological parameters of the hemispheric networks. In both adolescents and young adults, rightward asymmetry in both global and local network efficiencies was consistently observed between the 2 hemispheres, but the degree of the asymmetry was significantly decreased in young adults. At the nodal level, the young adults exhibited less rightward asymmetry of nodal efficiency mainly around the parasylvian area, posterior tempo-parietal cortex, and fusiform gyrus. These developmental patterns of network asymmetry provide novel insight into the human brain structural development from adolescence to young adulthood and also likely relate to the maturation of language and social cognition that takes place during this period.","container-title":"Cerebral Cortex","DOI":"10.1093/cercor/bhw109","ISSN":"1047-3211","issue":"4","journalAbbreviation":"Cereb Cortex","page":"2560-2570","source":"Silverchair","title":"Developmental Changes in Topological Asymmetry Between Hemispheric Brain White Matter Networks from Adolescence to Young Adulthood","volume":"27","author":[{"family":"Zhong","given":"Suyu"},{"family":"He","given":"Yong"},{"family":"Shu","given":"Hua"},{"family":"Gong","given":"Gaolang"}],"issued":{"date-parts":[["2017",4,1]]}},"label":"page"}],"schema":"https://github.com/citation-style-language/schema/raw/master/csl-citation.json"} </w:instrText>
      </w:r>
      <w:r>
        <w:rPr>
          <w:rFonts w:ascii="Times New Roman" w:hAnsi="Times New Roman"/>
          <w:kern w:val="2"/>
          <w:lang w:eastAsia="zh" w:bidi="ar"/>
        </w:rPr>
        <w:fldChar w:fldCharType="separate"/>
      </w:r>
      <w:r>
        <w:rPr>
          <w:rFonts w:ascii="Times New Roman" w:hAnsi="Times New Roman"/>
        </w:rPr>
        <w:t>[5</w:t>
      </w:r>
      <w:r>
        <w:fldChar w:fldCharType="begin"/>
      </w:r>
      <w:r>
        <w:instrText xml:space="preserve"> HYPERLINK \l "_ENREF_5" \o "Yesavage, 1982 #165" </w:instrText>
      </w:r>
      <w:r>
        <w:fldChar w:fldCharType="separate"/>
      </w:r>
      <w:r>
        <w:rPr>
          <w:rFonts w:ascii="Times New Roman" w:hAnsi="Times New Roman"/>
          <w:kern w:val="2"/>
        </w:rPr>
        <w:t>1</w:t>
      </w:r>
      <w:r>
        <w:rPr>
          <w:rFonts w:ascii="Times New Roman" w:hAnsi="Times New Roman"/>
          <w:kern w:val="2"/>
        </w:rPr>
        <w:fldChar w:fldCharType="end"/>
      </w:r>
      <w:r>
        <w:rPr>
          <w:rFonts w:ascii="Times New Roman" w:hAnsi="Times New Roman"/>
        </w:rPr>
        <w:t>]</w:t>
      </w:r>
      <w:r>
        <w:rPr>
          <w:rFonts w:ascii="Times New Roman" w:hAnsi="Times New Roman"/>
          <w:kern w:val="2"/>
          <w:lang w:eastAsia="zh" w:bidi="ar"/>
        </w:rPr>
        <w:fldChar w:fldCharType="end"/>
      </w:r>
      <w:r>
        <w:rPr>
          <w:rFonts w:ascii="Times New Roman" w:hAnsi="Times New Roman"/>
          <w:kern w:val="2"/>
          <w:lang w:eastAsia="zh"/>
        </w:rPr>
        <w:t>. Confirmation of diagnosis for all subjects was made by the consensus of at least two experienced neurologists in the Neurology Department of Xuanwu Hospital. The diagnoses were based on the available data from the neuropsychological assessment evaluation, a battery of general neurological examinations, and subject symptoms as well as functional capacity reports.</w:t>
      </w:r>
    </w:p>
    <w:p w14:paraId="411F244B">
      <w:pPr>
        <w:jc w:val="both"/>
        <w:rPr>
          <w:rFonts w:ascii="Times New Roman" w:hAnsi="Times New Roman"/>
          <w:kern w:val="2"/>
          <w:lang w:eastAsia="zh"/>
        </w:rPr>
      </w:pPr>
      <w:r>
        <w:rPr>
          <w:rFonts w:ascii="Times New Roman" w:hAnsi="Times New Roman"/>
          <w:kern w:val="2"/>
          <w:lang w:eastAsia="zh"/>
        </w:rPr>
        <w:t xml:space="preserve">The inclusion criteria for aMCI diagnosis included the following </w:t>
      </w:r>
      <w:r>
        <w:rPr>
          <w:rFonts w:ascii="Times New Roman" w:hAnsi="Times New Roman"/>
          <w:kern w:val="2"/>
          <w:lang w:eastAsia="zh" w:bidi="ar"/>
        </w:rPr>
        <w:fldChar w:fldCharType="begin"/>
      </w:r>
      <w:r>
        <w:rPr>
          <w:rFonts w:ascii="Times New Roman" w:hAnsi="Times New Roman"/>
          <w:kern w:val="2"/>
          <w:lang w:bidi="ar"/>
        </w:rPr>
        <w:instrText xml:space="preserve"> ADDIN ZOTERO_ITEM CSL_CITATION {"citationID":"K1kdPJM2","properties":{"formattedCitation":"[62, 63]","plainCitation":"[62, 63]","noteIndex":0},"citationItems":[{"id":"pcQaaJAh/zvKYnere","uris":["http://zotero.org/users/12740427/items/ZQGCJJTK"],"itemData":{"id":7163,"type":"article-journal","abstract":"Abstract\n            \n              The human brain demonstrates structural and functional asymmetries which have implications for ageing and mental and neurological disease development. We used a set of magnetic resonance imaging (MRI) metrics derived from structural and diffusion MRI data in\n              N\n              =48,040 UK Biobank participants to evaluate age-related differences in brain asymmetry. Most regional grey and white matter metrics presented asymmetry, which were higher later in life. Informed by these results, we conducted\n              hemispheric brain age\n              (HBA) predictions from left/right multimodal MRI metrics. HBA was concordant to conventional brain age predictions, using metrics from both hemispheres, but offers a supplemental general marker of brain asymmetry when setting left/right HBA into relationship with each other. In contrast to WM brain asymmetries, left/right discrepancies in HBA are lower at higher ages. Our findings outline various sex-specific differences, particularly important for brain age estimates, and the value of further investigating the role of brain asymmetries in brain ageing and disease development.","container-title":"Nature Communications","DOI":"10.1038/s41467-024-45282-3","ISSN":"2041-1723","issue":"1","journalAbbreviation":"Nat Commun","language":"en","page":"956","source":"DOI.org (Crossref)","title":"Brain asymmetries from mid- to late life and hemispheric brain age","volume":"15","author":[{"family":"Korbmacher","given":"Max"},{"family":"Van Der Meer","given":"Dennis"},{"family":"Beck","given":"Dani"},{"family":"De Lange","given":"Ann-Marie G."},{"family":"Eikefjord","given":"Eli"},{"family":"Lundervold","given":"Arvid"},{"family":"Andreassen","given":"Ole A."},{"family":"Westlye","given":"Lars T."},{"family":"Maximov","given":"Ivan I."}],"issued":{"date-parts":[["2024",2,1]]}},"label":"page"},{"id":"pcQaaJAh/UDdC7qMA","uris":["http://zotero.org/users/12740427/items/XY99U6BL"],"itemData":{"id":14543,"type":"article-journal","abstract":"Human brain asymmetries have been well described. Intriguingly, a number of asymmetries in brain phenotypes have been shown to change throughout the lifespan. Recent studies have revealed topological asymmetries between hemispheric white matter networks in the human brain. However, it remains unknown whether and how these topological asymmetries evolve from adolescence to young adulthood, a critical period that constitutes the second peak of human brain and cognitive development. To address this question, the present study included a large cohort of healthy adolescents and young adults. Diffusion and structural magnetic resonance imaging were acquired to construct hemispheric white matter networks, and graph-theory was applied to quantify topological parameters of the hemispheric networks. In both adolescents and young adults, rightward asymmetry in both global and local network efficiencies was consistently observed between the 2 hemispheres, but the degree of the asymmetry was significantly decreased in young adults. At the nodal level, the young adults exhibited less rightward asymmetry of nodal efficiency mainly around the parasylvian area, posterior tempo-parietal cortex, and fusiform gyrus. These developmental patterns of network asymmetry provide novel insight into the human brain structural development from adolescence to young adulthood and also likely relate to the maturation of language and social cognition that takes place during this period.","container-title":"Cerebral Cortex","DOI":"10.1093/cercor/bhw109","ISSN":"1047-3211","issue":"4","journalAbbreviation":"Cereb Cortex","page":"2560-2570","source":"Silverchair","title":"Developmental Changes in Topological Asymmetry Between Hemispheric Brain White Matter Networks from Adolescence to Young Adulthood","volume":"27","author":[{"family":"Zhong","given":"Suyu"},{"family":"He","given":"Yong"},{"family":"Shu","given":"Hua"},{"family":"Gong","given":"Gaolang"}],"issued":{"date-parts":[["2017",4,1]]}},"label":"page"}],"schema":"https://github.com/citation-style-language/schema/raw/master/csl-citation.json"} </w:instrText>
      </w:r>
      <w:r>
        <w:rPr>
          <w:rFonts w:ascii="Times New Roman" w:hAnsi="Times New Roman"/>
          <w:kern w:val="2"/>
          <w:lang w:eastAsia="zh" w:bidi="ar"/>
        </w:rPr>
        <w:fldChar w:fldCharType="separate"/>
      </w:r>
      <w:r>
        <w:rPr>
          <w:rFonts w:ascii="Times New Roman" w:hAnsi="Times New Roman"/>
        </w:rPr>
        <w:t>[5</w:t>
      </w:r>
      <w:r>
        <w:fldChar w:fldCharType="begin"/>
      </w:r>
      <w:r>
        <w:instrText xml:space="preserve"> HYPERLINK \l "_ENREF_5" \o "Yesavage, 1982 #165" </w:instrText>
      </w:r>
      <w:r>
        <w:fldChar w:fldCharType="separate"/>
      </w:r>
      <w:r>
        <w:rPr>
          <w:rFonts w:ascii="Times New Roman" w:hAnsi="Times New Roman"/>
          <w:kern w:val="2"/>
        </w:rPr>
        <w:t>2</w:t>
      </w:r>
      <w:r>
        <w:rPr>
          <w:rFonts w:ascii="Times New Roman" w:hAnsi="Times New Roman"/>
          <w:kern w:val="2"/>
        </w:rPr>
        <w:fldChar w:fldCharType="end"/>
      </w:r>
      <w:r>
        <w:rPr>
          <w:rFonts w:ascii="Times New Roman" w:hAnsi="Times New Roman"/>
        </w:rPr>
        <w:t>]</w:t>
      </w:r>
      <w:r>
        <w:rPr>
          <w:rFonts w:ascii="Times New Roman" w:hAnsi="Times New Roman"/>
          <w:kern w:val="2"/>
          <w:lang w:eastAsia="zh" w:bidi="ar"/>
        </w:rPr>
        <w:fldChar w:fldCharType="end"/>
      </w:r>
      <w:r>
        <w:rPr>
          <w:rFonts w:ascii="Times New Roman" w:hAnsi="Times New Roman"/>
          <w:kern w:val="2"/>
          <w:lang w:eastAsia="zh"/>
        </w:rPr>
        <w:t>: (a) memory complaints, confirmed by an informant; (b) objectively impaired memory confirmed by neuropsychological tests; (c) a definite history of cognitive decline; (d) not meeting the criteria for dementia according to the Diagnostic and Statistical Manual of Mental Disorders, Fourth Edition, Revised (DSM-IVR); and (e) a CDR score of 0.5.</w:t>
      </w:r>
    </w:p>
    <w:p w14:paraId="62C031D4">
      <w:pPr>
        <w:jc w:val="both"/>
        <w:rPr>
          <w:rFonts w:ascii="Times New Roman" w:hAnsi="Times New Roman"/>
          <w:kern w:val="2"/>
          <w:lang w:eastAsia="zh"/>
        </w:rPr>
      </w:pPr>
      <w:r>
        <w:rPr>
          <w:rFonts w:ascii="Times New Roman" w:hAnsi="Times New Roman"/>
          <w:kern w:val="2"/>
          <w:lang w:eastAsia="zh"/>
        </w:rPr>
        <w:t xml:space="preserve">AD subjects were diagnosed according to the National Institute of Aging-Alzheimer's Association (NIA-AA) criteria for clinically probable AD </w:t>
      </w:r>
      <w:r>
        <w:rPr>
          <w:rFonts w:ascii="Times New Roman" w:hAnsi="Times New Roman"/>
          <w:kern w:val="2"/>
          <w:lang w:eastAsia="zh" w:bidi="ar"/>
        </w:rPr>
        <w:fldChar w:fldCharType="begin"/>
      </w:r>
      <w:r>
        <w:rPr>
          <w:rFonts w:ascii="Times New Roman" w:hAnsi="Times New Roman"/>
          <w:kern w:val="2"/>
          <w:lang w:bidi="ar"/>
        </w:rPr>
        <w:instrText xml:space="preserve"> ADDIN ZOTERO_ITEM CSL_CITATION {"citationID":"K1kdPJM2","properties":{"formattedCitation":"[62, 63]","plainCitation":"[62, 63]","noteIndex":0},"citationItems":[{"id":"pcQaaJAh/zvKYnere","uris":["http://zotero.org/users/12740427/items/ZQGCJJTK"],"itemData":{"id":7163,"type":"article-journal","abstract":"Abstract\n            \n              The human brain demonstrates structural and functional asymmetries which have implications for ageing and mental and neurological disease development. We used a set of magnetic resonance imaging (MRI) metrics derived from structural and diffusion MRI data in\n              N\n              =48,040 UK Biobank participants to evaluate age-related differences in brain asymmetry. Most regional grey and white matter metrics presented asymmetry, which were higher later in life. Informed by these results, we conducted\n              hemispheric brain age\n              (HBA) predictions from left/right multimodal MRI metrics. HBA was concordant to conventional brain age predictions, using metrics from both hemispheres, but offers a supplemental general marker of brain asymmetry when setting left/right HBA into relationship with each other. In contrast to WM brain asymmetries, left/right discrepancies in HBA are lower at higher ages. Our findings outline various sex-specific differences, particularly important for brain age estimates, and the value of further investigating the role of brain asymmetries in brain ageing and disease development.","container-title":"Nature Communications","DOI":"10.1038/s41467-024-45282-3","ISSN":"2041-1723","issue":"1","journalAbbreviation":"Nat Commun","language":"en","page":"956","source":"DOI.org (Crossref)","title":"Brain asymmetries from mid- to late life and hemispheric brain age","volume":"15","author":[{"family":"Korbmacher","given":"Max"},{"family":"Van Der Meer","given":"Dennis"},{"family":"Beck","given":"Dani"},{"family":"De Lange","given":"Ann-Marie G."},{"family":"Eikefjord","given":"Eli"},{"family":"Lundervold","given":"Arvid"},{"family":"Andreassen","given":"Ole A."},{"family":"Westlye","given":"Lars T."},{"family":"Maximov","given":"Ivan I."}],"issued":{"date-parts":[["2024",2,1]]}},"label":"page"},{"id":"pcQaaJAh/UDdC7qMA","uris":["http://zotero.org/users/12740427/items/XY99U6BL"],"itemData":{"id":14543,"type":"article-journal","abstract":"Human brain asymmetries have been well described. Intriguingly, a number of asymmetries in brain phenotypes have been shown to change throughout the lifespan. Recent studies have revealed topological asymmetries between hemispheric white matter networks in the human brain. However, it remains unknown whether and how these topological asymmetries evolve from adolescence to young adulthood, a critical period that constitutes the second peak of human brain and cognitive development. To address this question, the present study included a large cohort of healthy adolescents and young adults. Diffusion and structural magnetic resonance imaging were acquired to construct hemispheric white matter networks, and graph-theory was applied to quantify topological parameters of the hemispheric networks. In both adolescents and young adults, rightward asymmetry in both global and local network efficiencies was consistently observed between the 2 hemispheres, but the degree of the asymmetry was significantly decreased in young adults. At the nodal level, the young adults exhibited less rightward asymmetry of nodal efficiency mainly around the parasylvian area, posterior tempo-parietal cortex, and fusiform gyrus. These developmental patterns of network asymmetry provide novel insight into the human brain structural development from adolescence to young adulthood and also likely relate to the maturation of language and social cognition that takes place during this period.","container-title":"Cerebral Cortex","DOI":"10.1093/cercor/bhw109","ISSN":"1047-3211","issue":"4","journalAbbreviation":"Cereb Cortex","page":"2560-2570","source":"Silverchair","title":"Developmental Changes in Topological Asymmetry Between Hemispheric Brain White Matter Networks from Adolescence to Young Adulthood","volume":"27","author":[{"family":"Zhong","given":"Suyu"},{"family":"He","given":"Yong"},{"family":"Shu","given":"Hua"},{"family":"Gong","given":"Gaolang"}],"issued":{"date-parts":[["2017",4,1]]}},"label":"page"}],"schema":"https://github.com/citation-style-language/schema/raw/master/csl-citation.json"} </w:instrText>
      </w:r>
      <w:r>
        <w:rPr>
          <w:rFonts w:ascii="Times New Roman" w:hAnsi="Times New Roman"/>
          <w:kern w:val="2"/>
          <w:lang w:eastAsia="zh" w:bidi="ar"/>
        </w:rPr>
        <w:fldChar w:fldCharType="separate"/>
      </w:r>
      <w:r>
        <w:rPr>
          <w:rFonts w:ascii="Times New Roman" w:hAnsi="Times New Roman"/>
        </w:rPr>
        <w:t>[53]</w:t>
      </w:r>
      <w:r>
        <w:rPr>
          <w:rFonts w:ascii="Times New Roman" w:hAnsi="Times New Roman"/>
          <w:kern w:val="2"/>
          <w:lang w:eastAsia="zh" w:bidi="ar"/>
        </w:rPr>
        <w:fldChar w:fldCharType="end"/>
      </w:r>
      <w:r>
        <w:rPr>
          <w:rFonts w:ascii="Times New Roman" w:hAnsi="Times New Roman"/>
          <w:kern w:val="2"/>
          <w:lang w:eastAsia="zh"/>
        </w:rPr>
        <w:t>: (a) meeting the criteria for dementia; (b) insidious and gradual onset (not sudden) over more than 6 months; (c) definite history of declining cognition; (d) initial and most prominent cognitive deficits evident in amnestic or non-amnestic performance; and (e) hippocampal atrophy confirmed by structural MRI.</w:t>
      </w:r>
    </w:p>
    <w:p w14:paraId="02447107">
      <w:pPr>
        <w:pStyle w:val="4"/>
        <w:tabs>
          <w:tab w:val="center" w:pos="4873"/>
          <w:tab w:val="left" w:pos="5325"/>
        </w:tabs>
        <w:rPr>
          <w:rFonts w:ascii="Times New Roman" w:hAnsi="Times New Roman" w:eastAsia="宋体" w:cs="Times New Roman"/>
          <w:b/>
          <w:bCs/>
          <w:color w:val="auto"/>
          <w:kern w:val="2"/>
          <w:sz w:val="24"/>
          <w:szCs w:val="24"/>
          <w:lang w:eastAsia="zh" w:bidi="ar"/>
        </w:rPr>
      </w:pPr>
      <w:bookmarkStart w:id="11" w:name="_Toc27057119"/>
      <w:bookmarkStart w:id="12" w:name="_Toc168902323"/>
      <w:r>
        <w:rPr>
          <w:rFonts w:ascii="Times New Roman" w:hAnsi="Times New Roman" w:eastAsia="宋体" w:cs="Times New Roman"/>
          <w:b/>
          <w:bCs/>
          <w:color w:val="auto"/>
          <w:kern w:val="2"/>
          <w:sz w:val="24"/>
          <w:szCs w:val="24"/>
          <w:lang w:eastAsia="zh" w:bidi="ar"/>
        </w:rPr>
        <w:t>XW_Z</w:t>
      </w:r>
      <w:bookmarkEnd w:id="11"/>
      <w:r>
        <w:rPr>
          <w:rFonts w:ascii="Times New Roman" w:hAnsi="Times New Roman" w:eastAsia="宋体" w:cs="Times New Roman"/>
          <w:b/>
          <w:bCs/>
          <w:color w:val="auto"/>
          <w:kern w:val="2"/>
          <w:sz w:val="24"/>
          <w:szCs w:val="24"/>
          <w:lang w:eastAsia="zh" w:bidi="ar"/>
        </w:rPr>
        <w:t xml:space="preserve"> (S06)</w:t>
      </w:r>
      <w:bookmarkEnd w:id="12"/>
    </w:p>
    <w:p w14:paraId="16B0D94F">
      <w:pPr>
        <w:jc w:val="both"/>
        <w:rPr>
          <w:rFonts w:ascii="Times New Roman" w:hAnsi="Times New Roman"/>
          <w:kern w:val="2"/>
          <w:lang w:eastAsia="zh"/>
        </w:rPr>
      </w:pPr>
      <w:r>
        <w:rPr>
          <w:rFonts w:ascii="Times New Roman" w:hAnsi="Times New Roman"/>
          <w:kern w:val="2"/>
          <w:lang w:eastAsia="zh"/>
        </w:rPr>
        <w:t>The NC patients were required to meet the following research criteria: (a) no memory concerns; (b) MMSE and MoCA scores within the normal range (adjusted for age, sex, and education); and (c) a CDR score of 0.</w:t>
      </w:r>
    </w:p>
    <w:p w14:paraId="198D7549">
      <w:pPr>
        <w:jc w:val="both"/>
        <w:rPr>
          <w:rFonts w:ascii="Times New Roman" w:hAnsi="Times New Roman"/>
          <w:kern w:val="2"/>
          <w:lang w:eastAsia="zh"/>
        </w:rPr>
      </w:pPr>
      <w:r>
        <w:rPr>
          <w:rFonts w:ascii="Times New Roman" w:hAnsi="Times New Roman"/>
          <w:kern w:val="2"/>
          <w:lang w:eastAsia="zh"/>
        </w:rPr>
        <w:t>The exclusion criteria applied to all subjects included the following: (a) vascular cognitive impairment (Hachinski Ischemic Scale score &gt; 4 points); (b) severe depression (HAMD score &gt; 24 points or The Center for Epidemiological Studies Depression Scale score &gt; 21 points); (c) other central nervous system diseases that could cause cognitive decline (e.g., epilepsy, brain tumors, Parkinson's disease, or encephalitis); (d) systemic diseases that could cause cognitive impairments (e.g., anthracemia, syphilis, thyroid dysfunctions, severe anemia, or HIV); (e) a history of psychosis or congenital mental growth retardation; (f) severe hypopsia or dysacusis; (g) cognitive decline caused by traumatic brain injury; (h) severe end-stage disease or severe diseases in acute stages; (i) a history of stroke; or (j) inability to complete neuropsychological tests or with a contraindication for MRI.</w:t>
      </w:r>
    </w:p>
    <w:p w14:paraId="312349C4">
      <w:pPr>
        <w:jc w:val="both"/>
        <w:rPr>
          <w:rFonts w:ascii="Times New Roman" w:hAnsi="Times New Roman"/>
          <w:kern w:val="2"/>
          <w:lang w:eastAsia="zh"/>
        </w:rPr>
      </w:pPr>
    </w:p>
    <w:p w14:paraId="62D923DF">
      <w:pPr>
        <w:jc w:val="both"/>
        <w:rPr>
          <w:rFonts w:ascii="Times New Roman" w:hAnsi="Times New Roman"/>
          <w:kern w:val="2"/>
          <w:lang w:eastAsia="zh"/>
        </w:rPr>
      </w:pPr>
      <w:r>
        <w:rPr>
          <w:rFonts w:ascii="Times New Roman" w:hAnsi="Times New Roman"/>
          <w:kern w:val="2"/>
          <w:lang w:eastAsia="zh"/>
        </w:rPr>
        <w:t>All the participants were recruited by advertisement and supported throughout the testing procedures in a specialist neuropsychological research facility at Xuanwu Hospital, Beijing, China. Patients and informants (usually family members) were interviewed clinically by a senior psychiatrist (X. Zhang). Written consent forms were obtained from all subjects or their legal guardians (usually a family member). The study was approved by the Ethics Committee of Xuanwu Hospital. AD subjects were diagnosed using standard operationalized criteria (DSM-IVR and NINCDS-ADRDA).</w:t>
      </w:r>
    </w:p>
    <w:p w14:paraId="3F41FE40">
      <w:pPr>
        <w:jc w:val="both"/>
        <w:rPr>
          <w:rFonts w:ascii="Times New Roman" w:hAnsi="Times New Roman"/>
          <w:kern w:val="2"/>
          <w:lang w:eastAsia="zh"/>
        </w:rPr>
      </w:pPr>
      <w:r>
        <w:rPr>
          <w:rFonts w:ascii="Times New Roman" w:hAnsi="Times New Roman"/>
          <w:kern w:val="2"/>
          <w:lang w:eastAsia="zh"/>
        </w:rPr>
        <w:t>The inclusion criteria for the AD diagnosis included the following: severity of dementia was assessed using the Clinical Dementia Rating (CDR) scale</w:t>
      </w:r>
      <w:r>
        <w:rPr>
          <w:rFonts w:ascii="Times New Roman" w:hAnsi="Times New Roman"/>
          <w:kern w:val="2"/>
        </w:rPr>
        <w:t xml:space="preserve"> </w:t>
      </w:r>
      <w:r>
        <w:rPr>
          <w:rFonts w:ascii="Times New Roman" w:hAnsi="Times New Roman"/>
          <w:kern w:val="2"/>
          <w:lang w:eastAsia="zh" w:bidi="ar"/>
        </w:rPr>
        <w:fldChar w:fldCharType="begin"/>
      </w:r>
      <w:r>
        <w:rPr>
          <w:rFonts w:ascii="Times New Roman" w:hAnsi="Times New Roman"/>
          <w:kern w:val="2"/>
          <w:lang w:bidi="ar"/>
        </w:rPr>
        <w:instrText xml:space="preserve"> ADDIN ZOTERO_ITEM CSL_CITATION {"citationID":"K1kdPJM2","properties":{"formattedCitation":"[62, 63]","plainCitation":"[62, 63]","noteIndex":0},"citationItems":[{"id":"pcQaaJAh/zvKYnere","uris":["http://zotero.org/users/12740427/items/ZQGCJJTK"],"itemData":{"id":7163,"type":"article-journal","abstract":"Abstract\n            \n              The human brain demonstrates structural and functional asymmetries which have implications for ageing and mental and neurological disease development. We used a set of magnetic resonance imaging (MRI) metrics derived from structural and diffusion MRI data in\n              N\n              =48,040 UK Biobank participants to evaluate age-related differences in brain asymmetry. Most regional grey and white matter metrics presented asymmetry, which were higher later in life. Informed by these results, we conducted\n              hemispheric brain age\n              (HBA) predictions from left/right multimodal MRI metrics. HBA was concordant to conventional brain age predictions, using metrics from both hemispheres, but offers a supplemental general marker of brain asymmetry when setting left/right HBA into relationship with each other. In contrast to WM brain asymmetries, left/right discrepancies in HBA are lower at higher ages. Our findings outline various sex-specific differences, particularly important for brain age estimates, and the value of further investigating the role of brain asymmetries in brain ageing and disease development.","container-title":"Nature Communications","DOI":"10.1038/s41467-024-45282-3","ISSN":"2041-1723","issue":"1","journalAbbreviation":"Nat Commun","language":"en","page":"956","source":"DOI.org (Crossref)","title":"Brain asymmetries from mid- to late life and hemispheric brain age","volume":"15","author":[{"family":"Korbmacher","given":"Max"},{"family":"Van Der Meer","given":"Dennis"},{"family":"Beck","given":"Dani"},{"family":"De Lange","given":"Ann-Marie G."},{"family":"Eikefjord","given":"Eli"},{"family":"Lundervold","given":"Arvid"},{"family":"Andreassen","given":"Ole A."},{"family":"Westlye","given":"Lars T."},{"family":"Maximov","given":"Ivan I."}],"issued":{"date-parts":[["2024",2,1]]}},"label":"page"},{"id":"pcQaaJAh/UDdC7qMA","uris":["http://zotero.org/users/12740427/items/XY99U6BL"],"itemData":{"id":14543,"type":"article-journal","abstract":"Human brain asymmetries have been well described. Intriguingly, a number of asymmetries in brain phenotypes have been shown to change throughout the lifespan. Recent studies have revealed topological asymmetries between hemispheric white matter networks in the human brain. However, it remains unknown whether and how these topological asymmetries evolve from adolescence to young adulthood, a critical period that constitutes the second peak of human brain and cognitive development. To address this question, the present study included a large cohort of healthy adolescents and young adults. Diffusion and structural magnetic resonance imaging were acquired to construct hemispheric white matter networks, and graph-theory was applied to quantify topological parameters of the hemispheric networks. In both adolescents and young adults, rightward asymmetry in both global and local network efficiencies was consistently observed between the 2 hemispheres, but the degree of the asymmetry was significantly decreased in young adults. At the nodal level, the young adults exhibited less rightward asymmetry of nodal efficiency mainly around the parasylvian area, posterior tempo-parietal cortex, and fusiform gyrus. These developmental patterns of network asymmetry provide novel insight into the human brain structural development from adolescence to young adulthood and also likely relate to the maturation of language and social cognition that takes place during this period.","container-title":"Cerebral Cortex","DOI":"10.1093/cercor/bhw109","ISSN":"1047-3211","issue":"4","journalAbbreviation":"Cereb Cortex","page":"2560-2570","source":"Silverchair","title":"Developmental Changes in Topological Asymmetry Between Hemispheric Brain White Matter Networks from Adolescence to Young Adulthood","volume":"27","author":[{"family":"Zhong","given":"Suyu"},{"family":"He","given":"Yong"},{"family":"Shu","given":"Hua"},{"family":"Gong","given":"Gaolang"}],"issued":{"date-parts":[["2017",4,1]]}},"label":"page"}],"schema":"https://github.com/citation-style-language/schema/raw/master/csl-citation.json"} </w:instrText>
      </w:r>
      <w:r>
        <w:rPr>
          <w:rFonts w:ascii="Times New Roman" w:hAnsi="Times New Roman"/>
          <w:kern w:val="2"/>
          <w:lang w:eastAsia="zh" w:bidi="ar"/>
        </w:rPr>
        <w:fldChar w:fldCharType="separate"/>
      </w:r>
      <w:r>
        <w:rPr>
          <w:rFonts w:ascii="Times New Roman" w:hAnsi="Times New Roman"/>
        </w:rPr>
        <w:t>[34]</w:t>
      </w:r>
      <w:r>
        <w:rPr>
          <w:rFonts w:ascii="Times New Roman" w:hAnsi="Times New Roman"/>
          <w:kern w:val="2"/>
          <w:lang w:eastAsia="zh" w:bidi="ar"/>
        </w:rPr>
        <w:fldChar w:fldCharType="end"/>
      </w:r>
      <w:r>
        <w:rPr>
          <w:rFonts w:ascii="Times New Roman" w:hAnsi="Times New Roman"/>
          <w:kern w:val="2"/>
          <w:lang w:eastAsia="zh"/>
        </w:rPr>
        <w:t xml:space="preserve">. Patients with a diagnosis of AD and CDR score of 1 were classified as mild AD; patients with a CDR score of 2 or 3 were diagnosed as severe AD. </w:t>
      </w:r>
    </w:p>
    <w:p w14:paraId="61C3A7BA">
      <w:pPr>
        <w:jc w:val="both"/>
        <w:rPr>
          <w:rFonts w:ascii="Times New Roman" w:hAnsi="Times New Roman"/>
          <w:kern w:val="2"/>
          <w:lang w:eastAsia="zh"/>
        </w:rPr>
      </w:pPr>
      <w:r>
        <w:rPr>
          <w:rFonts w:ascii="Times New Roman" w:hAnsi="Times New Roman"/>
          <w:kern w:val="2"/>
          <w:lang w:eastAsia="zh"/>
        </w:rPr>
        <w:t xml:space="preserve">Mild cognitive impairment (MCI) was diagnosed according to standard criteria </w:t>
      </w:r>
      <w:r>
        <w:rPr>
          <w:rFonts w:ascii="Times New Roman" w:hAnsi="Times New Roman"/>
          <w:kern w:val="2"/>
          <w:lang w:eastAsia="zh" w:bidi="ar"/>
        </w:rPr>
        <w:fldChar w:fldCharType="begin"/>
      </w:r>
      <w:r>
        <w:rPr>
          <w:rFonts w:ascii="Times New Roman" w:hAnsi="Times New Roman"/>
          <w:kern w:val="2"/>
          <w:lang w:bidi="ar"/>
        </w:rPr>
        <w:instrText xml:space="preserve"> ADDIN ZOTERO_ITEM CSL_CITATION {"citationID":"K1kdPJM2","properties":{"formattedCitation":"[62, 63]","plainCitation":"[62, 63]","noteIndex":0},"citationItems":[{"id":"pcQaaJAh/zvKYnere","uris":["http://zotero.org/users/12740427/items/ZQGCJJTK"],"itemData":{"id":7163,"type":"article-journal","abstract":"Abstract\n            \n              The human brain demonstrates structural and functional asymmetries which have implications for ageing and mental and neurological disease development. We used a set of magnetic resonance imaging (MRI) metrics derived from structural and diffusion MRI data in\n              N\n              =48,040 UK Biobank participants to evaluate age-related differences in brain asymmetry. Most regional grey and white matter metrics presented asymmetry, which were higher later in life. Informed by these results, we conducted\n              hemispheric brain age\n              (HBA) predictions from left/right multimodal MRI metrics. HBA was concordant to conventional brain age predictions, using metrics from both hemispheres, but offers a supplemental general marker of brain asymmetry when setting left/right HBA into relationship with each other. In contrast to WM brain asymmetries, left/right discrepancies in HBA are lower at higher ages. Our findings outline various sex-specific differences, particularly important for brain age estimates, and the value of further investigating the role of brain asymmetries in brain ageing and disease development.","container-title":"Nature Communications","DOI":"10.1038/s41467-024-45282-3","ISSN":"2041-1723","issue":"1","journalAbbreviation":"Nat Commun","language":"en","page":"956","source":"DOI.org (Crossref)","title":"Brain asymmetries from mid- to late life and hemispheric brain age","volume":"15","author":[{"family":"Korbmacher","given":"Max"},{"family":"Van Der Meer","given":"Dennis"},{"family":"Beck","given":"Dani"},{"family":"De Lange","given":"Ann-Marie G."},{"family":"Eikefjord","given":"Eli"},{"family":"Lundervold","given":"Arvid"},{"family":"Andreassen","given":"Ole A."},{"family":"Westlye","given":"Lars T."},{"family":"Maximov","given":"Ivan I."}],"issued":{"date-parts":[["2024",2,1]]}},"label":"page"},{"id":"pcQaaJAh/UDdC7qMA","uris":["http://zotero.org/users/12740427/items/XY99U6BL"],"itemData":{"id":14543,"type":"article-journal","abstract":"Human brain asymmetries have been well described. Intriguingly, a number of asymmetries in brain phenotypes have been shown to change throughout the lifespan. Recent studies have revealed topological asymmetries between hemispheric white matter networks in the human brain. However, it remains unknown whether and how these topological asymmetries evolve from adolescence to young adulthood, a critical period that constitutes the second peak of human brain and cognitive development. To address this question, the present study included a large cohort of healthy adolescents and young adults. Diffusion and structural magnetic resonance imaging were acquired to construct hemispheric white matter networks, and graph-theory was applied to quantify topological parameters of the hemispheric networks. In both adolescents and young adults, rightward asymmetry in both global and local network efficiencies was consistently observed between the 2 hemispheres, but the degree of the asymmetry was significantly decreased in young adults. At the nodal level, the young adults exhibited less rightward asymmetry of nodal efficiency mainly around the parasylvian area, posterior tempo-parietal cortex, and fusiform gyrus. These developmental patterns of network asymmetry provide novel insight into the human brain structural development from adolescence to young adulthood and also likely relate to the maturation of language and social cognition that takes place during this period.","container-title":"Cerebral Cortex","DOI":"10.1093/cercor/bhw109","ISSN":"1047-3211","issue":"4","journalAbbreviation":"Cereb Cortex","page":"2560-2570","source":"Silverchair","title":"Developmental Changes in Topological Asymmetry Between Hemispheric Brain White Matter Networks from Adolescence to Young Adulthood","volume":"27","author":[{"family":"Zhong","given":"Suyu"},{"family":"He","given":"Yong"},{"family":"Shu","given":"Hua"},{"family":"Gong","given":"Gaolang"}],"issued":{"date-parts":[["2017",4,1]]}},"label":"page"}],"schema":"https://github.com/citation-style-language/schema/raw/master/csl-citation.json"} </w:instrText>
      </w:r>
      <w:r>
        <w:rPr>
          <w:rFonts w:ascii="Times New Roman" w:hAnsi="Times New Roman"/>
          <w:kern w:val="2"/>
          <w:lang w:eastAsia="zh" w:bidi="ar"/>
        </w:rPr>
        <w:fldChar w:fldCharType="separate"/>
      </w:r>
      <w:r>
        <w:rPr>
          <w:rFonts w:ascii="Times New Roman" w:hAnsi="Times New Roman"/>
        </w:rPr>
        <w:t>[5</w:t>
      </w:r>
      <w:r>
        <w:rPr>
          <w:rFonts w:ascii="Times New Roman" w:hAnsi="Times New Roman"/>
          <w:kern w:val="2"/>
        </w:rPr>
        <w:t>4,55</w:t>
      </w:r>
      <w:r>
        <w:rPr>
          <w:rFonts w:ascii="Times New Roman" w:hAnsi="Times New Roman"/>
        </w:rPr>
        <w:t>]</w:t>
      </w:r>
      <w:r>
        <w:rPr>
          <w:rFonts w:ascii="Times New Roman" w:hAnsi="Times New Roman"/>
          <w:kern w:val="2"/>
          <w:lang w:eastAsia="zh" w:bidi="ar"/>
        </w:rPr>
        <w:fldChar w:fldCharType="end"/>
      </w:r>
      <w:r>
        <w:rPr>
          <w:rFonts w:ascii="Times New Roman" w:hAnsi="Times New Roman"/>
          <w:kern w:val="2"/>
          <w:lang w:eastAsia="zh"/>
        </w:rPr>
        <w:t xml:space="preserve">, which included subjective memory loss with objective evidence of memory impairment in the context of normal or near-normal performance on other domains of cognitive functioning; minimal impairment of activities of daily living; and a CDR score of 0.5. Normal volunteers had a CDR score of 0. </w:t>
      </w:r>
    </w:p>
    <w:p w14:paraId="2A06798A">
      <w:pPr>
        <w:jc w:val="both"/>
        <w:rPr>
          <w:rFonts w:ascii="Times New Roman" w:hAnsi="Times New Roman"/>
          <w:kern w:val="2"/>
          <w:lang w:eastAsia="zh"/>
        </w:rPr>
      </w:pPr>
      <w:r>
        <w:rPr>
          <w:rFonts w:ascii="Times New Roman" w:hAnsi="Times New Roman"/>
          <w:kern w:val="2"/>
          <w:lang w:eastAsia="zh"/>
        </w:rPr>
        <w:t xml:space="preserve">All participants satisfied the following inclusion criteria: (1) no history of an affective disorder within one month before assessment; (2) normal vision and audition; (3) able to cooperate with cognitive testing; (4) aged between 50 and 90 years; (5) no clinical history of stroke or other severe cerebrovascular diseases; and (6) no more than one lacunar infarction, without patchy or diffuse leukoaraiosis, on neuroradiological assessment of conventional MR images. </w:t>
      </w:r>
    </w:p>
    <w:p w14:paraId="55717D58">
      <w:pPr>
        <w:jc w:val="both"/>
        <w:rPr>
          <w:rFonts w:ascii="Times New Roman" w:hAnsi="Times New Roman"/>
          <w:kern w:val="2"/>
          <w:lang w:eastAsia="zh"/>
        </w:rPr>
      </w:pPr>
      <w:r>
        <w:rPr>
          <w:rFonts w:ascii="Times New Roman" w:hAnsi="Times New Roman"/>
          <w:kern w:val="2"/>
          <w:lang w:eastAsia="zh"/>
        </w:rPr>
        <w:t>The exclusion criteria included the following: (1) severe general medical disorders of cardiovascular, endocrine, renal, or hepatic systems; neurological disorders associated with potential cognitive dysfunction, including local brain lesions, traumatic brain injury with loss of consciousness or confusion, and dementia associated with neurosyphilis, Parkinsonism, or Lewy body disease; psychiatric disorders including depression, alcohol, or drug abuse; (2) concomitant use of psychotropic medication in a large quantity; and (3) insufficient cognitive capacity to understand and cooperate with study procedures.</w:t>
      </w:r>
    </w:p>
    <w:p w14:paraId="7DE28D7B">
      <w:pPr>
        <w:jc w:val="both"/>
        <w:rPr>
          <w:rFonts w:ascii="Times New Roman" w:hAnsi="Times New Roman"/>
          <w:kern w:val="2"/>
          <w:lang w:eastAsia="zh"/>
        </w:rPr>
      </w:pPr>
      <w:r>
        <w:rPr>
          <w:rFonts w:ascii="Times New Roman" w:hAnsi="Times New Roman"/>
          <w:kern w:val="2"/>
          <w:lang w:eastAsia="zh"/>
        </w:rPr>
        <w:t>All patients underwent a complete physical and neurological examination, an extensive battery of neuropsychological assessments, and standard laboratory tests. Healthy volunteers underwent a brief clinical interview and MMSE to confirm that they satisfied the exclusion criteria for cognitive deficits, psychoactive drug use, and clinical disorders.</w:t>
      </w:r>
    </w:p>
    <w:p w14:paraId="775A92D4">
      <w:pPr>
        <w:jc w:val="both"/>
        <w:rPr>
          <w:rFonts w:ascii="Times New Roman" w:hAnsi="Times New Roman"/>
          <w:kern w:val="2"/>
          <w:lang w:eastAsia="zh"/>
        </w:rPr>
      </w:pPr>
      <w:r>
        <w:rPr>
          <w:rFonts w:ascii="Times New Roman" w:hAnsi="Times New Roman"/>
          <w:kern w:val="2"/>
          <w:lang w:eastAsia="zh"/>
        </w:rPr>
        <w:t>This detailed information can be found elsewhere in our previous studies</w:t>
      </w:r>
      <w:r>
        <w:rPr>
          <w:rFonts w:ascii="Times New Roman" w:hAnsi="Times New Roman"/>
          <w:kern w:val="2"/>
        </w:rPr>
        <w:t xml:space="preserve"> </w:t>
      </w:r>
      <w:r>
        <w:rPr>
          <w:rFonts w:ascii="Times New Roman" w:hAnsi="Times New Roman"/>
          <w:kern w:val="2"/>
          <w:lang w:eastAsia="zh" w:bidi="ar"/>
        </w:rPr>
        <w:fldChar w:fldCharType="begin"/>
      </w:r>
      <w:r>
        <w:rPr>
          <w:rFonts w:ascii="Times New Roman" w:hAnsi="Times New Roman"/>
          <w:kern w:val="2"/>
          <w:lang w:bidi="ar"/>
        </w:rPr>
        <w:instrText xml:space="preserve"> ADDIN ZOTERO_ITEM CSL_CITATION {"citationID":"K1kdPJM2","properties":{"formattedCitation":"[62, 63]","plainCitation":"[62, 63]","noteIndex":0},"citationItems":[{"id":"pcQaaJAh/zvKYnere","uris":["http://zotero.org/users/12740427/items/ZQGCJJTK"],"itemData":{"id":7163,"type":"article-journal","abstract":"Abstract\n            \n              The human brain demonstrates structural and functional asymmetries which have implications for ageing and mental and neurological disease development. We used a set of magnetic resonance imaging (MRI) metrics derived from structural and diffusion MRI data in\n              N\n              =48,040 UK Biobank participants to evaluate age-related differences in brain asymmetry. Most regional grey and white matter metrics presented asymmetry, which were higher later in life. Informed by these results, we conducted\n              hemispheric brain age\n              (HBA) predictions from left/right multimodal MRI metrics. HBA was concordant to conventional brain age predictions, using metrics from both hemispheres, but offers a supplemental general marker of brain asymmetry when setting left/right HBA into relationship with each other. In contrast to WM brain asymmetries, left/right discrepancies in HBA are lower at higher ages. Our findings outline various sex-specific differences, particularly important for brain age estimates, and the value of further investigating the role of brain asymmetries in brain ageing and disease development.","container-title":"Nature Communications","DOI":"10.1038/s41467-024-45282-3","ISSN":"2041-1723","issue":"1","journalAbbreviation":"Nat Commun","language":"en","page":"956","source":"DOI.org (Crossref)","title":"Brain asymmetries from mid- to late life and hemispheric brain age","volume":"15","author":[{"family":"Korbmacher","given":"Max"},{"family":"Van Der Meer","given":"Dennis"},{"family":"Beck","given":"Dani"},{"family":"De Lange","given":"Ann-Marie G."},{"family":"Eikefjord","given":"Eli"},{"family":"Lundervold","given":"Arvid"},{"family":"Andreassen","given":"Ole A."},{"family":"Westlye","given":"Lars T."},{"family":"Maximov","given":"Ivan I."}],"issued":{"date-parts":[["2024",2,1]]}},"label":"page"},{"id":"pcQaaJAh/UDdC7qMA","uris":["http://zotero.org/users/12740427/items/XY99U6BL"],"itemData":{"id":14543,"type":"article-journal","abstract":"Human brain asymmetries have been well described. Intriguingly, a number of asymmetries in brain phenotypes have been shown to change throughout the lifespan. Recent studies have revealed topological asymmetries between hemispheric white matter networks in the human brain. However, it remains unknown whether and how these topological asymmetries evolve from adolescence to young adulthood, a critical period that constitutes the second peak of human brain and cognitive development. To address this question, the present study included a large cohort of healthy adolescents and young adults. Diffusion and structural magnetic resonance imaging were acquired to construct hemispheric white matter networks, and graph-theory was applied to quantify topological parameters of the hemispheric networks. In both adolescents and young adults, rightward asymmetry in both global and local network efficiencies was consistently observed between the 2 hemispheres, but the degree of the asymmetry was significantly decreased in young adults. At the nodal level, the young adults exhibited less rightward asymmetry of nodal efficiency mainly around the parasylvian area, posterior tempo-parietal cortex, and fusiform gyrus. These developmental patterns of network asymmetry provide novel insight into the human brain structural development from adolescence to young adulthood and also likely relate to the maturation of language and social cognition that takes place during this period.","container-title":"Cerebral Cortex","DOI":"10.1093/cercor/bhw109","ISSN":"1047-3211","issue":"4","journalAbbreviation":"Cereb Cortex","page":"2560-2570","source":"Silverchair","title":"Developmental Changes in Topological Asymmetry Between Hemispheric Brain White Matter Networks from Adolescence to Young Adulthood","volume":"27","author":[{"family":"Zhong","given":"Suyu"},{"family":"He","given":"Yong"},{"family":"Shu","given":"Hua"},{"family":"Gong","given":"Gaolang"}],"issued":{"date-parts":[["2017",4,1]]}},"label":"page"}],"schema":"https://github.com/citation-style-language/schema/raw/master/csl-citation.json"} </w:instrText>
      </w:r>
      <w:r>
        <w:rPr>
          <w:rFonts w:ascii="Times New Roman" w:hAnsi="Times New Roman"/>
          <w:kern w:val="2"/>
          <w:lang w:eastAsia="zh" w:bidi="ar"/>
        </w:rPr>
        <w:fldChar w:fldCharType="separate"/>
      </w:r>
      <w:r>
        <w:rPr>
          <w:rFonts w:ascii="Times New Roman" w:hAnsi="Times New Roman"/>
        </w:rPr>
        <w:t>[</w:t>
      </w:r>
      <w:r>
        <w:fldChar w:fldCharType="begin"/>
      </w:r>
      <w:r>
        <w:instrText xml:space="preserve"> HYPERLINK \l "_ENREF_5" \o "Yesavage, 1982 #165" </w:instrText>
      </w:r>
      <w:r>
        <w:fldChar w:fldCharType="separate"/>
      </w:r>
      <w:r>
        <w:rPr>
          <w:rFonts w:ascii="Times New Roman" w:hAnsi="Times New Roman"/>
          <w:kern w:val="2"/>
        </w:rPr>
        <w:t>56</w:t>
      </w:r>
      <w:r>
        <w:rPr>
          <w:rFonts w:ascii="Times New Roman" w:hAnsi="Times New Roman"/>
        </w:rPr>
        <w:t>–</w:t>
      </w:r>
      <w:r>
        <w:rPr>
          <w:rFonts w:ascii="Times New Roman" w:hAnsi="Times New Roman"/>
          <w:kern w:val="2"/>
        </w:rPr>
        <w:t>60</w:t>
      </w:r>
      <w:r>
        <w:rPr>
          <w:rFonts w:ascii="Times New Roman" w:hAnsi="Times New Roman"/>
          <w:kern w:val="2"/>
        </w:rPr>
        <w:fldChar w:fldCharType="end"/>
      </w:r>
      <w:r>
        <w:rPr>
          <w:rFonts w:ascii="Times New Roman" w:hAnsi="Times New Roman"/>
        </w:rPr>
        <w:t>]</w:t>
      </w:r>
      <w:r>
        <w:rPr>
          <w:rFonts w:ascii="Times New Roman" w:hAnsi="Times New Roman"/>
          <w:kern w:val="2"/>
          <w:lang w:eastAsia="zh" w:bidi="ar"/>
        </w:rPr>
        <w:fldChar w:fldCharType="end"/>
      </w:r>
      <w:r>
        <w:rPr>
          <w:rFonts w:ascii="Times New Roman" w:hAnsi="Times New Roman"/>
          <w:kern w:val="2"/>
          <w:lang w:eastAsia="zh"/>
        </w:rPr>
        <w:t>.</w:t>
      </w:r>
    </w:p>
    <w:p w14:paraId="68BFC5A0">
      <w:pPr>
        <w:jc w:val="both"/>
        <w:rPr>
          <w:rFonts w:ascii="Times New Roman" w:hAnsi="Times New Roman"/>
          <w:kern w:val="2"/>
          <w:lang w:eastAsia="zh"/>
        </w:rPr>
        <w:sectPr>
          <w:pgSz w:w="16840" w:h="23820"/>
          <w:pgMar w:top="1440" w:right="1800" w:bottom="1440" w:left="1800" w:header="851" w:footer="992" w:gutter="0"/>
          <w:cols w:space="425" w:num="1"/>
          <w:docGrid w:type="lines" w:linePitch="312" w:charSpace="0"/>
        </w:sectPr>
      </w:pPr>
    </w:p>
    <w:p w14:paraId="200D79A6">
      <w:pPr>
        <w:rPr>
          <w:rStyle w:val="34"/>
          <w:rFonts w:ascii="Times New Roman" w:hAnsi="Times New Roman"/>
          <w:b/>
          <w:bCs/>
          <w:sz w:val="32"/>
          <w:szCs w:val="36"/>
          <w:lang w:eastAsia="zh"/>
        </w:rPr>
      </w:pPr>
      <w:r>
        <w:rPr>
          <w:rStyle w:val="34"/>
          <w:rFonts w:ascii="Times New Roman" w:hAnsi="Times New Roman"/>
          <w:b/>
          <w:bCs/>
          <w:sz w:val="32"/>
          <w:szCs w:val="36"/>
          <w:lang w:eastAsia="zh"/>
        </w:rPr>
        <w:t>Supplementary Results</w:t>
      </w:r>
    </w:p>
    <w:p w14:paraId="400085B5">
      <w:pPr>
        <w:rPr>
          <w:rFonts w:ascii="Times New Roman" w:hAnsi="Times New Roman"/>
          <w:b/>
          <w:bCs/>
          <w:kern w:val="2"/>
        </w:rPr>
      </w:pPr>
      <w:r>
        <w:rPr>
          <w:rFonts w:ascii="Times New Roman" w:hAnsi="Times New Roman"/>
          <w:b/>
          <w:bCs/>
          <w:kern w:val="2"/>
          <w:lang w:bidi="ar"/>
        </w:rPr>
        <w:t xml:space="preserve">1. Alterations in </w:t>
      </w:r>
      <w:r>
        <w:rPr>
          <w:rFonts w:ascii="Times New Roman" w:hAnsi="Times New Roman"/>
          <w:b/>
          <w:bCs/>
          <w:kern w:val="2"/>
          <w:lang w:eastAsia="zh" w:bidi="ar"/>
        </w:rPr>
        <w:t>AI of structural morphological metrics</w:t>
      </w:r>
      <w:r>
        <w:rPr>
          <w:rFonts w:ascii="Times New Roman" w:hAnsi="Times New Roman"/>
          <w:b/>
          <w:bCs/>
          <w:kern w:val="2"/>
          <w:lang w:bidi="ar"/>
        </w:rPr>
        <w:t xml:space="preserve"> </w:t>
      </w:r>
      <w:r>
        <w:rPr>
          <w:rFonts w:ascii="Times New Roman" w:hAnsi="Times New Roman"/>
          <w:b/>
          <w:bCs/>
          <w:kern w:val="2"/>
          <w:lang w:eastAsia="zh" w:bidi="ar"/>
        </w:rPr>
        <w:t>in AD.</w:t>
      </w:r>
    </w:p>
    <w:p w14:paraId="6F1657A1">
      <w:pPr>
        <w:pStyle w:val="26"/>
        <w:spacing w:before="240" w:after="240"/>
        <w:jc w:val="both"/>
        <w:rPr>
          <w:rFonts w:ascii="Times New Roman" w:hAnsi="Times New Roman"/>
          <w:kern w:val="2"/>
          <w:lang w:eastAsia="zh"/>
        </w:rPr>
      </w:pPr>
      <w:r>
        <w:rPr>
          <w:rFonts w:ascii="Times New Roman" w:hAnsi="Times New Roman"/>
          <w:kern w:val="2"/>
          <w:lang w:eastAsia="zh"/>
        </w:rPr>
        <w:t xml:space="preserve">Compared the gray matter volume asymmetry index (AI) across multiple brain regions among patients with Alzheimer's Disease (AD), Mild Cognitive Impairment (MCI), and Normal Control (NC) subjects. Statistical analyses (FDR-corrected) revealed that the AD group exhibited significant alterations in AI compared to the NC group in numerous brain regions, with effect sizes (Cohen's d) ranging from -0.548 to 0.720. Specifically, within the frontal lobe, the AD group showed significant differences in the inferior frontal gyrus, opercular part (IFG, A44op, </w:t>
      </w:r>
      <w:r>
        <w:rPr>
          <w:rFonts w:ascii="Times New Roman" w:hAnsi="Times New Roman"/>
          <w:kern w:val="2"/>
        </w:rPr>
        <w:t xml:space="preserve">Cohen's d </w:t>
      </w:r>
      <w:r>
        <w:rPr>
          <w:rFonts w:ascii="Times New Roman" w:hAnsi="Times New Roman"/>
          <w:kern w:val="2"/>
          <w:lang w:eastAsia="zh"/>
        </w:rPr>
        <w:t xml:space="preserve">= -0.359, </w:t>
      </w:r>
      <w:r>
        <w:rPr>
          <w:rFonts w:ascii="Times New Roman" w:hAnsi="Times New Roman"/>
          <w:kern w:val="2"/>
        </w:rPr>
        <w:t xml:space="preserve">p-FDR </w:t>
      </w:r>
      <w:r>
        <w:rPr>
          <w:rFonts w:ascii="Times New Roman" w:hAnsi="Times New Roman"/>
          <w:kern w:val="2"/>
          <w:lang w:eastAsia="zh"/>
        </w:rPr>
        <w:t>&lt;</w:t>
      </w:r>
      <w:r>
        <w:rPr>
          <w:rFonts w:ascii="Times New Roman" w:hAnsi="Times New Roman"/>
          <w:kern w:val="2"/>
        </w:rPr>
        <w:t xml:space="preserve"> 0.</w:t>
      </w:r>
      <w:r>
        <w:rPr>
          <w:rFonts w:ascii="Times New Roman" w:hAnsi="Times New Roman"/>
          <w:kern w:val="2"/>
          <w:lang w:eastAsia="zh"/>
        </w:rPr>
        <w:t xml:space="preserve">001) and the middle orbital gyrus (OrG, A14m, </w:t>
      </w:r>
      <w:r>
        <w:rPr>
          <w:rFonts w:ascii="Times New Roman" w:hAnsi="Times New Roman"/>
          <w:kern w:val="2"/>
        </w:rPr>
        <w:t xml:space="preserve">Cohen's d </w:t>
      </w:r>
      <w:r>
        <w:rPr>
          <w:rFonts w:ascii="Times New Roman" w:hAnsi="Times New Roman"/>
          <w:kern w:val="2"/>
          <w:lang w:eastAsia="zh"/>
        </w:rPr>
        <w:t xml:space="preserve">= 0.321, </w:t>
      </w:r>
      <w:r>
        <w:rPr>
          <w:rFonts w:ascii="Times New Roman" w:hAnsi="Times New Roman"/>
          <w:kern w:val="2"/>
        </w:rPr>
        <w:t>p-FDR = 0.</w:t>
      </w:r>
      <w:r>
        <w:rPr>
          <w:rFonts w:ascii="Times New Roman" w:hAnsi="Times New Roman"/>
          <w:kern w:val="2"/>
          <w:lang w:eastAsia="zh"/>
        </w:rPr>
        <w:t xml:space="preserve">003). In the temporal lobe, significant differences between AD and NC were identified in several regions, including the superior temporal gyrus (STG, A22c, </w:t>
      </w:r>
      <w:r>
        <w:rPr>
          <w:rFonts w:ascii="Times New Roman" w:hAnsi="Times New Roman"/>
          <w:kern w:val="2"/>
        </w:rPr>
        <w:t xml:space="preserve">Cohen's d </w:t>
      </w:r>
      <w:r>
        <w:rPr>
          <w:rFonts w:ascii="Times New Roman" w:hAnsi="Times New Roman"/>
          <w:kern w:val="2"/>
          <w:lang w:eastAsia="zh"/>
        </w:rPr>
        <w:t xml:space="preserve">= -0.548, </w:t>
      </w:r>
      <w:r>
        <w:rPr>
          <w:rFonts w:ascii="Times New Roman" w:hAnsi="Times New Roman"/>
          <w:kern w:val="2"/>
        </w:rPr>
        <w:t>p-FDR = 0.</w:t>
      </w:r>
      <w:r>
        <w:rPr>
          <w:rFonts w:ascii="Times New Roman" w:hAnsi="Times New Roman"/>
          <w:kern w:val="2"/>
          <w:lang w:eastAsia="zh"/>
        </w:rPr>
        <w:t xml:space="preserve">003), inferior temporal gyrus (ITG, A20iv, </w:t>
      </w:r>
      <w:r>
        <w:rPr>
          <w:rFonts w:ascii="Times New Roman" w:hAnsi="Times New Roman"/>
          <w:kern w:val="2"/>
        </w:rPr>
        <w:t xml:space="preserve">Cohen's d </w:t>
      </w:r>
      <w:r>
        <w:rPr>
          <w:rFonts w:ascii="Times New Roman" w:hAnsi="Times New Roman"/>
          <w:kern w:val="2"/>
          <w:lang w:eastAsia="zh"/>
        </w:rPr>
        <w:t xml:space="preserve">= -0.243, </w:t>
      </w:r>
      <w:r>
        <w:rPr>
          <w:rFonts w:ascii="Times New Roman" w:hAnsi="Times New Roman"/>
          <w:kern w:val="2"/>
        </w:rPr>
        <w:t>p-FDR = 0.</w:t>
      </w:r>
      <w:r>
        <w:rPr>
          <w:rFonts w:ascii="Times New Roman" w:hAnsi="Times New Roman"/>
          <w:kern w:val="2"/>
          <w:lang w:eastAsia="zh"/>
        </w:rPr>
        <w:t xml:space="preserve">041), fusiform gyrus (FuG, A37lv, </w:t>
      </w:r>
      <w:r>
        <w:rPr>
          <w:rFonts w:ascii="Times New Roman" w:hAnsi="Times New Roman"/>
          <w:kern w:val="2"/>
        </w:rPr>
        <w:t xml:space="preserve">Cohen's d </w:t>
      </w:r>
      <w:r>
        <w:rPr>
          <w:rFonts w:ascii="Times New Roman" w:hAnsi="Times New Roman"/>
          <w:kern w:val="2"/>
          <w:lang w:eastAsia="zh"/>
        </w:rPr>
        <w:t xml:space="preserve">= 0.272, </w:t>
      </w:r>
      <w:r>
        <w:rPr>
          <w:rFonts w:ascii="Times New Roman" w:hAnsi="Times New Roman"/>
          <w:kern w:val="2"/>
        </w:rPr>
        <w:t>p-FDR = 0.</w:t>
      </w:r>
      <w:r>
        <w:rPr>
          <w:rFonts w:ascii="Times New Roman" w:hAnsi="Times New Roman"/>
          <w:kern w:val="2"/>
          <w:lang w:eastAsia="zh"/>
        </w:rPr>
        <w:t xml:space="preserve">027), and parahippocampal gyrus (PhG, A35_36r). Notably, the posterior superior temporal sulcus (PSTS, cpSTS, </w:t>
      </w:r>
      <w:r>
        <w:rPr>
          <w:rFonts w:ascii="Times New Roman" w:hAnsi="Times New Roman"/>
          <w:kern w:val="2"/>
        </w:rPr>
        <w:t xml:space="preserve">Cohen's d </w:t>
      </w:r>
      <w:r>
        <w:rPr>
          <w:rFonts w:ascii="Times New Roman" w:hAnsi="Times New Roman"/>
          <w:kern w:val="2"/>
          <w:lang w:eastAsia="zh"/>
        </w:rPr>
        <w:t xml:space="preserve">= -0.361, </w:t>
      </w:r>
      <w:r>
        <w:rPr>
          <w:rFonts w:ascii="Times New Roman" w:hAnsi="Times New Roman"/>
          <w:kern w:val="2"/>
        </w:rPr>
        <w:t>p-FDR = 0.</w:t>
      </w:r>
      <w:r>
        <w:rPr>
          <w:rFonts w:ascii="Times New Roman" w:hAnsi="Times New Roman"/>
          <w:kern w:val="2"/>
          <w:lang w:eastAsia="zh"/>
        </w:rPr>
        <w:t xml:space="preserve">050) and the postcentral gyrus (PoG, A2, </w:t>
      </w:r>
      <w:r>
        <w:rPr>
          <w:rFonts w:ascii="Times New Roman" w:hAnsi="Times New Roman"/>
          <w:kern w:val="2"/>
        </w:rPr>
        <w:t xml:space="preserve">Cohen's d </w:t>
      </w:r>
      <w:r>
        <w:rPr>
          <w:rFonts w:ascii="Times New Roman" w:hAnsi="Times New Roman"/>
          <w:kern w:val="2"/>
          <w:lang w:eastAsia="zh"/>
        </w:rPr>
        <w:t xml:space="preserve">= -0.237, </w:t>
      </w:r>
      <w:r>
        <w:rPr>
          <w:rFonts w:ascii="Times New Roman" w:hAnsi="Times New Roman"/>
          <w:kern w:val="2"/>
        </w:rPr>
        <w:t>p-FDR = 0.</w:t>
      </w:r>
      <w:r>
        <w:rPr>
          <w:rFonts w:ascii="Times New Roman" w:hAnsi="Times New Roman"/>
          <w:kern w:val="2"/>
          <w:lang w:eastAsia="zh"/>
        </w:rPr>
        <w:t>047) demonstrated significant alterations not only in the AD vs. NC comparison but also in the direct comparison of AD vs. MCI. Among the subcortical nuclei, the most pronounced difference was observed in the hippocampus (Hipp, cHipp), which yielded a large positive effect size (</w:t>
      </w:r>
      <w:r>
        <w:rPr>
          <w:rFonts w:ascii="Times New Roman" w:hAnsi="Times New Roman"/>
          <w:kern w:val="2"/>
        </w:rPr>
        <w:t xml:space="preserve">Cohen's d </w:t>
      </w:r>
      <w:r>
        <w:rPr>
          <w:rFonts w:ascii="Times New Roman" w:hAnsi="Times New Roman"/>
          <w:kern w:val="2"/>
          <w:lang w:eastAsia="zh"/>
        </w:rPr>
        <w:t xml:space="preserve">= 0.720, </w:t>
      </w:r>
      <w:r>
        <w:rPr>
          <w:rFonts w:ascii="Times New Roman" w:hAnsi="Times New Roman"/>
          <w:kern w:val="2"/>
        </w:rPr>
        <w:t xml:space="preserve">p-FDR </w:t>
      </w:r>
      <w:r>
        <w:rPr>
          <w:rFonts w:ascii="Times New Roman" w:hAnsi="Times New Roman"/>
          <w:kern w:val="2"/>
          <w:lang w:eastAsia="zh"/>
        </w:rPr>
        <w:t>&lt;</w:t>
      </w:r>
      <w:r>
        <w:rPr>
          <w:rFonts w:ascii="Times New Roman" w:hAnsi="Times New Roman"/>
          <w:kern w:val="2"/>
        </w:rPr>
        <w:t xml:space="preserve"> 0.</w:t>
      </w:r>
      <w:r>
        <w:rPr>
          <w:rFonts w:ascii="Times New Roman" w:hAnsi="Times New Roman"/>
          <w:kern w:val="2"/>
          <w:lang w:eastAsia="zh"/>
        </w:rPr>
        <w:t>001) in the AD-NC comparison and a medium-to-large effect (</w:t>
      </w:r>
      <w:r>
        <w:rPr>
          <w:rFonts w:ascii="Times New Roman" w:hAnsi="Times New Roman"/>
          <w:kern w:val="2"/>
        </w:rPr>
        <w:t xml:space="preserve">Cohen's d </w:t>
      </w:r>
      <w:r>
        <w:rPr>
          <w:rFonts w:ascii="Times New Roman" w:hAnsi="Times New Roman"/>
          <w:kern w:val="2"/>
          <w:lang w:eastAsia="zh"/>
        </w:rPr>
        <w:t xml:space="preserve">= 0.560, p = 0.002) in the AD and MCI comparison. Furthermore, two subregions of the thalamus (PPtha and Otha) also showed significant differences between AD and NC groups (For PPtha: </w:t>
      </w:r>
      <w:r>
        <w:rPr>
          <w:rFonts w:ascii="Times New Roman" w:hAnsi="Times New Roman"/>
          <w:kern w:val="2"/>
        </w:rPr>
        <w:t>Cohen's d = 0.</w:t>
      </w:r>
      <w:r>
        <w:rPr>
          <w:rFonts w:ascii="Times New Roman" w:hAnsi="Times New Roman"/>
          <w:kern w:val="2"/>
          <w:lang w:eastAsia="zh"/>
        </w:rPr>
        <w:t xml:space="preserve">438, </w:t>
      </w:r>
      <w:r>
        <w:rPr>
          <w:rFonts w:ascii="Times New Roman" w:hAnsi="Times New Roman"/>
          <w:kern w:val="2"/>
        </w:rPr>
        <w:t>p-FDR = 0.</w:t>
      </w:r>
      <w:r>
        <w:rPr>
          <w:rFonts w:ascii="Times New Roman" w:hAnsi="Times New Roman"/>
          <w:kern w:val="2"/>
          <w:lang w:eastAsia="zh"/>
        </w:rPr>
        <w:t xml:space="preserve">027; For Otha: </w:t>
      </w:r>
      <w:r>
        <w:rPr>
          <w:rFonts w:ascii="Times New Roman" w:hAnsi="Times New Roman"/>
          <w:kern w:val="2"/>
        </w:rPr>
        <w:t>Cohen's d = 0.</w:t>
      </w:r>
      <w:r>
        <w:rPr>
          <w:rFonts w:ascii="Times New Roman" w:hAnsi="Times New Roman"/>
          <w:kern w:val="2"/>
          <w:lang w:eastAsia="zh"/>
        </w:rPr>
        <w:t xml:space="preserve">428, </w:t>
      </w:r>
      <w:r>
        <w:rPr>
          <w:rFonts w:ascii="Times New Roman" w:hAnsi="Times New Roman"/>
          <w:kern w:val="2"/>
        </w:rPr>
        <w:t>p-FDR = 0.</w:t>
      </w:r>
      <w:r>
        <w:rPr>
          <w:rFonts w:ascii="Times New Roman" w:hAnsi="Times New Roman"/>
          <w:kern w:val="2"/>
          <w:lang w:eastAsia="zh"/>
        </w:rPr>
        <w:t xml:space="preserve">003). </w:t>
      </w:r>
      <w:r>
        <w:rPr>
          <w:rFonts w:ascii="Times New Roman" w:hAnsi="Times New Roman" w:eastAsia="sans-serif"/>
          <w:color w:val="0F1115"/>
          <w:shd w:val="clear" w:color="auto" w:fill="FFFFFF"/>
        </w:rPr>
        <w:t>No brain regions showed significant differences</w:t>
      </w:r>
      <w:r>
        <w:rPr>
          <w:rFonts w:ascii="Times New Roman" w:hAnsi="Times New Roman" w:eastAsia="sans-serif"/>
          <w:color w:val="0F1115"/>
          <w:shd w:val="clear" w:color="auto" w:fill="FFFFFF"/>
          <w:lang w:eastAsia="zh"/>
        </w:rPr>
        <w:t xml:space="preserve"> in GMV</w:t>
      </w:r>
      <w:r>
        <w:rPr>
          <w:rFonts w:ascii="Times New Roman" w:hAnsi="Times New Roman"/>
          <w:kern w:val="2"/>
          <w:lang w:eastAsia="zh"/>
        </w:rPr>
        <w:t xml:space="preserve"> </w:t>
      </w:r>
      <w:r>
        <w:rPr>
          <w:rFonts w:ascii="Times New Roman" w:hAnsi="Times New Roman" w:eastAsia="sans-serif"/>
          <w:color w:val="0F1115"/>
          <w:shd w:val="clear" w:color="auto" w:fill="FFFFFF"/>
        </w:rPr>
        <w:t>between the MCI and NC groups</w:t>
      </w:r>
      <w:r>
        <w:rPr>
          <w:rFonts w:ascii="Times New Roman" w:hAnsi="Times New Roman" w:eastAsia="sans-serif"/>
          <w:color w:val="0F1115"/>
          <w:shd w:val="clear" w:color="auto" w:fill="FFFFFF"/>
          <w:lang w:eastAsia="zh"/>
        </w:rPr>
        <w:t>, after FDR correction</w:t>
      </w:r>
      <w:r>
        <w:rPr>
          <w:rFonts w:ascii="Times New Roman" w:hAnsi="Times New Roman" w:eastAsia="sans-serif"/>
          <w:color w:val="0F1115"/>
          <w:shd w:val="clear" w:color="auto" w:fill="FFFFFF"/>
        </w:rPr>
        <w:t>.</w:t>
      </w:r>
    </w:p>
    <w:p w14:paraId="472CA463">
      <w:pPr>
        <w:pStyle w:val="26"/>
        <w:spacing w:before="240" w:after="240"/>
        <w:jc w:val="both"/>
        <w:rPr>
          <w:rFonts w:ascii="Times New Roman" w:hAnsi="Times New Roman"/>
          <w:kern w:val="2"/>
          <w:lang w:eastAsia="zh"/>
        </w:rPr>
      </w:pPr>
      <w:r>
        <w:rPr>
          <w:rFonts w:ascii="Times New Roman" w:hAnsi="Times New Roman"/>
          <w:kern w:val="2"/>
          <w:lang w:eastAsia="zh"/>
        </w:rPr>
        <w:t>For AI of FD, AD showed only three</w:t>
      </w:r>
      <w:r>
        <w:rPr>
          <w:rFonts w:ascii="Times New Roman" w:hAnsi="Times New Roman"/>
          <w:kern w:val="2"/>
        </w:rPr>
        <w:t xml:space="preserve"> brain regions </w:t>
      </w:r>
      <w:r>
        <w:rPr>
          <w:rFonts w:ascii="Times New Roman" w:hAnsi="Times New Roman"/>
          <w:kern w:val="2"/>
          <w:lang w:eastAsia="zh"/>
        </w:rPr>
        <w:t xml:space="preserve">with </w:t>
      </w:r>
      <w:r>
        <w:rPr>
          <w:rFonts w:ascii="Times New Roman" w:hAnsi="Times New Roman"/>
          <w:kern w:val="2"/>
        </w:rPr>
        <w:t>significant differences</w:t>
      </w:r>
      <w:r>
        <w:rPr>
          <w:rFonts w:ascii="Times New Roman" w:hAnsi="Times New Roman"/>
          <w:kern w:val="2"/>
          <w:lang w:eastAsia="zh"/>
        </w:rPr>
        <w:t>, compared to NC</w:t>
      </w:r>
      <w:r>
        <w:rPr>
          <w:rFonts w:ascii="Times New Roman" w:hAnsi="Times New Roman"/>
          <w:kern w:val="2"/>
        </w:rPr>
        <w:t>. Specifically, within the temporal lobe, the superior temporal gyrus (STG, A22c</w:t>
      </w:r>
      <w:r>
        <w:rPr>
          <w:rFonts w:ascii="Times New Roman" w:hAnsi="Times New Roman"/>
          <w:kern w:val="2"/>
          <w:lang w:eastAsia="zh"/>
        </w:rPr>
        <w:t xml:space="preserve"> and A22r, Fig. </w:t>
      </w:r>
      <w:r>
        <w:rPr>
          <w:rFonts w:ascii="Times New Roman" w:hAnsi="Times New Roman"/>
          <w:kern w:val="2"/>
        </w:rPr>
        <w:t>S</w:t>
      </w:r>
      <w:r>
        <w:rPr>
          <w:rFonts w:ascii="Times New Roman" w:hAnsi="Times New Roman"/>
          <w:kern w:val="2"/>
          <w:lang w:eastAsia="zh"/>
        </w:rPr>
        <w:t xml:space="preserve">2 and </w:t>
      </w:r>
      <w:bookmarkStart w:id="56" w:name="_GoBack"/>
      <w:r>
        <w:rPr>
          <w:rFonts w:ascii="Times New Roman" w:hAnsi="Times New Roman"/>
          <w:kern w:val="2"/>
        </w:rPr>
        <w:t>Table</w:t>
      </w:r>
      <w:bookmarkEnd w:id="56"/>
      <w:r>
        <w:rPr>
          <w:rFonts w:ascii="Times New Roman" w:hAnsi="Times New Roman"/>
          <w:kern w:val="2"/>
          <w:lang w:eastAsia="zh"/>
        </w:rPr>
        <w:t xml:space="preserve"> </w:t>
      </w:r>
      <w:r>
        <w:rPr>
          <w:rFonts w:ascii="Times New Roman" w:hAnsi="Times New Roman"/>
          <w:kern w:val="2"/>
        </w:rPr>
        <w:t>S</w:t>
      </w:r>
      <w:r>
        <w:rPr>
          <w:rFonts w:ascii="Times New Roman" w:hAnsi="Times New Roman"/>
          <w:kern w:val="2"/>
          <w:lang w:eastAsia="zh"/>
        </w:rPr>
        <w:t>2</w:t>
      </w:r>
      <w:r>
        <w:rPr>
          <w:rFonts w:ascii="Times New Roman" w:hAnsi="Times New Roman"/>
          <w:kern w:val="2"/>
        </w:rPr>
        <w:t>)</w:t>
      </w:r>
      <w:r>
        <w:rPr>
          <w:rFonts w:ascii="Times New Roman" w:hAnsi="Times New Roman"/>
          <w:kern w:val="2"/>
          <w:lang w:eastAsia="zh"/>
        </w:rPr>
        <w:t xml:space="preserve"> </w:t>
      </w:r>
      <w:r>
        <w:rPr>
          <w:rFonts w:ascii="Times New Roman" w:hAnsi="Times New Roman"/>
          <w:kern w:val="2"/>
        </w:rPr>
        <w:t xml:space="preserve">exhibited </w:t>
      </w:r>
      <w:r>
        <w:rPr>
          <w:rFonts w:ascii="Times New Roman" w:hAnsi="Times New Roman"/>
          <w:kern w:val="2"/>
          <w:lang w:eastAsia="zh"/>
        </w:rPr>
        <w:t>a rightward asymmetry</w:t>
      </w:r>
      <w:r>
        <w:rPr>
          <w:rFonts w:ascii="Times New Roman" w:hAnsi="Times New Roman"/>
          <w:kern w:val="2"/>
        </w:rPr>
        <w:t xml:space="preserve">, with </w:t>
      </w:r>
      <w:r>
        <w:rPr>
          <w:rFonts w:ascii="Times New Roman" w:hAnsi="Times New Roman"/>
          <w:kern w:val="2"/>
          <w:lang w:eastAsia="zh"/>
        </w:rPr>
        <w:t xml:space="preserve">a negative </w:t>
      </w:r>
      <w:r>
        <w:rPr>
          <w:rFonts w:ascii="Times New Roman" w:hAnsi="Times New Roman"/>
          <w:kern w:val="2"/>
        </w:rPr>
        <w:t xml:space="preserve">effect size </w:t>
      </w:r>
      <w:r>
        <w:rPr>
          <w:rFonts w:ascii="Times New Roman" w:hAnsi="Times New Roman"/>
          <w:kern w:val="2"/>
          <w:lang w:eastAsia="zh"/>
        </w:rPr>
        <w:t xml:space="preserve">(For </w:t>
      </w:r>
      <w:r>
        <w:rPr>
          <w:rFonts w:ascii="Times New Roman" w:hAnsi="Times New Roman"/>
          <w:kern w:val="2"/>
        </w:rPr>
        <w:t>A22c</w:t>
      </w:r>
      <w:r>
        <w:rPr>
          <w:rFonts w:ascii="Times New Roman" w:hAnsi="Times New Roman"/>
          <w:kern w:val="2"/>
          <w:lang w:eastAsia="zh"/>
        </w:rPr>
        <w:t xml:space="preserve">: </w:t>
      </w:r>
      <w:r>
        <w:rPr>
          <w:rFonts w:ascii="Times New Roman" w:hAnsi="Times New Roman"/>
          <w:kern w:val="2"/>
        </w:rPr>
        <w:t>Cohen's d = -0.394</w:t>
      </w:r>
      <w:r>
        <w:rPr>
          <w:rFonts w:ascii="Times New Roman" w:hAnsi="Times New Roman"/>
          <w:kern w:val="2"/>
          <w:lang w:eastAsia="zh"/>
        </w:rPr>
        <w:t xml:space="preserve">, </w:t>
      </w:r>
      <w:r>
        <w:rPr>
          <w:rFonts w:ascii="Times New Roman" w:hAnsi="Times New Roman"/>
          <w:kern w:val="2"/>
        </w:rPr>
        <w:t>p-FDR = 0.032</w:t>
      </w:r>
      <w:r>
        <w:rPr>
          <w:rFonts w:ascii="Times New Roman" w:hAnsi="Times New Roman"/>
          <w:kern w:val="2"/>
          <w:lang w:eastAsia="zh"/>
        </w:rPr>
        <w:t xml:space="preserve">; For A22r: </w:t>
      </w:r>
      <w:r>
        <w:rPr>
          <w:rFonts w:ascii="Times New Roman" w:hAnsi="Times New Roman"/>
          <w:kern w:val="2"/>
        </w:rPr>
        <w:t>Cohen's d = -0.355</w:t>
      </w:r>
      <w:r>
        <w:rPr>
          <w:rFonts w:ascii="Times New Roman" w:hAnsi="Times New Roman"/>
          <w:kern w:val="2"/>
          <w:lang w:eastAsia="zh"/>
        </w:rPr>
        <w:t xml:space="preserve">, </w:t>
      </w:r>
      <w:r>
        <w:rPr>
          <w:rFonts w:ascii="Times New Roman" w:hAnsi="Times New Roman"/>
          <w:kern w:val="2"/>
        </w:rPr>
        <w:t xml:space="preserve">p-FDR = 0.022), respectively. In contrast, the </w:t>
      </w:r>
      <w:r>
        <w:rPr>
          <w:rFonts w:ascii="Times New Roman" w:hAnsi="Times New Roman"/>
          <w:kern w:val="2"/>
          <w:lang w:eastAsia="zh"/>
        </w:rPr>
        <w:t>p</w:t>
      </w:r>
      <w:r>
        <w:rPr>
          <w:rFonts w:ascii="Times New Roman" w:hAnsi="Times New Roman"/>
          <w:kern w:val="2"/>
        </w:rPr>
        <w:t>arahippocampal gyrus (</w:t>
      </w:r>
      <w:r>
        <w:rPr>
          <w:rFonts w:ascii="Times New Roman" w:hAnsi="Times New Roman"/>
          <w:kern w:val="2"/>
          <w:lang w:eastAsia="zh"/>
        </w:rPr>
        <w:t>Ph</w:t>
      </w:r>
      <w:r>
        <w:rPr>
          <w:rFonts w:ascii="Times New Roman" w:hAnsi="Times New Roman"/>
          <w:kern w:val="2"/>
        </w:rPr>
        <w:t xml:space="preserve">G, A35_36r) in the temporal lobe showed </w:t>
      </w:r>
      <w:r>
        <w:rPr>
          <w:rFonts w:ascii="Times New Roman" w:hAnsi="Times New Roman"/>
          <w:kern w:val="2"/>
          <w:lang w:eastAsia="zh"/>
        </w:rPr>
        <w:t>a leftward asymmetry</w:t>
      </w:r>
      <w:r>
        <w:rPr>
          <w:rFonts w:ascii="Times New Roman" w:hAnsi="Times New Roman"/>
          <w:kern w:val="2"/>
        </w:rPr>
        <w:t xml:space="preserve">, with a </w:t>
      </w:r>
      <w:r>
        <w:rPr>
          <w:rFonts w:ascii="Times New Roman" w:hAnsi="Times New Roman"/>
          <w:kern w:val="2"/>
          <w:lang w:eastAsia="zh"/>
        </w:rPr>
        <w:t xml:space="preserve">positive </w:t>
      </w:r>
      <w:r>
        <w:rPr>
          <w:rFonts w:ascii="Times New Roman" w:hAnsi="Times New Roman"/>
          <w:kern w:val="2"/>
        </w:rPr>
        <w:t xml:space="preserve">effect size </w:t>
      </w:r>
      <w:r>
        <w:rPr>
          <w:rFonts w:ascii="Times New Roman" w:hAnsi="Times New Roman"/>
          <w:kern w:val="2"/>
          <w:lang w:eastAsia="zh"/>
        </w:rPr>
        <w:t>(</w:t>
      </w:r>
      <w:r>
        <w:rPr>
          <w:rFonts w:ascii="Times New Roman" w:hAnsi="Times New Roman"/>
          <w:kern w:val="2"/>
        </w:rPr>
        <w:t>Cohen's d = 0.526</w:t>
      </w:r>
      <w:r>
        <w:rPr>
          <w:rFonts w:ascii="Times New Roman" w:hAnsi="Times New Roman"/>
          <w:kern w:val="2"/>
          <w:lang w:eastAsia="zh"/>
        </w:rPr>
        <w:t xml:space="preserve">, </w:t>
      </w:r>
      <w:r>
        <w:rPr>
          <w:rFonts w:ascii="Times New Roman" w:hAnsi="Times New Roman"/>
          <w:kern w:val="2"/>
        </w:rPr>
        <w:t>p-FDR &lt; 0.001).</w:t>
      </w:r>
      <w:r>
        <w:rPr>
          <w:rFonts w:ascii="Times New Roman" w:hAnsi="Times New Roman"/>
          <w:kern w:val="2"/>
          <w:lang w:eastAsia="zh"/>
        </w:rPr>
        <w:t xml:space="preserve"> </w:t>
      </w:r>
      <w:r>
        <w:rPr>
          <w:rFonts w:ascii="Times New Roman" w:hAnsi="Times New Roman"/>
          <w:kern w:val="2"/>
        </w:rPr>
        <w:t>In the comparison between the AD and MCI groups, significant differences</w:t>
      </w:r>
      <w:r>
        <w:rPr>
          <w:rFonts w:ascii="Times New Roman" w:hAnsi="Times New Roman"/>
          <w:kern w:val="2"/>
          <w:lang w:eastAsia="zh"/>
        </w:rPr>
        <w:t xml:space="preserve"> </w:t>
      </w:r>
      <w:r>
        <w:rPr>
          <w:rFonts w:ascii="Times New Roman" w:hAnsi="Times New Roman"/>
          <w:kern w:val="2"/>
        </w:rPr>
        <w:t xml:space="preserve">were observed in </w:t>
      </w:r>
      <w:r>
        <w:rPr>
          <w:rFonts w:ascii="Times New Roman" w:hAnsi="Times New Roman"/>
          <w:kern w:val="2"/>
          <w:lang w:eastAsia="zh"/>
        </w:rPr>
        <w:t>more</w:t>
      </w:r>
      <w:r>
        <w:rPr>
          <w:rFonts w:ascii="Times New Roman" w:hAnsi="Times New Roman"/>
          <w:kern w:val="2"/>
        </w:rPr>
        <w:t xml:space="preserve"> regions. Within the frontal lobe, the orbital gyrus (OrG, A11</w:t>
      </w:r>
      <w:r>
        <w:rPr>
          <w:rFonts w:ascii="Times New Roman" w:hAnsi="Times New Roman"/>
          <w:kern w:val="2"/>
          <w:lang w:eastAsia="zh"/>
        </w:rPr>
        <w:t>l</w:t>
      </w:r>
      <w:r>
        <w:rPr>
          <w:rFonts w:ascii="Times New Roman" w:hAnsi="Times New Roman"/>
          <w:kern w:val="2"/>
        </w:rPr>
        <w:t>) and paracentral lobule (PCL, A4</w:t>
      </w:r>
      <w:r>
        <w:rPr>
          <w:rFonts w:ascii="Times New Roman" w:hAnsi="Times New Roman"/>
          <w:kern w:val="2"/>
          <w:lang w:eastAsia="zh"/>
        </w:rPr>
        <w:t>ll</w:t>
      </w:r>
      <w:r>
        <w:rPr>
          <w:rFonts w:ascii="Times New Roman" w:hAnsi="Times New Roman"/>
          <w:kern w:val="2"/>
        </w:rPr>
        <w:t xml:space="preserve">) both showed </w:t>
      </w:r>
      <w:r>
        <w:rPr>
          <w:rFonts w:ascii="Times New Roman" w:hAnsi="Times New Roman"/>
          <w:kern w:val="2"/>
          <w:lang w:eastAsia="zh"/>
        </w:rPr>
        <w:t>a leftward asymmetry</w:t>
      </w:r>
      <w:r>
        <w:rPr>
          <w:rFonts w:ascii="Times New Roman" w:hAnsi="Times New Roman"/>
          <w:kern w:val="2"/>
        </w:rPr>
        <w:t xml:space="preserve">, with </w:t>
      </w:r>
      <w:r>
        <w:rPr>
          <w:rFonts w:ascii="Times New Roman" w:hAnsi="Times New Roman"/>
          <w:kern w:val="2"/>
          <w:lang w:eastAsia="zh"/>
        </w:rPr>
        <w:t xml:space="preserve">a significant positive effect size (For </w:t>
      </w:r>
      <w:r>
        <w:rPr>
          <w:rFonts w:ascii="Times New Roman" w:hAnsi="Times New Roman"/>
          <w:kern w:val="2"/>
        </w:rPr>
        <w:t>A11</w:t>
      </w:r>
      <w:r>
        <w:rPr>
          <w:rFonts w:ascii="Times New Roman" w:hAnsi="Times New Roman"/>
          <w:kern w:val="2"/>
          <w:lang w:eastAsia="zh"/>
        </w:rPr>
        <w:t xml:space="preserve">l: </w:t>
      </w:r>
      <w:r>
        <w:rPr>
          <w:rFonts w:ascii="Times New Roman" w:hAnsi="Times New Roman"/>
          <w:kern w:val="2"/>
        </w:rPr>
        <w:t>Cohen's d = 0.292</w:t>
      </w:r>
      <w:r>
        <w:rPr>
          <w:rFonts w:ascii="Times New Roman" w:hAnsi="Times New Roman"/>
          <w:kern w:val="2"/>
          <w:lang w:eastAsia="zh"/>
        </w:rPr>
        <w:t xml:space="preserve">, </w:t>
      </w:r>
      <w:r>
        <w:rPr>
          <w:rFonts w:ascii="Times New Roman" w:hAnsi="Times New Roman"/>
          <w:kern w:val="2"/>
        </w:rPr>
        <w:t>p-FDR = 0.040</w:t>
      </w:r>
      <w:r>
        <w:rPr>
          <w:rFonts w:ascii="Times New Roman" w:hAnsi="Times New Roman"/>
          <w:kern w:val="2"/>
          <w:lang w:eastAsia="zh"/>
        </w:rPr>
        <w:t xml:space="preserve">; For A4ll: </w:t>
      </w:r>
      <w:r>
        <w:rPr>
          <w:rFonts w:ascii="Times New Roman" w:hAnsi="Times New Roman"/>
          <w:kern w:val="2"/>
        </w:rPr>
        <w:t>Cohen's d = 0.359</w:t>
      </w:r>
      <w:r>
        <w:rPr>
          <w:rFonts w:ascii="Times New Roman" w:hAnsi="Times New Roman"/>
          <w:kern w:val="2"/>
          <w:lang w:eastAsia="zh"/>
        </w:rPr>
        <w:t xml:space="preserve">, </w:t>
      </w:r>
      <w:r>
        <w:rPr>
          <w:rFonts w:ascii="Times New Roman" w:hAnsi="Times New Roman"/>
          <w:kern w:val="2"/>
        </w:rPr>
        <w:t xml:space="preserve">p-FDR = 0.005). </w:t>
      </w:r>
      <w:r>
        <w:rPr>
          <w:rFonts w:ascii="Times New Roman" w:hAnsi="Times New Roman" w:eastAsia="sans-serif"/>
          <w:color w:val="0F1115"/>
          <w:shd w:val="clear" w:color="auto" w:fill="FFFFFF"/>
        </w:rPr>
        <w:t>Furthermore, other regions—including the temporal lobe (STG A22c and PhG A37lv), limbic lobe (</w:t>
      </w:r>
      <w:r>
        <w:rPr>
          <w:rFonts w:ascii="Times New Roman" w:hAnsi="Times New Roman" w:eastAsia="sans-serif"/>
          <w:color w:val="0F1115"/>
          <w:shd w:val="clear" w:color="auto" w:fill="FFFFFF"/>
          <w:lang w:eastAsia="zh"/>
        </w:rPr>
        <w:t>CG</w:t>
      </w:r>
      <w:r>
        <w:rPr>
          <w:rFonts w:ascii="Times New Roman" w:hAnsi="Times New Roman" w:eastAsia="sans-serif"/>
          <w:color w:val="0F1115"/>
          <w:shd w:val="clear" w:color="auto" w:fill="FFFFFF"/>
        </w:rPr>
        <w:t xml:space="preserve"> A23v), and occipital lobe (MVOCC vmPOS)—generally showed a greater rightward asymmetr</w:t>
      </w:r>
      <w:r>
        <w:rPr>
          <w:rFonts w:ascii="Times New Roman" w:hAnsi="Times New Roman" w:eastAsia="sans-serif"/>
          <w:color w:val="0F1115"/>
          <w:shd w:val="clear" w:color="auto" w:fill="FFFFFF"/>
          <w:lang w:eastAsia="zh"/>
        </w:rPr>
        <w:t xml:space="preserve">y. </w:t>
      </w:r>
      <w:r>
        <w:rPr>
          <w:rFonts w:ascii="Times New Roman" w:hAnsi="Times New Roman" w:eastAsia="sans-serif"/>
          <w:color w:val="0F1115"/>
          <w:shd w:val="clear" w:color="auto" w:fill="FFFFFF"/>
        </w:rPr>
        <w:t>No brain regions showed significant differences</w:t>
      </w:r>
      <w:r>
        <w:rPr>
          <w:rFonts w:ascii="Times New Roman" w:hAnsi="Times New Roman" w:eastAsia="sans-serif"/>
          <w:color w:val="0F1115"/>
          <w:shd w:val="clear" w:color="auto" w:fill="FFFFFF"/>
          <w:lang w:eastAsia="zh"/>
        </w:rPr>
        <w:t xml:space="preserve"> in FD</w:t>
      </w:r>
      <w:r>
        <w:rPr>
          <w:rFonts w:ascii="Times New Roman" w:hAnsi="Times New Roman"/>
          <w:kern w:val="2"/>
          <w:lang w:eastAsia="zh"/>
        </w:rPr>
        <w:t xml:space="preserve"> </w:t>
      </w:r>
      <w:r>
        <w:rPr>
          <w:rFonts w:ascii="Times New Roman" w:hAnsi="Times New Roman" w:eastAsia="sans-serif"/>
          <w:color w:val="0F1115"/>
          <w:shd w:val="clear" w:color="auto" w:fill="FFFFFF"/>
        </w:rPr>
        <w:t>between the MCI and NC groups</w:t>
      </w:r>
      <w:r>
        <w:rPr>
          <w:rFonts w:ascii="Times New Roman" w:hAnsi="Times New Roman" w:eastAsia="sans-serif"/>
          <w:color w:val="0F1115"/>
          <w:shd w:val="clear" w:color="auto" w:fill="FFFFFF"/>
          <w:lang w:eastAsia="zh"/>
        </w:rPr>
        <w:t>, after FDR correction.</w:t>
      </w:r>
    </w:p>
    <w:p w14:paraId="16AB4F32">
      <w:pPr>
        <w:pStyle w:val="26"/>
        <w:spacing w:before="240" w:after="240"/>
        <w:jc w:val="both"/>
        <w:rPr>
          <w:rStyle w:val="34"/>
          <w:rFonts w:ascii="Times New Roman" w:hAnsi="Times New Roman"/>
          <w:b/>
          <w:bCs/>
          <w:sz w:val="32"/>
          <w:szCs w:val="36"/>
          <w:lang w:eastAsia="zh"/>
        </w:rPr>
      </w:pPr>
      <w:r>
        <w:rPr>
          <w:rFonts w:ascii="Times New Roman" w:hAnsi="Times New Roman"/>
          <w:kern w:val="2"/>
          <w:lang w:eastAsia="zh"/>
        </w:rPr>
        <w:t xml:space="preserve">For AI of CT, there were 4 </w:t>
      </w:r>
      <w:r>
        <w:rPr>
          <w:rFonts w:ascii="Times New Roman" w:hAnsi="Times New Roman"/>
          <w:kern w:val="2"/>
        </w:rPr>
        <w:t>region</w:t>
      </w:r>
      <w:r>
        <w:rPr>
          <w:rFonts w:ascii="Times New Roman" w:hAnsi="Times New Roman"/>
          <w:kern w:val="2"/>
          <w:lang w:eastAsia="zh"/>
        </w:rPr>
        <w:t>s</w:t>
      </w:r>
      <w:r>
        <w:rPr>
          <w:rFonts w:ascii="Times New Roman" w:hAnsi="Times New Roman"/>
          <w:kern w:val="2"/>
        </w:rPr>
        <w:t xml:space="preserve"> </w:t>
      </w:r>
      <w:r>
        <w:rPr>
          <w:rFonts w:ascii="Times New Roman" w:hAnsi="Times New Roman"/>
          <w:kern w:val="2"/>
          <w:lang w:eastAsia="zh"/>
        </w:rPr>
        <w:t>showed significant group differences between AD and NC, after</w:t>
      </w:r>
      <w:r>
        <w:rPr>
          <w:rFonts w:ascii="Times New Roman" w:hAnsi="Times New Roman"/>
          <w:kern w:val="2"/>
        </w:rPr>
        <w:t xml:space="preserve"> FDR correction.</w:t>
      </w:r>
      <w:r>
        <w:rPr>
          <w:rFonts w:ascii="Times New Roman" w:hAnsi="Times New Roman"/>
          <w:kern w:val="2"/>
          <w:lang w:eastAsia="zh"/>
        </w:rPr>
        <w:t xml:space="preserve"> There were Inferior Frontal gyrus and Orbital gyrus. All of them showed </w:t>
      </w:r>
      <w:r>
        <w:rPr>
          <w:rFonts w:ascii="Times New Roman" w:hAnsi="Times New Roman"/>
          <w:kern w:val="2"/>
        </w:rPr>
        <w:t xml:space="preserve">exhibited a significant increase in rightward asymmetry in AD, with a </w:t>
      </w:r>
      <w:r>
        <w:rPr>
          <w:rFonts w:ascii="Times New Roman" w:hAnsi="Times New Roman"/>
          <w:kern w:val="2"/>
          <w:lang w:eastAsia="zh"/>
        </w:rPr>
        <w:t xml:space="preserve">significant negative </w:t>
      </w:r>
      <w:r>
        <w:rPr>
          <w:rFonts w:ascii="Times New Roman" w:hAnsi="Times New Roman"/>
          <w:kern w:val="2"/>
        </w:rPr>
        <w:t>effect</w:t>
      </w:r>
      <w:r>
        <w:rPr>
          <w:rFonts w:ascii="Times New Roman" w:hAnsi="Times New Roman"/>
          <w:kern w:val="2"/>
          <w:lang w:eastAsia="zh"/>
        </w:rPr>
        <w:t xml:space="preserve"> (Fig. </w:t>
      </w:r>
      <w:r>
        <w:rPr>
          <w:rFonts w:ascii="Times New Roman" w:hAnsi="Times New Roman"/>
          <w:kern w:val="2"/>
        </w:rPr>
        <w:t>S</w:t>
      </w:r>
      <w:r>
        <w:rPr>
          <w:rFonts w:ascii="Times New Roman" w:hAnsi="Times New Roman"/>
          <w:kern w:val="2"/>
          <w:lang w:eastAsia="zh"/>
        </w:rPr>
        <w:t xml:space="preserve">3 and </w:t>
      </w:r>
      <w:r>
        <w:rPr>
          <w:rFonts w:ascii="Times New Roman" w:hAnsi="Times New Roman"/>
          <w:kern w:val="2"/>
        </w:rPr>
        <w:t>Table</w:t>
      </w:r>
      <w:r>
        <w:rPr>
          <w:rFonts w:ascii="Times New Roman" w:hAnsi="Times New Roman"/>
          <w:kern w:val="2"/>
          <w:lang w:eastAsia="zh"/>
        </w:rPr>
        <w:t xml:space="preserve"> </w:t>
      </w:r>
      <w:r>
        <w:rPr>
          <w:rFonts w:ascii="Times New Roman" w:hAnsi="Times New Roman"/>
          <w:kern w:val="2"/>
        </w:rPr>
        <w:t>S</w:t>
      </w:r>
      <w:r>
        <w:rPr>
          <w:rFonts w:ascii="Times New Roman" w:hAnsi="Times New Roman"/>
          <w:kern w:val="2"/>
          <w:lang w:eastAsia="zh"/>
        </w:rPr>
        <w:t xml:space="preserve">3; For A44op: </w:t>
      </w:r>
      <w:r>
        <w:rPr>
          <w:rFonts w:ascii="Times New Roman" w:hAnsi="Times New Roman"/>
          <w:kern w:val="2"/>
        </w:rPr>
        <w:t>Cohen's d = -0.</w:t>
      </w:r>
      <w:r>
        <w:rPr>
          <w:rFonts w:ascii="Times New Roman" w:hAnsi="Times New Roman"/>
          <w:kern w:val="2"/>
          <w:lang w:eastAsia="zh"/>
        </w:rPr>
        <w:t>299,</w:t>
      </w:r>
      <w:r>
        <w:rPr>
          <w:rFonts w:ascii="Times New Roman" w:hAnsi="Times New Roman"/>
          <w:kern w:val="2"/>
        </w:rPr>
        <w:t xml:space="preserve"> p-FDR = 0.02</w:t>
      </w:r>
      <w:r>
        <w:rPr>
          <w:rFonts w:ascii="Times New Roman" w:hAnsi="Times New Roman"/>
          <w:kern w:val="2"/>
          <w:lang w:eastAsia="zh"/>
        </w:rPr>
        <w:t xml:space="preserve">2; For A14m: </w:t>
      </w:r>
      <w:r>
        <w:rPr>
          <w:rFonts w:ascii="Times New Roman" w:hAnsi="Times New Roman"/>
          <w:kern w:val="2"/>
        </w:rPr>
        <w:t>Cohen's d = -0.32</w:t>
      </w:r>
      <w:r>
        <w:rPr>
          <w:rFonts w:ascii="Times New Roman" w:hAnsi="Times New Roman"/>
          <w:kern w:val="2"/>
          <w:lang w:eastAsia="zh"/>
        </w:rPr>
        <w:t>6,</w:t>
      </w:r>
      <w:r>
        <w:rPr>
          <w:rFonts w:ascii="Times New Roman" w:hAnsi="Times New Roman"/>
          <w:kern w:val="2"/>
        </w:rPr>
        <w:t xml:space="preserve"> p-FDR = 0.02</w:t>
      </w:r>
      <w:r>
        <w:rPr>
          <w:rFonts w:ascii="Times New Roman" w:hAnsi="Times New Roman"/>
          <w:kern w:val="2"/>
          <w:lang w:eastAsia="zh"/>
        </w:rPr>
        <w:t xml:space="preserve">0; For A11l: </w:t>
      </w:r>
      <w:r>
        <w:rPr>
          <w:rFonts w:ascii="Times New Roman" w:hAnsi="Times New Roman"/>
          <w:kern w:val="2"/>
        </w:rPr>
        <w:t>Cohen's d = -0.</w:t>
      </w:r>
      <w:r>
        <w:rPr>
          <w:rFonts w:ascii="Times New Roman" w:hAnsi="Times New Roman"/>
          <w:kern w:val="2"/>
          <w:lang w:eastAsia="zh"/>
        </w:rPr>
        <w:t>360,</w:t>
      </w:r>
      <w:r>
        <w:rPr>
          <w:rFonts w:ascii="Times New Roman" w:hAnsi="Times New Roman"/>
          <w:kern w:val="2"/>
        </w:rPr>
        <w:t xml:space="preserve"> p-FDR = 0.0</w:t>
      </w:r>
      <w:r>
        <w:rPr>
          <w:rFonts w:ascii="Times New Roman" w:hAnsi="Times New Roman"/>
          <w:kern w:val="2"/>
          <w:lang w:eastAsia="zh"/>
        </w:rPr>
        <w:t xml:space="preserve">13; For A12_47l: </w:t>
      </w:r>
      <w:r>
        <w:rPr>
          <w:rFonts w:ascii="Times New Roman" w:hAnsi="Times New Roman"/>
          <w:kern w:val="2"/>
        </w:rPr>
        <w:t>Cohen's d = -0.298</w:t>
      </w:r>
      <w:r>
        <w:rPr>
          <w:rFonts w:ascii="Times New Roman" w:hAnsi="Times New Roman"/>
          <w:kern w:val="2"/>
          <w:lang w:eastAsia="zh"/>
        </w:rPr>
        <w:t>,</w:t>
      </w:r>
      <w:r>
        <w:rPr>
          <w:rFonts w:ascii="Times New Roman" w:hAnsi="Times New Roman"/>
          <w:kern w:val="2"/>
        </w:rPr>
        <w:t xml:space="preserve"> p-FDR = 0.0</w:t>
      </w:r>
      <w:r>
        <w:rPr>
          <w:rFonts w:ascii="Times New Roman" w:hAnsi="Times New Roman"/>
          <w:kern w:val="2"/>
          <w:lang w:eastAsia="zh"/>
        </w:rPr>
        <w:t>39</w:t>
      </w:r>
      <w:r>
        <w:rPr>
          <w:rFonts w:ascii="Times New Roman" w:hAnsi="Times New Roman"/>
          <w:kern w:val="2"/>
        </w:rPr>
        <w:t>).</w:t>
      </w:r>
      <w:r>
        <w:rPr>
          <w:rFonts w:ascii="Times New Roman" w:hAnsi="Times New Roman"/>
          <w:kern w:val="2"/>
          <w:lang w:eastAsia="zh"/>
        </w:rPr>
        <w:t xml:space="preserve"> </w:t>
      </w:r>
      <w:r>
        <w:rPr>
          <w:rFonts w:ascii="Times New Roman" w:hAnsi="Times New Roman" w:eastAsia="sans-serif"/>
          <w:color w:val="0F1115"/>
          <w:shd w:val="clear" w:color="auto" w:fill="FFFFFF"/>
        </w:rPr>
        <w:t>No brain regions showed significant differences</w:t>
      </w:r>
      <w:r>
        <w:rPr>
          <w:rFonts w:ascii="Times New Roman" w:hAnsi="Times New Roman" w:eastAsia="sans-serif"/>
          <w:color w:val="0F1115"/>
          <w:shd w:val="clear" w:color="auto" w:fill="FFFFFF"/>
          <w:lang w:eastAsia="zh"/>
        </w:rPr>
        <w:t xml:space="preserve"> in CT</w:t>
      </w:r>
      <w:r>
        <w:rPr>
          <w:rFonts w:ascii="Times New Roman" w:hAnsi="Times New Roman" w:eastAsia="sans-serif"/>
          <w:color w:val="0F1115"/>
          <w:shd w:val="clear" w:color="auto" w:fill="FFFFFF"/>
        </w:rPr>
        <w:t xml:space="preserve"> between the </w:t>
      </w:r>
      <w:r>
        <w:rPr>
          <w:rFonts w:ascii="Times New Roman" w:hAnsi="Times New Roman" w:eastAsia="sans-serif"/>
          <w:color w:val="0F1115"/>
          <w:shd w:val="clear" w:color="auto" w:fill="FFFFFF"/>
          <w:lang w:eastAsia="zh"/>
        </w:rPr>
        <w:t>AD</w:t>
      </w:r>
      <w:r>
        <w:rPr>
          <w:rFonts w:ascii="Times New Roman" w:hAnsi="Times New Roman" w:eastAsia="sans-serif"/>
          <w:color w:val="0F1115"/>
          <w:shd w:val="clear" w:color="auto" w:fill="FFFFFF"/>
        </w:rPr>
        <w:t xml:space="preserve"> and </w:t>
      </w:r>
      <w:r>
        <w:rPr>
          <w:rFonts w:ascii="Times New Roman" w:hAnsi="Times New Roman" w:eastAsia="sans-serif"/>
          <w:color w:val="0F1115"/>
          <w:shd w:val="clear" w:color="auto" w:fill="FFFFFF"/>
          <w:lang w:eastAsia="zh"/>
        </w:rPr>
        <w:t>MCI</w:t>
      </w:r>
      <w:r>
        <w:rPr>
          <w:rFonts w:ascii="Times New Roman" w:hAnsi="Times New Roman" w:eastAsia="sans-serif"/>
          <w:color w:val="0F1115"/>
          <w:shd w:val="clear" w:color="auto" w:fill="FFFFFF"/>
        </w:rPr>
        <w:t xml:space="preserve"> groups</w:t>
      </w:r>
      <w:r>
        <w:rPr>
          <w:rFonts w:ascii="Times New Roman" w:hAnsi="Times New Roman" w:eastAsia="sans-serif"/>
          <w:color w:val="0F1115"/>
          <w:shd w:val="clear" w:color="auto" w:fill="FFFFFF"/>
          <w:lang w:eastAsia="zh"/>
        </w:rPr>
        <w:t>, after FDR correction</w:t>
      </w:r>
      <w:r>
        <w:rPr>
          <w:rFonts w:ascii="Times New Roman" w:hAnsi="Times New Roman" w:eastAsia="sans-serif"/>
          <w:color w:val="0F1115"/>
          <w:shd w:val="clear" w:color="auto" w:fill="FFFFFF"/>
        </w:rPr>
        <w:t>.</w:t>
      </w:r>
      <w:r>
        <w:rPr>
          <w:rFonts w:ascii="Times New Roman" w:hAnsi="Times New Roman" w:eastAsia="sans-serif"/>
          <w:color w:val="0F1115"/>
          <w:shd w:val="clear" w:color="auto" w:fill="FFFFFF"/>
          <w:lang w:eastAsia="zh"/>
        </w:rPr>
        <w:t xml:space="preserve"> </w:t>
      </w:r>
      <w:r>
        <w:rPr>
          <w:rFonts w:ascii="Times New Roman" w:hAnsi="Times New Roman" w:eastAsia="sans-serif"/>
          <w:color w:val="0F1115"/>
          <w:shd w:val="clear" w:color="auto" w:fill="FFFFFF"/>
        </w:rPr>
        <w:t>No brain regions showed significant differences</w:t>
      </w:r>
      <w:r>
        <w:rPr>
          <w:rFonts w:ascii="Times New Roman" w:hAnsi="Times New Roman" w:eastAsia="sans-serif"/>
          <w:color w:val="0F1115"/>
          <w:shd w:val="clear" w:color="auto" w:fill="FFFFFF"/>
          <w:lang w:eastAsia="zh"/>
        </w:rPr>
        <w:t xml:space="preserve"> in </w:t>
      </w:r>
      <w:r>
        <w:rPr>
          <w:rFonts w:ascii="Times New Roman" w:hAnsi="Times New Roman"/>
          <w:kern w:val="2"/>
          <w:lang w:eastAsia="zh"/>
        </w:rPr>
        <w:t xml:space="preserve">CT </w:t>
      </w:r>
      <w:r>
        <w:rPr>
          <w:rFonts w:ascii="Times New Roman" w:hAnsi="Times New Roman" w:eastAsia="sans-serif"/>
          <w:color w:val="0F1115"/>
          <w:shd w:val="clear" w:color="auto" w:fill="FFFFFF"/>
        </w:rPr>
        <w:t>between the MCI and NC groups</w:t>
      </w:r>
      <w:r>
        <w:rPr>
          <w:rFonts w:ascii="Times New Roman" w:hAnsi="Times New Roman" w:eastAsia="sans-serif"/>
          <w:color w:val="0F1115"/>
          <w:shd w:val="clear" w:color="auto" w:fill="FFFFFF"/>
          <w:lang w:eastAsia="zh"/>
        </w:rPr>
        <w:t>, after FDR correction</w:t>
      </w:r>
      <w:r>
        <w:rPr>
          <w:rFonts w:ascii="Times New Roman" w:hAnsi="Times New Roman" w:eastAsia="sans-serif"/>
          <w:color w:val="0F1115"/>
          <w:shd w:val="clear" w:color="auto" w:fill="FFFFFF"/>
        </w:rPr>
        <w:t>.</w:t>
      </w:r>
    </w:p>
    <w:p w14:paraId="4509F3DA">
      <w:pPr>
        <w:pStyle w:val="26"/>
        <w:spacing w:before="240" w:after="240"/>
        <w:jc w:val="both"/>
        <w:rPr>
          <w:rStyle w:val="34"/>
          <w:rFonts w:ascii="Times New Roman" w:hAnsi="Times New Roman" w:eastAsia="sans-serif"/>
          <w:b/>
          <w:bCs/>
          <w:sz w:val="32"/>
          <w:szCs w:val="36"/>
          <w:lang w:eastAsia="zh"/>
        </w:rPr>
      </w:pPr>
      <w:r>
        <w:rPr>
          <w:rFonts w:ascii="Times New Roman" w:hAnsi="Times New Roman"/>
          <w:kern w:val="2"/>
          <w:lang w:eastAsia="zh"/>
        </w:rPr>
        <w:t xml:space="preserve">For AI of GI, there was </w:t>
      </w:r>
      <w:r>
        <w:rPr>
          <w:rFonts w:ascii="Times New Roman" w:hAnsi="Times New Roman"/>
          <w:kern w:val="2"/>
        </w:rPr>
        <w:t xml:space="preserve">only </w:t>
      </w:r>
      <w:r>
        <w:rPr>
          <w:rFonts w:ascii="Times New Roman" w:hAnsi="Times New Roman"/>
          <w:kern w:val="2"/>
          <w:lang w:eastAsia="zh"/>
        </w:rPr>
        <w:t>one</w:t>
      </w:r>
      <w:r>
        <w:rPr>
          <w:rFonts w:ascii="Times New Roman" w:hAnsi="Times New Roman"/>
          <w:kern w:val="2"/>
        </w:rPr>
        <w:t xml:space="preserve"> single brain region </w:t>
      </w:r>
      <w:r>
        <w:rPr>
          <w:rFonts w:ascii="Times New Roman" w:hAnsi="Times New Roman"/>
          <w:kern w:val="2"/>
          <w:lang w:eastAsia="zh"/>
        </w:rPr>
        <w:t>left after</w:t>
      </w:r>
      <w:r>
        <w:rPr>
          <w:rFonts w:ascii="Times New Roman" w:hAnsi="Times New Roman"/>
          <w:kern w:val="2"/>
        </w:rPr>
        <w:t xml:space="preserve"> FDR correction in the comparison between AD and NC groups. This region was the superior temporal gyrus (</w:t>
      </w:r>
      <w:r>
        <w:rPr>
          <w:rFonts w:ascii="Times New Roman" w:hAnsi="Times New Roman"/>
          <w:kern w:val="2"/>
          <w:lang w:eastAsia="zh"/>
        </w:rPr>
        <w:t xml:space="preserve">Fig. </w:t>
      </w:r>
      <w:r>
        <w:rPr>
          <w:rFonts w:ascii="Times New Roman" w:hAnsi="Times New Roman"/>
          <w:kern w:val="2"/>
        </w:rPr>
        <w:t>S</w:t>
      </w:r>
      <w:r>
        <w:rPr>
          <w:rFonts w:ascii="Times New Roman" w:hAnsi="Times New Roman"/>
          <w:kern w:val="2"/>
          <w:lang w:eastAsia="zh"/>
        </w:rPr>
        <w:t xml:space="preserve">4 and </w:t>
      </w:r>
      <w:r>
        <w:rPr>
          <w:rFonts w:ascii="Times New Roman" w:hAnsi="Times New Roman"/>
          <w:kern w:val="2"/>
        </w:rPr>
        <w:t>Table</w:t>
      </w:r>
      <w:r>
        <w:rPr>
          <w:rFonts w:ascii="Times New Roman" w:hAnsi="Times New Roman"/>
          <w:kern w:val="2"/>
          <w:lang w:eastAsia="zh"/>
        </w:rPr>
        <w:t xml:space="preserve"> </w:t>
      </w:r>
      <w:r>
        <w:rPr>
          <w:rFonts w:ascii="Times New Roman" w:hAnsi="Times New Roman"/>
          <w:kern w:val="2"/>
        </w:rPr>
        <w:t>S</w:t>
      </w:r>
      <w:r>
        <w:rPr>
          <w:rFonts w:ascii="Times New Roman" w:hAnsi="Times New Roman"/>
          <w:kern w:val="2"/>
          <w:lang w:eastAsia="zh"/>
        </w:rPr>
        <w:t xml:space="preserve">4; </w:t>
      </w:r>
      <w:r>
        <w:rPr>
          <w:rFonts w:ascii="Times New Roman" w:hAnsi="Times New Roman"/>
          <w:kern w:val="2"/>
        </w:rPr>
        <w:t>STG, A3</w:t>
      </w:r>
      <w:r>
        <w:rPr>
          <w:rFonts w:ascii="Times New Roman" w:hAnsi="Times New Roman"/>
          <w:kern w:val="2"/>
          <w:lang w:eastAsia="zh"/>
        </w:rPr>
        <w:t>l</w:t>
      </w:r>
      <w:r>
        <w:rPr>
          <w:rFonts w:ascii="Times New Roman" w:hAnsi="Times New Roman"/>
          <w:kern w:val="2"/>
        </w:rPr>
        <w:t xml:space="preserve">), which exhibited a significant increase in rightward asymmetry in AD, with a </w:t>
      </w:r>
      <w:r>
        <w:rPr>
          <w:rFonts w:ascii="Times New Roman" w:hAnsi="Times New Roman"/>
          <w:kern w:val="2"/>
          <w:lang w:eastAsia="zh"/>
        </w:rPr>
        <w:t xml:space="preserve">significant negative </w:t>
      </w:r>
      <w:r>
        <w:rPr>
          <w:rFonts w:ascii="Times New Roman" w:hAnsi="Times New Roman"/>
          <w:kern w:val="2"/>
        </w:rPr>
        <w:t>effect</w:t>
      </w:r>
      <w:r>
        <w:rPr>
          <w:rFonts w:ascii="Times New Roman" w:hAnsi="Times New Roman"/>
          <w:kern w:val="2"/>
          <w:lang w:eastAsia="zh"/>
        </w:rPr>
        <w:t xml:space="preserve"> (</w:t>
      </w:r>
      <w:r>
        <w:rPr>
          <w:rFonts w:ascii="Times New Roman" w:hAnsi="Times New Roman"/>
          <w:kern w:val="2"/>
        </w:rPr>
        <w:t>Cohen's d = -0.320</w:t>
      </w:r>
      <w:r>
        <w:rPr>
          <w:rFonts w:ascii="Times New Roman" w:hAnsi="Times New Roman"/>
          <w:kern w:val="2"/>
          <w:lang w:eastAsia="zh"/>
        </w:rPr>
        <w:t>,</w:t>
      </w:r>
      <w:r>
        <w:rPr>
          <w:rFonts w:ascii="Times New Roman" w:hAnsi="Times New Roman"/>
          <w:kern w:val="2"/>
        </w:rPr>
        <w:t xml:space="preserve"> p-FDR = 0.026).</w:t>
      </w:r>
      <w:r>
        <w:rPr>
          <w:rFonts w:ascii="Times New Roman" w:hAnsi="Times New Roman"/>
          <w:kern w:val="2"/>
          <w:lang w:eastAsia="zh"/>
        </w:rPr>
        <w:t xml:space="preserve"> </w:t>
      </w:r>
      <w:r>
        <w:rPr>
          <w:rFonts w:ascii="Times New Roman" w:hAnsi="Times New Roman" w:eastAsia="sans-serif"/>
          <w:color w:val="0F1115"/>
          <w:shd w:val="clear" w:color="auto" w:fill="FFFFFF"/>
        </w:rPr>
        <w:t>No brain regions showed significant differences</w:t>
      </w:r>
      <w:r>
        <w:rPr>
          <w:rFonts w:ascii="Times New Roman" w:hAnsi="Times New Roman" w:eastAsia="sans-serif"/>
          <w:color w:val="0F1115"/>
          <w:shd w:val="clear" w:color="auto" w:fill="FFFFFF"/>
          <w:lang w:eastAsia="zh"/>
        </w:rPr>
        <w:t xml:space="preserve"> in GI</w:t>
      </w:r>
      <w:r>
        <w:rPr>
          <w:rFonts w:ascii="Times New Roman" w:hAnsi="Times New Roman" w:eastAsia="sans-serif"/>
          <w:color w:val="0F1115"/>
          <w:shd w:val="clear" w:color="auto" w:fill="FFFFFF"/>
        </w:rPr>
        <w:t xml:space="preserve"> between the </w:t>
      </w:r>
      <w:r>
        <w:rPr>
          <w:rFonts w:ascii="Times New Roman" w:hAnsi="Times New Roman" w:eastAsia="sans-serif"/>
          <w:color w:val="0F1115"/>
          <w:shd w:val="clear" w:color="auto" w:fill="FFFFFF"/>
          <w:lang w:eastAsia="zh"/>
        </w:rPr>
        <w:t>AD</w:t>
      </w:r>
      <w:r>
        <w:rPr>
          <w:rFonts w:ascii="Times New Roman" w:hAnsi="Times New Roman" w:eastAsia="sans-serif"/>
          <w:color w:val="0F1115"/>
          <w:shd w:val="clear" w:color="auto" w:fill="FFFFFF"/>
        </w:rPr>
        <w:t xml:space="preserve"> and </w:t>
      </w:r>
      <w:r>
        <w:rPr>
          <w:rFonts w:ascii="Times New Roman" w:hAnsi="Times New Roman" w:eastAsia="sans-serif"/>
          <w:color w:val="0F1115"/>
          <w:shd w:val="clear" w:color="auto" w:fill="FFFFFF"/>
          <w:lang w:eastAsia="zh"/>
        </w:rPr>
        <w:t>MCI</w:t>
      </w:r>
      <w:r>
        <w:rPr>
          <w:rFonts w:ascii="Times New Roman" w:hAnsi="Times New Roman" w:eastAsia="sans-serif"/>
          <w:color w:val="0F1115"/>
          <w:shd w:val="clear" w:color="auto" w:fill="FFFFFF"/>
        </w:rPr>
        <w:t xml:space="preserve"> groups</w:t>
      </w:r>
      <w:r>
        <w:rPr>
          <w:rFonts w:ascii="Times New Roman" w:hAnsi="Times New Roman" w:eastAsia="sans-serif"/>
          <w:color w:val="0F1115"/>
          <w:shd w:val="clear" w:color="auto" w:fill="FFFFFF"/>
          <w:lang w:eastAsia="zh"/>
        </w:rPr>
        <w:t>, after FDR correction</w:t>
      </w:r>
      <w:r>
        <w:rPr>
          <w:rFonts w:ascii="Times New Roman" w:hAnsi="Times New Roman" w:eastAsia="sans-serif"/>
          <w:color w:val="0F1115"/>
          <w:shd w:val="clear" w:color="auto" w:fill="FFFFFF"/>
        </w:rPr>
        <w:t>.</w:t>
      </w:r>
      <w:r>
        <w:rPr>
          <w:rFonts w:ascii="Times New Roman" w:hAnsi="Times New Roman" w:eastAsia="sans-serif"/>
          <w:color w:val="0F1115"/>
          <w:shd w:val="clear" w:color="auto" w:fill="FFFFFF"/>
          <w:lang w:eastAsia="zh"/>
        </w:rPr>
        <w:t xml:space="preserve"> </w:t>
      </w:r>
      <w:r>
        <w:rPr>
          <w:rFonts w:ascii="Times New Roman" w:hAnsi="Times New Roman" w:eastAsia="sans-serif"/>
          <w:color w:val="0F1115"/>
          <w:shd w:val="clear" w:color="auto" w:fill="FFFFFF"/>
        </w:rPr>
        <w:t>No brain regions showed significant differences</w:t>
      </w:r>
      <w:r>
        <w:rPr>
          <w:rFonts w:ascii="Times New Roman" w:hAnsi="Times New Roman" w:eastAsia="sans-serif"/>
          <w:color w:val="0F1115"/>
          <w:shd w:val="clear" w:color="auto" w:fill="FFFFFF"/>
          <w:lang w:eastAsia="zh"/>
        </w:rPr>
        <w:t xml:space="preserve"> in GI</w:t>
      </w:r>
      <w:r>
        <w:rPr>
          <w:rFonts w:ascii="Times New Roman" w:hAnsi="Times New Roman"/>
          <w:kern w:val="2"/>
          <w:lang w:eastAsia="zh"/>
        </w:rPr>
        <w:t xml:space="preserve"> </w:t>
      </w:r>
      <w:r>
        <w:rPr>
          <w:rFonts w:ascii="Times New Roman" w:hAnsi="Times New Roman" w:eastAsia="sans-serif"/>
          <w:color w:val="0F1115"/>
          <w:shd w:val="clear" w:color="auto" w:fill="FFFFFF"/>
        </w:rPr>
        <w:t>between the MCI and NC groups</w:t>
      </w:r>
      <w:r>
        <w:rPr>
          <w:rFonts w:ascii="Times New Roman" w:hAnsi="Times New Roman" w:eastAsia="sans-serif"/>
          <w:color w:val="0F1115"/>
          <w:shd w:val="clear" w:color="auto" w:fill="FFFFFF"/>
          <w:lang w:eastAsia="zh"/>
        </w:rPr>
        <w:t>, after FDR correction</w:t>
      </w:r>
      <w:r>
        <w:rPr>
          <w:rFonts w:ascii="Times New Roman" w:hAnsi="Times New Roman" w:eastAsia="sans-serif"/>
          <w:color w:val="0F1115"/>
          <w:shd w:val="clear" w:color="auto" w:fill="FFFFFF"/>
        </w:rPr>
        <w:t>.</w:t>
      </w:r>
    </w:p>
    <w:p w14:paraId="29DCBF00">
      <w:pPr>
        <w:pStyle w:val="26"/>
        <w:spacing w:before="240" w:after="240"/>
        <w:jc w:val="both"/>
        <w:rPr>
          <w:rFonts w:ascii="Times New Roman" w:hAnsi="Times New Roman" w:eastAsia="sans-serif"/>
          <w:color w:val="0F1115"/>
          <w:shd w:val="clear" w:color="auto" w:fill="FFFFFF"/>
        </w:rPr>
      </w:pPr>
      <w:r>
        <w:rPr>
          <w:rFonts w:ascii="Times New Roman" w:hAnsi="Times New Roman"/>
          <w:kern w:val="2"/>
          <w:lang w:eastAsia="zh"/>
        </w:rPr>
        <w:t xml:space="preserve">For AI of SD, there was </w:t>
      </w:r>
      <w:r>
        <w:rPr>
          <w:rFonts w:ascii="Times New Roman" w:hAnsi="Times New Roman"/>
          <w:kern w:val="2"/>
        </w:rPr>
        <w:t xml:space="preserve">only </w:t>
      </w:r>
      <w:r>
        <w:rPr>
          <w:rFonts w:ascii="Times New Roman" w:hAnsi="Times New Roman"/>
          <w:kern w:val="2"/>
          <w:lang w:eastAsia="zh"/>
        </w:rPr>
        <w:t>one</w:t>
      </w:r>
      <w:r>
        <w:rPr>
          <w:rFonts w:ascii="Times New Roman" w:hAnsi="Times New Roman"/>
          <w:kern w:val="2"/>
        </w:rPr>
        <w:t xml:space="preserve"> single brain region </w:t>
      </w:r>
      <w:r>
        <w:rPr>
          <w:rFonts w:ascii="Times New Roman" w:hAnsi="Times New Roman"/>
          <w:kern w:val="2"/>
          <w:lang w:eastAsia="zh"/>
        </w:rPr>
        <w:t>left after</w:t>
      </w:r>
      <w:r>
        <w:rPr>
          <w:rFonts w:ascii="Times New Roman" w:hAnsi="Times New Roman"/>
          <w:kern w:val="2"/>
        </w:rPr>
        <w:t xml:space="preserve"> FDR correction between AD and NC groups. This region was the superior parietal gyrus (S</w:t>
      </w:r>
      <w:r>
        <w:rPr>
          <w:rFonts w:ascii="Times New Roman" w:hAnsi="Times New Roman"/>
          <w:kern w:val="2"/>
          <w:lang w:eastAsia="zh"/>
        </w:rPr>
        <w:t>PL</w:t>
      </w:r>
      <w:r>
        <w:rPr>
          <w:rFonts w:ascii="Times New Roman" w:hAnsi="Times New Roman"/>
          <w:kern w:val="2"/>
        </w:rPr>
        <w:t>, A</w:t>
      </w:r>
      <w:r>
        <w:rPr>
          <w:rFonts w:ascii="Times New Roman" w:hAnsi="Times New Roman"/>
          <w:kern w:val="2"/>
          <w:lang w:eastAsia="zh"/>
        </w:rPr>
        <w:t xml:space="preserve">7c; Fig. </w:t>
      </w:r>
      <w:r>
        <w:rPr>
          <w:rFonts w:ascii="Times New Roman" w:hAnsi="Times New Roman"/>
          <w:kern w:val="2"/>
        </w:rPr>
        <w:t>S</w:t>
      </w:r>
      <w:r>
        <w:rPr>
          <w:rFonts w:ascii="Times New Roman" w:hAnsi="Times New Roman"/>
          <w:kern w:val="2"/>
          <w:lang w:eastAsia="zh"/>
        </w:rPr>
        <w:t xml:space="preserve">5 and </w:t>
      </w:r>
      <w:r>
        <w:rPr>
          <w:rFonts w:ascii="Times New Roman" w:hAnsi="Times New Roman"/>
          <w:kern w:val="2"/>
        </w:rPr>
        <w:t>Table</w:t>
      </w:r>
      <w:r>
        <w:rPr>
          <w:rFonts w:ascii="Times New Roman" w:hAnsi="Times New Roman"/>
          <w:kern w:val="2"/>
          <w:lang w:eastAsia="zh"/>
        </w:rPr>
        <w:t xml:space="preserve"> </w:t>
      </w:r>
      <w:r>
        <w:rPr>
          <w:rFonts w:ascii="Times New Roman" w:hAnsi="Times New Roman"/>
          <w:kern w:val="2"/>
        </w:rPr>
        <w:t>S</w:t>
      </w:r>
      <w:r>
        <w:rPr>
          <w:rFonts w:ascii="Times New Roman" w:hAnsi="Times New Roman"/>
          <w:kern w:val="2"/>
          <w:lang w:eastAsia="zh"/>
        </w:rPr>
        <w:t>5</w:t>
      </w:r>
      <w:r>
        <w:rPr>
          <w:rFonts w:ascii="Times New Roman" w:hAnsi="Times New Roman"/>
          <w:kern w:val="2"/>
        </w:rPr>
        <w:t xml:space="preserve">), which exhibited a significant </w:t>
      </w:r>
      <w:r>
        <w:rPr>
          <w:rFonts w:ascii="Times New Roman" w:hAnsi="Times New Roman"/>
          <w:kern w:val="2"/>
          <w:lang w:eastAsia="zh"/>
        </w:rPr>
        <w:t>decrease</w:t>
      </w:r>
      <w:r>
        <w:rPr>
          <w:rFonts w:ascii="Times New Roman" w:hAnsi="Times New Roman"/>
          <w:kern w:val="2"/>
        </w:rPr>
        <w:t xml:space="preserve"> in </w:t>
      </w:r>
      <w:r>
        <w:rPr>
          <w:rFonts w:ascii="Times New Roman" w:hAnsi="Times New Roman"/>
          <w:kern w:val="2"/>
          <w:lang w:eastAsia="zh"/>
        </w:rPr>
        <w:t>lef</w:t>
      </w:r>
      <w:r>
        <w:rPr>
          <w:rFonts w:ascii="Times New Roman" w:hAnsi="Times New Roman"/>
          <w:kern w:val="2"/>
        </w:rPr>
        <w:t xml:space="preserve">tward asymmetry in AD, with a significant </w:t>
      </w:r>
      <w:r>
        <w:rPr>
          <w:rFonts w:ascii="Times New Roman" w:hAnsi="Times New Roman"/>
          <w:kern w:val="2"/>
          <w:lang w:eastAsia="zh"/>
        </w:rPr>
        <w:t xml:space="preserve">negative </w:t>
      </w:r>
      <w:r>
        <w:rPr>
          <w:rFonts w:ascii="Times New Roman" w:hAnsi="Times New Roman"/>
          <w:kern w:val="2"/>
        </w:rPr>
        <w:t xml:space="preserve">effect </w:t>
      </w:r>
      <w:r>
        <w:rPr>
          <w:rFonts w:ascii="Times New Roman" w:hAnsi="Times New Roman"/>
          <w:kern w:val="2"/>
          <w:lang w:eastAsia="zh"/>
        </w:rPr>
        <w:t>(</w:t>
      </w:r>
      <w:r>
        <w:rPr>
          <w:rFonts w:ascii="Times New Roman" w:hAnsi="Times New Roman"/>
          <w:kern w:val="2"/>
        </w:rPr>
        <w:t>Cohen's d = -0.3</w:t>
      </w:r>
      <w:r>
        <w:rPr>
          <w:rFonts w:ascii="Times New Roman" w:hAnsi="Times New Roman"/>
          <w:kern w:val="2"/>
          <w:lang w:eastAsia="zh"/>
        </w:rPr>
        <w:t xml:space="preserve">31, </w:t>
      </w:r>
      <w:r>
        <w:rPr>
          <w:rFonts w:ascii="Times New Roman" w:hAnsi="Times New Roman"/>
          <w:kern w:val="2"/>
        </w:rPr>
        <w:t>p-FDR = 0.0</w:t>
      </w:r>
      <w:r>
        <w:rPr>
          <w:rFonts w:ascii="Times New Roman" w:hAnsi="Times New Roman"/>
          <w:kern w:val="2"/>
          <w:lang w:eastAsia="zh"/>
        </w:rPr>
        <w:t>1</w:t>
      </w:r>
      <w:r>
        <w:rPr>
          <w:rFonts w:ascii="Times New Roman" w:hAnsi="Times New Roman"/>
          <w:kern w:val="2"/>
        </w:rPr>
        <w:t>6</w:t>
      </w:r>
      <w:r>
        <w:rPr>
          <w:rFonts w:ascii="Times New Roman" w:hAnsi="Times New Roman"/>
          <w:kern w:val="2"/>
          <w:lang w:eastAsia="zh"/>
        </w:rPr>
        <w:t xml:space="preserve">, Fig. </w:t>
      </w:r>
      <w:r>
        <w:rPr>
          <w:rFonts w:ascii="Times New Roman" w:hAnsi="Times New Roman"/>
          <w:kern w:val="2"/>
        </w:rPr>
        <w:t>S</w:t>
      </w:r>
      <w:r>
        <w:rPr>
          <w:rFonts w:ascii="Times New Roman" w:hAnsi="Times New Roman"/>
          <w:kern w:val="2"/>
          <w:lang w:eastAsia="zh"/>
        </w:rPr>
        <w:t xml:space="preserve">5 and </w:t>
      </w:r>
      <w:r>
        <w:rPr>
          <w:rFonts w:ascii="Times New Roman" w:hAnsi="Times New Roman"/>
          <w:kern w:val="2"/>
        </w:rPr>
        <w:t>Table</w:t>
      </w:r>
      <w:r>
        <w:rPr>
          <w:rFonts w:ascii="Times New Roman" w:hAnsi="Times New Roman"/>
          <w:kern w:val="2"/>
          <w:lang w:eastAsia="zh"/>
        </w:rPr>
        <w:t xml:space="preserve"> </w:t>
      </w:r>
      <w:r>
        <w:rPr>
          <w:rFonts w:ascii="Times New Roman" w:hAnsi="Times New Roman"/>
          <w:kern w:val="2"/>
        </w:rPr>
        <w:t>S</w:t>
      </w:r>
      <w:r>
        <w:rPr>
          <w:rFonts w:ascii="Times New Roman" w:hAnsi="Times New Roman"/>
          <w:kern w:val="2"/>
          <w:lang w:eastAsia="zh"/>
        </w:rPr>
        <w:t>5</w:t>
      </w:r>
      <w:r>
        <w:rPr>
          <w:rFonts w:ascii="Times New Roman" w:hAnsi="Times New Roman"/>
          <w:kern w:val="2"/>
        </w:rPr>
        <w:t>).</w:t>
      </w:r>
      <w:r>
        <w:rPr>
          <w:rFonts w:ascii="Times New Roman" w:hAnsi="Times New Roman"/>
          <w:kern w:val="2"/>
          <w:lang w:eastAsia="zh"/>
        </w:rPr>
        <w:t xml:space="preserve"> </w:t>
      </w:r>
      <w:r>
        <w:rPr>
          <w:rFonts w:ascii="Times New Roman" w:hAnsi="Times New Roman" w:eastAsia="sans-serif"/>
          <w:color w:val="0F1115"/>
          <w:shd w:val="clear" w:color="auto" w:fill="FFFFFF"/>
        </w:rPr>
        <w:t>No brain regions showed significant differences</w:t>
      </w:r>
      <w:r>
        <w:rPr>
          <w:rFonts w:ascii="Times New Roman" w:hAnsi="Times New Roman" w:eastAsia="sans-serif"/>
          <w:color w:val="0F1115"/>
          <w:shd w:val="clear" w:color="auto" w:fill="FFFFFF"/>
          <w:lang w:eastAsia="zh"/>
        </w:rPr>
        <w:t xml:space="preserve"> in SD</w:t>
      </w:r>
      <w:r>
        <w:rPr>
          <w:rFonts w:ascii="Times New Roman" w:hAnsi="Times New Roman" w:eastAsia="sans-serif"/>
          <w:color w:val="0F1115"/>
          <w:shd w:val="clear" w:color="auto" w:fill="FFFFFF"/>
        </w:rPr>
        <w:t xml:space="preserve"> between the </w:t>
      </w:r>
      <w:r>
        <w:rPr>
          <w:rFonts w:ascii="Times New Roman" w:hAnsi="Times New Roman" w:eastAsia="sans-serif"/>
          <w:color w:val="0F1115"/>
          <w:shd w:val="clear" w:color="auto" w:fill="FFFFFF"/>
          <w:lang w:eastAsia="zh"/>
        </w:rPr>
        <w:t>AD</w:t>
      </w:r>
      <w:r>
        <w:rPr>
          <w:rFonts w:ascii="Times New Roman" w:hAnsi="Times New Roman" w:eastAsia="sans-serif"/>
          <w:color w:val="0F1115"/>
          <w:shd w:val="clear" w:color="auto" w:fill="FFFFFF"/>
        </w:rPr>
        <w:t xml:space="preserve"> and </w:t>
      </w:r>
      <w:r>
        <w:rPr>
          <w:rFonts w:ascii="Times New Roman" w:hAnsi="Times New Roman" w:eastAsia="sans-serif"/>
          <w:color w:val="0F1115"/>
          <w:shd w:val="clear" w:color="auto" w:fill="FFFFFF"/>
          <w:lang w:eastAsia="zh"/>
        </w:rPr>
        <w:t>MCI</w:t>
      </w:r>
      <w:r>
        <w:rPr>
          <w:rFonts w:ascii="Times New Roman" w:hAnsi="Times New Roman" w:eastAsia="sans-serif"/>
          <w:color w:val="0F1115"/>
          <w:shd w:val="clear" w:color="auto" w:fill="FFFFFF"/>
        </w:rPr>
        <w:t xml:space="preserve"> groups</w:t>
      </w:r>
      <w:r>
        <w:rPr>
          <w:rFonts w:ascii="Times New Roman" w:hAnsi="Times New Roman" w:eastAsia="sans-serif"/>
          <w:color w:val="0F1115"/>
          <w:shd w:val="clear" w:color="auto" w:fill="FFFFFF"/>
          <w:lang w:eastAsia="zh"/>
        </w:rPr>
        <w:t>, after FDR correction</w:t>
      </w:r>
      <w:r>
        <w:rPr>
          <w:rFonts w:ascii="Times New Roman" w:hAnsi="Times New Roman" w:eastAsia="sans-serif"/>
          <w:color w:val="0F1115"/>
          <w:shd w:val="clear" w:color="auto" w:fill="FFFFFF"/>
        </w:rPr>
        <w:t>.</w:t>
      </w:r>
      <w:r>
        <w:rPr>
          <w:rFonts w:ascii="Times New Roman" w:hAnsi="Times New Roman" w:eastAsia="sans-serif"/>
          <w:color w:val="0F1115"/>
          <w:shd w:val="clear" w:color="auto" w:fill="FFFFFF"/>
          <w:lang w:eastAsia="zh"/>
        </w:rPr>
        <w:t xml:space="preserve"> </w:t>
      </w:r>
      <w:r>
        <w:rPr>
          <w:rFonts w:ascii="Times New Roman" w:hAnsi="Times New Roman" w:eastAsia="sans-serif"/>
          <w:color w:val="0F1115"/>
          <w:shd w:val="clear" w:color="auto" w:fill="FFFFFF"/>
        </w:rPr>
        <w:t>No brain regions showed significant differences</w:t>
      </w:r>
      <w:r>
        <w:rPr>
          <w:rFonts w:ascii="Times New Roman" w:hAnsi="Times New Roman" w:eastAsia="sans-serif"/>
          <w:color w:val="0F1115"/>
          <w:shd w:val="clear" w:color="auto" w:fill="FFFFFF"/>
          <w:lang w:eastAsia="zh"/>
        </w:rPr>
        <w:t xml:space="preserve"> in SD</w:t>
      </w:r>
      <w:r>
        <w:rPr>
          <w:rFonts w:ascii="Times New Roman" w:hAnsi="Times New Roman" w:eastAsia="sans-serif"/>
          <w:color w:val="0F1115"/>
          <w:shd w:val="clear" w:color="auto" w:fill="FFFFFF"/>
        </w:rPr>
        <w:t xml:space="preserve"> between the MCI and NC groups</w:t>
      </w:r>
      <w:r>
        <w:rPr>
          <w:rFonts w:ascii="Times New Roman" w:hAnsi="Times New Roman" w:eastAsia="sans-serif"/>
          <w:color w:val="0F1115"/>
          <w:shd w:val="clear" w:color="auto" w:fill="FFFFFF"/>
          <w:lang w:eastAsia="zh"/>
        </w:rPr>
        <w:t>, after FDR correction</w:t>
      </w:r>
      <w:r>
        <w:rPr>
          <w:rFonts w:ascii="Times New Roman" w:hAnsi="Times New Roman" w:eastAsia="sans-serif"/>
          <w:color w:val="0F1115"/>
          <w:shd w:val="clear" w:color="auto" w:fill="FFFFFF"/>
        </w:rPr>
        <w:t>.</w:t>
      </w:r>
    </w:p>
    <w:p w14:paraId="14981D72">
      <w:pPr>
        <w:rPr>
          <w:rFonts w:ascii="Times New Roman" w:hAnsi="Times New Roman"/>
          <w:b/>
          <w:bCs/>
          <w:kern w:val="2"/>
          <w:lang w:eastAsia="zh" w:bidi="ar"/>
        </w:rPr>
      </w:pPr>
      <w:r>
        <w:rPr>
          <w:rFonts w:ascii="Times New Roman" w:hAnsi="Times New Roman"/>
          <w:b/>
          <w:bCs/>
          <w:kern w:val="2"/>
          <w:lang w:eastAsia="zh" w:bidi="ar"/>
        </w:rPr>
        <w:t>2.</w:t>
      </w:r>
      <w:r>
        <w:rPr>
          <w:rFonts w:ascii="Times New Roman" w:hAnsi="Times New Roman"/>
          <w:b/>
          <w:bCs/>
          <w:kern w:val="2"/>
          <w:lang w:bidi="ar"/>
        </w:rPr>
        <w:t xml:space="preserve"> Alterations in HFC </w:t>
      </w:r>
      <w:r>
        <w:rPr>
          <w:rFonts w:ascii="Times New Roman" w:hAnsi="Times New Roman"/>
          <w:b/>
          <w:bCs/>
          <w:kern w:val="2"/>
          <w:lang w:eastAsia="zh" w:bidi="ar"/>
        </w:rPr>
        <w:t>and the AI of structural morphological metrics</w:t>
      </w:r>
      <w:r>
        <w:rPr>
          <w:rFonts w:ascii="Times New Roman" w:hAnsi="Times New Roman"/>
          <w:b/>
          <w:bCs/>
          <w:kern w:val="2"/>
          <w:lang w:bidi="ar"/>
        </w:rPr>
        <w:t xml:space="preserve"> </w:t>
      </w:r>
      <w:r>
        <w:rPr>
          <w:rFonts w:ascii="Times New Roman" w:hAnsi="Times New Roman"/>
          <w:b/>
          <w:bCs/>
          <w:kern w:val="2"/>
          <w:lang w:eastAsia="zh" w:bidi="ar"/>
        </w:rPr>
        <w:t>in MCI.</w:t>
      </w:r>
    </w:p>
    <w:p w14:paraId="2AAE6BF7">
      <w:pPr>
        <w:widowControl w:val="0"/>
        <w:spacing w:before="156" w:beforeLines="50" w:after="156" w:afterLines="50"/>
        <w:jc w:val="both"/>
        <w:rPr>
          <w:rFonts w:ascii="Times New Roman" w:hAnsi="Times New Roman" w:eastAsia="sans-serif"/>
          <w:color w:val="0F1115"/>
          <w:shd w:val="clear" w:color="auto" w:fill="FFFFFF"/>
          <w:lang w:eastAsia="zh"/>
        </w:rPr>
      </w:pPr>
      <w:r>
        <w:rPr>
          <w:rFonts w:ascii="Times New Roman" w:hAnsi="Times New Roman"/>
          <w:kern w:val="2"/>
          <w:lang w:eastAsia="zh" w:bidi="ar"/>
        </w:rPr>
        <w:t xml:space="preserve">There were no significant differences between MCI and </w:t>
      </w:r>
      <w:r>
        <w:rPr>
          <w:rFonts w:hint="eastAsia" w:ascii="Times New Roman" w:hAnsi="Times New Roman"/>
          <w:kern w:val="2"/>
          <w:lang w:bidi="ar"/>
        </w:rPr>
        <w:t>N</w:t>
      </w:r>
      <w:r>
        <w:rPr>
          <w:rFonts w:ascii="Times New Roman" w:hAnsi="Times New Roman"/>
          <w:kern w:val="2"/>
          <w:lang w:eastAsia="zh" w:bidi="ar"/>
        </w:rPr>
        <w:t xml:space="preserve">C in the HFC after FDR correction, as showed in Figure 2d. There was no region showed significant group differences between MCI and </w:t>
      </w:r>
      <w:r>
        <w:rPr>
          <w:rFonts w:hint="eastAsia" w:ascii="Times New Roman" w:hAnsi="Times New Roman"/>
          <w:kern w:val="2"/>
          <w:lang w:bidi="ar"/>
        </w:rPr>
        <w:t>N</w:t>
      </w:r>
      <w:r>
        <w:rPr>
          <w:rFonts w:ascii="Times New Roman" w:hAnsi="Times New Roman"/>
          <w:kern w:val="2"/>
          <w:lang w:eastAsia="zh" w:bidi="ar"/>
        </w:rPr>
        <w:t xml:space="preserve">C in AI of any of structural morphological metrics, after FDR correction, as showed in </w:t>
      </w:r>
      <w:r>
        <w:rPr>
          <w:rFonts w:ascii="Times New Roman" w:hAnsi="Times New Roman"/>
          <w:kern w:val="2"/>
          <w:lang w:bidi="ar"/>
        </w:rPr>
        <w:t>Fig. S</w:t>
      </w:r>
      <w:r>
        <w:rPr>
          <w:rFonts w:ascii="Times New Roman" w:hAnsi="Times New Roman"/>
          <w:kern w:val="2"/>
          <w:lang w:eastAsia="zh" w:bidi="ar"/>
        </w:rPr>
        <w:t xml:space="preserve">1d, </w:t>
      </w:r>
      <w:r>
        <w:rPr>
          <w:rFonts w:ascii="Times New Roman" w:hAnsi="Times New Roman"/>
          <w:kern w:val="2"/>
          <w:lang w:bidi="ar"/>
        </w:rPr>
        <w:t>Fig. S</w:t>
      </w:r>
      <w:r>
        <w:rPr>
          <w:rFonts w:ascii="Times New Roman" w:hAnsi="Times New Roman"/>
          <w:kern w:val="2"/>
          <w:lang w:eastAsia="zh" w:bidi="ar"/>
        </w:rPr>
        <w:t xml:space="preserve">2d, </w:t>
      </w:r>
      <w:r>
        <w:rPr>
          <w:rFonts w:ascii="Times New Roman" w:hAnsi="Times New Roman"/>
          <w:kern w:val="2"/>
          <w:lang w:bidi="ar"/>
        </w:rPr>
        <w:t>Fig. S</w:t>
      </w:r>
      <w:r>
        <w:rPr>
          <w:rFonts w:ascii="Times New Roman" w:hAnsi="Times New Roman"/>
          <w:kern w:val="2"/>
          <w:lang w:eastAsia="zh" w:bidi="ar"/>
        </w:rPr>
        <w:t xml:space="preserve">3d, </w:t>
      </w:r>
      <w:r>
        <w:rPr>
          <w:rFonts w:ascii="Times New Roman" w:hAnsi="Times New Roman"/>
          <w:kern w:val="2"/>
          <w:lang w:bidi="ar"/>
        </w:rPr>
        <w:t>Fig. S</w:t>
      </w:r>
      <w:r>
        <w:rPr>
          <w:rFonts w:ascii="Times New Roman" w:hAnsi="Times New Roman"/>
          <w:kern w:val="2"/>
          <w:lang w:eastAsia="zh" w:bidi="ar"/>
        </w:rPr>
        <w:t xml:space="preserve">4d and </w:t>
      </w:r>
      <w:r>
        <w:rPr>
          <w:rFonts w:ascii="Times New Roman" w:hAnsi="Times New Roman"/>
          <w:kern w:val="2"/>
          <w:lang w:bidi="ar"/>
        </w:rPr>
        <w:t>Fig. S</w:t>
      </w:r>
      <w:r>
        <w:rPr>
          <w:rFonts w:ascii="Times New Roman" w:hAnsi="Times New Roman" w:eastAsia="sans-serif"/>
          <w:color w:val="0F1115"/>
          <w:shd w:val="clear" w:color="auto" w:fill="FFFFFF"/>
          <w:lang w:eastAsia="zh"/>
        </w:rPr>
        <w:t>5d.</w:t>
      </w:r>
    </w:p>
    <w:p w14:paraId="0070BC80">
      <w:pPr>
        <w:rPr>
          <w:rFonts w:ascii="Times New Roman" w:hAnsi="Times New Roman"/>
          <w:b/>
          <w:bCs/>
          <w:kern w:val="2"/>
          <w:lang w:bidi="ar"/>
        </w:rPr>
      </w:pPr>
      <w:r>
        <w:rPr>
          <w:rFonts w:ascii="Times New Roman" w:hAnsi="Times New Roman"/>
          <w:b/>
          <w:bCs/>
          <w:kern w:val="2"/>
          <w:lang w:eastAsia="zh" w:bidi="ar"/>
        </w:rPr>
        <w:t xml:space="preserve">3. </w:t>
      </w:r>
      <w:r>
        <w:rPr>
          <w:rFonts w:ascii="Times New Roman" w:hAnsi="Times New Roman"/>
          <w:b/>
          <w:bCs/>
          <w:kern w:val="2"/>
          <w:lang w:bidi="ar"/>
        </w:rPr>
        <w:t>Model performance under different feature selection schemes in classification task</w:t>
      </w:r>
      <w:r>
        <w:rPr>
          <w:rFonts w:ascii="Times New Roman" w:hAnsi="Times New Roman"/>
          <w:b/>
          <w:bCs/>
          <w:kern w:val="2"/>
          <w:lang w:eastAsia="zh" w:bidi="ar"/>
        </w:rPr>
        <w:t xml:space="preserve"> </w:t>
      </w:r>
      <w:r>
        <w:rPr>
          <w:rFonts w:ascii="Times New Roman" w:hAnsi="Times New Roman"/>
          <w:b/>
          <w:bCs/>
          <w:kern w:val="2"/>
          <w:lang w:bidi="ar"/>
        </w:rPr>
        <w:t xml:space="preserve">distinguishing AD from </w:t>
      </w:r>
      <w:r>
        <w:rPr>
          <w:rFonts w:ascii="Times New Roman" w:hAnsi="Times New Roman"/>
          <w:b/>
          <w:bCs/>
          <w:kern w:val="2"/>
          <w:lang w:eastAsia="zh" w:bidi="ar"/>
        </w:rPr>
        <w:t>MCI</w:t>
      </w:r>
      <w:r>
        <w:rPr>
          <w:rFonts w:ascii="Times New Roman" w:hAnsi="Times New Roman"/>
          <w:b/>
          <w:bCs/>
          <w:kern w:val="2"/>
          <w:lang w:bidi="ar"/>
        </w:rPr>
        <w:t xml:space="preserve">. </w:t>
      </w:r>
    </w:p>
    <w:p w14:paraId="7FFC1ED6">
      <w:pPr>
        <w:widowControl w:val="0"/>
        <w:spacing w:before="156" w:beforeLines="50" w:after="156" w:afterLines="50"/>
        <w:jc w:val="both"/>
        <w:rPr>
          <w:rFonts w:ascii="Times New Roman" w:hAnsi="Times New Roman"/>
          <w:kern w:val="2"/>
          <w:highlight w:val="lightGray"/>
          <w:lang w:bidi="ar"/>
        </w:rPr>
      </w:pPr>
      <w:r>
        <w:rPr>
          <w:rFonts w:ascii="Times New Roman" w:hAnsi="Times New Roman" w:eastAsia="sans-serif"/>
          <w:color w:val="0F1115"/>
          <w:shd w:val="clear" w:color="auto" w:fill="FFFFFF"/>
        </w:rPr>
        <w:t>In the binary classif</w:t>
      </w:r>
      <w:r>
        <w:rPr>
          <w:rFonts w:ascii="Times New Roman" w:hAnsi="Times New Roman"/>
          <w:kern w:val="2"/>
          <w:lang w:bidi="ar"/>
        </w:rPr>
        <w:t xml:space="preserve">ication task distinguishing AD from </w:t>
      </w:r>
      <w:r>
        <w:rPr>
          <w:rFonts w:ascii="Times New Roman" w:hAnsi="Times New Roman"/>
          <w:kern w:val="2"/>
          <w:lang w:eastAsia="zh" w:bidi="ar"/>
        </w:rPr>
        <w:t>MCI</w:t>
      </w:r>
      <w:r>
        <w:rPr>
          <w:rFonts w:ascii="Times New Roman" w:hAnsi="Times New Roman"/>
          <w:kern w:val="2"/>
          <w:lang w:bidi="ar"/>
        </w:rPr>
        <w:t>, the HFC</w:t>
      </w:r>
      <w:r>
        <w:rPr>
          <w:rFonts w:ascii="Times New Roman" w:hAnsi="Times New Roman"/>
          <w:kern w:val="2"/>
          <w:lang w:eastAsia="zh" w:bidi="ar"/>
        </w:rPr>
        <w:t xml:space="preserve"> </w:t>
      </w:r>
      <w:r>
        <w:rPr>
          <w:rFonts w:ascii="Times New Roman" w:hAnsi="Times New Roman"/>
          <w:kern w:val="2"/>
          <w:lang w:bidi="ar"/>
        </w:rPr>
        <w:t>represent</w:t>
      </w:r>
      <w:r>
        <w:rPr>
          <w:rFonts w:ascii="Times New Roman" w:hAnsi="Times New Roman"/>
          <w:kern w:val="2"/>
          <w:lang w:eastAsia="zh" w:bidi="ar"/>
        </w:rPr>
        <w:t>s</w:t>
      </w:r>
      <w:r>
        <w:rPr>
          <w:rFonts w:ascii="Times New Roman" w:hAnsi="Times New Roman"/>
          <w:kern w:val="2"/>
          <w:lang w:bidi="ar"/>
        </w:rPr>
        <w:t xml:space="preserve"> </w:t>
      </w:r>
      <w:r>
        <w:rPr>
          <w:rFonts w:ascii="Times New Roman" w:hAnsi="Times New Roman"/>
          <w:kern w:val="2"/>
          <w:lang w:eastAsia="zh" w:bidi="ar"/>
        </w:rPr>
        <w:t>a</w:t>
      </w:r>
      <w:r>
        <w:rPr>
          <w:rFonts w:ascii="Times New Roman" w:hAnsi="Times New Roman"/>
          <w:kern w:val="2"/>
          <w:lang w:bidi="ar"/>
        </w:rPr>
        <w:t xml:space="preserve"> robust neuroimaging biomarker. Specifically, the model utilizing whole-brain HFC</w:t>
      </w:r>
      <w:r>
        <w:rPr>
          <w:rFonts w:ascii="Times New Roman" w:hAnsi="Times New Roman"/>
          <w:kern w:val="2"/>
          <w:lang w:eastAsia="zh" w:bidi="ar"/>
        </w:rPr>
        <w:t xml:space="preserve"> </w:t>
      </w:r>
      <w:r>
        <w:rPr>
          <w:rFonts w:ascii="Times New Roman" w:hAnsi="Times New Roman"/>
          <w:kern w:val="2"/>
          <w:lang w:bidi="ar"/>
        </w:rPr>
        <w:t xml:space="preserve">features achieved </w:t>
      </w:r>
      <w:r>
        <w:rPr>
          <w:rFonts w:ascii="Times New Roman" w:hAnsi="Times New Roman"/>
          <w:kern w:val="2"/>
          <w:lang w:eastAsia="zh" w:bidi="ar"/>
        </w:rPr>
        <w:t>an averaged ACC of 0.653 via leave-one-site out cross-validation (Fig.</w:t>
      </w:r>
      <w:r>
        <w:rPr>
          <w:rFonts w:ascii="Times New Roman" w:hAnsi="Times New Roman"/>
          <w:kern w:val="2"/>
          <w:lang w:bidi="ar"/>
        </w:rPr>
        <w:t xml:space="preserve"> S</w:t>
      </w:r>
      <w:r>
        <w:rPr>
          <w:rFonts w:ascii="Times New Roman" w:hAnsi="Times New Roman"/>
          <w:kern w:val="2"/>
          <w:lang w:eastAsia="zh" w:bidi="ar"/>
        </w:rPr>
        <w:t>7c). T</w:t>
      </w:r>
      <w:r>
        <w:rPr>
          <w:rFonts w:ascii="Times New Roman" w:hAnsi="Times New Roman"/>
          <w:kern w:val="2"/>
          <w:lang w:bidi="ar"/>
        </w:rPr>
        <w:t xml:space="preserve">he HFC </w:t>
      </w:r>
      <w:r>
        <w:rPr>
          <w:rFonts w:ascii="Times New Roman" w:hAnsi="Times New Roman"/>
          <w:kern w:val="2"/>
          <w:lang w:eastAsia="zh" w:bidi="ar"/>
        </w:rPr>
        <w:t xml:space="preserve">showed the </w:t>
      </w:r>
      <w:r>
        <w:rPr>
          <w:rFonts w:ascii="Times New Roman" w:hAnsi="Times New Roman"/>
          <w:kern w:val="2"/>
          <w:lang w:bidi="ar"/>
        </w:rPr>
        <w:t xml:space="preserve">highest accuracy (ACC = </w:t>
      </w:r>
      <w:r>
        <w:rPr>
          <w:rFonts w:ascii="Times New Roman" w:hAnsi="Times New Roman"/>
          <w:kern w:val="2"/>
          <w:lang w:eastAsia="zh" w:bidi="ar"/>
        </w:rPr>
        <w:t>0.653</w:t>
      </w:r>
      <w:r>
        <w:rPr>
          <w:rFonts w:ascii="Times New Roman" w:hAnsi="Times New Roman"/>
          <w:kern w:val="2"/>
          <w:lang w:bidi="ar"/>
        </w:rPr>
        <w:t>) among all single-modality models</w:t>
      </w:r>
      <w:r>
        <w:rPr>
          <w:rFonts w:ascii="Times New Roman" w:hAnsi="Times New Roman"/>
          <w:kern w:val="2"/>
          <w:lang w:eastAsia="zh" w:bidi="ar"/>
        </w:rPr>
        <w:t xml:space="preserve">, </w:t>
      </w:r>
      <w:r>
        <w:rPr>
          <w:rFonts w:ascii="Times New Roman" w:hAnsi="Times New Roman"/>
          <w:kern w:val="2"/>
          <w:lang w:bidi="ar"/>
        </w:rPr>
        <w:t xml:space="preserve">outperforming </w:t>
      </w:r>
      <w:r>
        <w:rPr>
          <w:rFonts w:ascii="Times New Roman" w:hAnsi="Times New Roman"/>
          <w:kern w:val="2"/>
          <w:lang w:eastAsia="zh" w:bidi="ar"/>
        </w:rPr>
        <w:t xml:space="preserve">all structural </w:t>
      </w:r>
      <w:r>
        <w:rPr>
          <w:rFonts w:ascii="Times New Roman" w:hAnsi="Times New Roman"/>
          <w:kern w:val="2"/>
          <w:lang w:bidi="ar"/>
        </w:rPr>
        <w:t xml:space="preserve">morphological metrics including </w:t>
      </w:r>
      <w:r>
        <w:rPr>
          <w:rFonts w:ascii="Times New Roman" w:hAnsi="Times New Roman"/>
          <w:kern w:val="2"/>
          <w:lang w:eastAsia="zh" w:bidi="ar"/>
        </w:rPr>
        <w:t xml:space="preserve">GMV (ACC = 0.624), </w:t>
      </w:r>
      <w:r>
        <w:rPr>
          <w:rFonts w:ascii="Times New Roman" w:hAnsi="Times New Roman"/>
          <w:kern w:val="2"/>
          <w:lang w:bidi="ar"/>
        </w:rPr>
        <w:t>FD</w:t>
      </w:r>
      <w:r>
        <w:rPr>
          <w:rFonts w:ascii="Times New Roman" w:hAnsi="Times New Roman"/>
          <w:kern w:val="2"/>
          <w:lang w:eastAsia="zh" w:bidi="ar"/>
        </w:rPr>
        <w:t xml:space="preserve"> (ACC = 0.571), </w:t>
      </w:r>
      <w:r>
        <w:rPr>
          <w:rFonts w:ascii="Times New Roman" w:hAnsi="Times New Roman"/>
          <w:kern w:val="2"/>
          <w:lang w:bidi="ar"/>
        </w:rPr>
        <w:t>CT</w:t>
      </w:r>
      <w:r>
        <w:rPr>
          <w:rFonts w:ascii="Times New Roman" w:hAnsi="Times New Roman"/>
          <w:kern w:val="2"/>
          <w:lang w:eastAsia="zh" w:bidi="ar"/>
        </w:rPr>
        <w:t xml:space="preserve"> (ACC = 0.596)</w:t>
      </w:r>
      <w:r>
        <w:rPr>
          <w:rFonts w:ascii="Times New Roman" w:hAnsi="Times New Roman"/>
          <w:kern w:val="2"/>
          <w:lang w:bidi="ar"/>
        </w:rPr>
        <w:t>, GI</w:t>
      </w:r>
      <w:r>
        <w:rPr>
          <w:rFonts w:ascii="Times New Roman" w:hAnsi="Times New Roman"/>
          <w:kern w:val="2"/>
          <w:lang w:eastAsia="zh" w:bidi="ar"/>
        </w:rPr>
        <w:t xml:space="preserve"> (ACC = 0.530)</w:t>
      </w:r>
      <w:r>
        <w:rPr>
          <w:rFonts w:ascii="Times New Roman" w:hAnsi="Times New Roman"/>
          <w:kern w:val="2"/>
          <w:lang w:bidi="ar"/>
        </w:rPr>
        <w:t>, SD</w:t>
      </w:r>
      <w:r>
        <w:rPr>
          <w:rFonts w:ascii="Times New Roman" w:hAnsi="Times New Roman"/>
          <w:kern w:val="2"/>
          <w:lang w:eastAsia="zh" w:bidi="ar"/>
        </w:rPr>
        <w:t xml:space="preserve"> (ACC = 0.517)</w:t>
      </w:r>
      <w:r>
        <w:rPr>
          <w:rFonts w:ascii="Times New Roman" w:hAnsi="Times New Roman"/>
          <w:kern w:val="2"/>
          <w:lang w:bidi="ar"/>
        </w:rPr>
        <w:t xml:space="preserve">. </w:t>
      </w:r>
      <w:r>
        <w:rPr>
          <w:rFonts w:ascii="Times New Roman" w:hAnsi="Times New Roman"/>
          <w:kern w:val="2"/>
          <w:lang w:eastAsia="zh" w:bidi="ar"/>
        </w:rPr>
        <w:t>When u</w:t>
      </w:r>
      <w:r>
        <w:rPr>
          <w:rFonts w:ascii="Times New Roman" w:hAnsi="Times New Roman"/>
          <w:kern w:val="2"/>
          <w:lang w:bidi="ar"/>
        </w:rPr>
        <w:t xml:space="preserve">tilizing </w:t>
      </w:r>
      <w:r>
        <w:rPr>
          <w:rFonts w:ascii="Times New Roman" w:hAnsi="Times New Roman"/>
          <w:kern w:val="2"/>
          <w:lang w:eastAsia="zh" w:bidi="ar"/>
        </w:rPr>
        <w:t xml:space="preserve">regions with significant alteration of </w:t>
      </w:r>
      <w:r>
        <w:rPr>
          <w:rFonts w:ascii="Times New Roman" w:hAnsi="Times New Roman"/>
          <w:kern w:val="2"/>
          <w:lang w:bidi="ar"/>
        </w:rPr>
        <w:t>HFC</w:t>
      </w:r>
      <w:r>
        <w:rPr>
          <w:rFonts w:ascii="Times New Roman" w:hAnsi="Times New Roman"/>
          <w:kern w:val="2"/>
          <w:lang w:eastAsia="zh" w:bidi="ar"/>
        </w:rPr>
        <w:t xml:space="preserve"> both after FDR corrected or not in either AD group or MCI groups </w:t>
      </w:r>
      <w:r>
        <w:rPr>
          <w:rFonts w:ascii="Times New Roman" w:hAnsi="Times New Roman"/>
          <w:kern w:val="2"/>
          <w:lang w:bidi="ar"/>
        </w:rPr>
        <w:t xml:space="preserve">as features, </w:t>
      </w:r>
      <w:r>
        <w:rPr>
          <w:rFonts w:ascii="Times New Roman" w:hAnsi="Times New Roman"/>
          <w:kern w:val="2"/>
          <w:lang w:eastAsia="zh" w:bidi="ar"/>
        </w:rPr>
        <w:t>t</w:t>
      </w:r>
      <w:r>
        <w:rPr>
          <w:rFonts w:ascii="Times New Roman" w:hAnsi="Times New Roman"/>
          <w:kern w:val="2"/>
          <w:lang w:bidi="ar"/>
        </w:rPr>
        <w:t>he model's accuracy remained essentially constant, exhibiting only a marginal drop</w:t>
      </w:r>
      <w:r>
        <w:rPr>
          <w:rFonts w:ascii="Times New Roman" w:hAnsi="Times New Roman"/>
          <w:kern w:val="2"/>
          <w:lang w:eastAsia="zh" w:bidi="ar"/>
        </w:rPr>
        <w:t xml:space="preserve"> (For sig-brains: ACC = 0.621; For FDR-brains: ACC = 0.613) (Fig.</w:t>
      </w:r>
      <w:r>
        <w:rPr>
          <w:rFonts w:ascii="Times New Roman" w:hAnsi="Times New Roman"/>
          <w:kern w:val="2"/>
          <w:lang w:bidi="ar"/>
        </w:rPr>
        <w:t xml:space="preserve"> S</w:t>
      </w:r>
      <w:r>
        <w:rPr>
          <w:rFonts w:ascii="Times New Roman" w:hAnsi="Times New Roman"/>
          <w:kern w:val="2"/>
          <w:lang w:eastAsia="zh" w:bidi="ar"/>
        </w:rPr>
        <w:t>7c)</w:t>
      </w:r>
      <w:r>
        <w:rPr>
          <w:rFonts w:ascii="Times New Roman" w:hAnsi="Times New Roman"/>
          <w:kern w:val="2"/>
          <w:lang w:bidi="ar"/>
        </w:rPr>
        <w:t>.</w:t>
      </w:r>
      <w:r>
        <w:rPr>
          <w:rFonts w:ascii="Times New Roman" w:hAnsi="Times New Roman"/>
          <w:kern w:val="2"/>
          <w:lang w:eastAsia="zh" w:bidi="ar"/>
        </w:rPr>
        <w:t xml:space="preserve"> </w:t>
      </w:r>
      <w:r>
        <w:rPr>
          <w:rFonts w:ascii="Times New Roman" w:hAnsi="Times New Roman"/>
          <w:kern w:val="2"/>
          <w:lang w:bidi="ar"/>
        </w:rPr>
        <w:t>This trend was consistent for both F1 score and AUC (</w:t>
      </w:r>
      <w:r>
        <w:rPr>
          <w:rFonts w:ascii="Times New Roman" w:hAnsi="Times New Roman"/>
          <w:kern w:val="2"/>
          <w:lang w:eastAsia="zh" w:bidi="ar"/>
        </w:rPr>
        <w:t xml:space="preserve">Fig. </w:t>
      </w:r>
      <w:r>
        <w:rPr>
          <w:rFonts w:ascii="Times New Roman" w:hAnsi="Times New Roman"/>
          <w:kern w:val="2"/>
          <w:lang w:bidi="ar"/>
        </w:rPr>
        <w:t>S</w:t>
      </w:r>
      <w:r>
        <w:rPr>
          <w:rFonts w:ascii="Times New Roman" w:hAnsi="Times New Roman"/>
          <w:kern w:val="2"/>
          <w:lang w:eastAsia="zh" w:bidi="ar"/>
        </w:rPr>
        <w:t>7c</w:t>
      </w:r>
      <w:r>
        <w:rPr>
          <w:rFonts w:ascii="Times New Roman" w:hAnsi="Times New Roman"/>
          <w:kern w:val="2"/>
          <w:lang w:bidi="ar"/>
        </w:rPr>
        <w:t xml:space="preserve">). </w:t>
      </w:r>
      <w:r>
        <w:rPr>
          <w:rFonts w:ascii="Times New Roman" w:hAnsi="Times New Roman" w:eastAsia="sans-serif"/>
          <w:color w:val="0F1115"/>
          <w:shd w:val="clear" w:color="auto" w:fill="FFFFFF"/>
        </w:rPr>
        <w:t xml:space="preserve">During leave-one-site-out cross-validation, the model achieved site-specific accuracies ranging from </w:t>
      </w:r>
      <w:r>
        <w:rPr>
          <w:rFonts w:ascii="Times New Roman" w:hAnsi="Times New Roman" w:eastAsia="TimesNewRomanPSMT"/>
          <w:color w:val="000000"/>
          <w:sz w:val="22"/>
          <w:szCs w:val="22"/>
        </w:rPr>
        <w:t>0.</w:t>
      </w:r>
      <w:r>
        <w:rPr>
          <w:rFonts w:ascii="Times New Roman" w:hAnsi="Times New Roman" w:eastAsia="TimesNewRomanPSMT"/>
          <w:color w:val="000000"/>
          <w:sz w:val="22"/>
          <w:szCs w:val="22"/>
          <w:lang w:eastAsia="zh"/>
        </w:rPr>
        <w:t>507</w:t>
      </w:r>
      <w:r>
        <w:rPr>
          <w:rFonts w:ascii="Times New Roman" w:hAnsi="Times New Roman" w:eastAsia="sans-serif"/>
          <w:color w:val="0F1115"/>
          <w:shd w:val="clear" w:color="auto" w:fill="FFFFFF"/>
        </w:rPr>
        <w:t xml:space="preserve"> to </w:t>
      </w:r>
      <w:r>
        <w:rPr>
          <w:rFonts w:ascii="Times New Roman" w:hAnsi="Times New Roman" w:eastAsia="sans-serif"/>
          <w:color w:val="0F1115"/>
          <w:shd w:val="clear" w:color="auto" w:fill="FFFFFF"/>
          <w:lang w:eastAsia="zh"/>
        </w:rPr>
        <w:t>0.800</w:t>
      </w:r>
      <w:r>
        <w:rPr>
          <w:rFonts w:ascii="Times New Roman" w:hAnsi="Times New Roman" w:eastAsia="sans-serif"/>
          <w:color w:val="0F1115"/>
          <w:shd w:val="clear" w:color="auto" w:fill="FFFFFF"/>
        </w:rPr>
        <w:t>, indicating variable performance across data sources</w:t>
      </w:r>
      <w:r>
        <w:rPr>
          <w:rFonts w:ascii="Times New Roman" w:hAnsi="Times New Roman" w:eastAsia="sans-serif"/>
          <w:color w:val="0F1115"/>
          <w:shd w:val="clear" w:color="auto" w:fill="FFFFFF"/>
          <w:lang w:eastAsia="zh" w:bidi="ar"/>
        </w:rPr>
        <w:t xml:space="preserve"> (</w:t>
      </w:r>
      <w:r>
        <w:rPr>
          <w:rFonts w:ascii="Times New Roman" w:hAnsi="Times New Roman"/>
          <w:kern w:val="2"/>
          <w:lang w:eastAsia="zh" w:bidi="ar"/>
        </w:rPr>
        <w:t>Fig.</w:t>
      </w:r>
      <w:r>
        <w:rPr>
          <w:rFonts w:ascii="Times New Roman" w:hAnsi="Times New Roman"/>
          <w:kern w:val="2"/>
          <w:lang w:bidi="ar"/>
        </w:rPr>
        <w:t xml:space="preserve"> S</w:t>
      </w:r>
      <w:r>
        <w:rPr>
          <w:rFonts w:ascii="Times New Roman" w:hAnsi="Times New Roman"/>
          <w:kern w:val="2"/>
          <w:lang w:eastAsia="zh" w:bidi="ar"/>
        </w:rPr>
        <w:t>7a</w:t>
      </w:r>
      <w:r>
        <w:rPr>
          <w:rFonts w:ascii="Times New Roman" w:hAnsi="Times New Roman" w:eastAsia="sans-serif"/>
          <w:color w:val="0F1115"/>
          <w:shd w:val="clear" w:color="auto" w:fill="FFFFFF"/>
          <w:lang w:eastAsia="zh" w:bidi="ar"/>
        </w:rPr>
        <w:t xml:space="preserve">). </w:t>
      </w:r>
      <w:r>
        <w:rPr>
          <w:rFonts w:ascii="Times New Roman" w:hAnsi="Times New Roman"/>
          <w:kern w:val="2"/>
          <w:lang w:bidi="ar"/>
        </w:rPr>
        <w:t>The evaluate metrics for each site could be seen in Table S</w:t>
      </w:r>
      <w:r>
        <w:rPr>
          <w:rFonts w:ascii="Times New Roman" w:hAnsi="Times New Roman"/>
          <w:kern w:val="2"/>
          <w:lang w:eastAsia="zh" w:bidi="ar"/>
        </w:rPr>
        <w:t>9</w:t>
      </w:r>
      <w:r>
        <w:rPr>
          <w:rFonts w:ascii="Times New Roman" w:hAnsi="Times New Roman"/>
          <w:kern w:val="2"/>
          <w:lang w:bidi="ar"/>
        </w:rPr>
        <w:t xml:space="preserve">. The </w:t>
      </w:r>
      <w:r>
        <w:rPr>
          <w:rFonts w:ascii="Times New Roman" w:hAnsi="Times New Roman"/>
          <w:lang w:bidi="ar"/>
        </w:rPr>
        <w:t>ROC curve</w:t>
      </w:r>
      <w:r>
        <w:rPr>
          <w:rFonts w:ascii="Times New Roman" w:hAnsi="Times New Roman"/>
          <w:lang w:eastAsia="zh" w:bidi="ar"/>
        </w:rPr>
        <w:t>s</w:t>
      </w:r>
      <w:r>
        <w:rPr>
          <w:rFonts w:ascii="Times New Roman" w:hAnsi="Times New Roman"/>
          <w:lang w:bidi="ar"/>
        </w:rPr>
        <w:t xml:space="preserve"> of the model </w:t>
      </w:r>
      <w:r>
        <w:rPr>
          <w:rFonts w:ascii="Times New Roman" w:hAnsi="Times New Roman"/>
          <w:kern w:val="2"/>
          <w:lang w:bidi="ar"/>
        </w:rPr>
        <w:t xml:space="preserve">were shown in </w:t>
      </w:r>
      <w:r>
        <w:rPr>
          <w:rFonts w:ascii="Times New Roman" w:hAnsi="Times New Roman"/>
          <w:kern w:val="2"/>
          <w:lang w:eastAsia="zh" w:bidi="ar"/>
        </w:rPr>
        <w:t>Fig.</w:t>
      </w:r>
      <w:r>
        <w:rPr>
          <w:rFonts w:ascii="Times New Roman" w:hAnsi="Times New Roman"/>
          <w:kern w:val="2"/>
          <w:lang w:bidi="ar"/>
        </w:rPr>
        <w:t xml:space="preserve"> S</w:t>
      </w:r>
      <w:r>
        <w:rPr>
          <w:rFonts w:ascii="Times New Roman" w:hAnsi="Times New Roman"/>
          <w:kern w:val="2"/>
          <w:lang w:eastAsia="zh" w:bidi="ar"/>
        </w:rPr>
        <w:t>7b.</w:t>
      </w:r>
    </w:p>
    <w:p w14:paraId="0637FB9F">
      <w:pPr>
        <w:widowControl w:val="0"/>
        <w:spacing w:before="156" w:beforeLines="50" w:after="156" w:afterLines="50"/>
        <w:jc w:val="both"/>
        <w:rPr>
          <w:rFonts w:ascii="Times New Roman" w:hAnsi="Times New Roman" w:eastAsia="sans-serif"/>
          <w:color w:val="0F1115"/>
          <w:shd w:val="clear" w:color="auto" w:fill="FFFFFF"/>
        </w:rPr>
      </w:pPr>
      <w:r>
        <w:rPr>
          <w:rFonts w:ascii="Times New Roman" w:hAnsi="Times New Roman" w:eastAsia="sans-serif"/>
          <w:color w:val="0F1115"/>
          <w:shd w:val="clear" w:color="auto" w:fill="FFFFFF"/>
          <w:lang w:eastAsia="zh"/>
        </w:rPr>
        <w:t xml:space="preserve">Like the classification task of distinguishing AD from NC, the </w:t>
      </w:r>
      <w:r>
        <w:rPr>
          <w:rFonts w:ascii="Times New Roman" w:hAnsi="Times New Roman" w:eastAsia="sans-serif"/>
          <w:color w:val="0F1115"/>
          <w:shd w:val="clear" w:color="auto" w:fill="FFFFFF"/>
        </w:rPr>
        <w:t>integrat</w:t>
      </w:r>
      <w:r>
        <w:rPr>
          <w:rFonts w:ascii="Times New Roman" w:hAnsi="Times New Roman" w:eastAsia="sans-serif"/>
          <w:color w:val="0F1115"/>
          <w:shd w:val="clear" w:color="auto" w:fill="FFFFFF"/>
          <w:lang w:eastAsia="zh"/>
        </w:rPr>
        <w:t>ion the</w:t>
      </w:r>
      <w:r>
        <w:rPr>
          <w:rFonts w:ascii="Times New Roman" w:hAnsi="Times New Roman" w:eastAsia="sans-serif"/>
          <w:color w:val="0F1115"/>
          <w:shd w:val="clear" w:color="auto" w:fill="FFFFFF"/>
        </w:rPr>
        <w:t xml:space="preserve"> HFC features with </w:t>
      </w:r>
      <w:r>
        <w:rPr>
          <w:rFonts w:ascii="Times New Roman" w:hAnsi="Times New Roman"/>
          <w:kern w:val="2"/>
          <w:lang w:eastAsia="zh"/>
        </w:rPr>
        <w:t xml:space="preserve">the AI features of the </w:t>
      </w:r>
      <w:r>
        <w:rPr>
          <w:rFonts w:ascii="Times New Roman" w:hAnsi="Times New Roman"/>
          <w:kern w:val="2"/>
        </w:rPr>
        <w:t>structural metric</w:t>
      </w:r>
      <w:r>
        <w:rPr>
          <w:rFonts w:ascii="Times New Roman" w:hAnsi="Times New Roman"/>
          <w:kern w:val="2"/>
          <w:lang w:eastAsia="zh"/>
        </w:rPr>
        <w:t>s</w:t>
      </w:r>
      <w:r>
        <w:rPr>
          <w:rFonts w:ascii="Times New Roman" w:hAnsi="Times New Roman" w:eastAsia="sans-serif"/>
          <w:color w:val="0F1115"/>
          <w:shd w:val="clear" w:color="auto" w:fill="FFFFFF"/>
        </w:rPr>
        <w:t xml:space="preserve"> </w:t>
      </w:r>
      <w:r>
        <w:rPr>
          <w:rFonts w:ascii="Times New Roman" w:hAnsi="Times New Roman" w:eastAsia="sans-serif"/>
          <w:color w:val="0F1115"/>
          <w:shd w:val="clear" w:color="auto" w:fill="FFFFFF"/>
          <w:lang w:eastAsia="zh"/>
        </w:rPr>
        <w:t xml:space="preserve">also </w:t>
      </w:r>
      <w:r>
        <w:rPr>
          <w:rFonts w:ascii="Times New Roman" w:hAnsi="Times New Roman" w:eastAsia="sans-serif"/>
          <w:color w:val="0F1115"/>
          <w:shd w:val="clear" w:color="auto" w:fill="FFFFFF"/>
        </w:rPr>
        <w:t>enhanced classification performance</w:t>
      </w:r>
      <w:r>
        <w:rPr>
          <w:rFonts w:ascii="Times New Roman" w:hAnsi="Times New Roman" w:eastAsia="sans-serif"/>
          <w:color w:val="0F1115"/>
          <w:shd w:val="clear" w:color="auto" w:fill="FFFFFF"/>
          <w:lang w:eastAsia="zh"/>
        </w:rPr>
        <w:t xml:space="preserve"> with an average margin of 6.12%</w:t>
      </w:r>
      <w:r>
        <w:rPr>
          <w:rFonts w:ascii="Times New Roman" w:hAnsi="Times New Roman" w:eastAsia="sans-serif"/>
          <w:b/>
          <w:bCs/>
          <w:color w:val="0F1115"/>
          <w:shd w:val="clear" w:color="auto" w:fill="FFFFFF"/>
          <w:lang w:eastAsia="zh"/>
        </w:rPr>
        <w:t xml:space="preserve"> </w:t>
      </w:r>
      <w:r>
        <w:rPr>
          <w:rFonts w:ascii="Times New Roman" w:hAnsi="Times New Roman" w:eastAsia="sans-serif"/>
          <w:color w:val="0F1115"/>
          <w:shd w:val="clear" w:color="auto" w:fill="FFFFFF"/>
          <w:lang w:eastAsia="zh"/>
        </w:rPr>
        <w:t xml:space="preserve">for </w:t>
      </w:r>
      <w:r>
        <w:rPr>
          <w:rFonts w:ascii="Times New Roman" w:hAnsi="Times New Roman"/>
          <w:kern w:val="2"/>
        </w:rPr>
        <w:t>structural metric</w:t>
      </w:r>
      <w:r>
        <w:rPr>
          <w:rFonts w:ascii="Times New Roman" w:hAnsi="Times New Roman"/>
          <w:kern w:val="2"/>
          <w:lang w:eastAsia="zh"/>
        </w:rPr>
        <w:t xml:space="preserve">s </w:t>
      </w:r>
      <w:r>
        <w:rPr>
          <w:rFonts w:ascii="Times New Roman" w:hAnsi="Times New Roman" w:eastAsia="sans-serif"/>
          <w:color w:val="0F1115"/>
          <w:shd w:val="clear" w:color="auto" w:fill="FFFFFF"/>
          <w:lang w:eastAsia="zh"/>
        </w:rPr>
        <w:t>(</w:t>
      </w:r>
      <w:r>
        <w:rPr>
          <w:rFonts w:ascii="Times New Roman" w:hAnsi="Times New Roman"/>
          <w:kern w:val="2"/>
          <w:lang w:eastAsia="zh" w:bidi="ar"/>
        </w:rPr>
        <w:t>Fig.</w:t>
      </w:r>
      <w:r>
        <w:rPr>
          <w:rFonts w:ascii="Times New Roman" w:hAnsi="Times New Roman"/>
          <w:kern w:val="2"/>
          <w:lang w:bidi="ar"/>
        </w:rPr>
        <w:t xml:space="preserve"> S</w:t>
      </w:r>
      <w:r>
        <w:rPr>
          <w:rFonts w:ascii="Times New Roman" w:hAnsi="Times New Roman"/>
          <w:kern w:val="2"/>
          <w:lang w:eastAsia="zh" w:bidi="ar"/>
        </w:rPr>
        <w:t>7c</w:t>
      </w:r>
      <w:r>
        <w:rPr>
          <w:rFonts w:ascii="Times New Roman" w:hAnsi="Times New Roman" w:eastAsia="sans-serif"/>
          <w:color w:val="0F1115"/>
          <w:shd w:val="clear" w:color="auto" w:fill="FFFFFF"/>
          <w:lang w:eastAsia="zh"/>
        </w:rPr>
        <w:t>)</w:t>
      </w:r>
      <w:r>
        <w:rPr>
          <w:rFonts w:ascii="Times New Roman" w:hAnsi="Times New Roman" w:eastAsia="sans-serif"/>
          <w:color w:val="0F1115"/>
          <w:shd w:val="clear" w:color="auto" w:fill="FFFFFF"/>
        </w:rPr>
        <w:t>, suggesting that functional network information can provide valuable complementary data for improving diagnostic accurac</w:t>
      </w:r>
      <w:r>
        <w:rPr>
          <w:rFonts w:ascii="Times New Roman" w:hAnsi="Times New Roman" w:eastAsia="sans-serif"/>
          <w:color w:val="0F1115"/>
          <w:shd w:val="clear" w:color="auto" w:fill="FFFFFF"/>
          <w:lang w:eastAsia="zh"/>
        </w:rPr>
        <w:t xml:space="preserve">y. </w:t>
      </w:r>
    </w:p>
    <w:p w14:paraId="2CBCB5CA">
      <w:pPr>
        <w:rPr>
          <w:rFonts w:ascii="Times New Roman" w:hAnsi="Times New Roman"/>
          <w:kern w:val="2"/>
          <w:lang w:bidi="ar"/>
        </w:rPr>
      </w:pPr>
      <w:r>
        <w:rPr>
          <w:rFonts w:ascii="Times New Roman" w:hAnsi="Times New Roman"/>
          <w:b/>
          <w:bCs/>
          <w:kern w:val="2"/>
          <w:lang w:eastAsia="zh" w:bidi="ar"/>
        </w:rPr>
        <w:t xml:space="preserve">4. </w:t>
      </w:r>
      <w:r>
        <w:rPr>
          <w:rFonts w:ascii="Times New Roman" w:hAnsi="Times New Roman"/>
          <w:b/>
          <w:bCs/>
          <w:lang w:bidi="ar"/>
        </w:rPr>
        <w:t xml:space="preserve">Model performance under different feature selection schemes in </w:t>
      </w:r>
      <w:r>
        <w:rPr>
          <w:rFonts w:ascii="Times New Roman" w:hAnsi="Times New Roman"/>
          <w:b/>
          <w:bCs/>
          <w:lang w:eastAsia="zh" w:bidi="ar"/>
        </w:rPr>
        <w:t>prediction clinical cognitive scores for AD and MCI</w:t>
      </w:r>
      <w:r>
        <w:rPr>
          <w:rFonts w:ascii="Times New Roman" w:hAnsi="Times New Roman"/>
          <w:b/>
          <w:bCs/>
          <w:lang w:bidi="ar"/>
        </w:rPr>
        <w:t xml:space="preserve">. </w:t>
      </w:r>
    </w:p>
    <w:p w14:paraId="5E96D49B">
      <w:pPr>
        <w:spacing w:before="156" w:beforeLines="50"/>
        <w:jc w:val="both"/>
        <w:rPr>
          <w:rFonts w:ascii="Times New Roman" w:hAnsi="Times New Roman"/>
          <w:kern w:val="2"/>
          <w:lang w:bidi="ar"/>
        </w:rPr>
      </w:pPr>
      <w:r>
        <w:rPr>
          <w:rFonts w:ascii="Times New Roman" w:hAnsi="Times New Roman"/>
          <w:kern w:val="2"/>
          <w:lang w:bidi="ar"/>
        </w:rPr>
        <w:t xml:space="preserve">HFC </w:t>
      </w:r>
      <w:r>
        <w:rPr>
          <w:rFonts w:ascii="Times New Roman" w:hAnsi="Times New Roman"/>
          <w:kern w:val="2"/>
          <w:lang w:eastAsia="zh" w:bidi="ar"/>
        </w:rPr>
        <w:t xml:space="preserve">showed the potential as a robust neuroimaging biomarker to predict the clinical cognitive scores via leave-one-site-out cross-validation for AD and MCI. </w:t>
      </w:r>
      <w:r>
        <w:rPr>
          <w:rFonts w:ascii="Times New Roman" w:hAnsi="Times New Roman"/>
          <w:kern w:val="2"/>
          <w:lang w:bidi="ar"/>
        </w:rPr>
        <w:t>Specifically, the model utilizing</w:t>
      </w:r>
      <w:r>
        <w:rPr>
          <w:rFonts w:ascii="Times New Roman" w:hAnsi="Times New Roman" w:eastAsia="sans-serif"/>
          <w:color w:val="0F1115"/>
          <w:shd w:val="clear" w:color="auto" w:fill="FFFFFF"/>
        </w:rPr>
        <w:t> </w:t>
      </w:r>
      <w:r>
        <w:rPr>
          <w:rFonts w:ascii="Times New Roman" w:hAnsi="Times New Roman"/>
          <w:kern w:val="2"/>
          <w:lang w:bidi="ar"/>
        </w:rPr>
        <w:t>whole-brain HFC</w:t>
      </w:r>
      <w:r>
        <w:rPr>
          <w:rFonts w:ascii="Times New Roman" w:hAnsi="Times New Roman"/>
          <w:kern w:val="2"/>
          <w:lang w:eastAsia="zh" w:bidi="ar"/>
        </w:rPr>
        <w:t xml:space="preserve"> as </w:t>
      </w:r>
      <w:r>
        <w:rPr>
          <w:rFonts w:ascii="Times New Roman" w:hAnsi="Times New Roman"/>
          <w:kern w:val="2"/>
          <w:lang w:bidi="ar"/>
        </w:rPr>
        <w:t xml:space="preserve">features achieved </w:t>
      </w:r>
      <w:r>
        <w:rPr>
          <w:rFonts w:ascii="Times New Roman" w:hAnsi="Times New Roman"/>
          <w:kern w:val="2"/>
          <w:lang w:eastAsia="zh" w:bidi="ar"/>
        </w:rPr>
        <w:t xml:space="preserve">an average correlation of 0.288 between the </w:t>
      </w:r>
      <w:r>
        <w:rPr>
          <w:rFonts w:ascii="Times New Roman" w:hAnsi="Times New Roman"/>
          <w:kern w:val="2"/>
          <w:lang w:bidi="ar"/>
        </w:rPr>
        <w:t>predicted and actual MMSE scores</w:t>
      </w:r>
      <w:r>
        <w:rPr>
          <w:rFonts w:ascii="Times New Roman" w:hAnsi="Times New Roman"/>
          <w:kern w:val="2"/>
          <w:lang w:eastAsia="zh" w:bidi="ar"/>
        </w:rPr>
        <w:t xml:space="preserve"> via leave-one-site out cross-validation (Fig.</w:t>
      </w:r>
      <w:r>
        <w:rPr>
          <w:rFonts w:ascii="Times New Roman" w:hAnsi="Times New Roman"/>
          <w:kern w:val="2"/>
          <w:lang w:bidi="ar"/>
        </w:rPr>
        <w:t xml:space="preserve"> S</w:t>
      </w:r>
      <w:r>
        <w:rPr>
          <w:rFonts w:ascii="Times New Roman" w:hAnsi="Times New Roman"/>
          <w:kern w:val="2"/>
          <w:lang w:eastAsia="zh" w:bidi="ar"/>
        </w:rPr>
        <w:t xml:space="preserve">8), outperforming the AI of several single-structural metrics including FD (r =0.202), GI (r = 0.147) and SD (r = 0.101). However, HFC showed lower predictive performances compared to GMV (r = 0.435) and CT (r =0.302). </w:t>
      </w:r>
      <w:r>
        <w:rPr>
          <w:rFonts w:ascii="Times New Roman" w:hAnsi="Times New Roman" w:eastAsia="sans-serif"/>
          <w:color w:val="0F1115"/>
          <w:shd w:val="clear" w:color="auto" w:fill="FFFFFF"/>
        </w:rPr>
        <w:t>Notably, the predictive performance remained stable when using only regions showing significant HFC alterations in AD</w:t>
      </w:r>
      <w:r>
        <w:rPr>
          <w:rFonts w:ascii="Times New Roman" w:hAnsi="Times New Roman" w:eastAsia="sans-serif"/>
          <w:color w:val="0F1115"/>
          <w:shd w:val="clear" w:color="auto" w:fill="FFFFFF"/>
          <w:lang w:eastAsia="zh"/>
        </w:rPr>
        <w:t xml:space="preserve"> or MCI</w:t>
      </w:r>
      <w:r>
        <w:rPr>
          <w:rFonts w:ascii="Times New Roman" w:hAnsi="Times New Roman" w:eastAsia="sans-serif"/>
          <w:color w:val="0F1115"/>
          <w:shd w:val="clear" w:color="auto" w:fill="FFFFFF"/>
        </w:rPr>
        <w:t>. The correlation only marginally decreased when restricting features to FDR-corrected significant regions (r = 0.233) or uncorrected significant regions (r = 0.241), indicating the robustness of HFC features.</w:t>
      </w:r>
    </w:p>
    <w:p w14:paraId="5B67306C">
      <w:pPr>
        <w:spacing w:before="156" w:beforeLines="50"/>
        <w:jc w:val="both"/>
        <w:rPr>
          <w:rFonts w:ascii="Times New Roman" w:hAnsi="Times New Roman"/>
          <w:kern w:val="2"/>
          <w:highlight w:val="lightGray"/>
          <w:lang w:bidi="ar"/>
        </w:rPr>
      </w:pPr>
      <w:r>
        <w:rPr>
          <w:rFonts w:ascii="Times New Roman" w:hAnsi="Times New Roman"/>
          <w:kern w:val="2"/>
          <w:lang w:bidi="ar"/>
        </w:rPr>
        <w:t>Consistent with th</w:t>
      </w:r>
      <w:r>
        <w:rPr>
          <w:rFonts w:ascii="Times New Roman" w:hAnsi="Times New Roman"/>
          <w:kern w:val="2"/>
          <w:lang w:eastAsia="zh" w:bidi="ar"/>
        </w:rPr>
        <w:t>e classification task</w:t>
      </w:r>
      <w:r>
        <w:rPr>
          <w:rFonts w:ascii="Times New Roman" w:hAnsi="Times New Roman"/>
          <w:kern w:val="2"/>
          <w:lang w:bidi="ar"/>
        </w:rPr>
        <w:t xml:space="preserve">, the integration of HFC with structural metrics through multi-modal fusion led to </w:t>
      </w:r>
      <w:r>
        <w:rPr>
          <w:rFonts w:hint="eastAsia" w:ascii="Times New Roman" w:hAnsi="Times New Roman"/>
          <w:kern w:val="2"/>
          <w:lang w:bidi="ar"/>
        </w:rPr>
        <w:t>improved predictive performance for MMSE scores</w:t>
      </w:r>
      <w:r>
        <w:rPr>
          <w:rFonts w:ascii="Times New Roman" w:hAnsi="Times New Roman"/>
          <w:kern w:val="2"/>
          <w:lang w:bidi="ar"/>
        </w:rPr>
        <w:t>. Specifically</w:t>
      </w:r>
      <w:r>
        <w:rPr>
          <w:rFonts w:ascii="Times New Roman" w:hAnsi="Times New Roman"/>
          <w:kern w:val="2"/>
          <w:lang w:eastAsia="zh" w:bidi="ar"/>
        </w:rPr>
        <w:t>, t</w:t>
      </w:r>
      <w:r>
        <w:rPr>
          <w:rFonts w:ascii="Times New Roman" w:hAnsi="Times New Roman"/>
          <w:kern w:val="2"/>
          <w:lang w:bidi="ar"/>
        </w:rPr>
        <w:t xml:space="preserve">he </w:t>
      </w:r>
      <w:r>
        <w:rPr>
          <w:rFonts w:ascii="Times New Roman" w:hAnsi="Times New Roman"/>
          <w:kern w:val="2"/>
          <w:lang w:eastAsia="zh" w:bidi="ar"/>
        </w:rPr>
        <w:t xml:space="preserve">fusion of </w:t>
      </w:r>
      <w:r>
        <w:rPr>
          <w:rFonts w:ascii="Times New Roman" w:hAnsi="Times New Roman"/>
          <w:kern w:val="2"/>
          <w:lang w:bidi="ar"/>
        </w:rPr>
        <w:t>HFC</w:t>
      </w:r>
      <w:r>
        <w:rPr>
          <w:rFonts w:ascii="Times New Roman" w:hAnsi="Times New Roman"/>
          <w:kern w:val="2"/>
          <w:lang w:eastAsia="zh" w:bidi="ar"/>
        </w:rPr>
        <w:t xml:space="preserve"> with GMV</w:t>
      </w:r>
      <w:r>
        <w:rPr>
          <w:rFonts w:ascii="Times New Roman" w:hAnsi="Times New Roman"/>
          <w:kern w:val="2"/>
          <w:lang w:bidi="ar"/>
        </w:rPr>
        <w:t xml:space="preserve"> model achieved the highest performance</w:t>
      </w:r>
      <w:r>
        <w:rPr>
          <w:rFonts w:ascii="Times New Roman" w:hAnsi="Times New Roman"/>
          <w:kern w:val="2"/>
          <w:lang w:eastAsia="zh" w:bidi="ar"/>
        </w:rPr>
        <w:t xml:space="preserve"> </w:t>
      </w:r>
      <w:r>
        <w:rPr>
          <w:rFonts w:ascii="Times New Roman" w:hAnsi="Times New Roman"/>
          <w:kern w:val="2"/>
          <w:lang w:bidi="ar"/>
        </w:rPr>
        <w:t>(r = 0.492, MAE = 4.618, RMSE = 5.678)</w:t>
      </w:r>
      <w:r>
        <w:rPr>
          <w:rFonts w:ascii="Times New Roman" w:hAnsi="Times New Roman"/>
          <w:kern w:val="2"/>
          <w:lang w:eastAsia="zh" w:bidi="ar"/>
        </w:rPr>
        <w:t xml:space="preserve">, while the union of </w:t>
      </w:r>
      <w:r>
        <w:rPr>
          <w:rFonts w:ascii="Times New Roman" w:hAnsi="Times New Roman"/>
          <w:kern w:val="2"/>
          <w:lang w:bidi="ar"/>
        </w:rPr>
        <w:t>HFC</w:t>
      </w:r>
      <w:r>
        <w:rPr>
          <w:rFonts w:ascii="Times New Roman" w:hAnsi="Times New Roman"/>
          <w:kern w:val="2"/>
          <w:lang w:eastAsia="zh" w:bidi="ar"/>
        </w:rPr>
        <w:t xml:space="preserve"> with CT </w:t>
      </w:r>
      <w:r>
        <w:rPr>
          <w:rFonts w:ascii="Times New Roman" w:hAnsi="Times New Roman"/>
          <w:kern w:val="2"/>
          <w:lang w:bidi="ar"/>
        </w:rPr>
        <w:t>also showed noticeable improvement</w:t>
      </w:r>
      <w:r>
        <w:rPr>
          <w:rFonts w:ascii="Times New Roman" w:hAnsi="Times New Roman"/>
          <w:kern w:val="2"/>
          <w:lang w:eastAsia="zh" w:bidi="ar"/>
        </w:rPr>
        <w:t xml:space="preserve"> </w:t>
      </w:r>
      <w:r>
        <w:rPr>
          <w:rFonts w:ascii="Times New Roman" w:hAnsi="Times New Roman"/>
          <w:kern w:val="2"/>
          <w:lang w:bidi="ar"/>
        </w:rPr>
        <w:t>(r = 0.398, MAE = 4.897, RMSE = 6.049)</w:t>
      </w:r>
      <w:r>
        <w:rPr>
          <w:rFonts w:ascii="Times New Roman" w:hAnsi="Times New Roman"/>
          <w:kern w:val="2"/>
          <w:lang w:eastAsia="zh" w:bidi="ar"/>
        </w:rPr>
        <w:t xml:space="preserve">. </w:t>
      </w:r>
      <w:r>
        <w:rPr>
          <w:rFonts w:ascii="Times New Roman" w:hAnsi="Times New Roman"/>
          <w:kern w:val="2"/>
          <w:lang w:bidi="ar"/>
        </w:rPr>
        <w:t>For the structurally weaker metrics FD, GI, and SD, the incorporation of HFC features resulted in substantial performance gains, with correlation increases of approximately 0.1, confirming the complementary value of HFC in multi-modal frameworks.</w:t>
      </w:r>
      <w:r>
        <w:rPr>
          <w:rFonts w:ascii="Times New Roman" w:hAnsi="Times New Roman"/>
          <w:kern w:val="2"/>
          <w:lang w:eastAsia="zh" w:bidi="ar"/>
        </w:rPr>
        <w:t xml:space="preserve"> </w:t>
      </w:r>
      <w:r>
        <w:rPr>
          <w:rFonts w:ascii="Times New Roman" w:hAnsi="Times New Roman"/>
          <w:kern w:val="2"/>
          <w:lang w:bidi="ar"/>
        </w:rPr>
        <w:t>The site-specific performance variations and detailed evaluation metrics for each site are provided in Table S13, with corresponding visualization in Fig. S8.</w:t>
      </w:r>
    </w:p>
    <w:p w14:paraId="20B99194">
      <w:pPr>
        <w:rPr>
          <w:rFonts w:ascii="Times New Roman" w:hAnsi="Times New Roman"/>
          <w:b/>
          <w:bCs/>
          <w:lang w:eastAsia="zh" w:bidi="ar"/>
        </w:rPr>
      </w:pPr>
    </w:p>
    <w:p w14:paraId="0A12954A">
      <w:pPr>
        <w:rPr>
          <w:rStyle w:val="34"/>
          <w:rFonts w:ascii="Times New Roman" w:hAnsi="Times New Roman"/>
          <w:b/>
          <w:bCs/>
          <w:sz w:val="32"/>
          <w:szCs w:val="36"/>
        </w:rPr>
        <w:sectPr>
          <w:pgSz w:w="16840" w:h="23820"/>
          <w:pgMar w:top="1440" w:right="1800" w:bottom="1440" w:left="1800" w:header="851" w:footer="992" w:gutter="0"/>
          <w:cols w:space="425" w:num="1"/>
          <w:docGrid w:type="lines" w:linePitch="312" w:charSpace="0"/>
        </w:sectPr>
      </w:pPr>
    </w:p>
    <w:p w14:paraId="05F5E60B">
      <w:pPr>
        <w:rPr>
          <w:rStyle w:val="34"/>
          <w:rFonts w:ascii="Times New Roman" w:hAnsi="Times New Roman"/>
          <w:b/>
          <w:bCs/>
          <w:sz w:val="32"/>
          <w:szCs w:val="36"/>
        </w:rPr>
      </w:pPr>
      <w:r>
        <w:rPr>
          <w:rStyle w:val="34"/>
          <w:rFonts w:ascii="Times New Roman" w:hAnsi="Times New Roman"/>
          <w:b/>
          <w:bCs/>
          <w:sz w:val="32"/>
          <w:szCs w:val="36"/>
        </w:rPr>
        <w:t>Supplementary Figures</w:t>
      </w:r>
    </w:p>
    <w:p w14:paraId="4586E347">
      <w:pPr>
        <w:rPr>
          <w:rStyle w:val="34"/>
          <w:rFonts w:ascii="Times New Roman" w:hAnsi="Times New Roman"/>
          <w:b/>
          <w:bCs/>
          <w:sz w:val="28"/>
          <w:szCs w:val="28"/>
        </w:rPr>
      </w:pPr>
      <w:r>
        <w:rPr>
          <w:rStyle w:val="34"/>
          <w:rFonts w:ascii="Times New Roman" w:hAnsi="Times New Roman"/>
          <w:b/>
          <w:bCs/>
        </w:rPr>
        <w:t xml:space="preserve"> </w:t>
      </w:r>
      <w:r>
        <w:rPr>
          <w:rStyle w:val="34"/>
          <w:rFonts w:ascii="Times New Roman" w:hAnsi="Times New Roman"/>
          <w:b/>
          <w:bCs/>
          <w:sz w:val="28"/>
          <w:szCs w:val="28"/>
        </w:rPr>
        <w:drawing>
          <wp:inline distT="0" distB="0" distL="114300" distR="114300">
            <wp:extent cx="7562215" cy="5041265"/>
            <wp:effectExtent l="0" t="0" r="635" b="6985"/>
            <wp:docPr id="9" name="图片 9" descr="GMV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GMV_画板 1"/>
                    <pic:cNvPicPr>
                      <a:picLocks noChangeAspect="1"/>
                    </pic:cNvPicPr>
                  </pic:nvPicPr>
                  <pic:blipFill>
                    <a:blip r:embed="rId6"/>
                    <a:stretch>
                      <a:fillRect/>
                    </a:stretch>
                  </pic:blipFill>
                  <pic:spPr>
                    <a:xfrm>
                      <a:off x="0" y="0"/>
                      <a:ext cx="7562215" cy="5041265"/>
                    </a:xfrm>
                    <a:prstGeom prst="rect">
                      <a:avLst/>
                    </a:prstGeom>
                  </pic:spPr>
                </pic:pic>
              </a:graphicData>
            </a:graphic>
          </wp:inline>
        </w:drawing>
      </w:r>
    </w:p>
    <w:p w14:paraId="62C9E5DF">
      <w:pPr>
        <w:jc w:val="both"/>
        <w:rPr>
          <w:rStyle w:val="34"/>
          <w:rFonts w:ascii="Times New Roman" w:hAnsi="Times New Roman"/>
          <w:b/>
          <w:bCs/>
        </w:rPr>
      </w:pPr>
      <w:r>
        <w:rPr>
          <w:rFonts w:ascii="Times New Roman" w:hAnsi="Times New Roman"/>
          <w:b/>
          <w:bCs/>
          <w:kern w:val="2"/>
          <w:lang w:bidi="ar"/>
        </w:rPr>
        <w:t>Fig. S</w:t>
      </w:r>
      <w:r>
        <w:rPr>
          <w:rStyle w:val="34"/>
          <w:rFonts w:ascii="Times New Roman" w:hAnsi="Times New Roman"/>
          <w:b/>
          <w:bCs/>
          <w:lang w:eastAsia="zh"/>
        </w:rPr>
        <w:t>1</w:t>
      </w:r>
      <w:r>
        <w:rPr>
          <w:rStyle w:val="34"/>
          <w:rFonts w:ascii="Times New Roman" w:hAnsi="Times New Roman"/>
          <w:b/>
          <w:bCs/>
        </w:rPr>
        <w:t>. Original asymmetry index and b</w:t>
      </w:r>
      <w:r>
        <w:rPr>
          <w:rFonts w:ascii="Times New Roman" w:hAnsi="Times New Roman"/>
          <w:b/>
          <w:bCs/>
          <w:lang w:bidi="ar"/>
        </w:rPr>
        <w:t>rain regions of group difference with significant lateralization in GMV</w:t>
      </w:r>
      <w:r>
        <w:rPr>
          <w:rStyle w:val="34"/>
          <w:rFonts w:ascii="Times New Roman" w:hAnsi="Times New Roman"/>
          <w:b/>
          <w:bCs/>
        </w:rPr>
        <w:t xml:space="preserve">. </w:t>
      </w:r>
      <w:r>
        <w:rPr>
          <w:rStyle w:val="34"/>
          <w:rFonts w:ascii="Times New Roman" w:hAnsi="Times New Roman"/>
        </w:rPr>
        <w:t>(a) AI of GMV among AD, MCI and NC. The results are projected onto homologous region pairs in a hemispheric view (left hemisphere illustrated as an example). Values on brain regions represent AI of GMV for each group. Larger AI reflecting greater leftward with warmer color. (b) The significant effect brain map of group difference in AD and NC with all brains, significant brains (p &lt; 0.05) and significant brains after FDR correction (p-FDR &lt; 0.05). (c) The significant effect brain map of group difference in AD and MCI with all brains, significant brains (p &lt; 0.05) and significant brains after FDR correction (p-FDR &lt; 0.05). (d) The significant effect brain map of group difference in MCI and NC with all brains, significant brains (p &lt; 0.05) and significant brains after FDR correction (p-FDR &lt; 0.05). Regions with statistically significant difference are highlighted, while gray areas denote non-significant regions. The color bar denotes positive Cohen’s d effect size (warm tones: AD exhibits leftward AI) and negative Cohen’s d effect size (cool tones: AD exhibits rightward AI).</w:t>
      </w:r>
    </w:p>
    <w:p w14:paraId="768475FF">
      <w:pPr>
        <w:rPr>
          <w:rStyle w:val="34"/>
          <w:rFonts w:ascii="Times New Roman" w:hAnsi="Times New Roman"/>
          <w:b/>
          <w:bCs/>
        </w:rPr>
      </w:pPr>
    </w:p>
    <w:p w14:paraId="52AFBD9C">
      <w:pPr>
        <w:rPr>
          <w:rStyle w:val="34"/>
          <w:rFonts w:ascii="Times New Roman" w:hAnsi="Times New Roman"/>
          <w:b/>
          <w:bCs/>
        </w:rPr>
      </w:pPr>
    </w:p>
    <w:p w14:paraId="3B09DAD2">
      <w:pPr>
        <w:rPr>
          <w:rStyle w:val="34"/>
          <w:rFonts w:ascii="Times New Roman" w:hAnsi="Times New Roman"/>
          <w:b/>
          <w:bCs/>
        </w:rPr>
      </w:pPr>
    </w:p>
    <w:p w14:paraId="041C7944">
      <w:pPr>
        <w:rPr>
          <w:rStyle w:val="34"/>
          <w:rFonts w:ascii="Times New Roman" w:hAnsi="Times New Roman"/>
          <w:b/>
          <w:bCs/>
        </w:rPr>
      </w:pPr>
    </w:p>
    <w:p w14:paraId="5364EA69">
      <w:pPr>
        <w:rPr>
          <w:rStyle w:val="34"/>
          <w:rFonts w:ascii="Times New Roman" w:hAnsi="Times New Roman"/>
          <w:b/>
          <w:bCs/>
        </w:rPr>
      </w:pPr>
    </w:p>
    <w:p w14:paraId="6181ADA3">
      <w:pPr>
        <w:rPr>
          <w:rStyle w:val="34"/>
          <w:rFonts w:ascii="Times New Roman" w:hAnsi="Times New Roman"/>
          <w:b/>
          <w:bCs/>
          <w:sz w:val="28"/>
          <w:szCs w:val="28"/>
        </w:rPr>
      </w:pPr>
      <w:r>
        <w:rPr>
          <w:rStyle w:val="34"/>
          <w:rFonts w:ascii="Times New Roman" w:hAnsi="Times New Roman"/>
          <w:b/>
          <w:bCs/>
          <w:sz w:val="28"/>
          <w:szCs w:val="28"/>
        </w:rPr>
        <w:drawing>
          <wp:inline distT="0" distB="0" distL="114300" distR="114300">
            <wp:extent cx="7562215" cy="5041265"/>
            <wp:effectExtent l="0" t="0" r="635" b="6985"/>
            <wp:docPr id="8" name="图片 8" descr="FD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D_画板 1"/>
                    <pic:cNvPicPr>
                      <a:picLocks noChangeAspect="1"/>
                    </pic:cNvPicPr>
                  </pic:nvPicPr>
                  <pic:blipFill>
                    <a:blip r:embed="rId7"/>
                    <a:stretch>
                      <a:fillRect/>
                    </a:stretch>
                  </pic:blipFill>
                  <pic:spPr>
                    <a:xfrm>
                      <a:off x="0" y="0"/>
                      <a:ext cx="7562215" cy="5041265"/>
                    </a:xfrm>
                    <a:prstGeom prst="rect">
                      <a:avLst/>
                    </a:prstGeom>
                  </pic:spPr>
                </pic:pic>
              </a:graphicData>
            </a:graphic>
          </wp:inline>
        </w:drawing>
      </w:r>
    </w:p>
    <w:p w14:paraId="46EF2AD8">
      <w:pPr>
        <w:jc w:val="both"/>
        <w:rPr>
          <w:rStyle w:val="34"/>
          <w:rFonts w:ascii="Times New Roman" w:hAnsi="Times New Roman"/>
          <w:b/>
          <w:bCs/>
          <w:sz w:val="28"/>
          <w:szCs w:val="28"/>
        </w:rPr>
      </w:pPr>
      <w:r>
        <w:rPr>
          <w:rFonts w:ascii="Times New Roman" w:hAnsi="Times New Roman"/>
          <w:b/>
          <w:bCs/>
          <w:kern w:val="2"/>
          <w:lang w:bidi="ar"/>
        </w:rPr>
        <w:t>Fig. S</w:t>
      </w:r>
      <w:r>
        <w:rPr>
          <w:rStyle w:val="34"/>
          <w:rFonts w:ascii="Times New Roman" w:hAnsi="Times New Roman"/>
          <w:b/>
          <w:bCs/>
          <w:lang w:eastAsia="zh"/>
        </w:rPr>
        <w:t>2</w:t>
      </w:r>
      <w:r>
        <w:rPr>
          <w:rStyle w:val="34"/>
          <w:rFonts w:ascii="Times New Roman" w:hAnsi="Times New Roman"/>
          <w:b/>
          <w:bCs/>
        </w:rPr>
        <w:t>. Original asymmetry index and b</w:t>
      </w:r>
      <w:r>
        <w:rPr>
          <w:rFonts w:ascii="Times New Roman" w:hAnsi="Times New Roman"/>
          <w:b/>
          <w:bCs/>
          <w:lang w:bidi="ar"/>
        </w:rPr>
        <w:t>rain regions of group difference with significant lateralization in FD</w:t>
      </w:r>
      <w:r>
        <w:rPr>
          <w:rStyle w:val="34"/>
          <w:rFonts w:ascii="Times New Roman" w:hAnsi="Times New Roman"/>
          <w:b/>
          <w:bCs/>
        </w:rPr>
        <w:t xml:space="preserve">. </w:t>
      </w:r>
      <w:r>
        <w:rPr>
          <w:rStyle w:val="34"/>
          <w:rFonts w:ascii="Times New Roman" w:hAnsi="Times New Roman"/>
        </w:rPr>
        <w:t>(a) AI of FD among AD, MCI and NC. The results are projected onto homologous region pairs in a hemispheric view (left hemisphere illustrated as an example). Values on brain regions represent AI of FD for each group. Larger AI reflecting greater leftward with warmer color. (b) The significant effect brain map of group difference in AD and NC with all brains, significant brains (p &lt; 0.05) and significant brains after FDR correction (p-FDR &lt; 0.05). (c) The significant effect brain map of group difference in AD and MCI with all brains, significant brains (p &lt; 0.05) and significant brains after FDR correction (p-FDR &lt; 0.05). (d) The significant effect brain map of group difference in MCI and NC with all brains, significant brains (p &lt; 0.05) and significant brains after FDR correction (p-FDR &lt; 0.05). Regions with statistically significant difference are highlighted, while gray areas denote non-significant regions. The color bar denotes positive Cohen’s d effect size (warm tones: AD exhibits leftward AI) and negative Cohen’s d effect size (cool tones: AD exhibits rightward AI).</w:t>
      </w:r>
    </w:p>
    <w:p w14:paraId="604B7822">
      <w:pPr>
        <w:rPr>
          <w:rStyle w:val="34"/>
          <w:rFonts w:ascii="Times New Roman" w:hAnsi="Times New Roman"/>
          <w:b/>
          <w:bCs/>
        </w:rPr>
      </w:pPr>
    </w:p>
    <w:p w14:paraId="4A4C9E1F">
      <w:pPr>
        <w:rPr>
          <w:rStyle w:val="34"/>
          <w:rFonts w:ascii="Times New Roman" w:hAnsi="Times New Roman"/>
          <w:b/>
          <w:bCs/>
          <w:sz w:val="28"/>
          <w:szCs w:val="28"/>
        </w:rPr>
      </w:pPr>
      <w:r>
        <w:rPr>
          <w:rStyle w:val="34"/>
          <w:rFonts w:ascii="Times New Roman" w:hAnsi="Times New Roman"/>
          <w:b/>
          <w:bCs/>
          <w:sz w:val="28"/>
          <w:szCs w:val="28"/>
        </w:rPr>
        <w:drawing>
          <wp:inline distT="0" distB="0" distL="114300" distR="114300">
            <wp:extent cx="7562215" cy="5041265"/>
            <wp:effectExtent l="0" t="0" r="635" b="6985"/>
            <wp:docPr id="7" name="图片 7" descr="CT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T_画板 1"/>
                    <pic:cNvPicPr>
                      <a:picLocks noChangeAspect="1"/>
                    </pic:cNvPicPr>
                  </pic:nvPicPr>
                  <pic:blipFill>
                    <a:blip r:embed="rId8"/>
                    <a:stretch>
                      <a:fillRect/>
                    </a:stretch>
                  </pic:blipFill>
                  <pic:spPr>
                    <a:xfrm>
                      <a:off x="0" y="0"/>
                      <a:ext cx="7562215" cy="5041265"/>
                    </a:xfrm>
                    <a:prstGeom prst="rect">
                      <a:avLst/>
                    </a:prstGeom>
                  </pic:spPr>
                </pic:pic>
              </a:graphicData>
            </a:graphic>
          </wp:inline>
        </w:drawing>
      </w:r>
    </w:p>
    <w:p w14:paraId="785AE912">
      <w:pPr>
        <w:jc w:val="both"/>
        <w:rPr>
          <w:rStyle w:val="34"/>
          <w:rFonts w:ascii="Times New Roman" w:hAnsi="Times New Roman"/>
          <w:b/>
          <w:bCs/>
          <w:sz w:val="28"/>
          <w:szCs w:val="28"/>
        </w:rPr>
      </w:pPr>
      <w:r>
        <w:rPr>
          <w:rFonts w:ascii="Times New Roman" w:hAnsi="Times New Roman"/>
          <w:b/>
          <w:bCs/>
          <w:kern w:val="2"/>
          <w:lang w:bidi="ar"/>
        </w:rPr>
        <w:t>Fig. S</w:t>
      </w:r>
      <w:r>
        <w:rPr>
          <w:rStyle w:val="34"/>
          <w:rFonts w:ascii="Times New Roman" w:hAnsi="Times New Roman"/>
          <w:b/>
          <w:bCs/>
        </w:rPr>
        <w:t>3. Original asymmetry index and b</w:t>
      </w:r>
      <w:r>
        <w:rPr>
          <w:rFonts w:ascii="Times New Roman" w:hAnsi="Times New Roman"/>
          <w:b/>
          <w:bCs/>
          <w:lang w:bidi="ar"/>
        </w:rPr>
        <w:t>rain regions of group difference with significant lateralization in CT</w:t>
      </w:r>
      <w:r>
        <w:rPr>
          <w:rStyle w:val="34"/>
          <w:rFonts w:ascii="Times New Roman" w:hAnsi="Times New Roman"/>
          <w:b/>
          <w:bCs/>
        </w:rPr>
        <w:t xml:space="preserve">. </w:t>
      </w:r>
      <w:r>
        <w:rPr>
          <w:rStyle w:val="34"/>
          <w:rFonts w:ascii="Times New Roman" w:hAnsi="Times New Roman"/>
        </w:rPr>
        <w:t>(a) AI of CT among AD, MCI and NC. The results are projected onto homologous region pairs in a hemispheric view (left hemisphere illustrated as an example). Values on brain regions represent AI of CT for each group. Larger AI reflecting greater leftward with warmer color. (b) The significant effect brain map of group difference in AD and NC with all brains, significant brains (p &lt; 0.05) and significant brains after FDR correction (p-FDR &lt; 0.05). (c) The significant effect brain map of group difference in AD and MCI with all brains, significant brains (p &lt; 0.05) and significant brains after FDR correction (p-FDR &lt; 0.05). (d) The significant effect brain map of group difference in MCI and NC with all brains, significant brains (p &lt; 0.05) and significant brains after FDR correction (p-FDR &lt; 0.05). Regions with statistically significant difference are highlighted, while gray areas denote non-significant regions. The color bar denotes positive Cohen’s d effect size (warm tones: AD exhibits leftward AI) and negative Cohen’s d effect size (cool tones: AD exhibits rightward AI).</w:t>
      </w:r>
    </w:p>
    <w:p w14:paraId="52AC4143">
      <w:pPr>
        <w:rPr>
          <w:rStyle w:val="34"/>
          <w:rFonts w:ascii="Times New Roman" w:hAnsi="Times New Roman"/>
          <w:b/>
          <w:bCs/>
        </w:rPr>
      </w:pPr>
    </w:p>
    <w:p w14:paraId="35508C92">
      <w:pPr>
        <w:rPr>
          <w:rStyle w:val="34"/>
          <w:rFonts w:ascii="Times New Roman" w:hAnsi="Times New Roman"/>
          <w:b/>
          <w:bCs/>
          <w:sz w:val="28"/>
          <w:szCs w:val="28"/>
        </w:rPr>
      </w:pPr>
      <w:r>
        <w:rPr>
          <w:rStyle w:val="34"/>
          <w:rFonts w:ascii="Times New Roman" w:hAnsi="Times New Roman"/>
          <w:b/>
          <w:bCs/>
          <w:sz w:val="28"/>
          <w:szCs w:val="28"/>
        </w:rPr>
        <w:drawing>
          <wp:inline distT="0" distB="0" distL="114300" distR="114300">
            <wp:extent cx="7102475" cy="4734560"/>
            <wp:effectExtent l="0" t="0" r="3175" b="8890"/>
            <wp:docPr id="6" name="图片 6" descr="GI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GI_画板 1"/>
                    <pic:cNvPicPr>
                      <a:picLocks noChangeAspect="1"/>
                    </pic:cNvPicPr>
                  </pic:nvPicPr>
                  <pic:blipFill>
                    <a:blip r:embed="rId9"/>
                    <a:stretch>
                      <a:fillRect/>
                    </a:stretch>
                  </pic:blipFill>
                  <pic:spPr>
                    <a:xfrm>
                      <a:off x="0" y="0"/>
                      <a:ext cx="7102475" cy="4734560"/>
                    </a:xfrm>
                    <a:prstGeom prst="rect">
                      <a:avLst/>
                    </a:prstGeom>
                  </pic:spPr>
                </pic:pic>
              </a:graphicData>
            </a:graphic>
          </wp:inline>
        </w:drawing>
      </w:r>
    </w:p>
    <w:p w14:paraId="6E2D7FB9">
      <w:pPr>
        <w:jc w:val="both"/>
        <w:rPr>
          <w:rStyle w:val="34"/>
          <w:rFonts w:ascii="Times New Roman" w:hAnsi="Times New Roman"/>
          <w:b/>
          <w:bCs/>
          <w:sz w:val="32"/>
          <w:szCs w:val="36"/>
        </w:rPr>
      </w:pPr>
      <w:r>
        <w:rPr>
          <w:rFonts w:ascii="Times New Roman" w:hAnsi="Times New Roman"/>
          <w:b/>
          <w:bCs/>
          <w:kern w:val="2"/>
          <w:lang w:bidi="ar"/>
        </w:rPr>
        <w:t>Fig. S</w:t>
      </w:r>
      <w:r>
        <w:rPr>
          <w:rStyle w:val="34"/>
          <w:rFonts w:ascii="Times New Roman" w:hAnsi="Times New Roman"/>
          <w:b/>
          <w:bCs/>
          <w:lang w:eastAsia="zh"/>
        </w:rPr>
        <w:t>4</w:t>
      </w:r>
      <w:r>
        <w:rPr>
          <w:rStyle w:val="34"/>
          <w:rFonts w:ascii="Times New Roman" w:hAnsi="Times New Roman"/>
          <w:b/>
          <w:bCs/>
        </w:rPr>
        <w:t>. Original asymmetry index and b</w:t>
      </w:r>
      <w:r>
        <w:rPr>
          <w:rFonts w:ascii="Times New Roman" w:hAnsi="Times New Roman"/>
          <w:b/>
          <w:bCs/>
          <w:lang w:bidi="ar"/>
        </w:rPr>
        <w:t>rain regions of group difference with significant lateralization in GI</w:t>
      </w:r>
      <w:r>
        <w:rPr>
          <w:rStyle w:val="34"/>
          <w:rFonts w:ascii="Times New Roman" w:hAnsi="Times New Roman"/>
          <w:b/>
          <w:bCs/>
        </w:rPr>
        <w:t xml:space="preserve">. </w:t>
      </w:r>
      <w:r>
        <w:rPr>
          <w:rStyle w:val="34"/>
          <w:rFonts w:ascii="Times New Roman" w:hAnsi="Times New Roman"/>
        </w:rPr>
        <w:t>(a) AI of GI among AD, MCI and NC. The results are projected onto homologous region pairs in a hemispheric view (left hemisphere illustrated as an example). Values on brain regions represent AI of GI for each group. Larger AI reflecting greater leftward with warmer color. (b) The significant effect brain map of group difference in AD and NC with all brains, significant brains (p &lt; 0.05) and significant brains after FDR correction (p-FDR &lt; 0.05). (c) The significant effect brain map of group difference in AD and MCI with all brains, significant brains (p &lt; 0.05) and significant brains after FDR correction (p-FDR &lt; 0.05). (d) The significant effect brain map of group difference in MCI and NC with all brains, significant brains (p &lt; 0.05) and significant brains after FDR correction (p-FDR &lt; 0.05). Regions with statistically significant difference are highlighted, while gray areas denote non-significant regions. The color bar denotes positive Cohen’s d effect size (warm tones: AD exhibits leftward AI) and negative Cohen’s d effect size (cool tones: AD exhibits rightward AI).</w:t>
      </w:r>
    </w:p>
    <w:p w14:paraId="6289CF5F">
      <w:pPr>
        <w:rPr>
          <w:rStyle w:val="34"/>
          <w:rFonts w:ascii="Times New Roman" w:hAnsi="Times New Roman"/>
        </w:rPr>
      </w:pPr>
      <w:r>
        <w:rPr>
          <w:rStyle w:val="34"/>
          <w:rFonts w:ascii="Times New Roman" w:hAnsi="Times New Roman"/>
        </w:rPr>
        <w:drawing>
          <wp:inline distT="0" distB="0" distL="114300" distR="114300">
            <wp:extent cx="7562215" cy="5041265"/>
            <wp:effectExtent l="0" t="0" r="635" b="6985"/>
            <wp:docPr id="4" name="图片 4" descr="SD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D_画板 1"/>
                    <pic:cNvPicPr>
                      <a:picLocks noChangeAspect="1"/>
                    </pic:cNvPicPr>
                  </pic:nvPicPr>
                  <pic:blipFill>
                    <a:blip r:embed="rId10"/>
                    <a:stretch>
                      <a:fillRect/>
                    </a:stretch>
                  </pic:blipFill>
                  <pic:spPr>
                    <a:xfrm>
                      <a:off x="0" y="0"/>
                      <a:ext cx="7562215" cy="5041265"/>
                    </a:xfrm>
                    <a:prstGeom prst="rect">
                      <a:avLst/>
                    </a:prstGeom>
                  </pic:spPr>
                </pic:pic>
              </a:graphicData>
            </a:graphic>
          </wp:inline>
        </w:drawing>
      </w:r>
    </w:p>
    <w:p w14:paraId="5BE55065">
      <w:pPr>
        <w:widowControl w:val="0"/>
        <w:jc w:val="both"/>
        <w:rPr>
          <w:rStyle w:val="34"/>
          <w:rFonts w:ascii="Times New Roman" w:hAnsi="Times New Roman"/>
        </w:rPr>
      </w:pPr>
      <w:r>
        <w:rPr>
          <w:rFonts w:ascii="Times New Roman" w:hAnsi="Times New Roman"/>
          <w:b/>
          <w:bCs/>
          <w:kern w:val="2"/>
          <w:lang w:bidi="ar"/>
        </w:rPr>
        <w:t>Fig. S</w:t>
      </w:r>
      <w:r>
        <w:rPr>
          <w:rFonts w:ascii="Times New Roman" w:hAnsi="Times New Roman"/>
          <w:b/>
          <w:bCs/>
          <w:kern w:val="2"/>
          <w:lang w:eastAsia="zh" w:bidi="ar"/>
        </w:rPr>
        <w:t>5</w:t>
      </w:r>
      <w:r>
        <w:rPr>
          <w:rStyle w:val="34"/>
          <w:rFonts w:ascii="Times New Roman" w:hAnsi="Times New Roman"/>
          <w:b/>
          <w:bCs/>
        </w:rPr>
        <w:t>. Original asymmetry index and b</w:t>
      </w:r>
      <w:r>
        <w:rPr>
          <w:rFonts w:ascii="Times New Roman" w:hAnsi="Times New Roman"/>
          <w:b/>
          <w:bCs/>
          <w:lang w:bidi="ar"/>
        </w:rPr>
        <w:t>rain regions of group difference with significant lateralization in SD</w:t>
      </w:r>
      <w:r>
        <w:rPr>
          <w:rStyle w:val="34"/>
          <w:rFonts w:ascii="Times New Roman" w:hAnsi="Times New Roman"/>
          <w:b/>
          <w:bCs/>
        </w:rPr>
        <w:t xml:space="preserve">. </w:t>
      </w:r>
      <w:r>
        <w:rPr>
          <w:rStyle w:val="34"/>
          <w:rFonts w:ascii="Times New Roman" w:hAnsi="Times New Roman"/>
        </w:rPr>
        <w:t>(a) AI of SD among AD, MCI and NC. The results are projected onto homologous region pairs in a hemispheric view (left hemisphere illustrated as an example). Values on brain regions represent AI of SD for each group. Larger AI reflecting greater leftward with warmer color. (b) The significant effect brain map of group difference in AD and NC with all brains, significant brains (p &lt; 0.05) and significant brains after FDR correction (p-FDR &lt; 0.05). (c) The significant effect brain map of group difference in AD and MCI with all brains, significant brains (p &lt; 0.05) and significant brains after FDR correction (p-FDR &lt; 0.05). (d) The significant effect brain map of group difference in MCI and NC with all brains, significant brains (p &lt; 0.05) and significant brains after FDR correction (p-FDR &lt; 0.05). Regions with statistically significant difference are highlighted, while gray areas denote non-significant regions. The color bar denotes positive Cohen’s d effect size (warm tones: AD exhibits leftward AI) and negative Cohen’s d effect size (cool tones: AD exhibits rightward AI).</w:t>
      </w:r>
    </w:p>
    <w:p w14:paraId="074A0737">
      <w:pPr>
        <w:rPr>
          <w:rStyle w:val="34"/>
          <w:rFonts w:ascii="Times New Roman" w:hAnsi="Times New Roman"/>
          <w:b/>
          <w:bCs/>
        </w:rPr>
      </w:pPr>
    </w:p>
    <w:p w14:paraId="3E037843">
      <w:pPr>
        <w:rPr>
          <w:rFonts w:ascii="Times New Roman" w:hAnsi="Times New Roman"/>
          <w:lang w:bidi="ar"/>
        </w:rPr>
      </w:pPr>
      <w:r>
        <w:rPr>
          <w:rFonts w:ascii="Times New Roman" w:hAnsi="Times New Roman"/>
          <w:lang w:bidi="ar"/>
        </w:rPr>
        <w:drawing>
          <wp:inline distT="0" distB="0" distL="114300" distR="114300">
            <wp:extent cx="7562215" cy="4321810"/>
            <wp:effectExtent l="0" t="0" r="635" b="2540"/>
            <wp:docPr id="10" name="图片 10" descr="AD_MCI基因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AD_MCI基因_画板 1"/>
                    <pic:cNvPicPr>
                      <a:picLocks noChangeAspect="1"/>
                    </pic:cNvPicPr>
                  </pic:nvPicPr>
                  <pic:blipFill>
                    <a:blip r:embed="rId11"/>
                    <a:stretch>
                      <a:fillRect/>
                    </a:stretch>
                  </pic:blipFill>
                  <pic:spPr>
                    <a:xfrm>
                      <a:off x="0" y="0"/>
                      <a:ext cx="7562215" cy="4321810"/>
                    </a:xfrm>
                    <a:prstGeom prst="rect">
                      <a:avLst/>
                    </a:prstGeom>
                  </pic:spPr>
                </pic:pic>
              </a:graphicData>
            </a:graphic>
          </wp:inline>
        </w:drawing>
      </w:r>
    </w:p>
    <w:p w14:paraId="26296D6B">
      <w:pPr>
        <w:jc w:val="both"/>
        <w:rPr>
          <w:rStyle w:val="34"/>
          <w:rFonts w:ascii="Times New Roman" w:hAnsi="Times New Roman"/>
        </w:rPr>
      </w:pPr>
      <w:r>
        <w:rPr>
          <w:rFonts w:ascii="Times New Roman" w:hAnsi="Times New Roman"/>
          <w:b/>
          <w:bCs/>
          <w:kern w:val="2"/>
          <w:lang w:bidi="ar"/>
        </w:rPr>
        <w:t>Fig. S</w:t>
      </w:r>
      <w:r>
        <w:rPr>
          <w:rStyle w:val="34"/>
          <w:rFonts w:ascii="Times New Roman" w:hAnsi="Times New Roman"/>
          <w:b/>
          <w:bCs/>
        </w:rPr>
        <w:t xml:space="preserve">6. </w:t>
      </w:r>
      <w:r>
        <w:rPr>
          <w:rFonts w:ascii="Times New Roman" w:hAnsi="Times New Roman"/>
          <w:b/>
          <w:bCs/>
          <w:lang w:bidi="ar"/>
        </w:rPr>
        <w:t xml:space="preserve">Gene analysis results for group difference pattern of HFC </w:t>
      </w:r>
      <w:r>
        <w:rPr>
          <w:rFonts w:ascii="Times New Roman" w:hAnsi="Times New Roman"/>
          <w:b/>
          <w:bCs/>
          <w:lang w:eastAsia="zh" w:bidi="ar"/>
        </w:rPr>
        <w:t xml:space="preserve">between </w:t>
      </w:r>
      <w:r>
        <w:rPr>
          <w:rFonts w:ascii="Times New Roman" w:hAnsi="Times New Roman"/>
          <w:b/>
          <w:bCs/>
          <w:lang w:bidi="ar"/>
        </w:rPr>
        <w:t>AD</w:t>
      </w:r>
      <w:r>
        <w:rPr>
          <w:rFonts w:ascii="Times New Roman" w:hAnsi="Times New Roman"/>
          <w:b/>
          <w:bCs/>
          <w:lang w:eastAsia="zh" w:bidi="ar"/>
        </w:rPr>
        <w:t xml:space="preserve"> and </w:t>
      </w:r>
      <w:r>
        <w:rPr>
          <w:rFonts w:ascii="Times New Roman" w:hAnsi="Times New Roman"/>
          <w:b/>
          <w:bCs/>
          <w:lang w:bidi="ar"/>
        </w:rPr>
        <w:t xml:space="preserve">MCI. </w:t>
      </w:r>
      <w:r>
        <w:rPr>
          <w:rFonts w:ascii="Times New Roman" w:hAnsi="Times New Roman"/>
          <w:lang w:bidi="ar"/>
        </w:rPr>
        <w:t xml:space="preserve">(a) </w:t>
      </w:r>
      <w:r>
        <w:rPr>
          <w:rStyle w:val="34"/>
          <w:rFonts w:ascii="Times New Roman" w:hAnsi="Times New Roman"/>
        </w:rPr>
        <w:t>Gene enrichment network for strength pattern of HFC. (b) Top 20 clusters with their representative enriched terms (one per cluster). The circle size represents the number of genes involved in the specific term.</w:t>
      </w:r>
    </w:p>
    <w:p w14:paraId="1E577BDD">
      <w:pPr>
        <w:rPr>
          <w:rStyle w:val="34"/>
          <w:rFonts w:ascii="Times New Roman" w:hAnsi="Times New Roman"/>
          <w:b/>
          <w:bCs/>
        </w:rPr>
      </w:pPr>
    </w:p>
    <w:p w14:paraId="1D378688">
      <w:pPr>
        <w:rPr>
          <w:rStyle w:val="34"/>
          <w:rFonts w:ascii="Times New Roman" w:hAnsi="Times New Roman"/>
          <w:b/>
          <w:bCs/>
        </w:rPr>
      </w:pPr>
    </w:p>
    <w:p w14:paraId="7630E08D">
      <w:pPr>
        <w:rPr>
          <w:rFonts w:ascii="Times New Roman" w:hAnsi="Times New Roman"/>
          <w:lang w:bidi="ar"/>
        </w:rPr>
      </w:pPr>
      <w:r>
        <w:rPr>
          <w:rFonts w:ascii="Times New Roman" w:hAnsi="Times New Roman"/>
          <w:lang w:bidi="ar"/>
        </w:rPr>
        <w:drawing>
          <wp:inline distT="0" distB="0" distL="114300" distR="114300">
            <wp:extent cx="7562215" cy="10692130"/>
            <wp:effectExtent l="0" t="0" r="635" b="13970"/>
            <wp:docPr id="11" name="图片 11" descr="AD_MCI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AD_MCI_画板 1"/>
                    <pic:cNvPicPr>
                      <a:picLocks noChangeAspect="1"/>
                    </pic:cNvPicPr>
                  </pic:nvPicPr>
                  <pic:blipFill>
                    <a:blip r:embed="rId12"/>
                    <a:stretch>
                      <a:fillRect/>
                    </a:stretch>
                  </pic:blipFill>
                  <pic:spPr>
                    <a:xfrm>
                      <a:off x="0" y="0"/>
                      <a:ext cx="7562215" cy="10692130"/>
                    </a:xfrm>
                    <a:prstGeom prst="rect">
                      <a:avLst/>
                    </a:prstGeom>
                  </pic:spPr>
                </pic:pic>
              </a:graphicData>
            </a:graphic>
          </wp:inline>
        </w:drawing>
      </w:r>
    </w:p>
    <w:p w14:paraId="4C23768F">
      <w:pPr>
        <w:jc w:val="both"/>
        <w:rPr>
          <w:rFonts w:ascii="Times New Roman" w:hAnsi="Times New Roman"/>
          <w:lang w:bidi="ar"/>
        </w:rPr>
      </w:pPr>
      <w:r>
        <w:rPr>
          <w:rFonts w:ascii="Times New Roman" w:hAnsi="Times New Roman"/>
          <w:b/>
          <w:bCs/>
          <w:kern w:val="2"/>
          <w:lang w:bidi="ar"/>
        </w:rPr>
        <w:t>Fig. S</w:t>
      </w:r>
      <w:r>
        <w:rPr>
          <w:rStyle w:val="34"/>
          <w:rFonts w:ascii="Times New Roman" w:hAnsi="Times New Roman"/>
          <w:b/>
          <w:bCs/>
        </w:rPr>
        <w:t xml:space="preserve">7. </w:t>
      </w:r>
      <w:r>
        <w:rPr>
          <w:rFonts w:ascii="Times New Roman" w:hAnsi="Times New Roman"/>
          <w:b/>
          <w:bCs/>
          <w:lang w:bidi="ar"/>
        </w:rPr>
        <w:t>Model performance under different feature selection schemes in classification task</w:t>
      </w:r>
      <w:r>
        <w:rPr>
          <w:rFonts w:ascii="Times New Roman" w:hAnsi="Times New Roman"/>
          <w:b/>
          <w:bCs/>
          <w:lang w:eastAsia="zh" w:bidi="ar"/>
        </w:rPr>
        <w:t xml:space="preserve"> </w:t>
      </w:r>
      <w:r>
        <w:rPr>
          <w:rFonts w:ascii="Times New Roman" w:hAnsi="Times New Roman"/>
          <w:b/>
          <w:bCs/>
          <w:lang w:bidi="ar"/>
        </w:rPr>
        <w:t xml:space="preserve">distinguishing AD from </w:t>
      </w:r>
      <w:r>
        <w:rPr>
          <w:rFonts w:ascii="Times New Roman" w:hAnsi="Times New Roman"/>
          <w:b/>
          <w:bCs/>
          <w:lang w:eastAsia="zh" w:bidi="ar"/>
        </w:rPr>
        <w:t>MCI</w:t>
      </w:r>
      <w:r>
        <w:rPr>
          <w:rFonts w:ascii="Times New Roman" w:hAnsi="Times New Roman"/>
          <w:b/>
          <w:bCs/>
          <w:lang w:bidi="ar"/>
        </w:rPr>
        <w:t xml:space="preserve">. </w:t>
      </w:r>
      <w:r>
        <w:rPr>
          <w:rFonts w:ascii="Times New Roman" w:hAnsi="Times New Roman"/>
          <w:lang w:bidi="ar"/>
        </w:rPr>
        <w:t>(a) Classification performance (ACC, AUC, and F1 score for each site). (b) ROC curve of the model with the features used the HFC across all brains, significant brains (sig-brains) and significant brains after FDR correction (</w:t>
      </w:r>
      <w:r>
        <w:rPr>
          <w:rFonts w:ascii="Times New Roman" w:hAnsi="Times New Roman"/>
          <w:lang w:eastAsia="zh" w:bidi="ar"/>
        </w:rPr>
        <w:t>FDR</w:t>
      </w:r>
      <w:r>
        <w:rPr>
          <w:rFonts w:ascii="Times New Roman" w:hAnsi="Times New Roman"/>
          <w:lang w:bidi="ar"/>
        </w:rPr>
        <w:t>-brains). (c) Classification performance (site averaged ACC, AUC, and F1 score) across varying feature dimensions (x-axis) and metric combinations (y-axis). Empty cells (marked with "/") indicate no features selected under the corresponding metric. Darker hues in the color bar denote superior model performance in ACC, AUC and F1 score.</w:t>
      </w:r>
    </w:p>
    <w:p w14:paraId="0788372D">
      <w:pPr>
        <w:jc w:val="both"/>
        <w:rPr>
          <w:rFonts w:ascii="Times New Roman" w:hAnsi="Times New Roman"/>
          <w:lang w:bidi="ar"/>
        </w:rPr>
      </w:pPr>
    </w:p>
    <w:p w14:paraId="5726511C">
      <w:pPr>
        <w:jc w:val="center"/>
        <w:rPr>
          <w:rFonts w:ascii="Times New Roman" w:hAnsi="Times New Roman"/>
          <w:b/>
          <w:bCs/>
          <w:sz w:val="28"/>
          <w:szCs w:val="28"/>
          <w:lang w:bidi="ar"/>
        </w:rPr>
      </w:pPr>
      <w:r>
        <w:rPr>
          <w:rFonts w:hint="eastAsia" w:ascii="Times New Roman" w:hAnsi="Times New Roman" w:eastAsia="宋体"/>
          <w:lang w:eastAsia="zh-CN" w:bidi="ar"/>
        </w:rPr>
        <w:drawing>
          <wp:inline distT="0" distB="0" distL="114300" distR="114300">
            <wp:extent cx="7615555" cy="10705465"/>
            <wp:effectExtent l="0" t="0" r="4445" b="13335"/>
            <wp:docPr id="2" name="图片 2" descr="Figure4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4_New"/>
                    <pic:cNvPicPr>
                      <a:picLocks noChangeAspect="1"/>
                    </pic:cNvPicPr>
                  </pic:nvPicPr>
                  <pic:blipFill>
                    <a:blip r:embed="rId13"/>
                    <a:stretch>
                      <a:fillRect/>
                    </a:stretch>
                  </pic:blipFill>
                  <pic:spPr>
                    <a:xfrm>
                      <a:off x="0" y="0"/>
                      <a:ext cx="7615555" cy="10705465"/>
                    </a:xfrm>
                    <a:prstGeom prst="rect">
                      <a:avLst/>
                    </a:prstGeom>
                  </pic:spPr>
                </pic:pic>
              </a:graphicData>
            </a:graphic>
          </wp:inline>
        </w:drawing>
      </w:r>
    </w:p>
    <w:p w14:paraId="74027796">
      <w:pPr>
        <w:jc w:val="both"/>
        <w:rPr>
          <w:rFonts w:ascii="Times New Roman" w:hAnsi="Times New Roman"/>
          <w:lang w:bidi="ar"/>
        </w:rPr>
      </w:pPr>
      <w:r>
        <w:rPr>
          <w:rFonts w:ascii="Times New Roman" w:hAnsi="Times New Roman"/>
          <w:b/>
          <w:bCs/>
          <w:kern w:val="2"/>
          <w:lang w:bidi="ar"/>
        </w:rPr>
        <w:t>Fig. S</w:t>
      </w:r>
      <w:r>
        <w:rPr>
          <w:rStyle w:val="34"/>
          <w:rFonts w:ascii="Times New Roman" w:hAnsi="Times New Roman"/>
          <w:b/>
          <w:bCs/>
        </w:rPr>
        <w:t>8. Model p</w:t>
      </w:r>
      <w:r>
        <w:rPr>
          <w:rFonts w:ascii="Times New Roman" w:hAnsi="Times New Roman"/>
          <w:b/>
          <w:bCs/>
          <w:lang w:bidi="ar"/>
        </w:rPr>
        <w:t xml:space="preserve">erformance </w:t>
      </w:r>
      <w:r>
        <w:rPr>
          <w:rFonts w:hint="eastAsia" w:ascii="Times New Roman" w:hAnsi="Times New Roman"/>
          <w:b/>
          <w:bCs/>
          <w:lang w:val="en-US" w:eastAsia="zh-CN" w:bidi="ar"/>
        </w:rPr>
        <w:t xml:space="preserve">for AD only </w:t>
      </w:r>
      <w:r>
        <w:rPr>
          <w:rFonts w:ascii="Times New Roman" w:hAnsi="Times New Roman"/>
          <w:b/>
          <w:bCs/>
          <w:lang w:bidi="ar"/>
        </w:rPr>
        <w:t xml:space="preserve">under different feature selection schemes </w:t>
      </w:r>
      <w:r>
        <w:rPr>
          <w:rFonts w:ascii="Times New Roman" w:hAnsi="Times New Roman"/>
          <w:b/>
          <w:bCs/>
          <w:lang w:eastAsia="zh" w:bidi="ar"/>
        </w:rPr>
        <w:t xml:space="preserve">based on differences between AD and </w:t>
      </w:r>
      <w:r>
        <w:rPr>
          <w:rFonts w:hint="eastAsia" w:ascii="Times New Roman" w:hAnsi="Times New Roman"/>
          <w:b/>
          <w:bCs/>
          <w:lang w:val="en-US" w:eastAsia="zh-CN" w:bidi="ar"/>
        </w:rPr>
        <w:t xml:space="preserve">NC </w:t>
      </w:r>
      <w:r>
        <w:rPr>
          <w:rFonts w:ascii="Times New Roman" w:hAnsi="Times New Roman"/>
          <w:b/>
          <w:bCs/>
          <w:lang w:bidi="ar"/>
        </w:rPr>
        <w:t>in predict</w:t>
      </w:r>
      <w:r>
        <w:rPr>
          <w:rFonts w:ascii="Times New Roman" w:hAnsi="Times New Roman"/>
          <w:b/>
          <w:bCs/>
          <w:lang w:eastAsia="zh" w:bidi="ar"/>
        </w:rPr>
        <w:t>ion of the clinical cognitive scores</w:t>
      </w:r>
      <w:r>
        <w:rPr>
          <w:rFonts w:ascii="Times New Roman" w:hAnsi="Times New Roman"/>
          <w:b/>
          <w:bCs/>
          <w:lang w:bidi="ar"/>
        </w:rPr>
        <w:t>. (a)</w:t>
      </w:r>
      <w:r>
        <w:rPr>
          <w:rFonts w:ascii="Times New Roman" w:hAnsi="Times New Roman"/>
          <w:lang w:bidi="ar"/>
        </w:rPr>
        <w:t>Prediction performance (r, MAE, and RMSE for each site). (b) Scatter plot of the model with the features used the HFC across all brains, significant brains (sig-brains) and significant brains after FDR correction (</w:t>
      </w:r>
      <w:r>
        <w:rPr>
          <w:rFonts w:ascii="Times New Roman" w:hAnsi="Times New Roman"/>
          <w:lang w:eastAsia="zh" w:bidi="ar"/>
        </w:rPr>
        <w:t>FDR</w:t>
      </w:r>
      <w:r>
        <w:rPr>
          <w:rFonts w:ascii="Times New Roman" w:hAnsi="Times New Roman"/>
          <w:lang w:bidi="ar"/>
        </w:rPr>
        <w:t>-brains). (c) Prediction performance (site averaged r, MAE, and RMSE) across varying feature dimensions (x-axis) and metric combinations (y-axis). Empty cells (marked with "</w:t>
      </w:r>
      <w:r>
        <w:rPr>
          <w:rFonts w:ascii="Times New Roman" w:hAnsi="Times New Roman"/>
          <w:lang w:eastAsia="zh" w:bidi="ar"/>
        </w:rPr>
        <w:t>/</w:t>
      </w:r>
      <w:r>
        <w:rPr>
          <w:rFonts w:ascii="Times New Roman" w:hAnsi="Times New Roman"/>
          <w:lang w:bidi="ar"/>
        </w:rPr>
        <w:t>") indicate no features selected under the corresponding metric. Darker hues in the color bar denote superior model performance in r while worse model performance in MAE and RMSE.</w:t>
      </w:r>
    </w:p>
    <w:p w14:paraId="1DB29C39">
      <w:pPr>
        <w:widowControl w:val="0"/>
        <w:jc w:val="both"/>
        <w:rPr>
          <w:rFonts w:ascii="Times New Roman" w:hAnsi="Times New Roman"/>
          <w:lang w:bidi="ar"/>
        </w:rPr>
      </w:pPr>
    </w:p>
    <w:p w14:paraId="681FEB61">
      <w:pPr>
        <w:rPr>
          <w:rFonts w:ascii="Times New Roman" w:hAnsi="Times New Roman"/>
        </w:rPr>
      </w:pPr>
      <w:r>
        <w:rPr>
          <w:rFonts w:ascii="Times New Roman" w:hAnsi="Times New Roman"/>
          <w:lang w:bidi="ar"/>
        </w:rPr>
        <w:drawing>
          <wp:inline distT="0" distB="0" distL="114300" distR="114300">
            <wp:extent cx="8449945" cy="4262755"/>
            <wp:effectExtent l="0" t="0" r="8255" b="444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14"/>
                    <a:stretch>
                      <a:fillRect/>
                    </a:stretch>
                  </pic:blipFill>
                  <pic:spPr>
                    <a:xfrm>
                      <a:off x="0" y="0"/>
                      <a:ext cx="8449945" cy="4262755"/>
                    </a:xfrm>
                    <a:prstGeom prst="rect">
                      <a:avLst/>
                    </a:prstGeom>
                    <a:noFill/>
                    <a:ln w="9525">
                      <a:noFill/>
                    </a:ln>
                  </pic:spPr>
                </pic:pic>
              </a:graphicData>
            </a:graphic>
          </wp:inline>
        </w:drawing>
      </w:r>
    </w:p>
    <w:p w14:paraId="2B95DCAE">
      <w:pPr>
        <w:jc w:val="both"/>
        <w:rPr>
          <w:rFonts w:ascii="Times New Roman" w:hAnsi="Times New Roman"/>
          <w:lang w:bidi="ar"/>
        </w:rPr>
      </w:pPr>
      <w:r>
        <w:rPr>
          <w:rFonts w:ascii="Times New Roman" w:hAnsi="Times New Roman"/>
          <w:b/>
          <w:bCs/>
          <w:kern w:val="2"/>
          <w:lang w:bidi="ar"/>
        </w:rPr>
        <w:t>Fig. S9</w:t>
      </w:r>
      <w:r>
        <w:rPr>
          <w:rStyle w:val="34"/>
          <w:rFonts w:ascii="Times New Roman" w:hAnsi="Times New Roman"/>
          <w:b/>
          <w:bCs/>
        </w:rPr>
        <w:t xml:space="preserve">. Sensitivity analysis of age adjustment. </w:t>
      </w:r>
      <w:r>
        <w:rPr>
          <w:rFonts w:ascii="Times New Roman" w:hAnsi="Times New Roman"/>
          <w:lang w:bidi="ar"/>
        </w:rPr>
        <w:t>Correlation of effect sizes for AD vs. NC contrast between linear and quadratic age models on HFC</w:t>
      </w:r>
      <w:r>
        <w:rPr>
          <w:rFonts w:hint="eastAsia" w:ascii="Times New Roman" w:hAnsi="Times New Roman"/>
          <w:lang w:bidi="ar"/>
        </w:rPr>
        <w:t xml:space="preserve"> </w:t>
      </w:r>
      <w:r>
        <w:rPr>
          <w:rFonts w:ascii="Times New Roman" w:hAnsi="Times New Roman"/>
          <w:lang w:bidi="ar"/>
        </w:rPr>
        <w:t>(r = 0.9</w:t>
      </w:r>
      <w:r>
        <w:rPr>
          <w:rFonts w:hint="eastAsia" w:ascii="Times New Roman" w:hAnsi="Times New Roman"/>
          <w:lang w:bidi="ar"/>
        </w:rPr>
        <w:t>92</w:t>
      </w:r>
      <w:r>
        <w:rPr>
          <w:rFonts w:ascii="Times New Roman" w:hAnsi="Times New Roman"/>
          <w:lang w:bidi="ar"/>
        </w:rPr>
        <w:t xml:space="preserve">, p = </w:t>
      </w:r>
      <w:r>
        <w:rPr>
          <w:rFonts w:hint="eastAsia" w:ascii="Times New Roman" w:hAnsi="Times New Roman"/>
          <w:lang w:bidi="ar"/>
        </w:rPr>
        <w:t>2</w:t>
      </w:r>
      <w:r>
        <w:rPr>
          <w:rFonts w:ascii="Times New Roman" w:hAnsi="Times New Roman"/>
          <w:lang w:bidi="ar"/>
        </w:rPr>
        <w:t>.</w:t>
      </w:r>
      <w:r>
        <w:rPr>
          <w:rFonts w:hint="eastAsia" w:ascii="Times New Roman" w:hAnsi="Times New Roman"/>
          <w:lang w:bidi="ar"/>
        </w:rPr>
        <w:t>156</w:t>
      </w:r>
      <w:r>
        <w:rPr>
          <w:rFonts w:ascii="Times New Roman" w:hAnsi="Times New Roman"/>
          <w:lang w:bidi="ar"/>
        </w:rPr>
        <w:t>e-</w:t>
      </w:r>
      <w:r>
        <w:rPr>
          <w:rFonts w:hint="eastAsia" w:ascii="Times New Roman" w:hAnsi="Times New Roman"/>
          <w:lang w:bidi="ar"/>
        </w:rPr>
        <w:t>111</w:t>
      </w:r>
      <w:r>
        <w:rPr>
          <w:rFonts w:ascii="Times New Roman" w:hAnsi="Times New Roman"/>
          <w:lang w:bidi="ar"/>
        </w:rPr>
        <w:t>). The effect sizes from the two approaches were highly correlated: GMV (r = 0.986, p = 1.419e-96), CT (r = 0.962, p = 4.966e-60), FD (r = 0.981, p = 4.082e-75), SD (r = 0.964, p = 2.511e-61), and GI (r = 0.974, p = 6.378e-68).</w:t>
      </w:r>
    </w:p>
    <w:p w14:paraId="2F3FBD07">
      <w:pPr>
        <w:jc w:val="both"/>
        <w:rPr>
          <w:rFonts w:ascii="Times New Roman" w:hAnsi="Times New Roman"/>
          <w:b/>
          <w:bCs/>
          <w:lang w:bidi="ar"/>
        </w:rPr>
      </w:pPr>
      <w:r>
        <w:rPr>
          <w:rFonts w:ascii="Times New Roman" w:hAnsi="Times New Roman"/>
          <w:b/>
          <w:bCs/>
          <w:lang w:bidi="ar"/>
        </w:rPr>
        <w:t xml:space="preserve"> </w:t>
      </w:r>
    </w:p>
    <w:p w14:paraId="3B4389C3">
      <w:pPr>
        <w:jc w:val="both"/>
        <w:rPr>
          <w:rFonts w:ascii="Times New Roman" w:hAnsi="Times New Roman"/>
          <w:b/>
          <w:bCs/>
          <w:lang w:bidi="ar"/>
        </w:rPr>
      </w:pPr>
    </w:p>
    <w:p w14:paraId="2908DDF9">
      <w:pPr>
        <w:jc w:val="both"/>
        <w:rPr>
          <w:rFonts w:ascii="Times New Roman" w:hAnsi="Times New Roman"/>
          <w:b/>
          <w:bCs/>
          <w:lang w:bidi="ar"/>
        </w:rPr>
      </w:pPr>
    </w:p>
    <w:p w14:paraId="54387505">
      <w:pPr>
        <w:jc w:val="both"/>
        <w:rPr>
          <w:rFonts w:ascii="Times New Roman" w:hAnsi="Times New Roman"/>
          <w:b/>
          <w:bCs/>
          <w:lang w:bidi="ar"/>
        </w:rPr>
      </w:pPr>
    </w:p>
    <w:p w14:paraId="14EE194F">
      <w:pPr>
        <w:jc w:val="both"/>
        <w:rPr>
          <w:rFonts w:ascii="Times New Roman" w:hAnsi="Times New Roman"/>
          <w:b/>
          <w:bCs/>
          <w:lang w:bidi="ar"/>
        </w:rPr>
      </w:pPr>
    </w:p>
    <w:p w14:paraId="0D4DB309">
      <w:pPr>
        <w:jc w:val="both"/>
        <w:rPr>
          <w:rFonts w:ascii="Times New Roman" w:hAnsi="Times New Roman"/>
          <w:b/>
          <w:bCs/>
          <w:lang w:bidi="ar"/>
        </w:rPr>
      </w:pPr>
    </w:p>
    <w:p w14:paraId="78DA10BF">
      <w:pPr>
        <w:jc w:val="both"/>
        <w:rPr>
          <w:rFonts w:ascii="Times New Roman" w:hAnsi="Times New Roman"/>
          <w:b/>
          <w:bCs/>
          <w:lang w:bidi="ar"/>
        </w:rPr>
      </w:pPr>
    </w:p>
    <w:p w14:paraId="60C15D3B">
      <w:pPr>
        <w:jc w:val="both"/>
        <w:rPr>
          <w:rFonts w:ascii="Times New Roman" w:hAnsi="Times New Roman"/>
          <w:b/>
          <w:bCs/>
          <w:lang w:bidi="ar"/>
        </w:rPr>
      </w:pPr>
    </w:p>
    <w:p w14:paraId="7522855C">
      <w:pPr>
        <w:jc w:val="both"/>
        <w:rPr>
          <w:rFonts w:ascii="Times New Roman" w:hAnsi="Times New Roman"/>
          <w:b/>
          <w:bCs/>
          <w:lang w:bidi="ar"/>
        </w:rPr>
      </w:pPr>
    </w:p>
    <w:p w14:paraId="48630DF6">
      <w:pPr>
        <w:jc w:val="both"/>
        <w:rPr>
          <w:rFonts w:ascii="Times New Roman" w:hAnsi="Times New Roman"/>
          <w:b/>
          <w:bCs/>
          <w:lang w:bidi="ar"/>
        </w:rPr>
      </w:pPr>
    </w:p>
    <w:p w14:paraId="1B1B73CE">
      <w:pPr>
        <w:jc w:val="both"/>
        <w:rPr>
          <w:rFonts w:ascii="Times New Roman" w:hAnsi="Times New Roman"/>
          <w:b/>
          <w:bCs/>
          <w:lang w:bidi="ar"/>
        </w:rPr>
      </w:pPr>
    </w:p>
    <w:p w14:paraId="07366CB9">
      <w:pPr>
        <w:jc w:val="both"/>
        <w:rPr>
          <w:rFonts w:ascii="Times New Roman" w:hAnsi="Times New Roman"/>
          <w:b/>
          <w:bCs/>
          <w:lang w:bidi="ar"/>
        </w:rPr>
      </w:pPr>
    </w:p>
    <w:p w14:paraId="4DF5A23D">
      <w:pPr>
        <w:jc w:val="both"/>
        <w:rPr>
          <w:rFonts w:ascii="Times New Roman" w:hAnsi="Times New Roman"/>
          <w:b/>
          <w:bCs/>
          <w:lang w:bidi="ar"/>
        </w:rPr>
      </w:pPr>
    </w:p>
    <w:p w14:paraId="635DDE5E">
      <w:pPr>
        <w:jc w:val="both"/>
        <w:rPr>
          <w:rFonts w:ascii="Times New Roman" w:hAnsi="Times New Roman"/>
          <w:b/>
          <w:bCs/>
          <w:lang w:bidi="ar"/>
        </w:rPr>
      </w:pPr>
    </w:p>
    <w:p w14:paraId="23289EAE">
      <w:pPr>
        <w:jc w:val="both"/>
        <w:rPr>
          <w:rFonts w:ascii="Times New Roman" w:hAnsi="Times New Roman"/>
          <w:b/>
          <w:bCs/>
          <w:lang w:bidi="ar"/>
        </w:rPr>
      </w:pPr>
    </w:p>
    <w:p w14:paraId="685C4D94">
      <w:pPr>
        <w:jc w:val="both"/>
        <w:rPr>
          <w:rFonts w:ascii="Times New Roman" w:hAnsi="Times New Roman"/>
          <w:b/>
          <w:bCs/>
          <w:lang w:bidi="ar"/>
        </w:rPr>
      </w:pPr>
    </w:p>
    <w:p w14:paraId="381914D6">
      <w:pPr>
        <w:jc w:val="both"/>
        <w:rPr>
          <w:rFonts w:ascii="Times New Roman" w:hAnsi="Times New Roman"/>
          <w:b/>
          <w:bCs/>
          <w:lang w:bidi="ar"/>
        </w:rPr>
      </w:pPr>
    </w:p>
    <w:p w14:paraId="35412910">
      <w:pPr>
        <w:jc w:val="both"/>
        <w:rPr>
          <w:rFonts w:ascii="Times New Roman" w:hAnsi="Times New Roman"/>
          <w:b/>
          <w:bCs/>
          <w:lang w:bidi="ar"/>
        </w:rPr>
      </w:pPr>
    </w:p>
    <w:p w14:paraId="1FD1240E">
      <w:pPr>
        <w:jc w:val="both"/>
        <w:rPr>
          <w:rFonts w:ascii="Times New Roman" w:hAnsi="Times New Roman"/>
          <w:b/>
          <w:bCs/>
          <w:lang w:bidi="ar"/>
        </w:rPr>
      </w:pPr>
    </w:p>
    <w:p w14:paraId="3560ED60">
      <w:pPr>
        <w:jc w:val="both"/>
        <w:rPr>
          <w:rFonts w:ascii="Times New Roman" w:hAnsi="Times New Roman"/>
          <w:b/>
          <w:bCs/>
          <w:lang w:bidi="ar"/>
        </w:rPr>
      </w:pPr>
    </w:p>
    <w:p w14:paraId="627F4FDE">
      <w:pPr>
        <w:jc w:val="both"/>
        <w:rPr>
          <w:rFonts w:ascii="Times New Roman" w:hAnsi="Times New Roman"/>
          <w:b/>
          <w:bCs/>
          <w:lang w:bidi="ar"/>
        </w:rPr>
      </w:pPr>
    </w:p>
    <w:p w14:paraId="4927E93D">
      <w:pPr>
        <w:jc w:val="both"/>
        <w:rPr>
          <w:rFonts w:ascii="Times New Roman" w:hAnsi="Times New Roman"/>
          <w:b/>
          <w:bCs/>
          <w:lang w:bidi="ar"/>
        </w:rPr>
      </w:pPr>
    </w:p>
    <w:p w14:paraId="1B2BB117">
      <w:pPr>
        <w:jc w:val="both"/>
        <w:rPr>
          <w:rFonts w:ascii="Times New Roman" w:hAnsi="Times New Roman"/>
          <w:b/>
          <w:bCs/>
          <w:lang w:bidi="ar"/>
        </w:rPr>
      </w:pPr>
    </w:p>
    <w:p w14:paraId="7635705B">
      <w:pPr>
        <w:jc w:val="both"/>
        <w:rPr>
          <w:rFonts w:ascii="Times New Roman" w:hAnsi="Times New Roman"/>
          <w:b/>
          <w:bCs/>
          <w:lang w:bidi="ar"/>
        </w:rPr>
      </w:pPr>
    </w:p>
    <w:p w14:paraId="7B244B51">
      <w:pPr>
        <w:jc w:val="both"/>
        <w:rPr>
          <w:rFonts w:ascii="Times New Roman" w:hAnsi="Times New Roman"/>
          <w:b/>
          <w:bCs/>
          <w:lang w:bidi="ar"/>
        </w:rPr>
      </w:pPr>
    </w:p>
    <w:p w14:paraId="3A6A50CC">
      <w:pPr>
        <w:jc w:val="both"/>
        <w:rPr>
          <w:rFonts w:ascii="Times New Roman" w:hAnsi="Times New Roman"/>
          <w:b/>
          <w:bCs/>
          <w:lang w:bidi="ar"/>
        </w:rPr>
      </w:pPr>
    </w:p>
    <w:p w14:paraId="1BAA6B04">
      <w:pPr>
        <w:jc w:val="both"/>
        <w:rPr>
          <w:rFonts w:ascii="Times New Roman" w:hAnsi="Times New Roman"/>
          <w:b/>
          <w:bCs/>
          <w:lang w:bidi="ar"/>
        </w:rPr>
      </w:pPr>
    </w:p>
    <w:p w14:paraId="73D8482D">
      <w:pPr>
        <w:jc w:val="both"/>
        <w:rPr>
          <w:rFonts w:ascii="Times New Roman" w:hAnsi="Times New Roman"/>
          <w:b/>
          <w:bCs/>
          <w:lang w:bidi="ar"/>
        </w:rPr>
      </w:pPr>
    </w:p>
    <w:p w14:paraId="4B55CA60">
      <w:pPr>
        <w:jc w:val="both"/>
        <w:rPr>
          <w:rFonts w:ascii="Times New Roman" w:hAnsi="Times New Roman"/>
          <w:b/>
          <w:bCs/>
          <w:lang w:bidi="ar"/>
        </w:rPr>
      </w:pPr>
    </w:p>
    <w:p w14:paraId="3541B199">
      <w:pPr>
        <w:jc w:val="both"/>
        <w:rPr>
          <w:rFonts w:ascii="Times New Roman" w:hAnsi="Times New Roman"/>
          <w:b/>
          <w:bCs/>
          <w:lang w:bidi="ar"/>
        </w:rPr>
      </w:pPr>
    </w:p>
    <w:p w14:paraId="34470390">
      <w:pPr>
        <w:jc w:val="both"/>
        <w:rPr>
          <w:rFonts w:ascii="Times New Roman" w:hAnsi="Times New Roman"/>
          <w:b/>
          <w:bCs/>
          <w:lang w:bidi="ar"/>
        </w:rPr>
      </w:pPr>
    </w:p>
    <w:p w14:paraId="23608202">
      <w:pPr>
        <w:jc w:val="both"/>
        <w:rPr>
          <w:rFonts w:ascii="Times New Roman" w:hAnsi="Times New Roman"/>
          <w:b/>
          <w:bCs/>
          <w:lang w:bidi="ar"/>
        </w:rPr>
      </w:pPr>
    </w:p>
    <w:p w14:paraId="48684045">
      <w:pPr>
        <w:jc w:val="both"/>
        <w:rPr>
          <w:rFonts w:ascii="Times New Roman" w:hAnsi="Times New Roman"/>
          <w:b/>
          <w:bCs/>
          <w:lang w:bidi="ar"/>
        </w:rPr>
      </w:pPr>
    </w:p>
    <w:p w14:paraId="62768416">
      <w:pPr>
        <w:jc w:val="both"/>
        <w:rPr>
          <w:rFonts w:ascii="Times New Roman" w:hAnsi="Times New Roman"/>
          <w:b/>
          <w:bCs/>
          <w:lang w:bidi="ar"/>
        </w:rPr>
      </w:pPr>
    </w:p>
    <w:p w14:paraId="77B624D8">
      <w:pPr>
        <w:jc w:val="both"/>
        <w:rPr>
          <w:rFonts w:ascii="Times New Roman" w:hAnsi="Times New Roman"/>
          <w:b/>
          <w:bCs/>
          <w:lang w:bidi="ar"/>
        </w:rPr>
      </w:pPr>
    </w:p>
    <w:p w14:paraId="21B05F0B">
      <w:pPr>
        <w:jc w:val="both"/>
        <w:rPr>
          <w:rFonts w:ascii="Times New Roman" w:hAnsi="Times New Roman"/>
          <w:b/>
          <w:bCs/>
          <w:lang w:bidi="ar"/>
        </w:rPr>
      </w:pPr>
    </w:p>
    <w:p w14:paraId="063AE41E">
      <w:pPr>
        <w:jc w:val="both"/>
        <w:rPr>
          <w:rFonts w:ascii="Times New Roman" w:hAnsi="Times New Roman"/>
          <w:b/>
          <w:bCs/>
          <w:lang w:bidi="ar"/>
        </w:rPr>
      </w:pPr>
    </w:p>
    <w:p w14:paraId="1C4E1271">
      <w:pPr>
        <w:jc w:val="both"/>
        <w:rPr>
          <w:rFonts w:ascii="Times New Roman" w:hAnsi="Times New Roman"/>
          <w:b/>
          <w:bCs/>
          <w:lang w:bidi="ar"/>
        </w:rPr>
      </w:pPr>
    </w:p>
    <w:p w14:paraId="7A262DB9">
      <w:pPr>
        <w:jc w:val="both"/>
        <w:rPr>
          <w:rFonts w:ascii="Times New Roman" w:hAnsi="Times New Roman"/>
          <w:b/>
          <w:bCs/>
          <w:lang w:bidi="ar"/>
        </w:rPr>
      </w:pPr>
    </w:p>
    <w:p w14:paraId="25B506A6">
      <w:pPr>
        <w:jc w:val="both"/>
        <w:rPr>
          <w:rFonts w:ascii="Times New Roman" w:hAnsi="Times New Roman"/>
          <w:b/>
          <w:bCs/>
          <w:lang w:bidi="ar"/>
        </w:rPr>
      </w:pPr>
    </w:p>
    <w:p w14:paraId="2CCCCC46">
      <w:pPr>
        <w:jc w:val="both"/>
        <w:rPr>
          <w:rFonts w:ascii="Times New Roman" w:hAnsi="Times New Roman"/>
          <w:b/>
          <w:bCs/>
          <w:lang w:bidi="ar"/>
        </w:rPr>
      </w:pPr>
    </w:p>
    <w:p w14:paraId="47C55539">
      <w:pPr>
        <w:rPr>
          <w:rStyle w:val="34"/>
          <w:rFonts w:ascii="Times New Roman" w:hAnsi="Times New Roman"/>
          <w:b/>
          <w:bCs/>
          <w:sz w:val="32"/>
          <w:szCs w:val="36"/>
        </w:rPr>
      </w:pPr>
      <w:r>
        <w:rPr>
          <w:rStyle w:val="34"/>
          <w:rFonts w:ascii="Times New Roman" w:hAnsi="Times New Roman"/>
          <w:b/>
          <w:bCs/>
          <w:sz w:val="32"/>
          <w:szCs w:val="36"/>
        </w:rPr>
        <w:t>Tables</w:t>
      </w:r>
    </w:p>
    <w:p w14:paraId="78634398">
      <w:pPr>
        <w:rPr>
          <w:rStyle w:val="34"/>
          <w:rFonts w:ascii="Times New Roman" w:hAnsi="Times New Roman"/>
          <w:b/>
          <w:bCs/>
        </w:rPr>
      </w:pPr>
      <w:r>
        <w:rPr>
          <w:rStyle w:val="34"/>
          <w:rFonts w:ascii="Times New Roman" w:hAnsi="Times New Roman"/>
          <w:b/>
          <w:bCs/>
        </w:rPr>
        <w:t>Table S</w:t>
      </w:r>
      <w:r>
        <w:rPr>
          <w:rStyle w:val="34"/>
          <w:rFonts w:ascii="Times New Roman" w:hAnsi="Times New Roman"/>
          <w:b/>
          <w:bCs/>
          <w:lang w:eastAsia="zh"/>
        </w:rPr>
        <w:t>1</w:t>
      </w:r>
      <w:r>
        <w:rPr>
          <w:rStyle w:val="34"/>
          <w:rFonts w:ascii="Times New Roman" w:hAnsi="Times New Roman"/>
          <w:b/>
          <w:bCs/>
        </w:rPr>
        <w:t xml:space="preserve">. </w:t>
      </w:r>
      <w:r>
        <w:rPr>
          <w:rFonts w:ascii="Times New Roman" w:hAnsi="Times New Roman"/>
          <w:b/>
          <w:bCs/>
          <w:lang w:bidi="ar"/>
        </w:rPr>
        <w:t>Brain regions of group difference with significant lateralization in GMV after FDR correction.</w:t>
      </w:r>
    </w:p>
    <w:tbl>
      <w:tblPr>
        <w:tblStyle w:val="2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1"/>
        <w:gridCol w:w="1430"/>
        <w:gridCol w:w="1451"/>
        <w:gridCol w:w="1120"/>
        <w:gridCol w:w="1120"/>
        <w:gridCol w:w="1120"/>
        <w:gridCol w:w="1473"/>
        <w:gridCol w:w="1228"/>
        <w:gridCol w:w="1473"/>
        <w:gridCol w:w="1230"/>
      </w:tblGrid>
      <w:tr w14:paraId="6EF385E3">
        <w:tc>
          <w:tcPr>
            <w:tcW w:w="1743" w:type="pct"/>
            <w:gridSpan w:val="3"/>
            <w:tcBorders>
              <w:top w:val="single" w:color="auto" w:sz="4" w:space="0"/>
              <w:left w:val="nil"/>
              <w:bottom w:val="nil"/>
              <w:right w:val="nil"/>
            </w:tcBorders>
            <w:vAlign w:val="center"/>
          </w:tcPr>
          <w:p w14:paraId="132520E6">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GMV</w:t>
            </w:r>
          </w:p>
        </w:tc>
        <w:tc>
          <w:tcPr>
            <w:tcW w:w="416" w:type="pct"/>
            <w:tcBorders>
              <w:top w:val="single" w:color="auto" w:sz="4" w:space="0"/>
              <w:left w:val="nil"/>
              <w:bottom w:val="nil"/>
              <w:right w:val="nil"/>
            </w:tcBorders>
            <w:vAlign w:val="center"/>
          </w:tcPr>
          <w:p w14:paraId="126BC2A4">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NC</w:t>
            </w:r>
          </w:p>
        </w:tc>
        <w:tc>
          <w:tcPr>
            <w:tcW w:w="416" w:type="pct"/>
            <w:tcBorders>
              <w:top w:val="single" w:color="auto" w:sz="4" w:space="0"/>
              <w:left w:val="nil"/>
              <w:bottom w:val="nil"/>
              <w:right w:val="nil"/>
            </w:tcBorders>
            <w:vAlign w:val="center"/>
          </w:tcPr>
          <w:p w14:paraId="4B16D210">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MCI</w:t>
            </w:r>
          </w:p>
        </w:tc>
        <w:tc>
          <w:tcPr>
            <w:tcW w:w="416" w:type="pct"/>
            <w:tcBorders>
              <w:top w:val="single" w:color="auto" w:sz="4" w:space="0"/>
              <w:left w:val="nil"/>
              <w:bottom w:val="nil"/>
              <w:right w:val="nil"/>
            </w:tcBorders>
            <w:vAlign w:val="center"/>
          </w:tcPr>
          <w:p w14:paraId="45858A67">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AD</w:t>
            </w:r>
          </w:p>
        </w:tc>
        <w:tc>
          <w:tcPr>
            <w:tcW w:w="1003" w:type="pct"/>
            <w:gridSpan w:val="2"/>
            <w:tcBorders>
              <w:top w:val="single" w:color="auto" w:sz="4" w:space="0"/>
              <w:left w:val="nil"/>
              <w:bottom w:val="nil"/>
              <w:right w:val="nil"/>
            </w:tcBorders>
            <w:vAlign w:val="center"/>
          </w:tcPr>
          <w:p w14:paraId="2F1B5C0C">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AD VS. NC</w:t>
            </w:r>
          </w:p>
        </w:tc>
        <w:tc>
          <w:tcPr>
            <w:tcW w:w="1004" w:type="pct"/>
            <w:gridSpan w:val="2"/>
            <w:tcBorders>
              <w:top w:val="single" w:color="auto" w:sz="4" w:space="0"/>
              <w:left w:val="nil"/>
              <w:bottom w:val="nil"/>
              <w:right w:val="nil"/>
            </w:tcBorders>
            <w:vAlign w:val="center"/>
          </w:tcPr>
          <w:p w14:paraId="47A70EE7">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AD VS. MCI</w:t>
            </w:r>
          </w:p>
        </w:tc>
      </w:tr>
      <w:tr w14:paraId="4D3C884B">
        <w:tc>
          <w:tcPr>
            <w:tcW w:w="673" w:type="pct"/>
            <w:tcBorders>
              <w:top w:val="nil"/>
              <w:left w:val="nil"/>
              <w:bottom w:val="single" w:color="auto" w:sz="4" w:space="0"/>
              <w:right w:val="nil"/>
            </w:tcBorders>
            <w:vAlign w:val="center"/>
          </w:tcPr>
          <w:p w14:paraId="0F644ABB">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Lobe</w:t>
            </w:r>
          </w:p>
        </w:tc>
        <w:tc>
          <w:tcPr>
            <w:tcW w:w="531" w:type="pct"/>
            <w:tcBorders>
              <w:top w:val="nil"/>
              <w:left w:val="nil"/>
              <w:bottom w:val="single" w:color="auto" w:sz="4" w:space="0"/>
              <w:right w:val="nil"/>
            </w:tcBorders>
            <w:vAlign w:val="center"/>
          </w:tcPr>
          <w:p w14:paraId="1593A5C1">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Gyrus</w:t>
            </w:r>
          </w:p>
        </w:tc>
        <w:tc>
          <w:tcPr>
            <w:tcW w:w="538" w:type="pct"/>
            <w:tcBorders>
              <w:top w:val="nil"/>
              <w:left w:val="nil"/>
              <w:bottom w:val="single" w:color="auto" w:sz="4" w:space="0"/>
              <w:right w:val="nil"/>
            </w:tcBorders>
            <w:vAlign w:val="center"/>
          </w:tcPr>
          <w:p w14:paraId="5C4A8AF8">
            <w:pPr>
              <w:widowControl/>
              <w:jc w:val="center"/>
              <w:textAlignment w:val="center"/>
              <w:rPr>
                <w:rFonts w:ascii="Times New Roman" w:hAnsi="Times New Roman"/>
                <w:b/>
                <w:bCs/>
                <w:color w:val="000000"/>
                <w:sz w:val="22"/>
                <w:szCs w:val="22"/>
                <w:lang w:eastAsia="zh" w:bidi="ar"/>
              </w:rPr>
            </w:pPr>
            <w:r>
              <w:rPr>
                <w:rFonts w:ascii="Times New Roman" w:hAnsi="Times New Roman"/>
                <w:b/>
                <w:bCs/>
                <w:color w:val="000000"/>
                <w:sz w:val="22"/>
                <w:szCs w:val="22"/>
                <w:lang w:eastAsia="zh" w:bidi="ar"/>
              </w:rPr>
              <w:t>Region</w:t>
            </w:r>
          </w:p>
        </w:tc>
        <w:tc>
          <w:tcPr>
            <w:tcW w:w="416" w:type="pct"/>
            <w:tcBorders>
              <w:top w:val="nil"/>
              <w:left w:val="nil"/>
              <w:bottom w:val="single" w:color="auto" w:sz="4" w:space="0"/>
              <w:right w:val="nil"/>
            </w:tcBorders>
            <w:vAlign w:val="center"/>
          </w:tcPr>
          <w:p w14:paraId="32C22C3A">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 xml:space="preserve">Mean </w:t>
            </w:r>
            <w:r>
              <w:rPr>
                <w:rFonts w:ascii="Times New Roman" w:hAnsi="Times New Roman"/>
                <w:b/>
                <w:bCs/>
                <w:color w:val="000000"/>
                <w:sz w:val="22"/>
                <w:szCs w:val="22"/>
                <w:lang w:bidi="ar"/>
              </w:rPr>
              <w:br w:type="textWrapping"/>
            </w:r>
            <w:r>
              <w:rPr>
                <w:rFonts w:ascii="Times New Roman" w:hAnsi="Times New Roman"/>
                <w:b/>
                <w:bCs/>
                <w:color w:val="000000"/>
                <w:sz w:val="22"/>
                <w:szCs w:val="22"/>
                <w:lang w:bidi="ar"/>
              </w:rPr>
              <w:t>AI</w:t>
            </w:r>
          </w:p>
        </w:tc>
        <w:tc>
          <w:tcPr>
            <w:tcW w:w="416" w:type="pct"/>
            <w:tcBorders>
              <w:top w:val="nil"/>
              <w:left w:val="nil"/>
              <w:bottom w:val="single" w:color="auto" w:sz="4" w:space="0"/>
              <w:right w:val="nil"/>
            </w:tcBorders>
            <w:vAlign w:val="center"/>
          </w:tcPr>
          <w:p w14:paraId="5E2788A2">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 xml:space="preserve">Mean </w:t>
            </w:r>
            <w:r>
              <w:rPr>
                <w:rFonts w:ascii="Times New Roman" w:hAnsi="Times New Roman"/>
                <w:b/>
                <w:bCs/>
                <w:color w:val="000000"/>
                <w:sz w:val="22"/>
                <w:szCs w:val="22"/>
                <w:lang w:bidi="ar"/>
              </w:rPr>
              <w:br w:type="textWrapping"/>
            </w:r>
            <w:r>
              <w:rPr>
                <w:rFonts w:ascii="Times New Roman" w:hAnsi="Times New Roman"/>
                <w:b/>
                <w:bCs/>
                <w:color w:val="000000"/>
                <w:sz w:val="22"/>
                <w:szCs w:val="22"/>
                <w:lang w:bidi="ar"/>
              </w:rPr>
              <w:t>AI</w:t>
            </w:r>
          </w:p>
        </w:tc>
        <w:tc>
          <w:tcPr>
            <w:tcW w:w="416" w:type="pct"/>
            <w:tcBorders>
              <w:top w:val="nil"/>
              <w:left w:val="nil"/>
              <w:bottom w:val="single" w:color="auto" w:sz="4" w:space="0"/>
              <w:right w:val="nil"/>
            </w:tcBorders>
            <w:vAlign w:val="center"/>
          </w:tcPr>
          <w:p w14:paraId="2DB18758">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 xml:space="preserve">Mean </w:t>
            </w:r>
            <w:r>
              <w:rPr>
                <w:rFonts w:ascii="Times New Roman" w:hAnsi="Times New Roman"/>
                <w:b/>
                <w:bCs/>
                <w:color w:val="000000"/>
                <w:sz w:val="22"/>
                <w:szCs w:val="22"/>
                <w:lang w:bidi="ar"/>
              </w:rPr>
              <w:br w:type="textWrapping"/>
            </w:r>
            <w:r>
              <w:rPr>
                <w:rFonts w:ascii="Times New Roman" w:hAnsi="Times New Roman"/>
                <w:b/>
                <w:bCs/>
                <w:color w:val="000000"/>
                <w:sz w:val="22"/>
                <w:szCs w:val="22"/>
                <w:lang w:bidi="ar"/>
              </w:rPr>
              <w:t>AI</w:t>
            </w:r>
          </w:p>
        </w:tc>
        <w:tc>
          <w:tcPr>
            <w:tcW w:w="547" w:type="pct"/>
            <w:tcBorders>
              <w:top w:val="nil"/>
              <w:left w:val="nil"/>
              <w:bottom w:val="single" w:color="auto" w:sz="4" w:space="0"/>
              <w:right w:val="nil"/>
            </w:tcBorders>
            <w:vAlign w:val="center"/>
          </w:tcPr>
          <w:p w14:paraId="0EA2024E">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Cohen's d</w:t>
            </w:r>
          </w:p>
        </w:tc>
        <w:tc>
          <w:tcPr>
            <w:tcW w:w="456" w:type="pct"/>
            <w:tcBorders>
              <w:top w:val="nil"/>
              <w:left w:val="nil"/>
              <w:bottom w:val="single" w:color="auto" w:sz="4" w:space="0"/>
              <w:right w:val="nil"/>
            </w:tcBorders>
            <w:vAlign w:val="center"/>
          </w:tcPr>
          <w:p w14:paraId="783F1AD0">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p-FDR</w:t>
            </w:r>
          </w:p>
        </w:tc>
        <w:tc>
          <w:tcPr>
            <w:tcW w:w="547" w:type="pct"/>
            <w:tcBorders>
              <w:top w:val="nil"/>
              <w:left w:val="nil"/>
              <w:bottom w:val="single" w:color="auto" w:sz="4" w:space="0"/>
              <w:right w:val="nil"/>
            </w:tcBorders>
            <w:vAlign w:val="center"/>
          </w:tcPr>
          <w:p w14:paraId="27F48B69">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Cohen's d</w:t>
            </w:r>
          </w:p>
        </w:tc>
        <w:tc>
          <w:tcPr>
            <w:tcW w:w="456" w:type="pct"/>
            <w:tcBorders>
              <w:top w:val="nil"/>
              <w:left w:val="nil"/>
              <w:bottom w:val="single" w:color="auto" w:sz="4" w:space="0"/>
              <w:right w:val="nil"/>
            </w:tcBorders>
            <w:vAlign w:val="center"/>
          </w:tcPr>
          <w:p w14:paraId="6B94F9B5">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p-FDR</w:t>
            </w:r>
          </w:p>
        </w:tc>
      </w:tr>
      <w:tr w14:paraId="12E97574">
        <w:tc>
          <w:tcPr>
            <w:tcW w:w="673" w:type="pct"/>
            <w:vMerge w:val="restart"/>
            <w:tcBorders>
              <w:top w:val="single" w:color="auto" w:sz="4" w:space="0"/>
              <w:left w:val="nil"/>
              <w:bottom w:val="nil"/>
              <w:right w:val="nil"/>
            </w:tcBorders>
            <w:vAlign w:val="center"/>
          </w:tcPr>
          <w:p w14:paraId="264582AF">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Frontal Lobe</w:t>
            </w:r>
          </w:p>
        </w:tc>
        <w:tc>
          <w:tcPr>
            <w:tcW w:w="531" w:type="pct"/>
            <w:tcBorders>
              <w:top w:val="single" w:color="auto" w:sz="4" w:space="0"/>
              <w:left w:val="nil"/>
              <w:bottom w:val="nil"/>
              <w:right w:val="nil"/>
            </w:tcBorders>
            <w:vAlign w:val="center"/>
          </w:tcPr>
          <w:p w14:paraId="53B33A7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IFG</w:t>
            </w:r>
          </w:p>
        </w:tc>
        <w:tc>
          <w:tcPr>
            <w:tcW w:w="538" w:type="pct"/>
            <w:tcBorders>
              <w:top w:val="single" w:color="auto" w:sz="4" w:space="0"/>
              <w:left w:val="nil"/>
              <w:bottom w:val="nil"/>
              <w:right w:val="nil"/>
            </w:tcBorders>
            <w:vAlign w:val="center"/>
          </w:tcPr>
          <w:p w14:paraId="1DD66DE7">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A44op</w:t>
            </w:r>
          </w:p>
        </w:tc>
        <w:tc>
          <w:tcPr>
            <w:tcW w:w="416" w:type="pct"/>
            <w:tcBorders>
              <w:top w:val="single" w:color="auto" w:sz="4" w:space="0"/>
              <w:left w:val="nil"/>
              <w:bottom w:val="nil"/>
              <w:right w:val="nil"/>
            </w:tcBorders>
            <w:vAlign w:val="center"/>
          </w:tcPr>
          <w:p w14:paraId="4642F0C3">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0.039</w:t>
            </w:r>
          </w:p>
        </w:tc>
        <w:tc>
          <w:tcPr>
            <w:tcW w:w="416" w:type="pct"/>
            <w:tcBorders>
              <w:top w:val="single" w:color="auto" w:sz="4" w:space="0"/>
              <w:left w:val="nil"/>
              <w:bottom w:val="nil"/>
              <w:right w:val="nil"/>
            </w:tcBorders>
            <w:vAlign w:val="center"/>
          </w:tcPr>
          <w:p w14:paraId="111B4B60">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0.026</w:t>
            </w:r>
          </w:p>
        </w:tc>
        <w:tc>
          <w:tcPr>
            <w:tcW w:w="416" w:type="pct"/>
            <w:tcBorders>
              <w:top w:val="single" w:color="auto" w:sz="4" w:space="0"/>
              <w:left w:val="nil"/>
              <w:bottom w:val="nil"/>
              <w:right w:val="nil"/>
            </w:tcBorders>
            <w:vAlign w:val="center"/>
          </w:tcPr>
          <w:p w14:paraId="5F274FE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-0.004</w:t>
            </w:r>
          </w:p>
        </w:tc>
        <w:tc>
          <w:tcPr>
            <w:tcW w:w="547" w:type="pct"/>
            <w:tcBorders>
              <w:top w:val="single" w:color="auto" w:sz="4" w:space="0"/>
              <w:left w:val="nil"/>
              <w:bottom w:val="nil"/>
              <w:right w:val="nil"/>
            </w:tcBorders>
            <w:vAlign w:val="center"/>
          </w:tcPr>
          <w:p w14:paraId="023058D0">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-0.359</w:t>
            </w:r>
          </w:p>
        </w:tc>
        <w:tc>
          <w:tcPr>
            <w:tcW w:w="456" w:type="pct"/>
            <w:tcBorders>
              <w:top w:val="single" w:color="auto" w:sz="4" w:space="0"/>
              <w:left w:val="nil"/>
              <w:bottom w:val="nil"/>
              <w:right w:val="nil"/>
            </w:tcBorders>
            <w:vAlign w:val="center"/>
          </w:tcPr>
          <w:p w14:paraId="13CBD086">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&lt;0.001</w:t>
            </w:r>
          </w:p>
        </w:tc>
        <w:tc>
          <w:tcPr>
            <w:tcW w:w="547" w:type="pct"/>
            <w:tcBorders>
              <w:top w:val="single" w:color="auto" w:sz="4" w:space="0"/>
              <w:left w:val="nil"/>
              <w:bottom w:val="nil"/>
              <w:right w:val="nil"/>
            </w:tcBorders>
            <w:vAlign w:val="center"/>
          </w:tcPr>
          <w:p w14:paraId="0D0B5790">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w:t>
            </w:r>
          </w:p>
        </w:tc>
        <w:tc>
          <w:tcPr>
            <w:tcW w:w="456" w:type="pct"/>
            <w:tcBorders>
              <w:top w:val="single" w:color="auto" w:sz="4" w:space="0"/>
              <w:left w:val="nil"/>
              <w:bottom w:val="nil"/>
              <w:right w:val="nil"/>
            </w:tcBorders>
            <w:vAlign w:val="center"/>
          </w:tcPr>
          <w:p w14:paraId="072AE03F">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w:t>
            </w:r>
          </w:p>
        </w:tc>
      </w:tr>
      <w:tr w14:paraId="2945C295">
        <w:tc>
          <w:tcPr>
            <w:tcW w:w="673" w:type="pct"/>
            <w:vMerge w:val="continue"/>
            <w:tcBorders>
              <w:top w:val="nil"/>
              <w:left w:val="nil"/>
              <w:bottom w:val="nil"/>
              <w:right w:val="nil"/>
            </w:tcBorders>
            <w:vAlign w:val="center"/>
          </w:tcPr>
          <w:p w14:paraId="214BAF32">
            <w:pPr>
              <w:widowControl w:val="0"/>
              <w:jc w:val="center"/>
              <w:rPr>
                <w:rFonts w:ascii="Times New Roman" w:hAnsi="Times New Roman"/>
                <w:color w:val="000000"/>
                <w:sz w:val="22"/>
                <w:szCs w:val="22"/>
              </w:rPr>
            </w:pPr>
          </w:p>
        </w:tc>
        <w:tc>
          <w:tcPr>
            <w:tcW w:w="531" w:type="pct"/>
            <w:tcBorders>
              <w:top w:val="nil"/>
              <w:left w:val="nil"/>
              <w:bottom w:val="nil"/>
              <w:right w:val="nil"/>
            </w:tcBorders>
            <w:vAlign w:val="center"/>
          </w:tcPr>
          <w:p w14:paraId="6F8CD2A6">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OrG</w:t>
            </w:r>
          </w:p>
        </w:tc>
        <w:tc>
          <w:tcPr>
            <w:tcW w:w="538" w:type="pct"/>
            <w:tcBorders>
              <w:top w:val="nil"/>
              <w:left w:val="nil"/>
              <w:bottom w:val="nil"/>
              <w:right w:val="nil"/>
            </w:tcBorders>
            <w:vAlign w:val="center"/>
          </w:tcPr>
          <w:p w14:paraId="087A2112">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A14m</w:t>
            </w:r>
          </w:p>
        </w:tc>
        <w:tc>
          <w:tcPr>
            <w:tcW w:w="416" w:type="pct"/>
            <w:tcBorders>
              <w:top w:val="nil"/>
              <w:left w:val="nil"/>
              <w:bottom w:val="nil"/>
              <w:right w:val="nil"/>
            </w:tcBorders>
            <w:vAlign w:val="center"/>
          </w:tcPr>
          <w:p w14:paraId="50535F4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-0.307</w:t>
            </w:r>
          </w:p>
        </w:tc>
        <w:tc>
          <w:tcPr>
            <w:tcW w:w="416" w:type="pct"/>
            <w:tcBorders>
              <w:top w:val="nil"/>
              <w:left w:val="nil"/>
              <w:bottom w:val="nil"/>
              <w:right w:val="nil"/>
            </w:tcBorders>
            <w:vAlign w:val="center"/>
          </w:tcPr>
          <w:p w14:paraId="297AA898">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-0.308</w:t>
            </w:r>
          </w:p>
        </w:tc>
        <w:tc>
          <w:tcPr>
            <w:tcW w:w="416" w:type="pct"/>
            <w:tcBorders>
              <w:top w:val="nil"/>
              <w:left w:val="nil"/>
              <w:bottom w:val="nil"/>
              <w:right w:val="nil"/>
            </w:tcBorders>
            <w:vAlign w:val="center"/>
          </w:tcPr>
          <w:p w14:paraId="61A2907B">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-0.274</w:t>
            </w:r>
          </w:p>
        </w:tc>
        <w:tc>
          <w:tcPr>
            <w:tcW w:w="547" w:type="pct"/>
            <w:tcBorders>
              <w:top w:val="nil"/>
              <w:left w:val="nil"/>
              <w:bottom w:val="nil"/>
              <w:right w:val="nil"/>
            </w:tcBorders>
            <w:vAlign w:val="center"/>
          </w:tcPr>
          <w:p w14:paraId="348DA08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0.321</w:t>
            </w:r>
          </w:p>
        </w:tc>
        <w:tc>
          <w:tcPr>
            <w:tcW w:w="456" w:type="pct"/>
            <w:tcBorders>
              <w:top w:val="nil"/>
              <w:left w:val="nil"/>
              <w:bottom w:val="nil"/>
              <w:right w:val="nil"/>
            </w:tcBorders>
            <w:vAlign w:val="center"/>
          </w:tcPr>
          <w:p w14:paraId="3854B08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0.003</w:t>
            </w:r>
          </w:p>
        </w:tc>
        <w:tc>
          <w:tcPr>
            <w:tcW w:w="547" w:type="pct"/>
            <w:tcBorders>
              <w:top w:val="nil"/>
              <w:left w:val="nil"/>
              <w:bottom w:val="nil"/>
              <w:right w:val="nil"/>
            </w:tcBorders>
            <w:vAlign w:val="center"/>
          </w:tcPr>
          <w:p w14:paraId="24047E63">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0.411</w:t>
            </w:r>
          </w:p>
        </w:tc>
        <w:tc>
          <w:tcPr>
            <w:tcW w:w="456" w:type="pct"/>
            <w:tcBorders>
              <w:top w:val="nil"/>
              <w:left w:val="nil"/>
              <w:bottom w:val="nil"/>
              <w:right w:val="nil"/>
            </w:tcBorders>
            <w:vAlign w:val="center"/>
          </w:tcPr>
          <w:p w14:paraId="5B716BE9">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0.011</w:t>
            </w:r>
          </w:p>
        </w:tc>
      </w:tr>
      <w:tr w14:paraId="5D05FB3F">
        <w:tc>
          <w:tcPr>
            <w:tcW w:w="673" w:type="pct"/>
            <w:vMerge w:val="continue"/>
            <w:tcBorders>
              <w:top w:val="nil"/>
              <w:left w:val="nil"/>
              <w:bottom w:val="nil"/>
              <w:right w:val="nil"/>
            </w:tcBorders>
            <w:vAlign w:val="center"/>
          </w:tcPr>
          <w:p w14:paraId="7446880C">
            <w:pPr>
              <w:widowControl w:val="0"/>
              <w:jc w:val="center"/>
              <w:rPr>
                <w:rFonts w:ascii="Times New Roman" w:hAnsi="Times New Roman"/>
                <w:color w:val="000000"/>
                <w:sz w:val="22"/>
                <w:szCs w:val="22"/>
              </w:rPr>
            </w:pPr>
          </w:p>
        </w:tc>
        <w:tc>
          <w:tcPr>
            <w:tcW w:w="531" w:type="pct"/>
            <w:tcBorders>
              <w:top w:val="nil"/>
              <w:left w:val="nil"/>
              <w:bottom w:val="nil"/>
              <w:right w:val="nil"/>
            </w:tcBorders>
            <w:vAlign w:val="center"/>
          </w:tcPr>
          <w:p w14:paraId="50DE1DDC">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PrG</w:t>
            </w:r>
          </w:p>
        </w:tc>
        <w:tc>
          <w:tcPr>
            <w:tcW w:w="538" w:type="pct"/>
            <w:tcBorders>
              <w:top w:val="nil"/>
              <w:left w:val="nil"/>
              <w:bottom w:val="nil"/>
              <w:right w:val="nil"/>
            </w:tcBorders>
            <w:vAlign w:val="center"/>
          </w:tcPr>
          <w:p w14:paraId="742C512B">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A6cdl</w:t>
            </w:r>
          </w:p>
        </w:tc>
        <w:tc>
          <w:tcPr>
            <w:tcW w:w="416" w:type="pct"/>
            <w:tcBorders>
              <w:top w:val="nil"/>
              <w:left w:val="nil"/>
              <w:bottom w:val="nil"/>
              <w:right w:val="nil"/>
            </w:tcBorders>
            <w:vAlign w:val="center"/>
          </w:tcPr>
          <w:p w14:paraId="6332CD10">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-0.331</w:t>
            </w:r>
          </w:p>
        </w:tc>
        <w:tc>
          <w:tcPr>
            <w:tcW w:w="416" w:type="pct"/>
            <w:tcBorders>
              <w:top w:val="nil"/>
              <w:left w:val="nil"/>
              <w:bottom w:val="nil"/>
              <w:right w:val="nil"/>
            </w:tcBorders>
            <w:vAlign w:val="center"/>
          </w:tcPr>
          <w:p w14:paraId="2EF1D520">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-0.331</w:t>
            </w:r>
          </w:p>
        </w:tc>
        <w:tc>
          <w:tcPr>
            <w:tcW w:w="416" w:type="pct"/>
            <w:tcBorders>
              <w:top w:val="nil"/>
              <w:left w:val="nil"/>
              <w:bottom w:val="nil"/>
              <w:right w:val="nil"/>
            </w:tcBorders>
            <w:vAlign w:val="center"/>
          </w:tcPr>
          <w:p w14:paraId="0E89FF33">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-0.299</w:t>
            </w:r>
          </w:p>
        </w:tc>
        <w:tc>
          <w:tcPr>
            <w:tcW w:w="547" w:type="pct"/>
            <w:tcBorders>
              <w:top w:val="nil"/>
              <w:left w:val="nil"/>
              <w:bottom w:val="nil"/>
              <w:right w:val="nil"/>
            </w:tcBorders>
            <w:vAlign w:val="center"/>
          </w:tcPr>
          <w:p w14:paraId="5F100172">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0.247</w:t>
            </w:r>
          </w:p>
        </w:tc>
        <w:tc>
          <w:tcPr>
            <w:tcW w:w="456" w:type="pct"/>
            <w:tcBorders>
              <w:top w:val="nil"/>
              <w:left w:val="nil"/>
              <w:bottom w:val="nil"/>
              <w:right w:val="nil"/>
            </w:tcBorders>
            <w:vAlign w:val="center"/>
          </w:tcPr>
          <w:p w14:paraId="04145BEB">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0.037</w:t>
            </w:r>
          </w:p>
        </w:tc>
        <w:tc>
          <w:tcPr>
            <w:tcW w:w="547" w:type="pct"/>
            <w:tcBorders>
              <w:top w:val="nil"/>
              <w:left w:val="nil"/>
              <w:bottom w:val="nil"/>
              <w:right w:val="nil"/>
            </w:tcBorders>
            <w:vAlign w:val="center"/>
          </w:tcPr>
          <w:p w14:paraId="1C16F042">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w:t>
            </w:r>
          </w:p>
        </w:tc>
        <w:tc>
          <w:tcPr>
            <w:tcW w:w="456" w:type="pct"/>
            <w:tcBorders>
              <w:top w:val="nil"/>
              <w:left w:val="nil"/>
              <w:bottom w:val="nil"/>
              <w:right w:val="nil"/>
            </w:tcBorders>
            <w:vAlign w:val="center"/>
          </w:tcPr>
          <w:p w14:paraId="370BDC0F">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w:t>
            </w:r>
          </w:p>
        </w:tc>
      </w:tr>
      <w:tr w14:paraId="23D0BAAF">
        <w:tc>
          <w:tcPr>
            <w:tcW w:w="673" w:type="pct"/>
            <w:vMerge w:val="restart"/>
            <w:tcBorders>
              <w:top w:val="nil"/>
              <w:left w:val="nil"/>
              <w:bottom w:val="nil"/>
              <w:right w:val="nil"/>
            </w:tcBorders>
            <w:vAlign w:val="center"/>
          </w:tcPr>
          <w:p w14:paraId="49848AE2">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Temporal Lobe</w:t>
            </w:r>
          </w:p>
        </w:tc>
        <w:tc>
          <w:tcPr>
            <w:tcW w:w="531" w:type="pct"/>
            <w:tcBorders>
              <w:top w:val="nil"/>
              <w:left w:val="nil"/>
              <w:bottom w:val="nil"/>
              <w:right w:val="nil"/>
            </w:tcBorders>
            <w:vAlign w:val="center"/>
          </w:tcPr>
          <w:p w14:paraId="7CD0E8A0">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STG</w:t>
            </w:r>
          </w:p>
        </w:tc>
        <w:tc>
          <w:tcPr>
            <w:tcW w:w="538" w:type="pct"/>
            <w:tcBorders>
              <w:top w:val="nil"/>
              <w:left w:val="nil"/>
              <w:bottom w:val="nil"/>
              <w:right w:val="nil"/>
            </w:tcBorders>
            <w:vAlign w:val="center"/>
          </w:tcPr>
          <w:p w14:paraId="75792ADF">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A22c</w:t>
            </w:r>
          </w:p>
        </w:tc>
        <w:tc>
          <w:tcPr>
            <w:tcW w:w="416" w:type="pct"/>
            <w:tcBorders>
              <w:top w:val="nil"/>
              <w:left w:val="nil"/>
              <w:bottom w:val="nil"/>
              <w:right w:val="nil"/>
            </w:tcBorders>
            <w:vAlign w:val="center"/>
          </w:tcPr>
          <w:p w14:paraId="446EAAD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0.867</w:t>
            </w:r>
          </w:p>
        </w:tc>
        <w:tc>
          <w:tcPr>
            <w:tcW w:w="416" w:type="pct"/>
            <w:tcBorders>
              <w:top w:val="nil"/>
              <w:left w:val="nil"/>
              <w:bottom w:val="nil"/>
              <w:right w:val="nil"/>
            </w:tcBorders>
            <w:vAlign w:val="center"/>
          </w:tcPr>
          <w:p w14:paraId="649BECD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0.833</w:t>
            </w:r>
          </w:p>
        </w:tc>
        <w:tc>
          <w:tcPr>
            <w:tcW w:w="416" w:type="pct"/>
            <w:tcBorders>
              <w:top w:val="nil"/>
              <w:left w:val="nil"/>
              <w:bottom w:val="nil"/>
              <w:right w:val="nil"/>
            </w:tcBorders>
            <w:vAlign w:val="center"/>
          </w:tcPr>
          <w:p w14:paraId="4CDACB6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0.770</w:t>
            </w:r>
          </w:p>
        </w:tc>
        <w:tc>
          <w:tcPr>
            <w:tcW w:w="547" w:type="pct"/>
            <w:tcBorders>
              <w:top w:val="nil"/>
              <w:left w:val="nil"/>
              <w:bottom w:val="nil"/>
              <w:right w:val="nil"/>
            </w:tcBorders>
            <w:vAlign w:val="center"/>
          </w:tcPr>
          <w:p w14:paraId="00BAF91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-0.548</w:t>
            </w:r>
          </w:p>
        </w:tc>
        <w:tc>
          <w:tcPr>
            <w:tcW w:w="456" w:type="pct"/>
            <w:tcBorders>
              <w:top w:val="nil"/>
              <w:left w:val="nil"/>
              <w:bottom w:val="nil"/>
              <w:right w:val="nil"/>
            </w:tcBorders>
            <w:vAlign w:val="center"/>
          </w:tcPr>
          <w:p w14:paraId="1FF23DFF">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0.003</w:t>
            </w:r>
          </w:p>
        </w:tc>
        <w:tc>
          <w:tcPr>
            <w:tcW w:w="547" w:type="pct"/>
            <w:tcBorders>
              <w:top w:val="nil"/>
              <w:left w:val="nil"/>
              <w:bottom w:val="nil"/>
              <w:right w:val="nil"/>
            </w:tcBorders>
            <w:vAlign w:val="center"/>
          </w:tcPr>
          <w:p w14:paraId="2B412F4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w:t>
            </w:r>
          </w:p>
        </w:tc>
        <w:tc>
          <w:tcPr>
            <w:tcW w:w="456" w:type="pct"/>
            <w:tcBorders>
              <w:top w:val="nil"/>
              <w:left w:val="nil"/>
              <w:bottom w:val="nil"/>
              <w:right w:val="nil"/>
            </w:tcBorders>
            <w:vAlign w:val="center"/>
          </w:tcPr>
          <w:p w14:paraId="7EBFEC1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w:t>
            </w:r>
          </w:p>
        </w:tc>
      </w:tr>
      <w:tr w14:paraId="46A11FA6">
        <w:trPr>
          <w:trHeight w:val="90" w:hRule="atLeast"/>
        </w:trPr>
        <w:tc>
          <w:tcPr>
            <w:tcW w:w="673" w:type="pct"/>
            <w:vMerge w:val="continue"/>
            <w:tcBorders>
              <w:top w:val="nil"/>
              <w:left w:val="nil"/>
              <w:bottom w:val="nil"/>
              <w:right w:val="nil"/>
            </w:tcBorders>
            <w:vAlign w:val="center"/>
          </w:tcPr>
          <w:p w14:paraId="19968DBD">
            <w:pPr>
              <w:widowControl w:val="0"/>
              <w:jc w:val="center"/>
              <w:rPr>
                <w:rFonts w:ascii="Times New Roman" w:hAnsi="Times New Roman"/>
                <w:color w:val="000000"/>
                <w:sz w:val="22"/>
                <w:szCs w:val="22"/>
              </w:rPr>
            </w:pPr>
          </w:p>
        </w:tc>
        <w:tc>
          <w:tcPr>
            <w:tcW w:w="531" w:type="pct"/>
            <w:tcBorders>
              <w:top w:val="nil"/>
              <w:left w:val="nil"/>
              <w:bottom w:val="nil"/>
              <w:right w:val="nil"/>
            </w:tcBorders>
            <w:vAlign w:val="center"/>
          </w:tcPr>
          <w:p w14:paraId="3FC84E0C">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ITG</w:t>
            </w:r>
          </w:p>
        </w:tc>
        <w:tc>
          <w:tcPr>
            <w:tcW w:w="538" w:type="pct"/>
            <w:tcBorders>
              <w:top w:val="nil"/>
              <w:left w:val="nil"/>
              <w:bottom w:val="nil"/>
              <w:right w:val="nil"/>
            </w:tcBorders>
            <w:vAlign w:val="center"/>
          </w:tcPr>
          <w:p w14:paraId="0266F9A8">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A20iv</w:t>
            </w:r>
          </w:p>
        </w:tc>
        <w:tc>
          <w:tcPr>
            <w:tcW w:w="416" w:type="pct"/>
            <w:tcBorders>
              <w:top w:val="nil"/>
              <w:left w:val="nil"/>
              <w:bottom w:val="nil"/>
              <w:right w:val="nil"/>
            </w:tcBorders>
            <w:vAlign w:val="center"/>
          </w:tcPr>
          <w:p w14:paraId="43844699">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0.889</w:t>
            </w:r>
          </w:p>
        </w:tc>
        <w:tc>
          <w:tcPr>
            <w:tcW w:w="416" w:type="pct"/>
            <w:tcBorders>
              <w:top w:val="nil"/>
              <w:left w:val="nil"/>
              <w:bottom w:val="nil"/>
              <w:right w:val="nil"/>
            </w:tcBorders>
            <w:vAlign w:val="center"/>
          </w:tcPr>
          <w:p w14:paraId="449527A3">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0.868</w:t>
            </w:r>
          </w:p>
        </w:tc>
        <w:tc>
          <w:tcPr>
            <w:tcW w:w="416" w:type="pct"/>
            <w:tcBorders>
              <w:top w:val="nil"/>
              <w:left w:val="nil"/>
              <w:bottom w:val="nil"/>
              <w:right w:val="nil"/>
            </w:tcBorders>
            <w:vAlign w:val="center"/>
          </w:tcPr>
          <w:p w14:paraId="291E70B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0.847</w:t>
            </w:r>
          </w:p>
        </w:tc>
        <w:tc>
          <w:tcPr>
            <w:tcW w:w="547" w:type="pct"/>
            <w:tcBorders>
              <w:top w:val="nil"/>
              <w:left w:val="nil"/>
              <w:bottom w:val="nil"/>
              <w:right w:val="nil"/>
            </w:tcBorders>
            <w:vAlign w:val="center"/>
          </w:tcPr>
          <w:p w14:paraId="0FD69717">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-0.243</w:t>
            </w:r>
          </w:p>
        </w:tc>
        <w:tc>
          <w:tcPr>
            <w:tcW w:w="456" w:type="pct"/>
            <w:tcBorders>
              <w:top w:val="nil"/>
              <w:left w:val="nil"/>
              <w:bottom w:val="nil"/>
              <w:right w:val="nil"/>
            </w:tcBorders>
            <w:vAlign w:val="center"/>
          </w:tcPr>
          <w:p w14:paraId="366EFDD6">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0.041</w:t>
            </w:r>
          </w:p>
        </w:tc>
        <w:tc>
          <w:tcPr>
            <w:tcW w:w="547" w:type="pct"/>
            <w:tcBorders>
              <w:top w:val="nil"/>
              <w:left w:val="nil"/>
              <w:bottom w:val="nil"/>
              <w:right w:val="nil"/>
            </w:tcBorders>
            <w:vAlign w:val="center"/>
          </w:tcPr>
          <w:p w14:paraId="5B0CC239">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w:t>
            </w:r>
          </w:p>
        </w:tc>
        <w:tc>
          <w:tcPr>
            <w:tcW w:w="456" w:type="pct"/>
            <w:tcBorders>
              <w:top w:val="nil"/>
              <w:left w:val="nil"/>
              <w:bottom w:val="nil"/>
              <w:right w:val="nil"/>
            </w:tcBorders>
            <w:vAlign w:val="center"/>
          </w:tcPr>
          <w:p w14:paraId="1383E97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w:t>
            </w:r>
          </w:p>
        </w:tc>
      </w:tr>
      <w:tr w14:paraId="51B67AF8">
        <w:tc>
          <w:tcPr>
            <w:tcW w:w="673" w:type="pct"/>
            <w:vMerge w:val="continue"/>
            <w:tcBorders>
              <w:top w:val="nil"/>
              <w:left w:val="nil"/>
              <w:bottom w:val="nil"/>
              <w:right w:val="nil"/>
            </w:tcBorders>
            <w:vAlign w:val="center"/>
          </w:tcPr>
          <w:p w14:paraId="2E4808D5">
            <w:pPr>
              <w:widowControl w:val="0"/>
              <w:jc w:val="center"/>
              <w:rPr>
                <w:rFonts w:ascii="Times New Roman" w:hAnsi="Times New Roman"/>
                <w:color w:val="000000"/>
                <w:sz w:val="22"/>
                <w:szCs w:val="22"/>
              </w:rPr>
            </w:pPr>
          </w:p>
        </w:tc>
        <w:tc>
          <w:tcPr>
            <w:tcW w:w="531" w:type="pct"/>
            <w:tcBorders>
              <w:top w:val="nil"/>
              <w:left w:val="nil"/>
              <w:bottom w:val="nil"/>
              <w:right w:val="nil"/>
            </w:tcBorders>
            <w:vAlign w:val="center"/>
          </w:tcPr>
          <w:p w14:paraId="1C87B1F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FuG</w:t>
            </w:r>
          </w:p>
        </w:tc>
        <w:tc>
          <w:tcPr>
            <w:tcW w:w="538" w:type="pct"/>
            <w:tcBorders>
              <w:top w:val="nil"/>
              <w:left w:val="nil"/>
              <w:bottom w:val="nil"/>
              <w:right w:val="nil"/>
            </w:tcBorders>
            <w:vAlign w:val="center"/>
          </w:tcPr>
          <w:p w14:paraId="1CC226DF">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A37lv</w:t>
            </w:r>
          </w:p>
        </w:tc>
        <w:tc>
          <w:tcPr>
            <w:tcW w:w="416" w:type="pct"/>
            <w:tcBorders>
              <w:top w:val="nil"/>
              <w:left w:val="nil"/>
              <w:bottom w:val="nil"/>
              <w:right w:val="nil"/>
            </w:tcBorders>
            <w:vAlign w:val="center"/>
          </w:tcPr>
          <w:p w14:paraId="5F59F4F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0.008</w:t>
            </w:r>
          </w:p>
        </w:tc>
        <w:tc>
          <w:tcPr>
            <w:tcW w:w="416" w:type="pct"/>
            <w:tcBorders>
              <w:top w:val="nil"/>
              <w:left w:val="nil"/>
              <w:bottom w:val="nil"/>
              <w:right w:val="nil"/>
            </w:tcBorders>
            <w:vAlign w:val="center"/>
          </w:tcPr>
          <w:p w14:paraId="19171A79">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0.000</w:t>
            </w:r>
          </w:p>
        </w:tc>
        <w:tc>
          <w:tcPr>
            <w:tcW w:w="416" w:type="pct"/>
            <w:tcBorders>
              <w:top w:val="nil"/>
              <w:left w:val="nil"/>
              <w:bottom w:val="nil"/>
              <w:right w:val="nil"/>
            </w:tcBorders>
            <w:vAlign w:val="center"/>
          </w:tcPr>
          <w:p w14:paraId="265F41A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0.048</w:t>
            </w:r>
          </w:p>
        </w:tc>
        <w:tc>
          <w:tcPr>
            <w:tcW w:w="547" w:type="pct"/>
            <w:tcBorders>
              <w:top w:val="nil"/>
              <w:left w:val="nil"/>
              <w:bottom w:val="nil"/>
              <w:right w:val="nil"/>
            </w:tcBorders>
            <w:vAlign w:val="center"/>
          </w:tcPr>
          <w:p w14:paraId="2F66E8F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0.272</w:t>
            </w:r>
          </w:p>
        </w:tc>
        <w:tc>
          <w:tcPr>
            <w:tcW w:w="456" w:type="pct"/>
            <w:tcBorders>
              <w:top w:val="nil"/>
              <w:left w:val="nil"/>
              <w:bottom w:val="nil"/>
              <w:right w:val="nil"/>
            </w:tcBorders>
            <w:vAlign w:val="center"/>
          </w:tcPr>
          <w:p w14:paraId="1A03BC73">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0.027</w:t>
            </w:r>
          </w:p>
        </w:tc>
        <w:tc>
          <w:tcPr>
            <w:tcW w:w="547" w:type="pct"/>
            <w:tcBorders>
              <w:top w:val="nil"/>
              <w:left w:val="nil"/>
              <w:bottom w:val="nil"/>
              <w:right w:val="nil"/>
            </w:tcBorders>
            <w:vAlign w:val="center"/>
          </w:tcPr>
          <w:p w14:paraId="1C613928">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w:t>
            </w:r>
          </w:p>
        </w:tc>
        <w:tc>
          <w:tcPr>
            <w:tcW w:w="456" w:type="pct"/>
            <w:tcBorders>
              <w:top w:val="nil"/>
              <w:left w:val="nil"/>
              <w:bottom w:val="nil"/>
              <w:right w:val="nil"/>
            </w:tcBorders>
            <w:vAlign w:val="center"/>
          </w:tcPr>
          <w:p w14:paraId="58DA81E8">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w:t>
            </w:r>
          </w:p>
        </w:tc>
      </w:tr>
      <w:tr w14:paraId="22A30773">
        <w:tc>
          <w:tcPr>
            <w:tcW w:w="673" w:type="pct"/>
            <w:vMerge w:val="continue"/>
            <w:tcBorders>
              <w:top w:val="nil"/>
              <w:left w:val="nil"/>
              <w:bottom w:val="nil"/>
              <w:right w:val="nil"/>
            </w:tcBorders>
            <w:vAlign w:val="center"/>
          </w:tcPr>
          <w:p w14:paraId="60986631">
            <w:pPr>
              <w:widowControl w:val="0"/>
              <w:jc w:val="center"/>
              <w:rPr>
                <w:rFonts w:ascii="Times New Roman" w:hAnsi="Times New Roman"/>
                <w:color w:val="000000"/>
                <w:sz w:val="22"/>
                <w:szCs w:val="22"/>
              </w:rPr>
            </w:pPr>
          </w:p>
        </w:tc>
        <w:tc>
          <w:tcPr>
            <w:tcW w:w="531" w:type="pct"/>
            <w:vMerge w:val="restart"/>
            <w:tcBorders>
              <w:top w:val="nil"/>
              <w:left w:val="nil"/>
              <w:bottom w:val="nil"/>
              <w:right w:val="nil"/>
            </w:tcBorders>
            <w:vAlign w:val="center"/>
          </w:tcPr>
          <w:p w14:paraId="5195476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PhG</w:t>
            </w:r>
          </w:p>
        </w:tc>
        <w:tc>
          <w:tcPr>
            <w:tcW w:w="538" w:type="pct"/>
            <w:tcBorders>
              <w:top w:val="nil"/>
              <w:left w:val="nil"/>
              <w:bottom w:val="nil"/>
              <w:right w:val="nil"/>
            </w:tcBorders>
            <w:vAlign w:val="center"/>
          </w:tcPr>
          <w:p w14:paraId="66E23ACC">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A35_36r</w:t>
            </w:r>
          </w:p>
        </w:tc>
        <w:tc>
          <w:tcPr>
            <w:tcW w:w="416" w:type="pct"/>
            <w:tcBorders>
              <w:top w:val="nil"/>
              <w:left w:val="nil"/>
              <w:bottom w:val="nil"/>
              <w:right w:val="nil"/>
            </w:tcBorders>
            <w:vAlign w:val="center"/>
          </w:tcPr>
          <w:p w14:paraId="0FF69D46">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-0.017</w:t>
            </w:r>
          </w:p>
        </w:tc>
        <w:tc>
          <w:tcPr>
            <w:tcW w:w="416" w:type="pct"/>
            <w:tcBorders>
              <w:top w:val="nil"/>
              <w:left w:val="nil"/>
              <w:bottom w:val="nil"/>
              <w:right w:val="nil"/>
            </w:tcBorders>
            <w:vAlign w:val="center"/>
          </w:tcPr>
          <w:p w14:paraId="02FC2EE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0.009</w:t>
            </w:r>
          </w:p>
        </w:tc>
        <w:tc>
          <w:tcPr>
            <w:tcW w:w="416" w:type="pct"/>
            <w:tcBorders>
              <w:top w:val="nil"/>
              <w:left w:val="nil"/>
              <w:bottom w:val="nil"/>
              <w:right w:val="nil"/>
            </w:tcBorders>
            <w:vAlign w:val="center"/>
          </w:tcPr>
          <w:p w14:paraId="1F9FBDF7">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0.069</w:t>
            </w:r>
          </w:p>
        </w:tc>
        <w:tc>
          <w:tcPr>
            <w:tcW w:w="547" w:type="pct"/>
            <w:tcBorders>
              <w:top w:val="nil"/>
              <w:left w:val="nil"/>
              <w:bottom w:val="nil"/>
              <w:right w:val="nil"/>
            </w:tcBorders>
            <w:vAlign w:val="center"/>
          </w:tcPr>
          <w:p w14:paraId="4E477E1B">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0.372</w:t>
            </w:r>
          </w:p>
        </w:tc>
        <w:tc>
          <w:tcPr>
            <w:tcW w:w="456" w:type="pct"/>
            <w:tcBorders>
              <w:top w:val="nil"/>
              <w:left w:val="nil"/>
              <w:bottom w:val="nil"/>
              <w:right w:val="nil"/>
            </w:tcBorders>
            <w:vAlign w:val="center"/>
          </w:tcPr>
          <w:p w14:paraId="27BDA65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0.004</w:t>
            </w:r>
          </w:p>
        </w:tc>
        <w:tc>
          <w:tcPr>
            <w:tcW w:w="547" w:type="pct"/>
            <w:tcBorders>
              <w:top w:val="nil"/>
              <w:left w:val="nil"/>
              <w:bottom w:val="nil"/>
              <w:right w:val="nil"/>
            </w:tcBorders>
            <w:vAlign w:val="center"/>
          </w:tcPr>
          <w:p w14:paraId="31A2BA29">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w:t>
            </w:r>
          </w:p>
        </w:tc>
        <w:tc>
          <w:tcPr>
            <w:tcW w:w="456" w:type="pct"/>
            <w:tcBorders>
              <w:top w:val="nil"/>
              <w:left w:val="nil"/>
              <w:bottom w:val="nil"/>
              <w:right w:val="nil"/>
            </w:tcBorders>
            <w:vAlign w:val="center"/>
          </w:tcPr>
          <w:p w14:paraId="4ACC81F9">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w:t>
            </w:r>
          </w:p>
        </w:tc>
      </w:tr>
      <w:tr w14:paraId="79C8A81F">
        <w:tc>
          <w:tcPr>
            <w:tcW w:w="673" w:type="pct"/>
            <w:vMerge w:val="continue"/>
            <w:tcBorders>
              <w:top w:val="nil"/>
              <w:left w:val="nil"/>
              <w:bottom w:val="nil"/>
              <w:right w:val="nil"/>
            </w:tcBorders>
            <w:vAlign w:val="center"/>
          </w:tcPr>
          <w:p w14:paraId="63618005">
            <w:pPr>
              <w:widowControl w:val="0"/>
              <w:jc w:val="center"/>
              <w:rPr>
                <w:rFonts w:ascii="Times New Roman" w:hAnsi="Times New Roman"/>
                <w:color w:val="000000"/>
                <w:sz w:val="22"/>
                <w:szCs w:val="22"/>
              </w:rPr>
            </w:pPr>
          </w:p>
        </w:tc>
        <w:tc>
          <w:tcPr>
            <w:tcW w:w="531" w:type="pct"/>
            <w:vMerge w:val="continue"/>
            <w:tcBorders>
              <w:top w:val="nil"/>
              <w:left w:val="nil"/>
              <w:bottom w:val="nil"/>
              <w:right w:val="nil"/>
            </w:tcBorders>
            <w:vAlign w:val="center"/>
          </w:tcPr>
          <w:p w14:paraId="2E793754">
            <w:pPr>
              <w:widowControl w:val="0"/>
              <w:jc w:val="center"/>
              <w:rPr>
                <w:rFonts w:ascii="Times New Roman" w:hAnsi="Times New Roman"/>
                <w:color w:val="000000"/>
                <w:sz w:val="22"/>
                <w:szCs w:val="22"/>
              </w:rPr>
            </w:pPr>
          </w:p>
        </w:tc>
        <w:tc>
          <w:tcPr>
            <w:tcW w:w="538" w:type="pct"/>
            <w:tcBorders>
              <w:top w:val="nil"/>
              <w:left w:val="nil"/>
              <w:bottom w:val="nil"/>
              <w:right w:val="nil"/>
            </w:tcBorders>
            <w:vAlign w:val="center"/>
          </w:tcPr>
          <w:p w14:paraId="7B4C607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A35_36c</w:t>
            </w:r>
          </w:p>
        </w:tc>
        <w:tc>
          <w:tcPr>
            <w:tcW w:w="416" w:type="pct"/>
            <w:tcBorders>
              <w:top w:val="nil"/>
              <w:left w:val="nil"/>
              <w:bottom w:val="nil"/>
              <w:right w:val="nil"/>
            </w:tcBorders>
            <w:vAlign w:val="center"/>
          </w:tcPr>
          <w:p w14:paraId="3C1E867C">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-0.153</w:t>
            </w:r>
          </w:p>
        </w:tc>
        <w:tc>
          <w:tcPr>
            <w:tcW w:w="416" w:type="pct"/>
            <w:tcBorders>
              <w:top w:val="nil"/>
              <w:left w:val="nil"/>
              <w:bottom w:val="nil"/>
              <w:right w:val="nil"/>
            </w:tcBorders>
            <w:vAlign w:val="center"/>
          </w:tcPr>
          <w:p w14:paraId="7A1A0C40">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-0.149</w:t>
            </w:r>
          </w:p>
        </w:tc>
        <w:tc>
          <w:tcPr>
            <w:tcW w:w="416" w:type="pct"/>
            <w:tcBorders>
              <w:top w:val="nil"/>
              <w:left w:val="nil"/>
              <w:bottom w:val="nil"/>
              <w:right w:val="nil"/>
            </w:tcBorders>
            <w:vAlign w:val="center"/>
          </w:tcPr>
          <w:p w14:paraId="5454DED9">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-0.088</w:t>
            </w:r>
          </w:p>
        </w:tc>
        <w:tc>
          <w:tcPr>
            <w:tcW w:w="547" w:type="pct"/>
            <w:tcBorders>
              <w:top w:val="nil"/>
              <w:left w:val="nil"/>
              <w:bottom w:val="nil"/>
              <w:right w:val="nil"/>
            </w:tcBorders>
            <w:vAlign w:val="center"/>
          </w:tcPr>
          <w:p w14:paraId="56F5FE60">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0.501</w:t>
            </w:r>
          </w:p>
        </w:tc>
        <w:tc>
          <w:tcPr>
            <w:tcW w:w="456" w:type="pct"/>
            <w:tcBorders>
              <w:top w:val="nil"/>
              <w:left w:val="nil"/>
              <w:bottom w:val="nil"/>
              <w:right w:val="nil"/>
            </w:tcBorders>
            <w:vAlign w:val="center"/>
          </w:tcPr>
          <w:p w14:paraId="362C970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&lt;0.001</w:t>
            </w:r>
          </w:p>
        </w:tc>
        <w:tc>
          <w:tcPr>
            <w:tcW w:w="547" w:type="pct"/>
            <w:tcBorders>
              <w:top w:val="nil"/>
              <w:left w:val="nil"/>
              <w:bottom w:val="nil"/>
              <w:right w:val="nil"/>
            </w:tcBorders>
            <w:vAlign w:val="center"/>
          </w:tcPr>
          <w:p w14:paraId="67AA751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0.486</w:t>
            </w:r>
          </w:p>
        </w:tc>
        <w:tc>
          <w:tcPr>
            <w:tcW w:w="456" w:type="pct"/>
            <w:tcBorders>
              <w:top w:val="nil"/>
              <w:left w:val="nil"/>
              <w:bottom w:val="nil"/>
              <w:right w:val="nil"/>
            </w:tcBorders>
            <w:vAlign w:val="center"/>
          </w:tcPr>
          <w:p w14:paraId="115B61E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0.002</w:t>
            </w:r>
          </w:p>
        </w:tc>
      </w:tr>
      <w:tr w14:paraId="78287023">
        <w:tc>
          <w:tcPr>
            <w:tcW w:w="673" w:type="pct"/>
            <w:vMerge w:val="continue"/>
            <w:tcBorders>
              <w:top w:val="nil"/>
              <w:left w:val="nil"/>
              <w:bottom w:val="nil"/>
              <w:right w:val="nil"/>
            </w:tcBorders>
            <w:vAlign w:val="center"/>
          </w:tcPr>
          <w:p w14:paraId="21E6A41A">
            <w:pPr>
              <w:widowControl w:val="0"/>
              <w:jc w:val="center"/>
              <w:rPr>
                <w:rFonts w:ascii="Times New Roman" w:hAnsi="Times New Roman"/>
                <w:color w:val="000000"/>
                <w:sz w:val="22"/>
                <w:szCs w:val="22"/>
              </w:rPr>
            </w:pPr>
          </w:p>
        </w:tc>
        <w:tc>
          <w:tcPr>
            <w:tcW w:w="531" w:type="pct"/>
            <w:vMerge w:val="continue"/>
            <w:tcBorders>
              <w:top w:val="nil"/>
              <w:left w:val="nil"/>
              <w:bottom w:val="nil"/>
              <w:right w:val="nil"/>
            </w:tcBorders>
            <w:vAlign w:val="center"/>
          </w:tcPr>
          <w:p w14:paraId="28323038">
            <w:pPr>
              <w:widowControl w:val="0"/>
              <w:jc w:val="center"/>
              <w:rPr>
                <w:rFonts w:ascii="Times New Roman" w:hAnsi="Times New Roman"/>
                <w:color w:val="000000"/>
                <w:sz w:val="22"/>
                <w:szCs w:val="22"/>
              </w:rPr>
            </w:pPr>
          </w:p>
        </w:tc>
        <w:tc>
          <w:tcPr>
            <w:tcW w:w="538" w:type="pct"/>
            <w:tcBorders>
              <w:top w:val="nil"/>
              <w:left w:val="nil"/>
              <w:bottom w:val="nil"/>
              <w:right w:val="nil"/>
            </w:tcBorders>
            <w:vAlign w:val="center"/>
          </w:tcPr>
          <w:p w14:paraId="2870A5B8">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TH</w:t>
            </w:r>
          </w:p>
        </w:tc>
        <w:tc>
          <w:tcPr>
            <w:tcW w:w="416" w:type="pct"/>
            <w:tcBorders>
              <w:top w:val="nil"/>
              <w:left w:val="nil"/>
              <w:bottom w:val="nil"/>
              <w:right w:val="nil"/>
            </w:tcBorders>
            <w:vAlign w:val="center"/>
          </w:tcPr>
          <w:p w14:paraId="0492415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-0.069</w:t>
            </w:r>
          </w:p>
        </w:tc>
        <w:tc>
          <w:tcPr>
            <w:tcW w:w="416" w:type="pct"/>
            <w:tcBorders>
              <w:top w:val="nil"/>
              <w:left w:val="nil"/>
              <w:bottom w:val="nil"/>
              <w:right w:val="nil"/>
            </w:tcBorders>
            <w:vAlign w:val="center"/>
          </w:tcPr>
          <w:p w14:paraId="79E2452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-0.067</w:t>
            </w:r>
          </w:p>
        </w:tc>
        <w:tc>
          <w:tcPr>
            <w:tcW w:w="416" w:type="pct"/>
            <w:tcBorders>
              <w:top w:val="nil"/>
              <w:left w:val="nil"/>
              <w:bottom w:val="nil"/>
              <w:right w:val="nil"/>
            </w:tcBorders>
            <w:vAlign w:val="center"/>
          </w:tcPr>
          <w:p w14:paraId="7882F39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-0.013</w:t>
            </w:r>
          </w:p>
        </w:tc>
        <w:tc>
          <w:tcPr>
            <w:tcW w:w="547" w:type="pct"/>
            <w:tcBorders>
              <w:top w:val="nil"/>
              <w:left w:val="nil"/>
              <w:bottom w:val="nil"/>
              <w:right w:val="nil"/>
            </w:tcBorders>
            <w:vAlign w:val="center"/>
          </w:tcPr>
          <w:p w14:paraId="52C85B72">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0.413</w:t>
            </w:r>
          </w:p>
        </w:tc>
        <w:tc>
          <w:tcPr>
            <w:tcW w:w="456" w:type="pct"/>
            <w:tcBorders>
              <w:top w:val="nil"/>
              <w:left w:val="nil"/>
              <w:bottom w:val="nil"/>
              <w:right w:val="nil"/>
            </w:tcBorders>
            <w:vAlign w:val="center"/>
          </w:tcPr>
          <w:p w14:paraId="6B691208">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&lt;0.001</w:t>
            </w:r>
          </w:p>
        </w:tc>
        <w:tc>
          <w:tcPr>
            <w:tcW w:w="547" w:type="pct"/>
            <w:tcBorders>
              <w:top w:val="nil"/>
              <w:left w:val="nil"/>
              <w:bottom w:val="nil"/>
              <w:right w:val="nil"/>
            </w:tcBorders>
            <w:vAlign w:val="center"/>
          </w:tcPr>
          <w:p w14:paraId="38E5B32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0.402</w:t>
            </w:r>
          </w:p>
        </w:tc>
        <w:tc>
          <w:tcPr>
            <w:tcW w:w="456" w:type="pct"/>
            <w:tcBorders>
              <w:top w:val="nil"/>
              <w:left w:val="nil"/>
              <w:bottom w:val="nil"/>
              <w:right w:val="nil"/>
            </w:tcBorders>
            <w:vAlign w:val="center"/>
          </w:tcPr>
          <w:p w14:paraId="5F165E3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0.021</w:t>
            </w:r>
          </w:p>
        </w:tc>
      </w:tr>
      <w:tr w14:paraId="64A41B57">
        <w:tc>
          <w:tcPr>
            <w:tcW w:w="673" w:type="pct"/>
            <w:vMerge w:val="continue"/>
            <w:tcBorders>
              <w:top w:val="nil"/>
              <w:left w:val="nil"/>
              <w:bottom w:val="nil"/>
              <w:right w:val="nil"/>
            </w:tcBorders>
            <w:vAlign w:val="center"/>
          </w:tcPr>
          <w:p w14:paraId="4262F5F6">
            <w:pPr>
              <w:widowControl w:val="0"/>
              <w:jc w:val="center"/>
              <w:rPr>
                <w:rFonts w:ascii="Times New Roman" w:hAnsi="Times New Roman"/>
                <w:color w:val="000000"/>
                <w:sz w:val="22"/>
                <w:szCs w:val="22"/>
              </w:rPr>
            </w:pPr>
          </w:p>
        </w:tc>
        <w:tc>
          <w:tcPr>
            <w:tcW w:w="531" w:type="pct"/>
            <w:tcBorders>
              <w:top w:val="nil"/>
              <w:left w:val="nil"/>
              <w:bottom w:val="nil"/>
              <w:right w:val="nil"/>
            </w:tcBorders>
            <w:vAlign w:val="center"/>
          </w:tcPr>
          <w:p w14:paraId="6982B2F6">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pSTS</w:t>
            </w:r>
          </w:p>
        </w:tc>
        <w:tc>
          <w:tcPr>
            <w:tcW w:w="538" w:type="pct"/>
            <w:tcBorders>
              <w:top w:val="nil"/>
              <w:left w:val="nil"/>
              <w:bottom w:val="nil"/>
              <w:right w:val="nil"/>
            </w:tcBorders>
            <w:vAlign w:val="center"/>
          </w:tcPr>
          <w:p w14:paraId="561863F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cpSTS</w:t>
            </w:r>
          </w:p>
        </w:tc>
        <w:tc>
          <w:tcPr>
            <w:tcW w:w="416" w:type="pct"/>
            <w:tcBorders>
              <w:top w:val="nil"/>
              <w:left w:val="nil"/>
              <w:bottom w:val="nil"/>
              <w:right w:val="nil"/>
            </w:tcBorders>
            <w:vAlign w:val="center"/>
          </w:tcPr>
          <w:p w14:paraId="00C05B2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0.237</w:t>
            </w:r>
          </w:p>
        </w:tc>
        <w:tc>
          <w:tcPr>
            <w:tcW w:w="416" w:type="pct"/>
            <w:tcBorders>
              <w:top w:val="nil"/>
              <w:left w:val="nil"/>
              <w:bottom w:val="nil"/>
              <w:right w:val="nil"/>
            </w:tcBorders>
            <w:vAlign w:val="center"/>
          </w:tcPr>
          <w:p w14:paraId="6E754E70">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0.221</w:t>
            </w:r>
          </w:p>
        </w:tc>
        <w:tc>
          <w:tcPr>
            <w:tcW w:w="416" w:type="pct"/>
            <w:tcBorders>
              <w:top w:val="nil"/>
              <w:left w:val="nil"/>
              <w:bottom w:val="nil"/>
              <w:right w:val="nil"/>
            </w:tcBorders>
            <w:vAlign w:val="center"/>
          </w:tcPr>
          <w:p w14:paraId="254F212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0.179</w:t>
            </w:r>
          </w:p>
        </w:tc>
        <w:tc>
          <w:tcPr>
            <w:tcW w:w="547" w:type="pct"/>
            <w:tcBorders>
              <w:top w:val="nil"/>
              <w:left w:val="nil"/>
              <w:bottom w:val="nil"/>
              <w:right w:val="nil"/>
            </w:tcBorders>
            <w:vAlign w:val="center"/>
          </w:tcPr>
          <w:p w14:paraId="67B72A3B">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-0.361</w:t>
            </w:r>
          </w:p>
        </w:tc>
        <w:tc>
          <w:tcPr>
            <w:tcW w:w="456" w:type="pct"/>
            <w:tcBorders>
              <w:top w:val="nil"/>
              <w:left w:val="nil"/>
              <w:bottom w:val="nil"/>
              <w:right w:val="nil"/>
            </w:tcBorders>
            <w:vAlign w:val="center"/>
          </w:tcPr>
          <w:p w14:paraId="78DC1690">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0.050</w:t>
            </w:r>
          </w:p>
        </w:tc>
        <w:tc>
          <w:tcPr>
            <w:tcW w:w="547" w:type="pct"/>
            <w:tcBorders>
              <w:top w:val="nil"/>
              <w:left w:val="nil"/>
              <w:bottom w:val="nil"/>
              <w:right w:val="nil"/>
            </w:tcBorders>
            <w:vAlign w:val="center"/>
          </w:tcPr>
          <w:p w14:paraId="2E5A793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-0.287</w:t>
            </w:r>
          </w:p>
        </w:tc>
        <w:tc>
          <w:tcPr>
            <w:tcW w:w="456" w:type="pct"/>
            <w:tcBorders>
              <w:top w:val="nil"/>
              <w:left w:val="nil"/>
              <w:bottom w:val="nil"/>
              <w:right w:val="nil"/>
            </w:tcBorders>
            <w:vAlign w:val="center"/>
          </w:tcPr>
          <w:p w14:paraId="5FE80F69">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0.021</w:t>
            </w:r>
          </w:p>
        </w:tc>
      </w:tr>
      <w:tr w14:paraId="7E8F2680">
        <w:tc>
          <w:tcPr>
            <w:tcW w:w="673" w:type="pct"/>
            <w:tcBorders>
              <w:top w:val="nil"/>
              <w:left w:val="nil"/>
              <w:bottom w:val="nil"/>
              <w:right w:val="nil"/>
            </w:tcBorders>
            <w:vAlign w:val="center"/>
          </w:tcPr>
          <w:p w14:paraId="06B9BD8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Parietal Lobe</w:t>
            </w:r>
          </w:p>
        </w:tc>
        <w:tc>
          <w:tcPr>
            <w:tcW w:w="531" w:type="pct"/>
            <w:tcBorders>
              <w:top w:val="nil"/>
              <w:left w:val="nil"/>
              <w:bottom w:val="nil"/>
              <w:right w:val="nil"/>
            </w:tcBorders>
            <w:vAlign w:val="center"/>
          </w:tcPr>
          <w:p w14:paraId="1EA8FDF3">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PoG</w:t>
            </w:r>
          </w:p>
        </w:tc>
        <w:tc>
          <w:tcPr>
            <w:tcW w:w="538" w:type="pct"/>
            <w:tcBorders>
              <w:top w:val="nil"/>
              <w:left w:val="nil"/>
              <w:bottom w:val="nil"/>
              <w:right w:val="nil"/>
            </w:tcBorders>
            <w:vAlign w:val="center"/>
          </w:tcPr>
          <w:p w14:paraId="54230A33">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A2</w:t>
            </w:r>
          </w:p>
        </w:tc>
        <w:tc>
          <w:tcPr>
            <w:tcW w:w="416" w:type="pct"/>
            <w:tcBorders>
              <w:top w:val="nil"/>
              <w:left w:val="nil"/>
              <w:bottom w:val="nil"/>
              <w:right w:val="nil"/>
            </w:tcBorders>
            <w:vAlign w:val="center"/>
          </w:tcPr>
          <w:p w14:paraId="5F4B25D6">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0.091</w:t>
            </w:r>
          </w:p>
        </w:tc>
        <w:tc>
          <w:tcPr>
            <w:tcW w:w="416" w:type="pct"/>
            <w:tcBorders>
              <w:top w:val="nil"/>
              <w:left w:val="nil"/>
              <w:bottom w:val="nil"/>
              <w:right w:val="nil"/>
            </w:tcBorders>
            <w:vAlign w:val="center"/>
          </w:tcPr>
          <w:p w14:paraId="60F75E6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0.097</w:t>
            </w:r>
          </w:p>
        </w:tc>
        <w:tc>
          <w:tcPr>
            <w:tcW w:w="416" w:type="pct"/>
            <w:tcBorders>
              <w:top w:val="nil"/>
              <w:left w:val="nil"/>
              <w:bottom w:val="nil"/>
              <w:right w:val="nil"/>
            </w:tcBorders>
            <w:vAlign w:val="center"/>
          </w:tcPr>
          <w:p w14:paraId="0CEC8EB3">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0.056</w:t>
            </w:r>
          </w:p>
        </w:tc>
        <w:tc>
          <w:tcPr>
            <w:tcW w:w="547" w:type="pct"/>
            <w:tcBorders>
              <w:top w:val="nil"/>
              <w:left w:val="nil"/>
              <w:bottom w:val="nil"/>
              <w:right w:val="nil"/>
            </w:tcBorders>
            <w:vAlign w:val="center"/>
          </w:tcPr>
          <w:p w14:paraId="6A2B2C3C">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-0.237</w:t>
            </w:r>
          </w:p>
        </w:tc>
        <w:tc>
          <w:tcPr>
            <w:tcW w:w="456" w:type="pct"/>
            <w:tcBorders>
              <w:top w:val="nil"/>
              <w:left w:val="nil"/>
              <w:bottom w:val="nil"/>
              <w:right w:val="nil"/>
            </w:tcBorders>
            <w:vAlign w:val="center"/>
          </w:tcPr>
          <w:p w14:paraId="154CF76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0.047</w:t>
            </w:r>
          </w:p>
        </w:tc>
        <w:tc>
          <w:tcPr>
            <w:tcW w:w="547" w:type="pct"/>
            <w:tcBorders>
              <w:top w:val="nil"/>
              <w:left w:val="nil"/>
              <w:bottom w:val="nil"/>
              <w:right w:val="nil"/>
            </w:tcBorders>
            <w:vAlign w:val="center"/>
          </w:tcPr>
          <w:p w14:paraId="44BB0833">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-0.336</w:t>
            </w:r>
          </w:p>
        </w:tc>
        <w:tc>
          <w:tcPr>
            <w:tcW w:w="456" w:type="pct"/>
            <w:tcBorders>
              <w:top w:val="nil"/>
              <w:left w:val="nil"/>
              <w:bottom w:val="nil"/>
              <w:right w:val="nil"/>
            </w:tcBorders>
            <w:vAlign w:val="center"/>
          </w:tcPr>
          <w:p w14:paraId="56365CB3">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0.005</w:t>
            </w:r>
          </w:p>
        </w:tc>
      </w:tr>
      <w:tr w14:paraId="3B55552E">
        <w:tc>
          <w:tcPr>
            <w:tcW w:w="673" w:type="pct"/>
            <w:vMerge w:val="restart"/>
            <w:tcBorders>
              <w:top w:val="nil"/>
              <w:left w:val="nil"/>
              <w:bottom w:val="nil"/>
              <w:right w:val="nil"/>
            </w:tcBorders>
            <w:vAlign w:val="center"/>
          </w:tcPr>
          <w:p w14:paraId="54C4F6C8">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Insular Lobe</w:t>
            </w:r>
          </w:p>
        </w:tc>
        <w:tc>
          <w:tcPr>
            <w:tcW w:w="531" w:type="pct"/>
            <w:vMerge w:val="restart"/>
            <w:tcBorders>
              <w:top w:val="nil"/>
              <w:left w:val="nil"/>
              <w:bottom w:val="nil"/>
              <w:right w:val="nil"/>
            </w:tcBorders>
            <w:vAlign w:val="center"/>
          </w:tcPr>
          <w:p w14:paraId="233C4148">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INS</w:t>
            </w:r>
          </w:p>
        </w:tc>
        <w:tc>
          <w:tcPr>
            <w:tcW w:w="538" w:type="pct"/>
            <w:tcBorders>
              <w:top w:val="nil"/>
              <w:left w:val="nil"/>
              <w:bottom w:val="nil"/>
              <w:right w:val="nil"/>
            </w:tcBorders>
            <w:vAlign w:val="center"/>
          </w:tcPr>
          <w:p w14:paraId="59A12CD7">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dIa</w:t>
            </w:r>
          </w:p>
        </w:tc>
        <w:tc>
          <w:tcPr>
            <w:tcW w:w="416" w:type="pct"/>
            <w:tcBorders>
              <w:top w:val="nil"/>
              <w:left w:val="nil"/>
              <w:bottom w:val="nil"/>
              <w:right w:val="nil"/>
            </w:tcBorders>
            <w:vAlign w:val="center"/>
          </w:tcPr>
          <w:p w14:paraId="17420B1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0.180</w:t>
            </w:r>
          </w:p>
        </w:tc>
        <w:tc>
          <w:tcPr>
            <w:tcW w:w="416" w:type="pct"/>
            <w:tcBorders>
              <w:top w:val="nil"/>
              <w:left w:val="nil"/>
              <w:bottom w:val="nil"/>
              <w:right w:val="nil"/>
            </w:tcBorders>
            <w:vAlign w:val="center"/>
          </w:tcPr>
          <w:p w14:paraId="5BB09380">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0.214</w:t>
            </w:r>
          </w:p>
        </w:tc>
        <w:tc>
          <w:tcPr>
            <w:tcW w:w="416" w:type="pct"/>
            <w:tcBorders>
              <w:top w:val="nil"/>
              <w:left w:val="nil"/>
              <w:bottom w:val="nil"/>
              <w:right w:val="nil"/>
            </w:tcBorders>
            <w:vAlign w:val="center"/>
          </w:tcPr>
          <w:p w14:paraId="2017720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0.228</w:t>
            </w:r>
          </w:p>
        </w:tc>
        <w:tc>
          <w:tcPr>
            <w:tcW w:w="547" w:type="pct"/>
            <w:tcBorders>
              <w:top w:val="nil"/>
              <w:left w:val="nil"/>
              <w:bottom w:val="nil"/>
              <w:right w:val="nil"/>
            </w:tcBorders>
            <w:vAlign w:val="center"/>
          </w:tcPr>
          <w:p w14:paraId="3E7EA99F">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0.469</w:t>
            </w:r>
          </w:p>
        </w:tc>
        <w:tc>
          <w:tcPr>
            <w:tcW w:w="456" w:type="pct"/>
            <w:tcBorders>
              <w:top w:val="nil"/>
              <w:left w:val="nil"/>
              <w:bottom w:val="nil"/>
              <w:right w:val="nil"/>
            </w:tcBorders>
            <w:vAlign w:val="center"/>
          </w:tcPr>
          <w:p w14:paraId="1C3E1740">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&lt;0.001</w:t>
            </w:r>
          </w:p>
        </w:tc>
        <w:tc>
          <w:tcPr>
            <w:tcW w:w="547" w:type="pct"/>
            <w:tcBorders>
              <w:top w:val="nil"/>
              <w:left w:val="nil"/>
              <w:bottom w:val="nil"/>
              <w:right w:val="nil"/>
            </w:tcBorders>
            <w:vAlign w:val="center"/>
          </w:tcPr>
          <w:p w14:paraId="150EA79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w:t>
            </w:r>
          </w:p>
        </w:tc>
        <w:tc>
          <w:tcPr>
            <w:tcW w:w="456" w:type="pct"/>
            <w:tcBorders>
              <w:top w:val="nil"/>
              <w:left w:val="nil"/>
              <w:bottom w:val="nil"/>
              <w:right w:val="nil"/>
            </w:tcBorders>
            <w:vAlign w:val="center"/>
          </w:tcPr>
          <w:p w14:paraId="6E407F02">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w:t>
            </w:r>
          </w:p>
        </w:tc>
      </w:tr>
      <w:tr w14:paraId="3EB7834B">
        <w:tc>
          <w:tcPr>
            <w:tcW w:w="673" w:type="pct"/>
            <w:vMerge w:val="continue"/>
            <w:tcBorders>
              <w:top w:val="nil"/>
              <w:left w:val="nil"/>
              <w:bottom w:val="nil"/>
              <w:right w:val="nil"/>
            </w:tcBorders>
            <w:vAlign w:val="center"/>
          </w:tcPr>
          <w:p w14:paraId="53B19D73">
            <w:pPr>
              <w:widowControl w:val="0"/>
              <w:jc w:val="center"/>
              <w:rPr>
                <w:rFonts w:ascii="Times New Roman" w:hAnsi="Times New Roman"/>
                <w:color w:val="000000"/>
                <w:sz w:val="22"/>
                <w:szCs w:val="22"/>
              </w:rPr>
            </w:pPr>
          </w:p>
        </w:tc>
        <w:tc>
          <w:tcPr>
            <w:tcW w:w="531" w:type="pct"/>
            <w:vMerge w:val="continue"/>
            <w:tcBorders>
              <w:top w:val="nil"/>
              <w:left w:val="nil"/>
              <w:bottom w:val="nil"/>
              <w:right w:val="nil"/>
            </w:tcBorders>
            <w:vAlign w:val="center"/>
          </w:tcPr>
          <w:p w14:paraId="5FF23984">
            <w:pPr>
              <w:widowControl w:val="0"/>
              <w:jc w:val="center"/>
              <w:rPr>
                <w:rFonts w:ascii="Times New Roman" w:hAnsi="Times New Roman"/>
                <w:color w:val="000000"/>
                <w:sz w:val="22"/>
                <w:szCs w:val="22"/>
              </w:rPr>
            </w:pPr>
          </w:p>
        </w:tc>
        <w:tc>
          <w:tcPr>
            <w:tcW w:w="538" w:type="pct"/>
            <w:tcBorders>
              <w:top w:val="nil"/>
              <w:left w:val="nil"/>
              <w:bottom w:val="nil"/>
              <w:right w:val="nil"/>
            </w:tcBorders>
            <w:vAlign w:val="center"/>
          </w:tcPr>
          <w:p w14:paraId="6A9556A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dId</w:t>
            </w:r>
          </w:p>
        </w:tc>
        <w:tc>
          <w:tcPr>
            <w:tcW w:w="416" w:type="pct"/>
            <w:tcBorders>
              <w:top w:val="nil"/>
              <w:left w:val="nil"/>
              <w:bottom w:val="nil"/>
              <w:right w:val="nil"/>
            </w:tcBorders>
            <w:vAlign w:val="center"/>
          </w:tcPr>
          <w:p w14:paraId="7E29BBAC">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0.167</w:t>
            </w:r>
          </w:p>
        </w:tc>
        <w:tc>
          <w:tcPr>
            <w:tcW w:w="416" w:type="pct"/>
            <w:tcBorders>
              <w:top w:val="nil"/>
              <w:left w:val="nil"/>
              <w:bottom w:val="nil"/>
              <w:right w:val="nil"/>
            </w:tcBorders>
            <w:vAlign w:val="center"/>
          </w:tcPr>
          <w:p w14:paraId="2211BD7B">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0.195</w:t>
            </w:r>
          </w:p>
        </w:tc>
        <w:tc>
          <w:tcPr>
            <w:tcW w:w="416" w:type="pct"/>
            <w:tcBorders>
              <w:top w:val="nil"/>
              <w:left w:val="nil"/>
              <w:bottom w:val="nil"/>
              <w:right w:val="nil"/>
            </w:tcBorders>
            <w:vAlign w:val="center"/>
          </w:tcPr>
          <w:p w14:paraId="1D9EE53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0.209</w:t>
            </w:r>
          </w:p>
        </w:tc>
        <w:tc>
          <w:tcPr>
            <w:tcW w:w="547" w:type="pct"/>
            <w:tcBorders>
              <w:top w:val="nil"/>
              <w:left w:val="nil"/>
              <w:bottom w:val="nil"/>
              <w:right w:val="nil"/>
            </w:tcBorders>
            <w:vAlign w:val="center"/>
          </w:tcPr>
          <w:p w14:paraId="73CD088F">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0.427</w:t>
            </w:r>
          </w:p>
        </w:tc>
        <w:tc>
          <w:tcPr>
            <w:tcW w:w="456" w:type="pct"/>
            <w:tcBorders>
              <w:top w:val="nil"/>
              <w:left w:val="nil"/>
              <w:bottom w:val="nil"/>
              <w:right w:val="nil"/>
            </w:tcBorders>
            <w:vAlign w:val="center"/>
          </w:tcPr>
          <w:p w14:paraId="1BCE470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&lt;0.001</w:t>
            </w:r>
          </w:p>
        </w:tc>
        <w:tc>
          <w:tcPr>
            <w:tcW w:w="547" w:type="pct"/>
            <w:tcBorders>
              <w:top w:val="nil"/>
              <w:left w:val="nil"/>
              <w:bottom w:val="nil"/>
              <w:right w:val="nil"/>
            </w:tcBorders>
            <w:vAlign w:val="center"/>
          </w:tcPr>
          <w:p w14:paraId="5387420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w:t>
            </w:r>
          </w:p>
        </w:tc>
        <w:tc>
          <w:tcPr>
            <w:tcW w:w="456" w:type="pct"/>
            <w:tcBorders>
              <w:top w:val="nil"/>
              <w:left w:val="nil"/>
              <w:bottom w:val="nil"/>
              <w:right w:val="nil"/>
            </w:tcBorders>
            <w:vAlign w:val="center"/>
          </w:tcPr>
          <w:p w14:paraId="06FD4E7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w:t>
            </w:r>
          </w:p>
        </w:tc>
      </w:tr>
      <w:tr w14:paraId="1F9B9B85">
        <w:tc>
          <w:tcPr>
            <w:tcW w:w="673" w:type="pct"/>
            <w:vMerge w:val="restart"/>
            <w:tcBorders>
              <w:top w:val="nil"/>
              <w:left w:val="nil"/>
              <w:bottom w:val="nil"/>
              <w:right w:val="nil"/>
            </w:tcBorders>
            <w:vAlign w:val="center"/>
          </w:tcPr>
          <w:p w14:paraId="2134B53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Occipital Lobe</w:t>
            </w:r>
          </w:p>
        </w:tc>
        <w:tc>
          <w:tcPr>
            <w:tcW w:w="531" w:type="pct"/>
            <w:tcBorders>
              <w:top w:val="nil"/>
              <w:left w:val="nil"/>
              <w:bottom w:val="nil"/>
              <w:right w:val="nil"/>
            </w:tcBorders>
            <w:vAlign w:val="center"/>
          </w:tcPr>
          <w:p w14:paraId="7E186760">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MVOcC</w:t>
            </w:r>
          </w:p>
        </w:tc>
        <w:tc>
          <w:tcPr>
            <w:tcW w:w="538" w:type="pct"/>
            <w:tcBorders>
              <w:top w:val="nil"/>
              <w:left w:val="nil"/>
              <w:bottom w:val="nil"/>
              <w:right w:val="nil"/>
            </w:tcBorders>
            <w:vAlign w:val="center"/>
          </w:tcPr>
          <w:p w14:paraId="0942C5C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vmPOS</w:t>
            </w:r>
          </w:p>
        </w:tc>
        <w:tc>
          <w:tcPr>
            <w:tcW w:w="416" w:type="pct"/>
            <w:tcBorders>
              <w:top w:val="nil"/>
              <w:left w:val="nil"/>
              <w:bottom w:val="nil"/>
              <w:right w:val="nil"/>
            </w:tcBorders>
            <w:vAlign w:val="center"/>
          </w:tcPr>
          <w:p w14:paraId="61A9954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-0.196</w:t>
            </w:r>
          </w:p>
        </w:tc>
        <w:tc>
          <w:tcPr>
            <w:tcW w:w="416" w:type="pct"/>
            <w:tcBorders>
              <w:top w:val="nil"/>
              <w:left w:val="nil"/>
              <w:bottom w:val="nil"/>
              <w:right w:val="nil"/>
            </w:tcBorders>
            <w:vAlign w:val="center"/>
          </w:tcPr>
          <w:p w14:paraId="41D134B7">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-0.173</w:t>
            </w:r>
          </w:p>
        </w:tc>
        <w:tc>
          <w:tcPr>
            <w:tcW w:w="416" w:type="pct"/>
            <w:tcBorders>
              <w:top w:val="nil"/>
              <w:left w:val="nil"/>
              <w:bottom w:val="nil"/>
              <w:right w:val="nil"/>
            </w:tcBorders>
            <w:vAlign w:val="center"/>
          </w:tcPr>
          <w:p w14:paraId="11E01B7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-0.138</w:t>
            </w:r>
          </w:p>
        </w:tc>
        <w:tc>
          <w:tcPr>
            <w:tcW w:w="547" w:type="pct"/>
            <w:tcBorders>
              <w:top w:val="nil"/>
              <w:left w:val="nil"/>
              <w:bottom w:val="nil"/>
              <w:right w:val="nil"/>
            </w:tcBorders>
            <w:vAlign w:val="center"/>
          </w:tcPr>
          <w:p w14:paraId="5D8B371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0.525</w:t>
            </w:r>
          </w:p>
        </w:tc>
        <w:tc>
          <w:tcPr>
            <w:tcW w:w="456" w:type="pct"/>
            <w:tcBorders>
              <w:top w:val="nil"/>
              <w:left w:val="nil"/>
              <w:bottom w:val="nil"/>
              <w:right w:val="nil"/>
            </w:tcBorders>
            <w:vAlign w:val="center"/>
          </w:tcPr>
          <w:p w14:paraId="40CC6AE8">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&lt;0.001</w:t>
            </w:r>
          </w:p>
        </w:tc>
        <w:tc>
          <w:tcPr>
            <w:tcW w:w="547" w:type="pct"/>
            <w:tcBorders>
              <w:top w:val="nil"/>
              <w:left w:val="nil"/>
              <w:bottom w:val="nil"/>
              <w:right w:val="nil"/>
            </w:tcBorders>
            <w:vAlign w:val="center"/>
          </w:tcPr>
          <w:p w14:paraId="7D2E170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0.362</w:t>
            </w:r>
          </w:p>
        </w:tc>
        <w:tc>
          <w:tcPr>
            <w:tcW w:w="456" w:type="pct"/>
            <w:tcBorders>
              <w:top w:val="nil"/>
              <w:left w:val="nil"/>
              <w:bottom w:val="nil"/>
              <w:right w:val="nil"/>
            </w:tcBorders>
            <w:vAlign w:val="center"/>
          </w:tcPr>
          <w:p w14:paraId="6C37469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0.010</w:t>
            </w:r>
          </w:p>
        </w:tc>
      </w:tr>
      <w:tr w14:paraId="203E374D">
        <w:tc>
          <w:tcPr>
            <w:tcW w:w="673" w:type="pct"/>
            <w:vMerge w:val="continue"/>
            <w:tcBorders>
              <w:top w:val="nil"/>
              <w:left w:val="nil"/>
              <w:bottom w:val="nil"/>
              <w:right w:val="nil"/>
            </w:tcBorders>
            <w:vAlign w:val="center"/>
          </w:tcPr>
          <w:p w14:paraId="2FAA0B9E">
            <w:pPr>
              <w:widowControl w:val="0"/>
              <w:jc w:val="center"/>
              <w:rPr>
                <w:rFonts w:ascii="Times New Roman" w:hAnsi="Times New Roman"/>
                <w:color w:val="000000"/>
                <w:sz w:val="22"/>
                <w:szCs w:val="22"/>
              </w:rPr>
            </w:pPr>
          </w:p>
        </w:tc>
        <w:tc>
          <w:tcPr>
            <w:tcW w:w="531" w:type="pct"/>
            <w:tcBorders>
              <w:top w:val="nil"/>
              <w:left w:val="nil"/>
              <w:bottom w:val="nil"/>
              <w:right w:val="nil"/>
            </w:tcBorders>
            <w:vAlign w:val="center"/>
          </w:tcPr>
          <w:p w14:paraId="298C7F1F">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LOcC</w:t>
            </w:r>
          </w:p>
        </w:tc>
        <w:tc>
          <w:tcPr>
            <w:tcW w:w="538" w:type="pct"/>
            <w:tcBorders>
              <w:top w:val="nil"/>
              <w:left w:val="nil"/>
              <w:bottom w:val="nil"/>
              <w:right w:val="nil"/>
            </w:tcBorders>
            <w:vAlign w:val="center"/>
          </w:tcPr>
          <w:p w14:paraId="0DF5901F">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msOccG</w:t>
            </w:r>
          </w:p>
        </w:tc>
        <w:tc>
          <w:tcPr>
            <w:tcW w:w="416" w:type="pct"/>
            <w:tcBorders>
              <w:top w:val="nil"/>
              <w:left w:val="nil"/>
              <w:bottom w:val="nil"/>
              <w:right w:val="nil"/>
            </w:tcBorders>
            <w:vAlign w:val="center"/>
          </w:tcPr>
          <w:p w14:paraId="20A6B028">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-0.235</w:t>
            </w:r>
          </w:p>
        </w:tc>
        <w:tc>
          <w:tcPr>
            <w:tcW w:w="416" w:type="pct"/>
            <w:tcBorders>
              <w:top w:val="nil"/>
              <w:left w:val="nil"/>
              <w:bottom w:val="nil"/>
              <w:right w:val="nil"/>
            </w:tcBorders>
            <w:vAlign w:val="center"/>
          </w:tcPr>
          <w:p w14:paraId="35C0BF88">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-0.189</w:t>
            </w:r>
          </w:p>
        </w:tc>
        <w:tc>
          <w:tcPr>
            <w:tcW w:w="416" w:type="pct"/>
            <w:tcBorders>
              <w:top w:val="nil"/>
              <w:left w:val="nil"/>
              <w:bottom w:val="nil"/>
              <w:right w:val="nil"/>
            </w:tcBorders>
            <w:vAlign w:val="center"/>
          </w:tcPr>
          <w:p w14:paraId="3E808572">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-0.190</w:t>
            </w:r>
          </w:p>
        </w:tc>
        <w:tc>
          <w:tcPr>
            <w:tcW w:w="547" w:type="pct"/>
            <w:tcBorders>
              <w:top w:val="nil"/>
              <w:left w:val="nil"/>
              <w:bottom w:val="nil"/>
              <w:right w:val="nil"/>
            </w:tcBorders>
            <w:vAlign w:val="center"/>
          </w:tcPr>
          <w:p w14:paraId="638C335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0.369</w:t>
            </w:r>
          </w:p>
        </w:tc>
        <w:tc>
          <w:tcPr>
            <w:tcW w:w="456" w:type="pct"/>
            <w:tcBorders>
              <w:top w:val="nil"/>
              <w:left w:val="nil"/>
              <w:bottom w:val="nil"/>
              <w:right w:val="nil"/>
            </w:tcBorders>
            <w:vAlign w:val="center"/>
          </w:tcPr>
          <w:p w14:paraId="149B6588">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&lt;0.001</w:t>
            </w:r>
          </w:p>
        </w:tc>
        <w:tc>
          <w:tcPr>
            <w:tcW w:w="547" w:type="pct"/>
            <w:tcBorders>
              <w:top w:val="nil"/>
              <w:left w:val="nil"/>
              <w:bottom w:val="nil"/>
              <w:right w:val="nil"/>
            </w:tcBorders>
            <w:vAlign w:val="center"/>
          </w:tcPr>
          <w:p w14:paraId="2892D7B7">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w:t>
            </w:r>
          </w:p>
        </w:tc>
        <w:tc>
          <w:tcPr>
            <w:tcW w:w="456" w:type="pct"/>
            <w:tcBorders>
              <w:top w:val="nil"/>
              <w:left w:val="nil"/>
              <w:bottom w:val="nil"/>
              <w:right w:val="nil"/>
            </w:tcBorders>
            <w:vAlign w:val="center"/>
          </w:tcPr>
          <w:p w14:paraId="246A61FF">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w:t>
            </w:r>
          </w:p>
        </w:tc>
      </w:tr>
      <w:tr w14:paraId="7E086E12">
        <w:tc>
          <w:tcPr>
            <w:tcW w:w="673" w:type="pct"/>
            <w:vMerge w:val="restart"/>
            <w:tcBorders>
              <w:top w:val="nil"/>
              <w:left w:val="nil"/>
              <w:bottom w:val="nil"/>
              <w:right w:val="nil"/>
            </w:tcBorders>
            <w:vAlign w:val="center"/>
          </w:tcPr>
          <w:p w14:paraId="0DDC3947">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Subcortical Nuclei</w:t>
            </w:r>
          </w:p>
        </w:tc>
        <w:tc>
          <w:tcPr>
            <w:tcW w:w="531" w:type="pct"/>
            <w:tcBorders>
              <w:top w:val="nil"/>
              <w:left w:val="nil"/>
              <w:bottom w:val="nil"/>
              <w:right w:val="nil"/>
            </w:tcBorders>
            <w:vAlign w:val="center"/>
          </w:tcPr>
          <w:p w14:paraId="548E0407">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Hipp</w:t>
            </w:r>
          </w:p>
        </w:tc>
        <w:tc>
          <w:tcPr>
            <w:tcW w:w="538" w:type="pct"/>
            <w:tcBorders>
              <w:top w:val="nil"/>
              <w:left w:val="nil"/>
              <w:bottom w:val="nil"/>
              <w:right w:val="nil"/>
            </w:tcBorders>
            <w:vAlign w:val="center"/>
          </w:tcPr>
          <w:p w14:paraId="673D52F6">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cHipp</w:t>
            </w:r>
          </w:p>
        </w:tc>
        <w:tc>
          <w:tcPr>
            <w:tcW w:w="416" w:type="pct"/>
            <w:tcBorders>
              <w:top w:val="nil"/>
              <w:left w:val="nil"/>
              <w:bottom w:val="nil"/>
              <w:right w:val="nil"/>
            </w:tcBorders>
            <w:vAlign w:val="center"/>
          </w:tcPr>
          <w:p w14:paraId="36A4A01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-0.101</w:t>
            </w:r>
          </w:p>
        </w:tc>
        <w:tc>
          <w:tcPr>
            <w:tcW w:w="416" w:type="pct"/>
            <w:tcBorders>
              <w:top w:val="nil"/>
              <w:left w:val="nil"/>
              <w:bottom w:val="nil"/>
              <w:right w:val="nil"/>
            </w:tcBorders>
            <w:vAlign w:val="center"/>
          </w:tcPr>
          <w:p w14:paraId="649DEAA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-0.087</w:t>
            </w:r>
          </w:p>
        </w:tc>
        <w:tc>
          <w:tcPr>
            <w:tcW w:w="416" w:type="pct"/>
            <w:tcBorders>
              <w:top w:val="nil"/>
              <w:left w:val="nil"/>
              <w:bottom w:val="nil"/>
              <w:right w:val="nil"/>
            </w:tcBorders>
            <w:vAlign w:val="center"/>
          </w:tcPr>
          <w:p w14:paraId="193F8B7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-0.029</w:t>
            </w:r>
          </w:p>
        </w:tc>
        <w:tc>
          <w:tcPr>
            <w:tcW w:w="547" w:type="pct"/>
            <w:tcBorders>
              <w:top w:val="nil"/>
              <w:left w:val="nil"/>
              <w:bottom w:val="nil"/>
              <w:right w:val="nil"/>
            </w:tcBorders>
            <w:vAlign w:val="center"/>
          </w:tcPr>
          <w:p w14:paraId="35D53D2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0.720</w:t>
            </w:r>
          </w:p>
        </w:tc>
        <w:tc>
          <w:tcPr>
            <w:tcW w:w="456" w:type="pct"/>
            <w:tcBorders>
              <w:top w:val="nil"/>
              <w:left w:val="nil"/>
              <w:bottom w:val="nil"/>
              <w:right w:val="nil"/>
            </w:tcBorders>
            <w:vAlign w:val="center"/>
          </w:tcPr>
          <w:p w14:paraId="5098B9F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&lt;0.001</w:t>
            </w:r>
          </w:p>
        </w:tc>
        <w:tc>
          <w:tcPr>
            <w:tcW w:w="547" w:type="pct"/>
            <w:tcBorders>
              <w:top w:val="nil"/>
              <w:left w:val="nil"/>
              <w:bottom w:val="nil"/>
              <w:right w:val="nil"/>
            </w:tcBorders>
            <w:vAlign w:val="center"/>
          </w:tcPr>
          <w:p w14:paraId="0E242C87">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0.560</w:t>
            </w:r>
          </w:p>
        </w:tc>
        <w:tc>
          <w:tcPr>
            <w:tcW w:w="456" w:type="pct"/>
            <w:tcBorders>
              <w:top w:val="nil"/>
              <w:left w:val="nil"/>
              <w:bottom w:val="nil"/>
              <w:right w:val="nil"/>
            </w:tcBorders>
            <w:vAlign w:val="center"/>
          </w:tcPr>
          <w:p w14:paraId="1CCCF60F">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0.002</w:t>
            </w:r>
          </w:p>
        </w:tc>
      </w:tr>
      <w:tr w14:paraId="13368CE5">
        <w:tc>
          <w:tcPr>
            <w:tcW w:w="673" w:type="pct"/>
            <w:vMerge w:val="continue"/>
            <w:tcBorders>
              <w:top w:val="nil"/>
              <w:left w:val="nil"/>
              <w:bottom w:val="nil"/>
              <w:right w:val="nil"/>
            </w:tcBorders>
            <w:vAlign w:val="center"/>
          </w:tcPr>
          <w:p w14:paraId="24739377">
            <w:pPr>
              <w:widowControl w:val="0"/>
              <w:jc w:val="center"/>
              <w:rPr>
                <w:rFonts w:ascii="Times New Roman" w:hAnsi="Times New Roman"/>
                <w:color w:val="000000"/>
                <w:sz w:val="22"/>
                <w:szCs w:val="22"/>
              </w:rPr>
            </w:pPr>
          </w:p>
        </w:tc>
        <w:tc>
          <w:tcPr>
            <w:tcW w:w="531" w:type="pct"/>
            <w:vMerge w:val="restart"/>
            <w:tcBorders>
              <w:top w:val="nil"/>
              <w:left w:val="nil"/>
              <w:bottom w:val="nil"/>
              <w:right w:val="nil"/>
            </w:tcBorders>
            <w:vAlign w:val="center"/>
          </w:tcPr>
          <w:p w14:paraId="00ECF78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Tha</w:t>
            </w:r>
          </w:p>
        </w:tc>
        <w:tc>
          <w:tcPr>
            <w:tcW w:w="538" w:type="pct"/>
            <w:tcBorders>
              <w:top w:val="nil"/>
              <w:left w:val="nil"/>
              <w:bottom w:val="nil"/>
              <w:right w:val="nil"/>
            </w:tcBorders>
            <w:vAlign w:val="center"/>
          </w:tcPr>
          <w:p w14:paraId="1DDFB6F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PPtha</w:t>
            </w:r>
          </w:p>
        </w:tc>
        <w:tc>
          <w:tcPr>
            <w:tcW w:w="416" w:type="pct"/>
            <w:tcBorders>
              <w:top w:val="nil"/>
              <w:left w:val="nil"/>
              <w:bottom w:val="nil"/>
              <w:right w:val="nil"/>
            </w:tcBorders>
            <w:vAlign w:val="center"/>
          </w:tcPr>
          <w:p w14:paraId="2A7B679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0.246</w:t>
            </w:r>
          </w:p>
        </w:tc>
        <w:tc>
          <w:tcPr>
            <w:tcW w:w="416" w:type="pct"/>
            <w:tcBorders>
              <w:top w:val="nil"/>
              <w:left w:val="nil"/>
              <w:bottom w:val="nil"/>
              <w:right w:val="nil"/>
            </w:tcBorders>
            <w:vAlign w:val="center"/>
          </w:tcPr>
          <w:p w14:paraId="5B42F2B9">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0.275</w:t>
            </w:r>
          </w:p>
        </w:tc>
        <w:tc>
          <w:tcPr>
            <w:tcW w:w="416" w:type="pct"/>
            <w:tcBorders>
              <w:top w:val="nil"/>
              <w:left w:val="nil"/>
              <w:bottom w:val="nil"/>
              <w:right w:val="nil"/>
            </w:tcBorders>
            <w:vAlign w:val="center"/>
          </w:tcPr>
          <w:p w14:paraId="32668EF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0.300</w:t>
            </w:r>
          </w:p>
        </w:tc>
        <w:tc>
          <w:tcPr>
            <w:tcW w:w="547" w:type="pct"/>
            <w:tcBorders>
              <w:top w:val="nil"/>
              <w:left w:val="nil"/>
              <w:bottom w:val="nil"/>
              <w:right w:val="nil"/>
            </w:tcBorders>
            <w:vAlign w:val="center"/>
          </w:tcPr>
          <w:p w14:paraId="23887819">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0.438</w:t>
            </w:r>
          </w:p>
        </w:tc>
        <w:tc>
          <w:tcPr>
            <w:tcW w:w="456" w:type="pct"/>
            <w:tcBorders>
              <w:top w:val="nil"/>
              <w:left w:val="nil"/>
              <w:bottom w:val="nil"/>
              <w:right w:val="nil"/>
            </w:tcBorders>
            <w:vAlign w:val="center"/>
          </w:tcPr>
          <w:p w14:paraId="4574180B">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0.027</w:t>
            </w:r>
          </w:p>
        </w:tc>
        <w:tc>
          <w:tcPr>
            <w:tcW w:w="547" w:type="pct"/>
            <w:tcBorders>
              <w:top w:val="nil"/>
              <w:left w:val="nil"/>
              <w:bottom w:val="nil"/>
              <w:right w:val="nil"/>
            </w:tcBorders>
            <w:vAlign w:val="center"/>
          </w:tcPr>
          <w:p w14:paraId="11CB4A58">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w:t>
            </w:r>
          </w:p>
        </w:tc>
        <w:tc>
          <w:tcPr>
            <w:tcW w:w="456" w:type="pct"/>
            <w:tcBorders>
              <w:top w:val="nil"/>
              <w:left w:val="nil"/>
              <w:bottom w:val="nil"/>
              <w:right w:val="nil"/>
            </w:tcBorders>
            <w:vAlign w:val="center"/>
          </w:tcPr>
          <w:p w14:paraId="3EEFDE79">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w:t>
            </w:r>
          </w:p>
        </w:tc>
      </w:tr>
      <w:tr w14:paraId="7FF0A185">
        <w:tc>
          <w:tcPr>
            <w:tcW w:w="673" w:type="pct"/>
            <w:vMerge w:val="continue"/>
            <w:tcBorders>
              <w:top w:val="nil"/>
              <w:left w:val="nil"/>
              <w:bottom w:val="single" w:color="auto" w:sz="4" w:space="0"/>
              <w:right w:val="nil"/>
            </w:tcBorders>
            <w:vAlign w:val="center"/>
          </w:tcPr>
          <w:p w14:paraId="2EC7E4DD">
            <w:pPr>
              <w:widowControl w:val="0"/>
              <w:jc w:val="center"/>
              <w:rPr>
                <w:rFonts w:ascii="Times New Roman" w:hAnsi="Times New Roman"/>
                <w:color w:val="000000"/>
                <w:sz w:val="22"/>
                <w:szCs w:val="22"/>
              </w:rPr>
            </w:pPr>
          </w:p>
        </w:tc>
        <w:tc>
          <w:tcPr>
            <w:tcW w:w="531" w:type="pct"/>
            <w:vMerge w:val="continue"/>
            <w:tcBorders>
              <w:top w:val="nil"/>
              <w:left w:val="nil"/>
              <w:bottom w:val="single" w:color="auto" w:sz="4" w:space="0"/>
              <w:right w:val="nil"/>
            </w:tcBorders>
            <w:vAlign w:val="center"/>
          </w:tcPr>
          <w:p w14:paraId="45A3CA8D">
            <w:pPr>
              <w:widowControl w:val="0"/>
              <w:jc w:val="center"/>
              <w:rPr>
                <w:rFonts w:ascii="Times New Roman" w:hAnsi="Times New Roman"/>
                <w:color w:val="000000"/>
                <w:sz w:val="22"/>
                <w:szCs w:val="22"/>
              </w:rPr>
            </w:pPr>
          </w:p>
        </w:tc>
        <w:tc>
          <w:tcPr>
            <w:tcW w:w="538" w:type="pct"/>
            <w:tcBorders>
              <w:top w:val="nil"/>
              <w:left w:val="nil"/>
              <w:bottom w:val="single" w:color="auto" w:sz="4" w:space="0"/>
              <w:right w:val="nil"/>
            </w:tcBorders>
            <w:vAlign w:val="center"/>
          </w:tcPr>
          <w:p w14:paraId="379E5C03">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Otha</w:t>
            </w:r>
          </w:p>
        </w:tc>
        <w:tc>
          <w:tcPr>
            <w:tcW w:w="416" w:type="pct"/>
            <w:tcBorders>
              <w:top w:val="nil"/>
              <w:left w:val="nil"/>
              <w:bottom w:val="single" w:color="auto" w:sz="4" w:space="0"/>
              <w:right w:val="nil"/>
            </w:tcBorders>
            <w:vAlign w:val="center"/>
          </w:tcPr>
          <w:p w14:paraId="513CC24B">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0.157</w:t>
            </w:r>
          </w:p>
        </w:tc>
        <w:tc>
          <w:tcPr>
            <w:tcW w:w="416" w:type="pct"/>
            <w:tcBorders>
              <w:top w:val="nil"/>
              <w:left w:val="nil"/>
              <w:bottom w:val="single" w:color="auto" w:sz="4" w:space="0"/>
              <w:right w:val="nil"/>
            </w:tcBorders>
            <w:vAlign w:val="center"/>
          </w:tcPr>
          <w:p w14:paraId="22F6A3F8">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0.214</w:t>
            </w:r>
          </w:p>
        </w:tc>
        <w:tc>
          <w:tcPr>
            <w:tcW w:w="416" w:type="pct"/>
            <w:tcBorders>
              <w:top w:val="nil"/>
              <w:left w:val="nil"/>
              <w:bottom w:val="single" w:color="auto" w:sz="4" w:space="0"/>
              <w:right w:val="nil"/>
            </w:tcBorders>
            <w:vAlign w:val="center"/>
          </w:tcPr>
          <w:p w14:paraId="6AFD2A12">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0.231</w:t>
            </w:r>
          </w:p>
        </w:tc>
        <w:tc>
          <w:tcPr>
            <w:tcW w:w="547" w:type="pct"/>
            <w:tcBorders>
              <w:top w:val="nil"/>
              <w:left w:val="nil"/>
              <w:bottom w:val="single" w:color="auto" w:sz="4" w:space="0"/>
              <w:right w:val="nil"/>
            </w:tcBorders>
            <w:vAlign w:val="center"/>
          </w:tcPr>
          <w:p w14:paraId="0D43F199">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0.428</w:t>
            </w:r>
          </w:p>
        </w:tc>
        <w:tc>
          <w:tcPr>
            <w:tcW w:w="456" w:type="pct"/>
            <w:tcBorders>
              <w:top w:val="nil"/>
              <w:left w:val="nil"/>
              <w:bottom w:val="single" w:color="auto" w:sz="4" w:space="0"/>
              <w:right w:val="nil"/>
            </w:tcBorders>
            <w:vAlign w:val="center"/>
          </w:tcPr>
          <w:p w14:paraId="0298343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0.003</w:t>
            </w:r>
          </w:p>
        </w:tc>
        <w:tc>
          <w:tcPr>
            <w:tcW w:w="547" w:type="pct"/>
            <w:tcBorders>
              <w:top w:val="nil"/>
              <w:left w:val="nil"/>
              <w:bottom w:val="single" w:color="auto" w:sz="4" w:space="0"/>
              <w:right w:val="nil"/>
            </w:tcBorders>
            <w:vAlign w:val="center"/>
          </w:tcPr>
          <w:p w14:paraId="24177C8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w:t>
            </w:r>
          </w:p>
        </w:tc>
        <w:tc>
          <w:tcPr>
            <w:tcW w:w="456" w:type="pct"/>
            <w:tcBorders>
              <w:top w:val="nil"/>
              <w:left w:val="nil"/>
              <w:bottom w:val="single" w:color="auto" w:sz="4" w:space="0"/>
              <w:right w:val="nil"/>
            </w:tcBorders>
            <w:vAlign w:val="center"/>
          </w:tcPr>
          <w:p w14:paraId="3410B4B0">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w:t>
            </w:r>
          </w:p>
        </w:tc>
      </w:tr>
    </w:tbl>
    <w:p w14:paraId="4D71667F">
      <w:pPr>
        <w:jc w:val="both"/>
        <w:rPr>
          <w:rFonts w:ascii="Times New Roman" w:hAnsi="Times New Roman"/>
          <w:lang w:bidi="ar"/>
        </w:rPr>
      </w:pPr>
      <w:r>
        <w:rPr>
          <w:rFonts w:ascii="Times New Roman" w:hAnsi="Times New Roman"/>
          <w:lang w:eastAsia="zh" w:bidi="ar"/>
        </w:rPr>
        <w:t>"</w:t>
      </w:r>
      <w:r>
        <w:rPr>
          <w:rFonts w:ascii="Times New Roman" w:hAnsi="Times New Roman"/>
          <w:lang w:bidi="ar"/>
        </w:rPr>
        <w:t>Lobe</w:t>
      </w:r>
      <w:r>
        <w:rPr>
          <w:rFonts w:ascii="Times New Roman" w:hAnsi="Times New Roman"/>
          <w:lang w:eastAsia="zh" w:bidi="ar"/>
        </w:rPr>
        <w:t>"</w:t>
      </w:r>
      <w:r>
        <w:rPr>
          <w:rFonts w:ascii="Times New Roman" w:hAnsi="Times New Roman"/>
          <w:lang w:bidi="ar"/>
        </w:rPr>
        <w:t xml:space="preserve"> is the major lobe of the brain. </w:t>
      </w:r>
      <w:r>
        <w:rPr>
          <w:rFonts w:ascii="Times New Roman" w:hAnsi="Times New Roman"/>
          <w:lang w:eastAsia="zh" w:bidi="ar"/>
        </w:rPr>
        <w:t>"</w:t>
      </w:r>
      <w:r>
        <w:rPr>
          <w:rFonts w:ascii="Times New Roman" w:hAnsi="Times New Roman"/>
          <w:lang w:bidi="ar"/>
        </w:rPr>
        <w:t>Gyrus</w:t>
      </w:r>
      <w:r>
        <w:rPr>
          <w:rFonts w:ascii="Times New Roman" w:hAnsi="Times New Roman"/>
          <w:lang w:eastAsia="zh" w:bidi="ar"/>
        </w:rPr>
        <w:t>"</w:t>
      </w:r>
      <w:r>
        <w:rPr>
          <w:rFonts w:ascii="Times New Roman" w:hAnsi="Times New Roman"/>
          <w:lang w:bidi="ar"/>
        </w:rPr>
        <w:t xml:space="preserve"> is the specific gyrus within the lobe. </w:t>
      </w:r>
      <w:r>
        <w:rPr>
          <w:rFonts w:ascii="Times New Roman" w:hAnsi="Times New Roman"/>
          <w:lang w:eastAsia="zh" w:bidi="ar"/>
        </w:rPr>
        <w:t>"</w:t>
      </w:r>
      <w:r>
        <w:rPr>
          <w:rFonts w:ascii="Times New Roman" w:hAnsi="Times New Roman"/>
          <w:lang w:bidi="ar"/>
        </w:rPr>
        <w:t>Number</w:t>
      </w:r>
      <w:r>
        <w:rPr>
          <w:rFonts w:ascii="Times New Roman" w:hAnsi="Times New Roman"/>
          <w:lang w:eastAsia="zh" w:bidi="ar"/>
        </w:rPr>
        <w:t>"</w:t>
      </w:r>
      <w:r>
        <w:rPr>
          <w:rFonts w:ascii="Times New Roman" w:hAnsi="Times New Roman"/>
          <w:lang w:bidi="ar"/>
        </w:rPr>
        <w:t xml:space="preserve"> is the identifier for the brain region. </w:t>
      </w:r>
      <w:r>
        <w:rPr>
          <w:rFonts w:ascii="Times New Roman" w:hAnsi="Times New Roman"/>
          <w:lang w:eastAsia="zh" w:bidi="ar"/>
        </w:rPr>
        <w:t>"</w:t>
      </w:r>
      <w:r>
        <w:rPr>
          <w:rFonts w:ascii="Times New Roman" w:hAnsi="Times New Roman"/>
          <w:lang w:bidi="ar"/>
        </w:rPr>
        <w:t>Mean AI</w:t>
      </w:r>
      <w:r>
        <w:rPr>
          <w:rFonts w:ascii="Times New Roman" w:hAnsi="Times New Roman"/>
          <w:lang w:eastAsia="zh" w:bidi="ar"/>
        </w:rPr>
        <w:t>"</w:t>
      </w:r>
      <w:r>
        <w:rPr>
          <w:rFonts w:ascii="Times New Roman" w:hAnsi="Times New Roman"/>
          <w:lang w:bidi="ar"/>
        </w:rPr>
        <w:t xml:space="preserve"> (NC, MCI, AD) means the average asymmetry index for each group. The effect size (Cohen's d) and the False Discovery Rate-adjusted p-FDR value for the comparison between groups. A dash (-) in the statistical columns indicates that the data is not applicable or not reported for that specific comparison.</w:t>
      </w:r>
    </w:p>
    <w:p w14:paraId="127607A8">
      <w:pPr>
        <w:jc w:val="both"/>
        <w:rPr>
          <w:rFonts w:ascii="Times New Roman" w:hAnsi="Times New Roman"/>
          <w:lang w:bidi="ar"/>
        </w:rPr>
      </w:pPr>
    </w:p>
    <w:p w14:paraId="551072A0">
      <w:pPr>
        <w:jc w:val="both"/>
        <w:rPr>
          <w:rStyle w:val="34"/>
          <w:rFonts w:ascii="Times New Roman" w:hAnsi="Times New Roman"/>
          <w:b/>
          <w:bCs/>
        </w:rPr>
      </w:pPr>
      <w:r>
        <w:rPr>
          <w:rFonts w:ascii="Times New Roman" w:hAnsi="Times New Roman"/>
          <w:b/>
          <w:bCs/>
          <w:lang w:bidi="ar"/>
        </w:rPr>
        <w:t>Table S</w:t>
      </w:r>
      <w:r>
        <w:rPr>
          <w:rFonts w:ascii="Times New Roman" w:hAnsi="Times New Roman"/>
          <w:b/>
          <w:bCs/>
          <w:lang w:eastAsia="zh" w:bidi="ar"/>
        </w:rPr>
        <w:t>2</w:t>
      </w:r>
      <w:r>
        <w:rPr>
          <w:rFonts w:ascii="Times New Roman" w:hAnsi="Times New Roman"/>
          <w:b/>
          <w:bCs/>
          <w:lang w:bidi="ar"/>
        </w:rPr>
        <w:t>. Brain regions of group difference with significant lateralization in FD after FDR correction.</w:t>
      </w:r>
    </w:p>
    <w:tbl>
      <w:tblPr>
        <w:tblStyle w:val="2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7"/>
        <w:gridCol w:w="1451"/>
        <w:gridCol w:w="1470"/>
        <w:gridCol w:w="1136"/>
        <w:gridCol w:w="1136"/>
        <w:gridCol w:w="1136"/>
        <w:gridCol w:w="1497"/>
        <w:gridCol w:w="1247"/>
        <w:gridCol w:w="1498"/>
        <w:gridCol w:w="1248"/>
      </w:tblGrid>
      <w:tr w14:paraId="569398F7">
        <w:tc>
          <w:tcPr>
            <w:tcW w:w="1693" w:type="pct"/>
            <w:gridSpan w:val="3"/>
            <w:tcBorders>
              <w:top w:val="single" w:color="auto" w:sz="4" w:space="0"/>
              <w:left w:val="nil"/>
              <w:bottom w:val="nil"/>
              <w:right w:val="nil"/>
            </w:tcBorders>
            <w:vAlign w:val="center"/>
          </w:tcPr>
          <w:p w14:paraId="730A3F9C">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FD</w:t>
            </w:r>
          </w:p>
        </w:tc>
        <w:tc>
          <w:tcPr>
            <w:tcW w:w="422" w:type="pct"/>
            <w:tcBorders>
              <w:top w:val="single" w:color="auto" w:sz="4" w:space="0"/>
              <w:left w:val="nil"/>
              <w:bottom w:val="nil"/>
              <w:right w:val="nil"/>
            </w:tcBorders>
            <w:vAlign w:val="center"/>
          </w:tcPr>
          <w:p w14:paraId="6B373B8E">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NC</w:t>
            </w:r>
          </w:p>
        </w:tc>
        <w:tc>
          <w:tcPr>
            <w:tcW w:w="422" w:type="pct"/>
            <w:tcBorders>
              <w:top w:val="single" w:color="auto" w:sz="4" w:space="0"/>
              <w:left w:val="nil"/>
              <w:bottom w:val="nil"/>
              <w:right w:val="nil"/>
            </w:tcBorders>
            <w:vAlign w:val="center"/>
          </w:tcPr>
          <w:p w14:paraId="40F4A867">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MCI</w:t>
            </w:r>
          </w:p>
        </w:tc>
        <w:tc>
          <w:tcPr>
            <w:tcW w:w="422" w:type="pct"/>
            <w:tcBorders>
              <w:top w:val="single" w:color="auto" w:sz="4" w:space="0"/>
              <w:left w:val="nil"/>
              <w:bottom w:val="nil"/>
              <w:right w:val="nil"/>
            </w:tcBorders>
            <w:vAlign w:val="center"/>
          </w:tcPr>
          <w:p w14:paraId="04ED4DF7">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AD</w:t>
            </w:r>
          </w:p>
        </w:tc>
        <w:tc>
          <w:tcPr>
            <w:tcW w:w="1019" w:type="pct"/>
            <w:gridSpan w:val="2"/>
            <w:tcBorders>
              <w:top w:val="single" w:color="auto" w:sz="4" w:space="0"/>
              <w:left w:val="nil"/>
              <w:bottom w:val="nil"/>
              <w:right w:val="nil"/>
            </w:tcBorders>
            <w:vAlign w:val="center"/>
          </w:tcPr>
          <w:p w14:paraId="1ED4A857">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AD VS. NC</w:t>
            </w:r>
          </w:p>
        </w:tc>
        <w:tc>
          <w:tcPr>
            <w:tcW w:w="1019" w:type="pct"/>
            <w:gridSpan w:val="2"/>
            <w:tcBorders>
              <w:top w:val="single" w:color="auto" w:sz="4" w:space="0"/>
              <w:left w:val="nil"/>
              <w:bottom w:val="nil"/>
              <w:right w:val="nil"/>
            </w:tcBorders>
            <w:vAlign w:val="center"/>
          </w:tcPr>
          <w:p w14:paraId="5F4AE081">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AD VS. MCI</w:t>
            </w:r>
          </w:p>
        </w:tc>
      </w:tr>
      <w:tr w14:paraId="153B6FB5">
        <w:tc>
          <w:tcPr>
            <w:tcW w:w="608" w:type="pct"/>
            <w:tcBorders>
              <w:top w:val="nil"/>
              <w:left w:val="nil"/>
              <w:bottom w:val="single" w:color="auto" w:sz="4" w:space="0"/>
              <w:right w:val="nil"/>
            </w:tcBorders>
            <w:vAlign w:val="center"/>
          </w:tcPr>
          <w:p w14:paraId="77602F57">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Lobe</w:t>
            </w:r>
          </w:p>
        </w:tc>
        <w:tc>
          <w:tcPr>
            <w:tcW w:w="539" w:type="pct"/>
            <w:tcBorders>
              <w:top w:val="nil"/>
              <w:left w:val="nil"/>
              <w:bottom w:val="single" w:color="auto" w:sz="4" w:space="0"/>
              <w:right w:val="nil"/>
            </w:tcBorders>
            <w:vAlign w:val="center"/>
          </w:tcPr>
          <w:p w14:paraId="40052739">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Gyrus</w:t>
            </w:r>
          </w:p>
        </w:tc>
        <w:tc>
          <w:tcPr>
            <w:tcW w:w="546" w:type="pct"/>
            <w:tcBorders>
              <w:top w:val="nil"/>
              <w:left w:val="nil"/>
              <w:bottom w:val="single" w:color="auto" w:sz="4" w:space="0"/>
              <w:right w:val="nil"/>
            </w:tcBorders>
            <w:vAlign w:val="center"/>
          </w:tcPr>
          <w:p w14:paraId="20BE910C">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eastAsia="zh" w:bidi="ar"/>
              </w:rPr>
              <w:t>Region</w:t>
            </w:r>
          </w:p>
        </w:tc>
        <w:tc>
          <w:tcPr>
            <w:tcW w:w="422" w:type="pct"/>
            <w:tcBorders>
              <w:top w:val="nil"/>
              <w:left w:val="nil"/>
              <w:bottom w:val="single" w:color="auto" w:sz="4" w:space="0"/>
              <w:right w:val="nil"/>
            </w:tcBorders>
            <w:vAlign w:val="center"/>
          </w:tcPr>
          <w:p w14:paraId="49CF3CF2">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 xml:space="preserve">Mean </w:t>
            </w:r>
            <w:r>
              <w:rPr>
                <w:rFonts w:ascii="Times New Roman" w:hAnsi="Times New Roman"/>
                <w:b/>
                <w:bCs/>
                <w:color w:val="000000"/>
                <w:sz w:val="22"/>
                <w:szCs w:val="22"/>
                <w:lang w:bidi="ar"/>
              </w:rPr>
              <w:br w:type="textWrapping"/>
            </w:r>
            <w:r>
              <w:rPr>
                <w:rFonts w:ascii="Times New Roman" w:hAnsi="Times New Roman"/>
                <w:b/>
                <w:bCs/>
                <w:color w:val="000000"/>
                <w:sz w:val="22"/>
                <w:szCs w:val="22"/>
                <w:lang w:bidi="ar"/>
              </w:rPr>
              <w:t>AI</w:t>
            </w:r>
          </w:p>
        </w:tc>
        <w:tc>
          <w:tcPr>
            <w:tcW w:w="422" w:type="pct"/>
            <w:tcBorders>
              <w:top w:val="nil"/>
              <w:left w:val="nil"/>
              <w:bottom w:val="single" w:color="auto" w:sz="4" w:space="0"/>
              <w:right w:val="nil"/>
            </w:tcBorders>
            <w:vAlign w:val="center"/>
          </w:tcPr>
          <w:p w14:paraId="2E61E39C">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 xml:space="preserve">Mean </w:t>
            </w:r>
            <w:r>
              <w:rPr>
                <w:rFonts w:ascii="Times New Roman" w:hAnsi="Times New Roman"/>
                <w:b/>
                <w:bCs/>
                <w:color w:val="000000"/>
                <w:sz w:val="22"/>
                <w:szCs w:val="22"/>
                <w:lang w:bidi="ar"/>
              </w:rPr>
              <w:br w:type="textWrapping"/>
            </w:r>
            <w:r>
              <w:rPr>
                <w:rFonts w:ascii="Times New Roman" w:hAnsi="Times New Roman"/>
                <w:b/>
                <w:bCs/>
                <w:color w:val="000000"/>
                <w:sz w:val="22"/>
                <w:szCs w:val="22"/>
                <w:lang w:bidi="ar"/>
              </w:rPr>
              <w:t>AI</w:t>
            </w:r>
          </w:p>
        </w:tc>
        <w:tc>
          <w:tcPr>
            <w:tcW w:w="422" w:type="pct"/>
            <w:tcBorders>
              <w:top w:val="nil"/>
              <w:left w:val="nil"/>
              <w:bottom w:val="single" w:color="auto" w:sz="4" w:space="0"/>
              <w:right w:val="nil"/>
            </w:tcBorders>
            <w:vAlign w:val="center"/>
          </w:tcPr>
          <w:p w14:paraId="7C65AD63">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 xml:space="preserve">Mean </w:t>
            </w:r>
            <w:r>
              <w:rPr>
                <w:rFonts w:ascii="Times New Roman" w:hAnsi="Times New Roman"/>
                <w:b/>
                <w:bCs/>
                <w:color w:val="000000"/>
                <w:sz w:val="22"/>
                <w:szCs w:val="22"/>
                <w:lang w:bidi="ar"/>
              </w:rPr>
              <w:br w:type="textWrapping"/>
            </w:r>
            <w:r>
              <w:rPr>
                <w:rFonts w:ascii="Times New Roman" w:hAnsi="Times New Roman"/>
                <w:b/>
                <w:bCs/>
                <w:color w:val="000000"/>
                <w:sz w:val="22"/>
                <w:szCs w:val="22"/>
                <w:lang w:bidi="ar"/>
              </w:rPr>
              <w:t>AI</w:t>
            </w:r>
          </w:p>
        </w:tc>
        <w:tc>
          <w:tcPr>
            <w:tcW w:w="556" w:type="pct"/>
            <w:tcBorders>
              <w:top w:val="nil"/>
              <w:left w:val="nil"/>
              <w:bottom w:val="single" w:color="auto" w:sz="4" w:space="0"/>
              <w:right w:val="nil"/>
            </w:tcBorders>
            <w:vAlign w:val="center"/>
          </w:tcPr>
          <w:p w14:paraId="63B9A75F">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Cohen's d</w:t>
            </w:r>
          </w:p>
        </w:tc>
        <w:tc>
          <w:tcPr>
            <w:tcW w:w="463" w:type="pct"/>
            <w:tcBorders>
              <w:top w:val="nil"/>
              <w:left w:val="nil"/>
              <w:bottom w:val="single" w:color="auto" w:sz="4" w:space="0"/>
              <w:right w:val="nil"/>
            </w:tcBorders>
            <w:vAlign w:val="center"/>
          </w:tcPr>
          <w:p w14:paraId="6456E3D1">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p-FDR</w:t>
            </w:r>
          </w:p>
        </w:tc>
        <w:tc>
          <w:tcPr>
            <w:tcW w:w="556" w:type="pct"/>
            <w:tcBorders>
              <w:top w:val="nil"/>
              <w:left w:val="nil"/>
              <w:bottom w:val="single" w:color="auto" w:sz="4" w:space="0"/>
              <w:right w:val="nil"/>
            </w:tcBorders>
            <w:vAlign w:val="center"/>
          </w:tcPr>
          <w:p w14:paraId="746EAFE0">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Cohen's d</w:t>
            </w:r>
          </w:p>
        </w:tc>
        <w:tc>
          <w:tcPr>
            <w:tcW w:w="463" w:type="pct"/>
            <w:tcBorders>
              <w:top w:val="nil"/>
              <w:left w:val="nil"/>
              <w:bottom w:val="single" w:color="auto" w:sz="4" w:space="0"/>
              <w:right w:val="nil"/>
            </w:tcBorders>
            <w:vAlign w:val="center"/>
          </w:tcPr>
          <w:p w14:paraId="555E143E">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p-FDR</w:t>
            </w:r>
          </w:p>
        </w:tc>
      </w:tr>
      <w:tr w14:paraId="755E414A">
        <w:tc>
          <w:tcPr>
            <w:tcW w:w="608" w:type="pct"/>
            <w:vMerge w:val="restart"/>
            <w:tcBorders>
              <w:top w:val="single" w:color="auto" w:sz="4" w:space="0"/>
              <w:left w:val="nil"/>
              <w:bottom w:val="nil"/>
              <w:right w:val="nil"/>
            </w:tcBorders>
            <w:vAlign w:val="center"/>
          </w:tcPr>
          <w:p w14:paraId="24393CC9">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Frontal Lobe</w:t>
            </w:r>
          </w:p>
        </w:tc>
        <w:tc>
          <w:tcPr>
            <w:tcW w:w="539" w:type="pct"/>
            <w:tcBorders>
              <w:top w:val="single" w:color="auto" w:sz="4" w:space="0"/>
              <w:left w:val="nil"/>
              <w:bottom w:val="nil"/>
              <w:right w:val="nil"/>
            </w:tcBorders>
            <w:vAlign w:val="center"/>
          </w:tcPr>
          <w:p w14:paraId="42DDB02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OrG</w:t>
            </w:r>
          </w:p>
        </w:tc>
        <w:tc>
          <w:tcPr>
            <w:tcW w:w="546" w:type="pct"/>
            <w:tcBorders>
              <w:top w:val="single" w:color="auto" w:sz="4" w:space="0"/>
              <w:left w:val="nil"/>
              <w:bottom w:val="nil"/>
              <w:right w:val="nil"/>
            </w:tcBorders>
            <w:vAlign w:val="center"/>
          </w:tcPr>
          <w:p w14:paraId="4DBCA14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A11l</w:t>
            </w:r>
          </w:p>
        </w:tc>
        <w:tc>
          <w:tcPr>
            <w:tcW w:w="422" w:type="pct"/>
            <w:tcBorders>
              <w:top w:val="single" w:color="auto" w:sz="4" w:space="0"/>
              <w:left w:val="nil"/>
              <w:bottom w:val="nil"/>
              <w:right w:val="nil"/>
            </w:tcBorders>
            <w:vAlign w:val="center"/>
          </w:tcPr>
          <w:p w14:paraId="58845FC9">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-0.015 </w:t>
            </w:r>
          </w:p>
        </w:tc>
        <w:tc>
          <w:tcPr>
            <w:tcW w:w="422" w:type="pct"/>
            <w:tcBorders>
              <w:top w:val="single" w:color="auto" w:sz="4" w:space="0"/>
              <w:left w:val="nil"/>
              <w:bottom w:val="nil"/>
              <w:right w:val="nil"/>
            </w:tcBorders>
            <w:vAlign w:val="center"/>
          </w:tcPr>
          <w:p w14:paraId="695B7BE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-0.018 </w:t>
            </w:r>
          </w:p>
        </w:tc>
        <w:tc>
          <w:tcPr>
            <w:tcW w:w="422" w:type="pct"/>
            <w:tcBorders>
              <w:top w:val="single" w:color="auto" w:sz="4" w:space="0"/>
              <w:left w:val="nil"/>
              <w:bottom w:val="nil"/>
              <w:right w:val="nil"/>
            </w:tcBorders>
            <w:vAlign w:val="center"/>
          </w:tcPr>
          <w:p w14:paraId="75AE5876">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-0.009 </w:t>
            </w:r>
          </w:p>
        </w:tc>
        <w:tc>
          <w:tcPr>
            <w:tcW w:w="556" w:type="pct"/>
            <w:tcBorders>
              <w:top w:val="single" w:color="auto" w:sz="4" w:space="0"/>
              <w:left w:val="nil"/>
              <w:bottom w:val="nil"/>
              <w:right w:val="nil"/>
            </w:tcBorders>
            <w:vAlign w:val="center"/>
          </w:tcPr>
          <w:p w14:paraId="3C84A280">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w:t>
            </w:r>
          </w:p>
        </w:tc>
        <w:tc>
          <w:tcPr>
            <w:tcW w:w="463" w:type="pct"/>
            <w:tcBorders>
              <w:top w:val="single" w:color="auto" w:sz="4" w:space="0"/>
              <w:left w:val="nil"/>
              <w:bottom w:val="nil"/>
              <w:right w:val="nil"/>
            </w:tcBorders>
            <w:vAlign w:val="center"/>
          </w:tcPr>
          <w:p w14:paraId="475AD740">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 </w:t>
            </w:r>
          </w:p>
        </w:tc>
        <w:tc>
          <w:tcPr>
            <w:tcW w:w="556" w:type="pct"/>
            <w:tcBorders>
              <w:top w:val="single" w:color="auto" w:sz="4" w:space="0"/>
              <w:left w:val="nil"/>
              <w:bottom w:val="nil"/>
              <w:right w:val="nil"/>
            </w:tcBorders>
            <w:vAlign w:val="center"/>
          </w:tcPr>
          <w:p w14:paraId="0300886C">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0.292 </w:t>
            </w:r>
          </w:p>
        </w:tc>
        <w:tc>
          <w:tcPr>
            <w:tcW w:w="463" w:type="pct"/>
            <w:tcBorders>
              <w:top w:val="single" w:color="auto" w:sz="4" w:space="0"/>
              <w:left w:val="nil"/>
              <w:bottom w:val="nil"/>
              <w:right w:val="nil"/>
            </w:tcBorders>
            <w:vAlign w:val="center"/>
          </w:tcPr>
          <w:p w14:paraId="467E465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0.040</w:t>
            </w:r>
          </w:p>
        </w:tc>
      </w:tr>
      <w:tr w14:paraId="12525D9A">
        <w:tc>
          <w:tcPr>
            <w:tcW w:w="608" w:type="pct"/>
            <w:vMerge w:val="continue"/>
            <w:tcBorders>
              <w:top w:val="nil"/>
              <w:left w:val="nil"/>
              <w:bottom w:val="nil"/>
              <w:right w:val="nil"/>
            </w:tcBorders>
            <w:vAlign w:val="center"/>
          </w:tcPr>
          <w:p w14:paraId="3BFBAD1E">
            <w:pPr>
              <w:widowControl w:val="0"/>
              <w:jc w:val="center"/>
              <w:rPr>
                <w:rFonts w:ascii="Times New Roman" w:hAnsi="Times New Roman"/>
                <w:color w:val="000000"/>
                <w:sz w:val="22"/>
                <w:szCs w:val="22"/>
              </w:rPr>
            </w:pPr>
          </w:p>
        </w:tc>
        <w:tc>
          <w:tcPr>
            <w:tcW w:w="539" w:type="pct"/>
            <w:tcBorders>
              <w:top w:val="nil"/>
              <w:left w:val="nil"/>
              <w:bottom w:val="nil"/>
              <w:right w:val="nil"/>
            </w:tcBorders>
            <w:vAlign w:val="center"/>
          </w:tcPr>
          <w:p w14:paraId="412D2DD7">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PCL</w:t>
            </w:r>
          </w:p>
        </w:tc>
        <w:tc>
          <w:tcPr>
            <w:tcW w:w="546" w:type="pct"/>
            <w:tcBorders>
              <w:top w:val="nil"/>
              <w:left w:val="nil"/>
              <w:bottom w:val="nil"/>
              <w:right w:val="nil"/>
            </w:tcBorders>
            <w:vAlign w:val="center"/>
          </w:tcPr>
          <w:p w14:paraId="7D44780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A4ll</w:t>
            </w:r>
          </w:p>
        </w:tc>
        <w:tc>
          <w:tcPr>
            <w:tcW w:w="422" w:type="pct"/>
            <w:tcBorders>
              <w:top w:val="nil"/>
              <w:left w:val="nil"/>
              <w:bottom w:val="nil"/>
              <w:right w:val="nil"/>
            </w:tcBorders>
            <w:vAlign w:val="center"/>
          </w:tcPr>
          <w:p w14:paraId="46BEA0F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-0.037 </w:t>
            </w:r>
          </w:p>
        </w:tc>
        <w:tc>
          <w:tcPr>
            <w:tcW w:w="422" w:type="pct"/>
            <w:tcBorders>
              <w:top w:val="nil"/>
              <w:left w:val="nil"/>
              <w:bottom w:val="nil"/>
              <w:right w:val="nil"/>
            </w:tcBorders>
            <w:vAlign w:val="center"/>
          </w:tcPr>
          <w:p w14:paraId="1A3191D3">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-0.041 </w:t>
            </w:r>
          </w:p>
        </w:tc>
        <w:tc>
          <w:tcPr>
            <w:tcW w:w="422" w:type="pct"/>
            <w:tcBorders>
              <w:top w:val="nil"/>
              <w:left w:val="nil"/>
              <w:bottom w:val="nil"/>
              <w:right w:val="nil"/>
            </w:tcBorders>
            <w:vAlign w:val="center"/>
          </w:tcPr>
          <w:p w14:paraId="7AB415A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-0.023 </w:t>
            </w:r>
          </w:p>
        </w:tc>
        <w:tc>
          <w:tcPr>
            <w:tcW w:w="556" w:type="pct"/>
            <w:tcBorders>
              <w:top w:val="nil"/>
              <w:left w:val="nil"/>
              <w:bottom w:val="nil"/>
              <w:right w:val="nil"/>
            </w:tcBorders>
            <w:vAlign w:val="center"/>
          </w:tcPr>
          <w:p w14:paraId="69B09FBB">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w:t>
            </w:r>
          </w:p>
        </w:tc>
        <w:tc>
          <w:tcPr>
            <w:tcW w:w="463" w:type="pct"/>
            <w:tcBorders>
              <w:top w:val="nil"/>
              <w:left w:val="nil"/>
              <w:bottom w:val="nil"/>
              <w:right w:val="nil"/>
            </w:tcBorders>
            <w:vAlign w:val="center"/>
          </w:tcPr>
          <w:p w14:paraId="37ECBBF3">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 </w:t>
            </w:r>
          </w:p>
        </w:tc>
        <w:tc>
          <w:tcPr>
            <w:tcW w:w="556" w:type="pct"/>
            <w:tcBorders>
              <w:top w:val="nil"/>
              <w:left w:val="nil"/>
              <w:bottom w:val="nil"/>
              <w:right w:val="nil"/>
            </w:tcBorders>
            <w:vAlign w:val="center"/>
          </w:tcPr>
          <w:p w14:paraId="0FF32C27">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0.359</w:t>
            </w:r>
          </w:p>
        </w:tc>
        <w:tc>
          <w:tcPr>
            <w:tcW w:w="463" w:type="pct"/>
            <w:tcBorders>
              <w:top w:val="nil"/>
              <w:left w:val="nil"/>
              <w:bottom w:val="nil"/>
              <w:right w:val="nil"/>
            </w:tcBorders>
            <w:vAlign w:val="center"/>
          </w:tcPr>
          <w:p w14:paraId="7EF18398">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0.005</w:t>
            </w:r>
          </w:p>
        </w:tc>
      </w:tr>
      <w:tr w14:paraId="7ECA4A10">
        <w:tc>
          <w:tcPr>
            <w:tcW w:w="608" w:type="pct"/>
            <w:vMerge w:val="restart"/>
            <w:tcBorders>
              <w:top w:val="nil"/>
              <w:left w:val="nil"/>
              <w:bottom w:val="nil"/>
              <w:right w:val="nil"/>
            </w:tcBorders>
            <w:vAlign w:val="center"/>
          </w:tcPr>
          <w:p w14:paraId="7CDD8853">
            <w:pPr>
              <w:widowControl w:val="0"/>
              <w:jc w:val="center"/>
              <w:rPr>
                <w:rFonts w:ascii="Times New Roman" w:hAnsi="Times New Roman"/>
                <w:color w:val="000000"/>
                <w:sz w:val="22"/>
                <w:szCs w:val="22"/>
              </w:rPr>
            </w:pPr>
            <w:r>
              <w:rPr>
                <w:rFonts w:ascii="Times New Roman" w:hAnsi="Times New Roman"/>
                <w:color w:val="000000"/>
                <w:sz w:val="22"/>
                <w:szCs w:val="22"/>
              </w:rPr>
              <w:t>Temporal Lobe</w:t>
            </w:r>
          </w:p>
        </w:tc>
        <w:tc>
          <w:tcPr>
            <w:tcW w:w="539" w:type="pct"/>
            <w:vMerge w:val="restart"/>
            <w:tcBorders>
              <w:top w:val="nil"/>
              <w:left w:val="nil"/>
              <w:bottom w:val="nil"/>
              <w:right w:val="nil"/>
            </w:tcBorders>
            <w:vAlign w:val="center"/>
          </w:tcPr>
          <w:p w14:paraId="59C3DEDF">
            <w:pPr>
              <w:widowControl w:val="0"/>
              <w:jc w:val="center"/>
              <w:rPr>
                <w:rFonts w:ascii="Times New Roman" w:hAnsi="Times New Roman"/>
                <w:color w:val="000000"/>
                <w:sz w:val="22"/>
                <w:szCs w:val="22"/>
              </w:rPr>
            </w:pPr>
            <w:r>
              <w:rPr>
                <w:rFonts w:ascii="Times New Roman" w:hAnsi="Times New Roman"/>
                <w:color w:val="000000"/>
                <w:sz w:val="22"/>
                <w:szCs w:val="22"/>
              </w:rPr>
              <w:t>STG</w:t>
            </w:r>
          </w:p>
        </w:tc>
        <w:tc>
          <w:tcPr>
            <w:tcW w:w="546" w:type="pct"/>
            <w:tcBorders>
              <w:top w:val="nil"/>
              <w:left w:val="nil"/>
              <w:bottom w:val="nil"/>
              <w:right w:val="nil"/>
            </w:tcBorders>
            <w:vAlign w:val="center"/>
          </w:tcPr>
          <w:p w14:paraId="4A4A01A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A22c</w:t>
            </w:r>
          </w:p>
        </w:tc>
        <w:tc>
          <w:tcPr>
            <w:tcW w:w="422" w:type="pct"/>
            <w:tcBorders>
              <w:top w:val="nil"/>
              <w:left w:val="nil"/>
              <w:bottom w:val="nil"/>
              <w:right w:val="nil"/>
            </w:tcBorders>
            <w:vAlign w:val="center"/>
          </w:tcPr>
          <w:p w14:paraId="142D578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0.009 </w:t>
            </w:r>
          </w:p>
        </w:tc>
        <w:tc>
          <w:tcPr>
            <w:tcW w:w="422" w:type="pct"/>
            <w:tcBorders>
              <w:top w:val="nil"/>
              <w:left w:val="nil"/>
              <w:bottom w:val="nil"/>
              <w:right w:val="nil"/>
            </w:tcBorders>
            <w:vAlign w:val="center"/>
          </w:tcPr>
          <w:p w14:paraId="2A84A2C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-0.007 </w:t>
            </w:r>
          </w:p>
        </w:tc>
        <w:tc>
          <w:tcPr>
            <w:tcW w:w="422" w:type="pct"/>
            <w:tcBorders>
              <w:top w:val="nil"/>
              <w:left w:val="nil"/>
              <w:bottom w:val="nil"/>
              <w:right w:val="nil"/>
            </w:tcBorders>
            <w:vAlign w:val="center"/>
          </w:tcPr>
          <w:p w14:paraId="3D665F80">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-0.033 </w:t>
            </w:r>
          </w:p>
        </w:tc>
        <w:tc>
          <w:tcPr>
            <w:tcW w:w="556" w:type="pct"/>
            <w:tcBorders>
              <w:top w:val="nil"/>
              <w:left w:val="nil"/>
              <w:bottom w:val="nil"/>
              <w:right w:val="nil"/>
            </w:tcBorders>
            <w:vAlign w:val="center"/>
          </w:tcPr>
          <w:p w14:paraId="1B6A80D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-0.394</w:t>
            </w:r>
          </w:p>
        </w:tc>
        <w:tc>
          <w:tcPr>
            <w:tcW w:w="463" w:type="pct"/>
            <w:tcBorders>
              <w:top w:val="nil"/>
              <w:left w:val="nil"/>
              <w:bottom w:val="nil"/>
              <w:right w:val="nil"/>
            </w:tcBorders>
            <w:vAlign w:val="center"/>
          </w:tcPr>
          <w:p w14:paraId="5FDDEC62">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0.032</w:t>
            </w:r>
          </w:p>
        </w:tc>
        <w:tc>
          <w:tcPr>
            <w:tcW w:w="556" w:type="pct"/>
            <w:tcBorders>
              <w:top w:val="nil"/>
              <w:left w:val="nil"/>
              <w:bottom w:val="nil"/>
              <w:right w:val="nil"/>
            </w:tcBorders>
            <w:vAlign w:val="center"/>
          </w:tcPr>
          <w:p w14:paraId="5FC2467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-0.381 </w:t>
            </w:r>
          </w:p>
        </w:tc>
        <w:tc>
          <w:tcPr>
            <w:tcW w:w="463" w:type="pct"/>
            <w:tcBorders>
              <w:top w:val="nil"/>
              <w:left w:val="nil"/>
              <w:bottom w:val="nil"/>
              <w:right w:val="nil"/>
            </w:tcBorders>
            <w:vAlign w:val="center"/>
          </w:tcPr>
          <w:p w14:paraId="3B170FE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0.047</w:t>
            </w:r>
          </w:p>
        </w:tc>
      </w:tr>
      <w:tr w14:paraId="6BEFABE7">
        <w:tc>
          <w:tcPr>
            <w:tcW w:w="608" w:type="pct"/>
            <w:vMerge w:val="continue"/>
            <w:tcBorders>
              <w:top w:val="nil"/>
              <w:left w:val="nil"/>
              <w:bottom w:val="nil"/>
              <w:right w:val="nil"/>
            </w:tcBorders>
            <w:vAlign w:val="center"/>
          </w:tcPr>
          <w:p w14:paraId="318841A6">
            <w:pPr>
              <w:widowControl w:val="0"/>
              <w:jc w:val="center"/>
              <w:rPr>
                <w:rFonts w:ascii="Times New Roman" w:hAnsi="Times New Roman"/>
                <w:color w:val="000000"/>
                <w:sz w:val="22"/>
                <w:szCs w:val="22"/>
              </w:rPr>
            </w:pPr>
          </w:p>
        </w:tc>
        <w:tc>
          <w:tcPr>
            <w:tcW w:w="539" w:type="pct"/>
            <w:vMerge w:val="continue"/>
            <w:tcBorders>
              <w:top w:val="nil"/>
              <w:left w:val="nil"/>
              <w:bottom w:val="nil"/>
              <w:right w:val="nil"/>
            </w:tcBorders>
            <w:vAlign w:val="center"/>
          </w:tcPr>
          <w:p w14:paraId="534B3E44">
            <w:pPr>
              <w:widowControl w:val="0"/>
              <w:jc w:val="center"/>
              <w:rPr>
                <w:rFonts w:ascii="Times New Roman" w:hAnsi="Times New Roman"/>
                <w:color w:val="000000"/>
                <w:sz w:val="22"/>
                <w:szCs w:val="22"/>
              </w:rPr>
            </w:pPr>
          </w:p>
        </w:tc>
        <w:tc>
          <w:tcPr>
            <w:tcW w:w="546" w:type="pct"/>
            <w:tcBorders>
              <w:top w:val="nil"/>
              <w:left w:val="nil"/>
              <w:bottom w:val="nil"/>
              <w:right w:val="nil"/>
            </w:tcBorders>
            <w:vAlign w:val="center"/>
          </w:tcPr>
          <w:p w14:paraId="08A0A30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A22r</w:t>
            </w:r>
          </w:p>
        </w:tc>
        <w:tc>
          <w:tcPr>
            <w:tcW w:w="422" w:type="pct"/>
            <w:tcBorders>
              <w:top w:val="nil"/>
              <w:left w:val="nil"/>
              <w:bottom w:val="nil"/>
              <w:right w:val="nil"/>
            </w:tcBorders>
            <w:vAlign w:val="center"/>
          </w:tcPr>
          <w:p w14:paraId="159BF63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-0.014 </w:t>
            </w:r>
          </w:p>
        </w:tc>
        <w:tc>
          <w:tcPr>
            <w:tcW w:w="422" w:type="pct"/>
            <w:tcBorders>
              <w:top w:val="nil"/>
              <w:left w:val="nil"/>
              <w:bottom w:val="nil"/>
              <w:right w:val="nil"/>
            </w:tcBorders>
            <w:vAlign w:val="center"/>
          </w:tcPr>
          <w:p w14:paraId="1B41D402">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-0.033 </w:t>
            </w:r>
          </w:p>
        </w:tc>
        <w:tc>
          <w:tcPr>
            <w:tcW w:w="422" w:type="pct"/>
            <w:tcBorders>
              <w:top w:val="nil"/>
              <w:left w:val="nil"/>
              <w:bottom w:val="nil"/>
              <w:right w:val="nil"/>
            </w:tcBorders>
            <w:vAlign w:val="center"/>
          </w:tcPr>
          <w:p w14:paraId="476F0866">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-0.046 </w:t>
            </w:r>
          </w:p>
        </w:tc>
        <w:tc>
          <w:tcPr>
            <w:tcW w:w="556" w:type="pct"/>
            <w:tcBorders>
              <w:top w:val="nil"/>
              <w:left w:val="nil"/>
              <w:bottom w:val="nil"/>
              <w:right w:val="nil"/>
            </w:tcBorders>
            <w:vAlign w:val="center"/>
          </w:tcPr>
          <w:p w14:paraId="09A20953">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-0.355 </w:t>
            </w:r>
          </w:p>
        </w:tc>
        <w:tc>
          <w:tcPr>
            <w:tcW w:w="463" w:type="pct"/>
            <w:tcBorders>
              <w:top w:val="nil"/>
              <w:left w:val="nil"/>
              <w:bottom w:val="nil"/>
              <w:right w:val="nil"/>
            </w:tcBorders>
            <w:vAlign w:val="center"/>
          </w:tcPr>
          <w:p w14:paraId="284C679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0.022</w:t>
            </w:r>
          </w:p>
        </w:tc>
        <w:tc>
          <w:tcPr>
            <w:tcW w:w="556" w:type="pct"/>
            <w:tcBorders>
              <w:top w:val="nil"/>
              <w:left w:val="nil"/>
              <w:bottom w:val="nil"/>
              <w:right w:val="nil"/>
            </w:tcBorders>
            <w:vAlign w:val="center"/>
          </w:tcPr>
          <w:p w14:paraId="162E7BF9">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 </w:t>
            </w:r>
          </w:p>
        </w:tc>
        <w:tc>
          <w:tcPr>
            <w:tcW w:w="463" w:type="pct"/>
            <w:tcBorders>
              <w:top w:val="nil"/>
              <w:left w:val="nil"/>
              <w:bottom w:val="nil"/>
              <w:right w:val="nil"/>
            </w:tcBorders>
            <w:vAlign w:val="center"/>
          </w:tcPr>
          <w:p w14:paraId="1056C5D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 </w:t>
            </w:r>
          </w:p>
        </w:tc>
      </w:tr>
      <w:tr w14:paraId="45BE7BC5">
        <w:tc>
          <w:tcPr>
            <w:tcW w:w="608" w:type="pct"/>
            <w:vMerge w:val="continue"/>
            <w:tcBorders>
              <w:top w:val="nil"/>
              <w:left w:val="nil"/>
              <w:bottom w:val="nil"/>
              <w:right w:val="nil"/>
            </w:tcBorders>
            <w:vAlign w:val="center"/>
          </w:tcPr>
          <w:p w14:paraId="64A2B9F9">
            <w:pPr>
              <w:widowControl w:val="0"/>
              <w:jc w:val="center"/>
              <w:rPr>
                <w:rFonts w:ascii="Times New Roman" w:hAnsi="Times New Roman"/>
                <w:color w:val="000000"/>
                <w:sz w:val="22"/>
                <w:szCs w:val="22"/>
              </w:rPr>
            </w:pPr>
          </w:p>
        </w:tc>
        <w:tc>
          <w:tcPr>
            <w:tcW w:w="539" w:type="pct"/>
            <w:tcBorders>
              <w:top w:val="nil"/>
              <w:left w:val="nil"/>
              <w:bottom w:val="nil"/>
              <w:right w:val="nil"/>
            </w:tcBorders>
            <w:vAlign w:val="center"/>
          </w:tcPr>
          <w:p w14:paraId="51C56570">
            <w:pPr>
              <w:widowControl w:val="0"/>
              <w:jc w:val="center"/>
              <w:rPr>
                <w:rFonts w:ascii="Times New Roman" w:hAnsi="Times New Roman"/>
                <w:color w:val="000000"/>
                <w:sz w:val="22"/>
                <w:szCs w:val="22"/>
              </w:rPr>
            </w:pPr>
            <w:r>
              <w:rPr>
                <w:rFonts w:ascii="Times New Roman" w:hAnsi="Times New Roman"/>
                <w:color w:val="000000"/>
                <w:sz w:val="22"/>
                <w:szCs w:val="22"/>
              </w:rPr>
              <w:t>FuG</w:t>
            </w:r>
          </w:p>
        </w:tc>
        <w:tc>
          <w:tcPr>
            <w:tcW w:w="546" w:type="pct"/>
            <w:tcBorders>
              <w:top w:val="nil"/>
              <w:left w:val="nil"/>
              <w:bottom w:val="nil"/>
              <w:right w:val="nil"/>
            </w:tcBorders>
            <w:vAlign w:val="center"/>
          </w:tcPr>
          <w:p w14:paraId="1CD16DA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A37lv</w:t>
            </w:r>
          </w:p>
        </w:tc>
        <w:tc>
          <w:tcPr>
            <w:tcW w:w="422" w:type="pct"/>
            <w:tcBorders>
              <w:top w:val="nil"/>
              <w:left w:val="nil"/>
              <w:bottom w:val="nil"/>
              <w:right w:val="nil"/>
            </w:tcBorders>
            <w:vAlign w:val="center"/>
          </w:tcPr>
          <w:p w14:paraId="2969669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-0.033 </w:t>
            </w:r>
          </w:p>
        </w:tc>
        <w:tc>
          <w:tcPr>
            <w:tcW w:w="422" w:type="pct"/>
            <w:tcBorders>
              <w:top w:val="nil"/>
              <w:left w:val="nil"/>
              <w:bottom w:val="nil"/>
              <w:right w:val="nil"/>
            </w:tcBorders>
            <w:vAlign w:val="center"/>
          </w:tcPr>
          <w:p w14:paraId="4B9128B6">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-0.028 </w:t>
            </w:r>
          </w:p>
        </w:tc>
        <w:tc>
          <w:tcPr>
            <w:tcW w:w="422" w:type="pct"/>
            <w:tcBorders>
              <w:top w:val="nil"/>
              <w:left w:val="nil"/>
              <w:bottom w:val="nil"/>
              <w:right w:val="nil"/>
            </w:tcBorders>
            <w:vAlign w:val="center"/>
          </w:tcPr>
          <w:p w14:paraId="1AD3AC0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-0.056 </w:t>
            </w:r>
          </w:p>
        </w:tc>
        <w:tc>
          <w:tcPr>
            <w:tcW w:w="556" w:type="pct"/>
            <w:tcBorders>
              <w:top w:val="nil"/>
              <w:left w:val="nil"/>
              <w:bottom w:val="nil"/>
              <w:right w:val="nil"/>
            </w:tcBorders>
            <w:vAlign w:val="center"/>
          </w:tcPr>
          <w:p w14:paraId="457A6CB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w:t>
            </w:r>
          </w:p>
        </w:tc>
        <w:tc>
          <w:tcPr>
            <w:tcW w:w="463" w:type="pct"/>
            <w:tcBorders>
              <w:top w:val="nil"/>
              <w:left w:val="nil"/>
              <w:bottom w:val="nil"/>
              <w:right w:val="nil"/>
            </w:tcBorders>
            <w:vAlign w:val="center"/>
          </w:tcPr>
          <w:p w14:paraId="04A8A356">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w:t>
            </w:r>
          </w:p>
        </w:tc>
        <w:tc>
          <w:tcPr>
            <w:tcW w:w="556" w:type="pct"/>
            <w:tcBorders>
              <w:top w:val="nil"/>
              <w:left w:val="nil"/>
              <w:bottom w:val="nil"/>
              <w:right w:val="nil"/>
            </w:tcBorders>
            <w:vAlign w:val="center"/>
          </w:tcPr>
          <w:p w14:paraId="548ED65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-0.322 </w:t>
            </w:r>
          </w:p>
        </w:tc>
        <w:tc>
          <w:tcPr>
            <w:tcW w:w="463" w:type="pct"/>
            <w:tcBorders>
              <w:top w:val="nil"/>
              <w:left w:val="nil"/>
              <w:bottom w:val="nil"/>
              <w:right w:val="nil"/>
            </w:tcBorders>
            <w:vAlign w:val="center"/>
          </w:tcPr>
          <w:p w14:paraId="06C16EA6">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0.013</w:t>
            </w:r>
          </w:p>
        </w:tc>
      </w:tr>
      <w:tr w14:paraId="302F05BE">
        <w:tc>
          <w:tcPr>
            <w:tcW w:w="608" w:type="pct"/>
            <w:vMerge w:val="continue"/>
            <w:tcBorders>
              <w:top w:val="nil"/>
              <w:left w:val="nil"/>
              <w:bottom w:val="nil"/>
              <w:right w:val="nil"/>
            </w:tcBorders>
            <w:vAlign w:val="center"/>
          </w:tcPr>
          <w:p w14:paraId="379F0783">
            <w:pPr>
              <w:widowControl w:val="0"/>
              <w:jc w:val="center"/>
              <w:rPr>
                <w:rFonts w:ascii="Times New Roman" w:hAnsi="Times New Roman"/>
                <w:color w:val="000000"/>
                <w:sz w:val="22"/>
                <w:szCs w:val="22"/>
              </w:rPr>
            </w:pPr>
          </w:p>
        </w:tc>
        <w:tc>
          <w:tcPr>
            <w:tcW w:w="539" w:type="pct"/>
            <w:tcBorders>
              <w:top w:val="nil"/>
              <w:left w:val="nil"/>
              <w:bottom w:val="nil"/>
              <w:right w:val="nil"/>
            </w:tcBorders>
            <w:vAlign w:val="center"/>
          </w:tcPr>
          <w:p w14:paraId="6AF00959">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PhG</w:t>
            </w:r>
          </w:p>
        </w:tc>
        <w:tc>
          <w:tcPr>
            <w:tcW w:w="546" w:type="pct"/>
            <w:tcBorders>
              <w:top w:val="nil"/>
              <w:left w:val="nil"/>
              <w:bottom w:val="nil"/>
              <w:right w:val="nil"/>
            </w:tcBorders>
            <w:vAlign w:val="center"/>
          </w:tcPr>
          <w:p w14:paraId="15A39698">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A35_36r</w:t>
            </w:r>
          </w:p>
        </w:tc>
        <w:tc>
          <w:tcPr>
            <w:tcW w:w="422" w:type="pct"/>
            <w:tcBorders>
              <w:top w:val="nil"/>
              <w:left w:val="nil"/>
              <w:bottom w:val="nil"/>
              <w:right w:val="nil"/>
            </w:tcBorders>
            <w:vAlign w:val="center"/>
          </w:tcPr>
          <w:p w14:paraId="3FD4F10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-0.093 </w:t>
            </w:r>
          </w:p>
        </w:tc>
        <w:tc>
          <w:tcPr>
            <w:tcW w:w="422" w:type="pct"/>
            <w:tcBorders>
              <w:top w:val="nil"/>
              <w:left w:val="nil"/>
              <w:bottom w:val="nil"/>
              <w:right w:val="nil"/>
            </w:tcBorders>
            <w:vAlign w:val="center"/>
          </w:tcPr>
          <w:p w14:paraId="67306386">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-0.074 </w:t>
            </w:r>
          </w:p>
        </w:tc>
        <w:tc>
          <w:tcPr>
            <w:tcW w:w="422" w:type="pct"/>
            <w:tcBorders>
              <w:top w:val="nil"/>
              <w:left w:val="nil"/>
              <w:bottom w:val="nil"/>
              <w:right w:val="nil"/>
            </w:tcBorders>
            <w:vAlign w:val="center"/>
          </w:tcPr>
          <w:p w14:paraId="466709C9">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-0.049 </w:t>
            </w:r>
          </w:p>
        </w:tc>
        <w:tc>
          <w:tcPr>
            <w:tcW w:w="556" w:type="pct"/>
            <w:tcBorders>
              <w:top w:val="nil"/>
              <w:left w:val="nil"/>
              <w:bottom w:val="nil"/>
              <w:right w:val="nil"/>
            </w:tcBorders>
            <w:vAlign w:val="center"/>
          </w:tcPr>
          <w:p w14:paraId="79EF326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0.526 </w:t>
            </w:r>
          </w:p>
        </w:tc>
        <w:tc>
          <w:tcPr>
            <w:tcW w:w="463" w:type="pct"/>
            <w:tcBorders>
              <w:top w:val="nil"/>
              <w:left w:val="nil"/>
              <w:bottom w:val="nil"/>
              <w:right w:val="nil"/>
            </w:tcBorders>
            <w:vAlign w:val="center"/>
          </w:tcPr>
          <w:p w14:paraId="686D266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&lt;0.001</w:t>
            </w:r>
          </w:p>
        </w:tc>
        <w:tc>
          <w:tcPr>
            <w:tcW w:w="556" w:type="pct"/>
            <w:tcBorders>
              <w:top w:val="nil"/>
              <w:left w:val="nil"/>
              <w:bottom w:val="nil"/>
              <w:right w:val="nil"/>
            </w:tcBorders>
            <w:vAlign w:val="center"/>
          </w:tcPr>
          <w:p w14:paraId="3E664169">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 </w:t>
            </w:r>
          </w:p>
        </w:tc>
        <w:tc>
          <w:tcPr>
            <w:tcW w:w="463" w:type="pct"/>
            <w:tcBorders>
              <w:top w:val="nil"/>
              <w:left w:val="nil"/>
              <w:bottom w:val="nil"/>
              <w:right w:val="nil"/>
            </w:tcBorders>
            <w:vAlign w:val="center"/>
          </w:tcPr>
          <w:p w14:paraId="73E841B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w:t>
            </w:r>
          </w:p>
        </w:tc>
      </w:tr>
      <w:tr w14:paraId="6CAA2F17">
        <w:tc>
          <w:tcPr>
            <w:tcW w:w="608" w:type="pct"/>
            <w:tcBorders>
              <w:top w:val="nil"/>
              <w:left w:val="nil"/>
              <w:bottom w:val="nil"/>
              <w:right w:val="nil"/>
            </w:tcBorders>
            <w:vAlign w:val="center"/>
          </w:tcPr>
          <w:p w14:paraId="16FC1D46">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Limbic Lobe</w:t>
            </w:r>
          </w:p>
        </w:tc>
        <w:tc>
          <w:tcPr>
            <w:tcW w:w="539" w:type="pct"/>
            <w:tcBorders>
              <w:top w:val="nil"/>
              <w:left w:val="nil"/>
              <w:bottom w:val="nil"/>
              <w:right w:val="nil"/>
            </w:tcBorders>
            <w:vAlign w:val="center"/>
          </w:tcPr>
          <w:p w14:paraId="60FBB256">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CG</w:t>
            </w:r>
          </w:p>
        </w:tc>
        <w:tc>
          <w:tcPr>
            <w:tcW w:w="546" w:type="pct"/>
            <w:tcBorders>
              <w:top w:val="nil"/>
              <w:left w:val="nil"/>
              <w:bottom w:val="nil"/>
              <w:right w:val="nil"/>
            </w:tcBorders>
            <w:vAlign w:val="center"/>
          </w:tcPr>
          <w:p w14:paraId="32F5780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A23v</w:t>
            </w:r>
          </w:p>
        </w:tc>
        <w:tc>
          <w:tcPr>
            <w:tcW w:w="422" w:type="pct"/>
            <w:tcBorders>
              <w:top w:val="nil"/>
              <w:left w:val="nil"/>
              <w:bottom w:val="nil"/>
              <w:right w:val="nil"/>
            </w:tcBorders>
            <w:vAlign w:val="center"/>
          </w:tcPr>
          <w:p w14:paraId="0E0A051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0.060 </w:t>
            </w:r>
          </w:p>
        </w:tc>
        <w:tc>
          <w:tcPr>
            <w:tcW w:w="422" w:type="pct"/>
            <w:tcBorders>
              <w:top w:val="nil"/>
              <w:left w:val="nil"/>
              <w:bottom w:val="nil"/>
              <w:right w:val="nil"/>
            </w:tcBorders>
            <w:vAlign w:val="center"/>
          </w:tcPr>
          <w:p w14:paraId="317178A7">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0.059 </w:t>
            </w:r>
          </w:p>
        </w:tc>
        <w:tc>
          <w:tcPr>
            <w:tcW w:w="422" w:type="pct"/>
            <w:tcBorders>
              <w:top w:val="nil"/>
              <w:left w:val="nil"/>
              <w:bottom w:val="nil"/>
              <w:right w:val="nil"/>
            </w:tcBorders>
            <w:vAlign w:val="center"/>
          </w:tcPr>
          <w:p w14:paraId="692E74D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0.045 </w:t>
            </w:r>
          </w:p>
        </w:tc>
        <w:tc>
          <w:tcPr>
            <w:tcW w:w="556" w:type="pct"/>
            <w:tcBorders>
              <w:top w:val="nil"/>
              <w:left w:val="nil"/>
              <w:bottom w:val="nil"/>
              <w:right w:val="nil"/>
            </w:tcBorders>
            <w:vAlign w:val="center"/>
          </w:tcPr>
          <w:p w14:paraId="36450B3C">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w:t>
            </w:r>
          </w:p>
        </w:tc>
        <w:tc>
          <w:tcPr>
            <w:tcW w:w="463" w:type="pct"/>
            <w:tcBorders>
              <w:top w:val="nil"/>
              <w:left w:val="nil"/>
              <w:bottom w:val="nil"/>
              <w:right w:val="nil"/>
            </w:tcBorders>
            <w:vAlign w:val="center"/>
          </w:tcPr>
          <w:p w14:paraId="11CCE04E">
            <w:pPr>
              <w:widowControl/>
              <w:jc w:val="center"/>
              <w:textAlignment w:val="center"/>
              <w:rPr>
                <w:rFonts w:ascii="Times New Roman" w:hAnsi="Times New Roman"/>
                <w:color w:val="000000"/>
                <w:sz w:val="22"/>
                <w:szCs w:val="22"/>
              </w:rPr>
            </w:pPr>
            <w:r>
              <w:rPr>
                <w:rFonts w:ascii="Times New Roman" w:hAnsi="Times New Roman"/>
                <w:color w:val="000000"/>
                <w:sz w:val="22"/>
                <w:szCs w:val="22"/>
              </w:rPr>
              <w:t>-</w:t>
            </w:r>
          </w:p>
        </w:tc>
        <w:tc>
          <w:tcPr>
            <w:tcW w:w="556" w:type="pct"/>
            <w:tcBorders>
              <w:top w:val="nil"/>
              <w:left w:val="nil"/>
              <w:bottom w:val="nil"/>
              <w:right w:val="nil"/>
            </w:tcBorders>
            <w:vAlign w:val="center"/>
          </w:tcPr>
          <w:p w14:paraId="7BC5CC33">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-0.369 </w:t>
            </w:r>
          </w:p>
        </w:tc>
        <w:tc>
          <w:tcPr>
            <w:tcW w:w="463" w:type="pct"/>
            <w:tcBorders>
              <w:top w:val="nil"/>
              <w:left w:val="nil"/>
              <w:bottom w:val="nil"/>
              <w:right w:val="nil"/>
            </w:tcBorders>
            <w:vAlign w:val="center"/>
          </w:tcPr>
          <w:p w14:paraId="6E37C5BF">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0.018</w:t>
            </w:r>
          </w:p>
        </w:tc>
      </w:tr>
      <w:tr w14:paraId="2F636950">
        <w:tc>
          <w:tcPr>
            <w:tcW w:w="608" w:type="pct"/>
            <w:tcBorders>
              <w:top w:val="nil"/>
              <w:left w:val="nil"/>
              <w:bottom w:val="single" w:color="auto" w:sz="4" w:space="0"/>
              <w:right w:val="nil"/>
            </w:tcBorders>
            <w:vAlign w:val="center"/>
          </w:tcPr>
          <w:p w14:paraId="57DD6530">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Occipital Lobe</w:t>
            </w:r>
          </w:p>
        </w:tc>
        <w:tc>
          <w:tcPr>
            <w:tcW w:w="539" w:type="pct"/>
            <w:tcBorders>
              <w:top w:val="nil"/>
              <w:left w:val="nil"/>
              <w:bottom w:val="single" w:color="auto" w:sz="4" w:space="0"/>
              <w:right w:val="nil"/>
            </w:tcBorders>
            <w:vAlign w:val="center"/>
          </w:tcPr>
          <w:p w14:paraId="637FC890">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MVOcC</w:t>
            </w:r>
          </w:p>
        </w:tc>
        <w:tc>
          <w:tcPr>
            <w:tcW w:w="546" w:type="pct"/>
            <w:tcBorders>
              <w:top w:val="nil"/>
              <w:left w:val="nil"/>
              <w:bottom w:val="single" w:color="auto" w:sz="4" w:space="0"/>
              <w:right w:val="nil"/>
            </w:tcBorders>
            <w:vAlign w:val="center"/>
          </w:tcPr>
          <w:p w14:paraId="383E2C42">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vmPOS</w:t>
            </w:r>
          </w:p>
        </w:tc>
        <w:tc>
          <w:tcPr>
            <w:tcW w:w="422" w:type="pct"/>
            <w:tcBorders>
              <w:top w:val="nil"/>
              <w:left w:val="nil"/>
              <w:bottom w:val="single" w:color="auto" w:sz="4" w:space="0"/>
              <w:right w:val="nil"/>
            </w:tcBorders>
            <w:vAlign w:val="center"/>
          </w:tcPr>
          <w:p w14:paraId="4434A1B0">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0.048 </w:t>
            </w:r>
          </w:p>
        </w:tc>
        <w:tc>
          <w:tcPr>
            <w:tcW w:w="422" w:type="pct"/>
            <w:tcBorders>
              <w:top w:val="nil"/>
              <w:left w:val="nil"/>
              <w:bottom w:val="single" w:color="auto" w:sz="4" w:space="0"/>
              <w:right w:val="nil"/>
            </w:tcBorders>
            <w:vAlign w:val="center"/>
          </w:tcPr>
          <w:p w14:paraId="322BC23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0.052 </w:t>
            </w:r>
          </w:p>
        </w:tc>
        <w:tc>
          <w:tcPr>
            <w:tcW w:w="422" w:type="pct"/>
            <w:tcBorders>
              <w:top w:val="nil"/>
              <w:left w:val="nil"/>
              <w:bottom w:val="single" w:color="auto" w:sz="4" w:space="0"/>
              <w:right w:val="nil"/>
            </w:tcBorders>
            <w:vAlign w:val="center"/>
          </w:tcPr>
          <w:p w14:paraId="53C78E2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0.034 </w:t>
            </w:r>
          </w:p>
        </w:tc>
        <w:tc>
          <w:tcPr>
            <w:tcW w:w="556" w:type="pct"/>
            <w:tcBorders>
              <w:top w:val="nil"/>
              <w:left w:val="nil"/>
              <w:bottom w:val="single" w:color="auto" w:sz="4" w:space="0"/>
              <w:right w:val="nil"/>
            </w:tcBorders>
            <w:vAlign w:val="center"/>
          </w:tcPr>
          <w:p w14:paraId="29A6436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w:t>
            </w:r>
          </w:p>
        </w:tc>
        <w:tc>
          <w:tcPr>
            <w:tcW w:w="463" w:type="pct"/>
            <w:tcBorders>
              <w:top w:val="nil"/>
              <w:left w:val="nil"/>
              <w:bottom w:val="single" w:color="auto" w:sz="4" w:space="0"/>
              <w:right w:val="nil"/>
            </w:tcBorders>
            <w:vAlign w:val="center"/>
          </w:tcPr>
          <w:p w14:paraId="6A743482">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w:t>
            </w:r>
          </w:p>
        </w:tc>
        <w:tc>
          <w:tcPr>
            <w:tcW w:w="556" w:type="pct"/>
            <w:tcBorders>
              <w:top w:val="nil"/>
              <w:left w:val="nil"/>
              <w:bottom w:val="single" w:color="auto" w:sz="4" w:space="0"/>
              <w:right w:val="nil"/>
            </w:tcBorders>
            <w:vAlign w:val="center"/>
          </w:tcPr>
          <w:p w14:paraId="070F4F9F">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-0.370 </w:t>
            </w:r>
          </w:p>
        </w:tc>
        <w:tc>
          <w:tcPr>
            <w:tcW w:w="463" w:type="pct"/>
            <w:tcBorders>
              <w:top w:val="nil"/>
              <w:left w:val="nil"/>
              <w:bottom w:val="single" w:color="auto" w:sz="4" w:space="0"/>
              <w:right w:val="nil"/>
            </w:tcBorders>
            <w:vAlign w:val="center"/>
          </w:tcPr>
          <w:p w14:paraId="716E4BEB">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0.018</w:t>
            </w:r>
          </w:p>
        </w:tc>
      </w:tr>
    </w:tbl>
    <w:p w14:paraId="13CBEE1E">
      <w:pPr>
        <w:jc w:val="both"/>
        <w:rPr>
          <w:rStyle w:val="34"/>
          <w:rFonts w:ascii="Times New Roman" w:hAnsi="Times New Roman"/>
          <w:b/>
          <w:bCs/>
          <w:sz w:val="28"/>
          <w:szCs w:val="28"/>
        </w:rPr>
      </w:pPr>
      <w:r>
        <w:rPr>
          <w:rFonts w:ascii="Times New Roman" w:hAnsi="Times New Roman"/>
          <w:lang w:eastAsia="zh" w:bidi="ar"/>
        </w:rPr>
        <w:t>"</w:t>
      </w:r>
      <w:r>
        <w:rPr>
          <w:rFonts w:ascii="Times New Roman" w:hAnsi="Times New Roman"/>
          <w:lang w:bidi="ar"/>
        </w:rPr>
        <w:t>Lobe</w:t>
      </w:r>
      <w:r>
        <w:rPr>
          <w:rFonts w:ascii="Times New Roman" w:hAnsi="Times New Roman"/>
          <w:lang w:eastAsia="zh" w:bidi="ar"/>
        </w:rPr>
        <w:t>"</w:t>
      </w:r>
      <w:r>
        <w:rPr>
          <w:rFonts w:ascii="Times New Roman" w:hAnsi="Times New Roman"/>
          <w:lang w:bidi="ar"/>
        </w:rPr>
        <w:t xml:space="preserve"> is the major lobe of the brain. </w:t>
      </w:r>
      <w:r>
        <w:rPr>
          <w:rFonts w:ascii="Times New Roman" w:hAnsi="Times New Roman"/>
          <w:lang w:eastAsia="zh" w:bidi="ar"/>
        </w:rPr>
        <w:t>"</w:t>
      </w:r>
      <w:r>
        <w:rPr>
          <w:rFonts w:ascii="Times New Roman" w:hAnsi="Times New Roman"/>
          <w:lang w:bidi="ar"/>
        </w:rPr>
        <w:t>Gyrus</w:t>
      </w:r>
      <w:r>
        <w:rPr>
          <w:rFonts w:ascii="Times New Roman" w:hAnsi="Times New Roman"/>
          <w:lang w:eastAsia="zh" w:bidi="ar"/>
        </w:rPr>
        <w:t>"</w:t>
      </w:r>
      <w:r>
        <w:rPr>
          <w:rFonts w:ascii="Times New Roman" w:hAnsi="Times New Roman"/>
          <w:lang w:bidi="ar"/>
        </w:rPr>
        <w:t xml:space="preserve"> is the specific gyrus within the lobe. </w:t>
      </w:r>
      <w:r>
        <w:rPr>
          <w:rFonts w:ascii="Times New Roman" w:hAnsi="Times New Roman"/>
          <w:lang w:eastAsia="zh" w:bidi="ar"/>
        </w:rPr>
        <w:t>"</w:t>
      </w:r>
      <w:r>
        <w:rPr>
          <w:rFonts w:ascii="Times New Roman" w:hAnsi="Times New Roman"/>
          <w:lang w:bidi="ar"/>
        </w:rPr>
        <w:t>Number</w:t>
      </w:r>
      <w:r>
        <w:rPr>
          <w:rFonts w:ascii="Times New Roman" w:hAnsi="Times New Roman"/>
          <w:lang w:eastAsia="zh" w:bidi="ar"/>
        </w:rPr>
        <w:t>"</w:t>
      </w:r>
      <w:r>
        <w:rPr>
          <w:rFonts w:ascii="Times New Roman" w:hAnsi="Times New Roman"/>
          <w:lang w:bidi="ar"/>
        </w:rPr>
        <w:t xml:space="preserve"> is the identifier for the brain region. </w:t>
      </w:r>
      <w:r>
        <w:rPr>
          <w:rFonts w:ascii="Times New Roman" w:hAnsi="Times New Roman"/>
          <w:lang w:eastAsia="zh" w:bidi="ar"/>
        </w:rPr>
        <w:t>"</w:t>
      </w:r>
      <w:r>
        <w:rPr>
          <w:rFonts w:ascii="Times New Roman" w:hAnsi="Times New Roman"/>
          <w:lang w:bidi="ar"/>
        </w:rPr>
        <w:t>Mean AI</w:t>
      </w:r>
      <w:r>
        <w:rPr>
          <w:rFonts w:ascii="Times New Roman" w:hAnsi="Times New Roman"/>
          <w:lang w:eastAsia="zh" w:bidi="ar"/>
        </w:rPr>
        <w:t>"</w:t>
      </w:r>
      <w:r>
        <w:rPr>
          <w:rFonts w:ascii="Times New Roman" w:hAnsi="Times New Roman"/>
          <w:lang w:bidi="ar"/>
        </w:rPr>
        <w:t xml:space="preserve"> (NC, MCI, AD) means the average asymmetry index for each group. The effect size (Cohen's d) and the False Discovery Rate-adjusted p-FDR value for the comparison between groups. A dash (-) in the statistical columns indicates that the data is not applicable or not reported for that specific comparison.</w:t>
      </w:r>
    </w:p>
    <w:p w14:paraId="117AB664">
      <w:pPr>
        <w:rPr>
          <w:rFonts w:ascii="Times New Roman" w:hAnsi="Times New Roman" w:eastAsia="sans-serif"/>
          <w:color w:val="0F1115"/>
          <w:shd w:val="clear" w:color="auto" w:fill="FFFFFF"/>
          <w:lang w:eastAsia="zh"/>
        </w:rPr>
      </w:pPr>
    </w:p>
    <w:p w14:paraId="2BB3C45D">
      <w:pPr>
        <w:rPr>
          <w:rFonts w:ascii="Times New Roman" w:hAnsi="Times New Roman"/>
          <w:b/>
          <w:bCs/>
          <w:lang w:bidi="ar"/>
        </w:rPr>
      </w:pPr>
      <w:r>
        <w:rPr>
          <w:rStyle w:val="34"/>
          <w:rFonts w:ascii="Times New Roman" w:hAnsi="Times New Roman"/>
          <w:b/>
          <w:bCs/>
        </w:rPr>
        <w:t xml:space="preserve">Table S3. </w:t>
      </w:r>
      <w:r>
        <w:rPr>
          <w:rFonts w:ascii="Times New Roman" w:hAnsi="Times New Roman"/>
          <w:b/>
          <w:bCs/>
          <w:lang w:bidi="ar"/>
        </w:rPr>
        <w:t>Brain regions of group difference with significant lateralization in CT after FDR correction.</w:t>
      </w:r>
    </w:p>
    <w:tbl>
      <w:tblPr>
        <w:tblStyle w:val="2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65"/>
        <w:gridCol w:w="1356"/>
        <w:gridCol w:w="1695"/>
        <w:gridCol w:w="1459"/>
        <w:gridCol w:w="1459"/>
        <w:gridCol w:w="1459"/>
        <w:gridCol w:w="2091"/>
        <w:gridCol w:w="1467"/>
      </w:tblGrid>
      <w:tr w14:paraId="0768EDE8">
        <w:tc>
          <w:tcPr>
            <w:tcW w:w="2050" w:type="pct"/>
            <w:gridSpan w:val="3"/>
            <w:tcBorders>
              <w:top w:val="single" w:color="auto" w:sz="4" w:space="0"/>
              <w:left w:val="nil"/>
              <w:bottom w:val="nil"/>
              <w:right w:val="nil"/>
            </w:tcBorders>
            <w:vAlign w:val="center"/>
          </w:tcPr>
          <w:p w14:paraId="2A80F9CE">
            <w:pPr>
              <w:widowControl/>
              <w:jc w:val="center"/>
              <w:textAlignment w:val="center"/>
              <w:rPr>
                <w:rFonts w:ascii="Times New Roman" w:hAnsi="Times New Roman"/>
                <w:b/>
                <w:bCs/>
                <w:color w:val="000000"/>
                <w:sz w:val="22"/>
                <w:szCs w:val="22"/>
              </w:rPr>
            </w:pPr>
            <w:r>
              <w:rPr>
                <w:rFonts w:ascii="Times New Roman" w:hAnsi="Times New Roman"/>
                <w:b/>
                <w:bCs/>
                <w:color w:val="000000"/>
                <w:sz w:val="22"/>
                <w:szCs w:val="22"/>
                <w:lang w:bidi="ar"/>
              </w:rPr>
              <w:t>CT</w:t>
            </w:r>
          </w:p>
        </w:tc>
        <w:tc>
          <w:tcPr>
            <w:tcW w:w="542" w:type="pct"/>
            <w:tcBorders>
              <w:top w:val="single" w:color="auto" w:sz="4" w:space="0"/>
              <w:left w:val="nil"/>
              <w:bottom w:val="nil"/>
              <w:right w:val="nil"/>
            </w:tcBorders>
            <w:vAlign w:val="center"/>
          </w:tcPr>
          <w:p w14:paraId="30FC1B65">
            <w:pPr>
              <w:widowControl/>
              <w:jc w:val="center"/>
              <w:textAlignment w:val="center"/>
              <w:rPr>
                <w:rFonts w:ascii="Times New Roman" w:hAnsi="Times New Roman"/>
                <w:b/>
                <w:bCs/>
                <w:color w:val="000000"/>
                <w:sz w:val="22"/>
                <w:szCs w:val="22"/>
              </w:rPr>
            </w:pPr>
            <w:r>
              <w:rPr>
                <w:rFonts w:ascii="Times New Roman" w:hAnsi="Times New Roman"/>
                <w:b/>
                <w:bCs/>
                <w:color w:val="000000"/>
                <w:sz w:val="22"/>
                <w:szCs w:val="22"/>
                <w:lang w:bidi="ar"/>
              </w:rPr>
              <w:t>NC</w:t>
            </w:r>
          </w:p>
        </w:tc>
        <w:tc>
          <w:tcPr>
            <w:tcW w:w="542" w:type="pct"/>
            <w:tcBorders>
              <w:top w:val="single" w:color="auto" w:sz="4" w:space="0"/>
              <w:left w:val="nil"/>
              <w:bottom w:val="nil"/>
              <w:right w:val="nil"/>
            </w:tcBorders>
            <w:vAlign w:val="center"/>
          </w:tcPr>
          <w:p w14:paraId="52B3B713">
            <w:pPr>
              <w:widowControl/>
              <w:jc w:val="center"/>
              <w:textAlignment w:val="center"/>
              <w:rPr>
                <w:rFonts w:ascii="Times New Roman" w:hAnsi="Times New Roman"/>
                <w:b/>
                <w:bCs/>
                <w:color w:val="000000"/>
                <w:sz w:val="22"/>
                <w:szCs w:val="22"/>
              </w:rPr>
            </w:pPr>
            <w:r>
              <w:rPr>
                <w:rFonts w:ascii="Times New Roman" w:hAnsi="Times New Roman"/>
                <w:b/>
                <w:bCs/>
                <w:color w:val="000000"/>
                <w:sz w:val="22"/>
                <w:szCs w:val="22"/>
                <w:lang w:bidi="ar"/>
              </w:rPr>
              <w:t>MCI</w:t>
            </w:r>
          </w:p>
        </w:tc>
        <w:tc>
          <w:tcPr>
            <w:tcW w:w="542" w:type="pct"/>
            <w:tcBorders>
              <w:top w:val="single" w:color="auto" w:sz="4" w:space="0"/>
              <w:left w:val="nil"/>
              <w:bottom w:val="nil"/>
              <w:right w:val="nil"/>
            </w:tcBorders>
            <w:vAlign w:val="center"/>
          </w:tcPr>
          <w:p w14:paraId="53833562">
            <w:pPr>
              <w:widowControl/>
              <w:jc w:val="center"/>
              <w:textAlignment w:val="center"/>
              <w:rPr>
                <w:rFonts w:ascii="Times New Roman" w:hAnsi="Times New Roman"/>
                <w:b/>
                <w:bCs/>
                <w:color w:val="000000"/>
                <w:sz w:val="22"/>
                <w:szCs w:val="22"/>
              </w:rPr>
            </w:pPr>
            <w:r>
              <w:rPr>
                <w:rFonts w:ascii="Times New Roman" w:hAnsi="Times New Roman"/>
                <w:b/>
                <w:bCs/>
                <w:color w:val="000000"/>
                <w:sz w:val="22"/>
                <w:szCs w:val="22"/>
                <w:lang w:bidi="ar"/>
              </w:rPr>
              <w:t>AD</w:t>
            </w:r>
          </w:p>
        </w:tc>
        <w:tc>
          <w:tcPr>
            <w:tcW w:w="1322" w:type="pct"/>
            <w:gridSpan w:val="2"/>
            <w:tcBorders>
              <w:top w:val="single" w:color="auto" w:sz="4" w:space="0"/>
              <w:left w:val="nil"/>
              <w:bottom w:val="nil"/>
              <w:right w:val="nil"/>
            </w:tcBorders>
            <w:vAlign w:val="center"/>
          </w:tcPr>
          <w:p w14:paraId="6BA3D680">
            <w:pPr>
              <w:widowControl/>
              <w:jc w:val="center"/>
              <w:textAlignment w:val="center"/>
              <w:rPr>
                <w:rFonts w:ascii="Times New Roman" w:hAnsi="Times New Roman"/>
                <w:b/>
                <w:bCs/>
                <w:color w:val="000000"/>
                <w:sz w:val="22"/>
                <w:szCs w:val="22"/>
              </w:rPr>
            </w:pPr>
            <w:r>
              <w:rPr>
                <w:rFonts w:ascii="Times New Roman" w:hAnsi="Times New Roman"/>
                <w:b/>
                <w:bCs/>
                <w:color w:val="000000"/>
                <w:sz w:val="22"/>
                <w:szCs w:val="22"/>
                <w:lang w:bidi="ar"/>
              </w:rPr>
              <w:t>AD VS. NC</w:t>
            </w:r>
          </w:p>
        </w:tc>
      </w:tr>
      <w:tr w14:paraId="35BA75F9">
        <w:tc>
          <w:tcPr>
            <w:tcW w:w="916" w:type="pct"/>
            <w:tcBorders>
              <w:top w:val="nil"/>
              <w:left w:val="nil"/>
              <w:bottom w:val="single" w:color="auto" w:sz="4" w:space="0"/>
              <w:right w:val="nil"/>
            </w:tcBorders>
            <w:vAlign w:val="center"/>
          </w:tcPr>
          <w:p w14:paraId="5F7B8511">
            <w:pPr>
              <w:widowControl/>
              <w:jc w:val="center"/>
              <w:textAlignment w:val="center"/>
              <w:rPr>
                <w:rFonts w:ascii="Times New Roman" w:hAnsi="Times New Roman"/>
                <w:b/>
                <w:bCs/>
                <w:color w:val="000000"/>
                <w:sz w:val="22"/>
                <w:szCs w:val="22"/>
              </w:rPr>
            </w:pPr>
            <w:r>
              <w:rPr>
                <w:rFonts w:ascii="Times New Roman" w:hAnsi="Times New Roman"/>
                <w:b/>
                <w:bCs/>
                <w:color w:val="000000"/>
                <w:sz w:val="22"/>
                <w:szCs w:val="22"/>
                <w:lang w:bidi="ar"/>
              </w:rPr>
              <w:t>Lobe</w:t>
            </w:r>
          </w:p>
        </w:tc>
        <w:tc>
          <w:tcPr>
            <w:tcW w:w="504" w:type="pct"/>
            <w:tcBorders>
              <w:top w:val="nil"/>
              <w:left w:val="nil"/>
              <w:bottom w:val="single" w:color="auto" w:sz="4" w:space="0"/>
              <w:right w:val="nil"/>
            </w:tcBorders>
            <w:vAlign w:val="center"/>
          </w:tcPr>
          <w:p w14:paraId="20ACC853">
            <w:pPr>
              <w:widowControl/>
              <w:jc w:val="center"/>
              <w:textAlignment w:val="center"/>
              <w:rPr>
                <w:rFonts w:ascii="Times New Roman" w:hAnsi="Times New Roman"/>
                <w:b/>
                <w:bCs/>
                <w:color w:val="000000"/>
                <w:sz w:val="22"/>
                <w:szCs w:val="22"/>
              </w:rPr>
            </w:pPr>
            <w:r>
              <w:rPr>
                <w:rFonts w:ascii="Times New Roman" w:hAnsi="Times New Roman"/>
                <w:b/>
                <w:bCs/>
                <w:color w:val="000000"/>
                <w:sz w:val="22"/>
                <w:szCs w:val="22"/>
                <w:lang w:bidi="ar"/>
              </w:rPr>
              <w:t>Gyrus</w:t>
            </w:r>
          </w:p>
        </w:tc>
        <w:tc>
          <w:tcPr>
            <w:tcW w:w="630" w:type="pct"/>
            <w:tcBorders>
              <w:top w:val="nil"/>
              <w:left w:val="nil"/>
              <w:bottom w:val="single" w:color="auto" w:sz="4" w:space="0"/>
              <w:right w:val="nil"/>
            </w:tcBorders>
            <w:vAlign w:val="center"/>
          </w:tcPr>
          <w:p w14:paraId="1F8DE841">
            <w:pPr>
              <w:widowControl/>
              <w:jc w:val="center"/>
              <w:textAlignment w:val="center"/>
              <w:rPr>
                <w:rFonts w:ascii="Times New Roman" w:hAnsi="Times New Roman"/>
                <w:b/>
                <w:bCs/>
                <w:color w:val="000000"/>
                <w:sz w:val="22"/>
                <w:szCs w:val="22"/>
              </w:rPr>
            </w:pPr>
            <w:r>
              <w:rPr>
                <w:rFonts w:ascii="Times New Roman" w:hAnsi="Times New Roman"/>
                <w:b/>
                <w:bCs/>
                <w:color w:val="000000"/>
                <w:sz w:val="22"/>
                <w:szCs w:val="22"/>
                <w:lang w:eastAsia="zh" w:bidi="ar"/>
              </w:rPr>
              <w:t>Region</w:t>
            </w:r>
          </w:p>
        </w:tc>
        <w:tc>
          <w:tcPr>
            <w:tcW w:w="542" w:type="pct"/>
            <w:tcBorders>
              <w:top w:val="nil"/>
              <w:left w:val="nil"/>
              <w:bottom w:val="single" w:color="auto" w:sz="4" w:space="0"/>
              <w:right w:val="nil"/>
            </w:tcBorders>
            <w:vAlign w:val="center"/>
          </w:tcPr>
          <w:p w14:paraId="2213BFC3">
            <w:pPr>
              <w:widowControl/>
              <w:jc w:val="center"/>
              <w:textAlignment w:val="center"/>
              <w:rPr>
                <w:rFonts w:ascii="Times New Roman" w:hAnsi="Times New Roman"/>
                <w:b/>
                <w:bCs/>
                <w:color w:val="000000"/>
                <w:sz w:val="22"/>
                <w:szCs w:val="22"/>
              </w:rPr>
            </w:pPr>
            <w:r>
              <w:rPr>
                <w:rFonts w:ascii="Times New Roman" w:hAnsi="Times New Roman"/>
                <w:b/>
                <w:bCs/>
                <w:color w:val="000000"/>
                <w:sz w:val="22"/>
                <w:szCs w:val="22"/>
                <w:lang w:bidi="ar"/>
              </w:rPr>
              <w:t xml:space="preserve">Mean </w:t>
            </w:r>
            <w:r>
              <w:rPr>
                <w:rFonts w:ascii="Times New Roman" w:hAnsi="Times New Roman"/>
                <w:b/>
                <w:bCs/>
                <w:color w:val="000000"/>
                <w:sz w:val="22"/>
                <w:szCs w:val="22"/>
                <w:lang w:bidi="ar"/>
              </w:rPr>
              <w:br w:type="textWrapping"/>
            </w:r>
            <w:r>
              <w:rPr>
                <w:rFonts w:ascii="Times New Roman" w:hAnsi="Times New Roman"/>
                <w:b/>
                <w:bCs/>
                <w:color w:val="000000"/>
                <w:sz w:val="22"/>
                <w:szCs w:val="22"/>
                <w:lang w:bidi="ar"/>
              </w:rPr>
              <w:t>AI</w:t>
            </w:r>
          </w:p>
        </w:tc>
        <w:tc>
          <w:tcPr>
            <w:tcW w:w="542" w:type="pct"/>
            <w:tcBorders>
              <w:top w:val="nil"/>
              <w:left w:val="nil"/>
              <w:bottom w:val="single" w:color="auto" w:sz="4" w:space="0"/>
              <w:right w:val="nil"/>
            </w:tcBorders>
            <w:vAlign w:val="center"/>
          </w:tcPr>
          <w:p w14:paraId="6AB04D84">
            <w:pPr>
              <w:widowControl/>
              <w:jc w:val="center"/>
              <w:textAlignment w:val="center"/>
              <w:rPr>
                <w:rFonts w:ascii="Times New Roman" w:hAnsi="Times New Roman"/>
                <w:b/>
                <w:bCs/>
                <w:color w:val="000000"/>
                <w:sz w:val="22"/>
                <w:szCs w:val="22"/>
              </w:rPr>
            </w:pPr>
            <w:r>
              <w:rPr>
                <w:rFonts w:ascii="Times New Roman" w:hAnsi="Times New Roman"/>
                <w:b/>
                <w:bCs/>
                <w:color w:val="000000"/>
                <w:sz w:val="22"/>
                <w:szCs w:val="22"/>
                <w:lang w:bidi="ar"/>
              </w:rPr>
              <w:t xml:space="preserve">Mean </w:t>
            </w:r>
            <w:r>
              <w:rPr>
                <w:rFonts w:ascii="Times New Roman" w:hAnsi="Times New Roman"/>
                <w:b/>
                <w:bCs/>
                <w:color w:val="000000"/>
                <w:sz w:val="22"/>
                <w:szCs w:val="22"/>
                <w:lang w:bidi="ar"/>
              </w:rPr>
              <w:br w:type="textWrapping"/>
            </w:r>
            <w:r>
              <w:rPr>
                <w:rFonts w:ascii="Times New Roman" w:hAnsi="Times New Roman"/>
                <w:b/>
                <w:bCs/>
                <w:color w:val="000000"/>
                <w:sz w:val="22"/>
                <w:szCs w:val="22"/>
                <w:lang w:bidi="ar"/>
              </w:rPr>
              <w:t>AI</w:t>
            </w:r>
          </w:p>
        </w:tc>
        <w:tc>
          <w:tcPr>
            <w:tcW w:w="542" w:type="pct"/>
            <w:tcBorders>
              <w:top w:val="nil"/>
              <w:left w:val="nil"/>
              <w:bottom w:val="single" w:color="auto" w:sz="4" w:space="0"/>
              <w:right w:val="nil"/>
            </w:tcBorders>
            <w:vAlign w:val="center"/>
          </w:tcPr>
          <w:p w14:paraId="089AAB35">
            <w:pPr>
              <w:widowControl/>
              <w:jc w:val="center"/>
              <w:textAlignment w:val="center"/>
              <w:rPr>
                <w:rFonts w:ascii="Times New Roman" w:hAnsi="Times New Roman"/>
                <w:b/>
                <w:bCs/>
                <w:color w:val="000000"/>
                <w:sz w:val="22"/>
                <w:szCs w:val="22"/>
              </w:rPr>
            </w:pPr>
            <w:r>
              <w:rPr>
                <w:rFonts w:ascii="Times New Roman" w:hAnsi="Times New Roman"/>
                <w:b/>
                <w:bCs/>
                <w:color w:val="000000"/>
                <w:sz w:val="22"/>
                <w:szCs w:val="22"/>
                <w:lang w:bidi="ar"/>
              </w:rPr>
              <w:t xml:space="preserve">Mean </w:t>
            </w:r>
            <w:r>
              <w:rPr>
                <w:rFonts w:ascii="Times New Roman" w:hAnsi="Times New Roman"/>
                <w:b/>
                <w:bCs/>
                <w:color w:val="000000"/>
                <w:sz w:val="22"/>
                <w:szCs w:val="22"/>
                <w:lang w:bidi="ar"/>
              </w:rPr>
              <w:br w:type="textWrapping"/>
            </w:r>
            <w:r>
              <w:rPr>
                <w:rFonts w:ascii="Times New Roman" w:hAnsi="Times New Roman"/>
                <w:b/>
                <w:bCs/>
                <w:color w:val="000000"/>
                <w:sz w:val="22"/>
                <w:szCs w:val="22"/>
                <w:lang w:bidi="ar"/>
              </w:rPr>
              <w:t>AI</w:t>
            </w:r>
          </w:p>
        </w:tc>
        <w:tc>
          <w:tcPr>
            <w:tcW w:w="777" w:type="pct"/>
            <w:tcBorders>
              <w:top w:val="nil"/>
              <w:left w:val="nil"/>
              <w:bottom w:val="single" w:color="auto" w:sz="4" w:space="0"/>
              <w:right w:val="nil"/>
            </w:tcBorders>
            <w:vAlign w:val="center"/>
          </w:tcPr>
          <w:p w14:paraId="30A6B319">
            <w:pPr>
              <w:widowControl/>
              <w:jc w:val="center"/>
              <w:textAlignment w:val="center"/>
              <w:rPr>
                <w:rFonts w:ascii="Times New Roman" w:hAnsi="Times New Roman"/>
                <w:b/>
                <w:bCs/>
                <w:color w:val="000000"/>
                <w:sz w:val="22"/>
                <w:szCs w:val="22"/>
              </w:rPr>
            </w:pPr>
            <w:r>
              <w:rPr>
                <w:rFonts w:ascii="Times New Roman" w:hAnsi="Times New Roman"/>
                <w:b/>
                <w:bCs/>
                <w:szCs w:val="20"/>
                <w:lang w:bidi="ar"/>
              </w:rPr>
              <w:t>Cohen's d</w:t>
            </w:r>
          </w:p>
        </w:tc>
        <w:tc>
          <w:tcPr>
            <w:tcW w:w="544" w:type="pct"/>
            <w:tcBorders>
              <w:top w:val="nil"/>
              <w:left w:val="nil"/>
              <w:bottom w:val="single" w:color="auto" w:sz="4" w:space="0"/>
              <w:right w:val="nil"/>
            </w:tcBorders>
            <w:vAlign w:val="center"/>
          </w:tcPr>
          <w:p w14:paraId="06318B52">
            <w:pPr>
              <w:widowControl/>
              <w:jc w:val="center"/>
              <w:textAlignment w:val="center"/>
              <w:rPr>
                <w:rFonts w:ascii="Times New Roman" w:hAnsi="Times New Roman"/>
                <w:b/>
                <w:bCs/>
                <w:color w:val="000000"/>
                <w:sz w:val="22"/>
                <w:szCs w:val="22"/>
              </w:rPr>
            </w:pPr>
            <w:r>
              <w:rPr>
                <w:rFonts w:ascii="Times New Roman" w:hAnsi="Times New Roman"/>
                <w:b/>
                <w:bCs/>
                <w:color w:val="000000"/>
                <w:sz w:val="22"/>
                <w:szCs w:val="22"/>
                <w:lang w:bidi="ar"/>
              </w:rPr>
              <w:t>p-FDR</w:t>
            </w:r>
          </w:p>
        </w:tc>
      </w:tr>
      <w:tr w14:paraId="0DC249F3">
        <w:tc>
          <w:tcPr>
            <w:tcW w:w="916" w:type="pct"/>
            <w:vMerge w:val="restart"/>
            <w:tcBorders>
              <w:top w:val="single" w:color="auto" w:sz="4" w:space="0"/>
              <w:left w:val="nil"/>
              <w:bottom w:val="nil"/>
              <w:right w:val="nil"/>
            </w:tcBorders>
            <w:vAlign w:val="center"/>
          </w:tcPr>
          <w:p w14:paraId="4D4C993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Frontal Lobe</w:t>
            </w:r>
          </w:p>
        </w:tc>
        <w:tc>
          <w:tcPr>
            <w:tcW w:w="504" w:type="pct"/>
            <w:tcBorders>
              <w:top w:val="single" w:color="auto" w:sz="4" w:space="0"/>
              <w:left w:val="nil"/>
              <w:bottom w:val="nil"/>
              <w:right w:val="nil"/>
            </w:tcBorders>
            <w:vAlign w:val="center"/>
          </w:tcPr>
          <w:p w14:paraId="0E9F937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IFG</w:t>
            </w:r>
          </w:p>
        </w:tc>
        <w:tc>
          <w:tcPr>
            <w:tcW w:w="630" w:type="pct"/>
            <w:tcBorders>
              <w:top w:val="single" w:color="auto" w:sz="4" w:space="0"/>
              <w:left w:val="nil"/>
              <w:bottom w:val="nil"/>
              <w:right w:val="nil"/>
            </w:tcBorders>
            <w:vAlign w:val="center"/>
          </w:tcPr>
          <w:p w14:paraId="1AE877E6">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A44op</w:t>
            </w:r>
          </w:p>
        </w:tc>
        <w:tc>
          <w:tcPr>
            <w:tcW w:w="542" w:type="pct"/>
            <w:tcBorders>
              <w:top w:val="single" w:color="auto" w:sz="4" w:space="0"/>
              <w:left w:val="nil"/>
              <w:bottom w:val="nil"/>
              <w:right w:val="nil"/>
            </w:tcBorders>
            <w:vAlign w:val="center"/>
          </w:tcPr>
          <w:p w14:paraId="634C7337">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-0.016 </w:t>
            </w:r>
          </w:p>
        </w:tc>
        <w:tc>
          <w:tcPr>
            <w:tcW w:w="542" w:type="pct"/>
            <w:tcBorders>
              <w:top w:val="single" w:color="auto" w:sz="4" w:space="0"/>
              <w:left w:val="nil"/>
              <w:bottom w:val="nil"/>
              <w:right w:val="nil"/>
            </w:tcBorders>
            <w:vAlign w:val="center"/>
          </w:tcPr>
          <w:p w14:paraId="06ECFBD2">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-0.022 </w:t>
            </w:r>
          </w:p>
        </w:tc>
        <w:tc>
          <w:tcPr>
            <w:tcW w:w="542" w:type="pct"/>
            <w:tcBorders>
              <w:top w:val="single" w:color="auto" w:sz="4" w:space="0"/>
              <w:left w:val="nil"/>
              <w:bottom w:val="nil"/>
              <w:right w:val="nil"/>
            </w:tcBorders>
            <w:vAlign w:val="center"/>
          </w:tcPr>
          <w:p w14:paraId="4C855DE9">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-0.028 </w:t>
            </w:r>
          </w:p>
        </w:tc>
        <w:tc>
          <w:tcPr>
            <w:tcW w:w="777" w:type="pct"/>
            <w:tcBorders>
              <w:top w:val="single" w:color="auto" w:sz="4" w:space="0"/>
              <w:left w:val="nil"/>
              <w:bottom w:val="nil"/>
              <w:right w:val="nil"/>
            </w:tcBorders>
            <w:vAlign w:val="center"/>
          </w:tcPr>
          <w:p w14:paraId="33709D72">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-0.299 </w:t>
            </w:r>
          </w:p>
        </w:tc>
        <w:tc>
          <w:tcPr>
            <w:tcW w:w="544" w:type="pct"/>
            <w:tcBorders>
              <w:top w:val="single" w:color="auto" w:sz="4" w:space="0"/>
              <w:left w:val="nil"/>
              <w:bottom w:val="nil"/>
              <w:right w:val="nil"/>
            </w:tcBorders>
            <w:vAlign w:val="center"/>
          </w:tcPr>
          <w:p w14:paraId="0254E42D">
            <w:pPr>
              <w:widowControl/>
              <w:jc w:val="center"/>
              <w:textAlignment w:val="center"/>
              <w:rPr>
                <w:rFonts w:ascii="Times New Roman" w:hAnsi="Times New Roman"/>
                <w:color w:val="000000"/>
                <w:sz w:val="22"/>
                <w:szCs w:val="22"/>
              </w:rPr>
            </w:pPr>
            <w:r>
              <w:rPr>
                <w:rFonts w:ascii="Times New Roman" w:hAnsi="Times New Roman"/>
                <w:color w:val="000000"/>
                <w:sz w:val="22"/>
                <w:szCs w:val="22"/>
              </w:rPr>
              <w:t>0.022</w:t>
            </w:r>
          </w:p>
        </w:tc>
      </w:tr>
      <w:tr w14:paraId="1441054F">
        <w:tc>
          <w:tcPr>
            <w:tcW w:w="916" w:type="pct"/>
            <w:vMerge w:val="continue"/>
            <w:tcBorders>
              <w:top w:val="nil"/>
              <w:left w:val="nil"/>
              <w:bottom w:val="nil"/>
              <w:right w:val="nil"/>
            </w:tcBorders>
            <w:vAlign w:val="center"/>
          </w:tcPr>
          <w:p w14:paraId="719B9A36">
            <w:pPr>
              <w:widowControl w:val="0"/>
              <w:jc w:val="center"/>
              <w:rPr>
                <w:rFonts w:ascii="Times New Roman" w:hAnsi="Times New Roman"/>
                <w:color w:val="000000"/>
                <w:sz w:val="22"/>
                <w:szCs w:val="22"/>
              </w:rPr>
            </w:pPr>
          </w:p>
        </w:tc>
        <w:tc>
          <w:tcPr>
            <w:tcW w:w="504" w:type="pct"/>
            <w:vMerge w:val="restart"/>
            <w:tcBorders>
              <w:top w:val="nil"/>
              <w:left w:val="nil"/>
              <w:bottom w:val="nil"/>
              <w:right w:val="nil"/>
            </w:tcBorders>
            <w:vAlign w:val="center"/>
          </w:tcPr>
          <w:p w14:paraId="7977FD87">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OrG</w:t>
            </w:r>
          </w:p>
        </w:tc>
        <w:tc>
          <w:tcPr>
            <w:tcW w:w="630" w:type="pct"/>
            <w:tcBorders>
              <w:top w:val="nil"/>
              <w:left w:val="nil"/>
              <w:bottom w:val="nil"/>
              <w:right w:val="nil"/>
            </w:tcBorders>
            <w:vAlign w:val="center"/>
          </w:tcPr>
          <w:p w14:paraId="0B462440">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A14m</w:t>
            </w:r>
          </w:p>
        </w:tc>
        <w:tc>
          <w:tcPr>
            <w:tcW w:w="542" w:type="pct"/>
            <w:tcBorders>
              <w:top w:val="nil"/>
              <w:left w:val="nil"/>
              <w:bottom w:val="nil"/>
              <w:right w:val="nil"/>
            </w:tcBorders>
            <w:vAlign w:val="center"/>
          </w:tcPr>
          <w:p w14:paraId="1CE956A3">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0.002 </w:t>
            </w:r>
          </w:p>
        </w:tc>
        <w:tc>
          <w:tcPr>
            <w:tcW w:w="542" w:type="pct"/>
            <w:tcBorders>
              <w:top w:val="nil"/>
              <w:left w:val="nil"/>
              <w:bottom w:val="nil"/>
              <w:right w:val="nil"/>
            </w:tcBorders>
            <w:vAlign w:val="center"/>
          </w:tcPr>
          <w:p w14:paraId="3EAD6536">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-0.014 </w:t>
            </w:r>
          </w:p>
        </w:tc>
        <w:tc>
          <w:tcPr>
            <w:tcW w:w="542" w:type="pct"/>
            <w:tcBorders>
              <w:top w:val="nil"/>
              <w:left w:val="nil"/>
              <w:bottom w:val="nil"/>
              <w:right w:val="nil"/>
            </w:tcBorders>
            <w:vAlign w:val="center"/>
          </w:tcPr>
          <w:p w14:paraId="1D1092B9">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-0.021 </w:t>
            </w:r>
          </w:p>
        </w:tc>
        <w:tc>
          <w:tcPr>
            <w:tcW w:w="777" w:type="pct"/>
            <w:tcBorders>
              <w:top w:val="nil"/>
              <w:left w:val="nil"/>
              <w:bottom w:val="nil"/>
              <w:right w:val="nil"/>
            </w:tcBorders>
            <w:vAlign w:val="center"/>
          </w:tcPr>
          <w:p w14:paraId="1FD98F56">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-0.326</w:t>
            </w:r>
          </w:p>
        </w:tc>
        <w:tc>
          <w:tcPr>
            <w:tcW w:w="544" w:type="pct"/>
            <w:tcBorders>
              <w:top w:val="nil"/>
              <w:left w:val="nil"/>
              <w:bottom w:val="nil"/>
              <w:right w:val="nil"/>
            </w:tcBorders>
            <w:vAlign w:val="center"/>
          </w:tcPr>
          <w:p w14:paraId="785C9EB2">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0.020</w:t>
            </w:r>
          </w:p>
        </w:tc>
      </w:tr>
      <w:tr w14:paraId="4C01688D">
        <w:tc>
          <w:tcPr>
            <w:tcW w:w="916" w:type="pct"/>
            <w:vMerge w:val="continue"/>
            <w:tcBorders>
              <w:top w:val="nil"/>
              <w:left w:val="nil"/>
              <w:bottom w:val="nil"/>
              <w:right w:val="nil"/>
            </w:tcBorders>
            <w:vAlign w:val="center"/>
          </w:tcPr>
          <w:p w14:paraId="1D7557E1">
            <w:pPr>
              <w:widowControl w:val="0"/>
              <w:jc w:val="center"/>
              <w:rPr>
                <w:rFonts w:ascii="Times New Roman" w:hAnsi="Times New Roman"/>
                <w:color w:val="000000"/>
                <w:sz w:val="22"/>
                <w:szCs w:val="22"/>
              </w:rPr>
            </w:pPr>
          </w:p>
        </w:tc>
        <w:tc>
          <w:tcPr>
            <w:tcW w:w="504" w:type="pct"/>
            <w:vMerge w:val="continue"/>
            <w:tcBorders>
              <w:top w:val="nil"/>
              <w:left w:val="nil"/>
              <w:bottom w:val="nil"/>
              <w:right w:val="nil"/>
            </w:tcBorders>
            <w:vAlign w:val="center"/>
          </w:tcPr>
          <w:p w14:paraId="39B924B6">
            <w:pPr>
              <w:widowControl/>
              <w:jc w:val="center"/>
              <w:textAlignment w:val="center"/>
              <w:rPr>
                <w:rFonts w:ascii="Times New Roman" w:hAnsi="Times New Roman"/>
                <w:color w:val="000000"/>
                <w:sz w:val="22"/>
                <w:szCs w:val="22"/>
                <w:lang w:bidi="ar"/>
              </w:rPr>
            </w:pPr>
          </w:p>
        </w:tc>
        <w:tc>
          <w:tcPr>
            <w:tcW w:w="630" w:type="pct"/>
            <w:tcBorders>
              <w:top w:val="nil"/>
              <w:left w:val="nil"/>
              <w:bottom w:val="nil"/>
              <w:right w:val="nil"/>
            </w:tcBorders>
            <w:vAlign w:val="center"/>
          </w:tcPr>
          <w:p w14:paraId="0EC2290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A11l</w:t>
            </w:r>
          </w:p>
        </w:tc>
        <w:tc>
          <w:tcPr>
            <w:tcW w:w="542" w:type="pct"/>
            <w:tcBorders>
              <w:top w:val="nil"/>
              <w:left w:val="nil"/>
              <w:bottom w:val="nil"/>
              <w:right w:val="nil"/>
            </w:tcBorders>
            <w:vAlign w:val="center"/>
          </w:tcPr>
          <w:p w14:paraId="49AC628F">
            <w:pPr>
              <w:widowControl/>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-0.019</w:t>
            </w:r>
          </w:p>
        </w:tc>
        <w:tc>
          <w:tcPr>
            <w:tcW w:w="542" w:type="pct"/>
            <w:tcBorders>
              <w:top w:val="nil"/>
              <w:left w:val="nil"/>
              <w:bottom w:val="nil"/>
              <w:right w:val="nil"/>
            </w:tcBorders>
            <w:vAlign w:val="center"/>
          </w:tcPr>
          <w:p w14:paraId="754DD533">
            <w:pPr>
              <w:widowControl/>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-0.022</w:t>
            </w:r>
          </w:p>
        </w:tc>
        <w:tc>
          <w:tcPr>
            <w:tcW w:w="542" w:type="pct"/>
            <w:tcBorders>
              <w:top w:val="nil"/>
              <w:left w:val="nil"/>
              <w:bottom w:val="nil"/>
              <w:right w:val="nil"/>
            </w:tcBorders>
            <w:vAlign w:val="center"/>
          </w:tcPr>
          <w:p w14:paraId="45F8E9C8">
            <w:pPr>
              <w:widowControl/>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-0.039</w:t>
            </w:r>
          </w:p>
        </w:tc>
        <w:tc>
          <w:tcPr>
            <w:tcW w:w="777" w:type="pct"/>
            <w:tcBorders>
              <w:top w:val="nil"/>
              <w:left w:val="nil"/>
              <w:bottom w:val="nil"/>
              <w:right w:val="nil"/>
            </w:tcBorders>
            <w:vAlign w:val="center"/>
          </w:tcPr>
          <w:p w14:paraId="792D78FE">
            <w:pPr>
              <w:widowControl/>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-0.360</w:t>
            </w:r>
          </w:p>
        </w:tc>
        <w:tc>
          <w:tcPr>
            <w:tcW w:w="544" w:type="pct"/>
            <w:tcBorders>
              <w:top w:val="nil"/>
              <w:left w:val="nil"/>
              <w:bottom w:val="nil"/>
              <w:right w:val="nil"/>
            </w:tcBorders>
            <w:vAlign w:val="center"/>
          </w:tcPr>
          <w:p w14:paraId="60879238">
            <w:pPr>
              <w:widowControl/>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0.013</w:t>
            </w:r>
          </w:p>
        </w:tc>
      </w:tr>
      <w:tr w14:paraId="3FDD4928">
        <w:tc>
          <w:tcPr>
            <w:tcW w:w="916" w:type="pct"/>
            <w:vMerge w:val="continue"/>
            <w:tcBorders>
              <w:top w:val="nil"/>
              <w:left w:val="nil"/>
              <w:bottom w:val="single" w:color="auto" w:sz="4" w:space="0"/>
              <w:right w:val="nil"/>
            </w:tcBorders>
            <w:vAlign w:val="center"/>
          </w:tcPr>
          <w:p w14:paraId="6D14CCE0">
            <w:pPr>
              <w:widowControl w:val="0"/>
              <w:jc w:val="center"/>
              <w:rPr>
                <w:rFonts w:ascii="Times New Roman" w:hAnsi="Times New Roman"/>
                <w:color w:val="000000"/>
                <w:sz w:val="22"/>
                <w:szCs w:val="22"/>
              </w:rPr>
            </w:pPr>
          </w:p>
        </w:tc>
        <w:tc>
          <w:tcPr>
            <w:tcW w:w="504" w:type="pct"/>
            <w:vMerge w:val="continue"/>
            <w:tcBorders>
              <w:top w:val="nil"/>
              <w:left w:val="nil"/>
              <w:bottom w:val="single" w:color="auto" w:sz="4" w:space="0"/>
              <w:right w:val="nil"/>
            </w:tcBorders>
            <w:vAlign w:val="center"/>
          </w:tcPr>
          <w:p w14:paraId="52049D8B">
            <w:pPr>
              <w:widowControl/>
              <w:jc w:val="center"/>
              <w:textAlignment w:val="center"/>
              <w:rPr>
                <w:rFonts w:ascii="Times New Roman" w:hAnsi="Times New Roman"/>
                <w:color w:val="000000"/>
                <w:sz w:val="22"/>
                <w:szCs w:val="22"/>
                <w:lang w:bidi="ar"/>
              </w:rPr>
            </w:pPr>
          </w:p>
        </w:tc>
        <w:tc>
          <w:tcPr>
            <w:tcW w:w="630" w:type="pct"/>
            <w:tcBorders>
              <w:top w:val="nil"/>
              <w:left w:val="nil"/>
              <w:bottom w:val="single" w:color="auto" w:sz="4" w:space="0"/>
              <w:right w:val="nil"/>
            </w:tcBorders>
            <w:vAlign w:val="center"/>
          </w:tcPr>
          <w:p w14:paraId="161CB43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A12_47l</w:t>
            </w:r>
          </w:p>
        </w:tc>
        <w:tc>
          <w:tcPr>
            <w:tcW w:w="542" w:type="pct"/>
            <w:tcBorders>
              <w:top w:val="nil"/>
              <w:left w:val="nil"/>
              <w:bottom w:val="single" w:color="auto" w:sz="4" w:space="0"/>
              <w:right w:val="nil"/>
            </w:tcBorders>
            <w:vAlign w:val="center"/>
          </w:tcPr>
          <w:p w14:paraId="66397558">
            <w:pPr>
              <w:widowControl/>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0.008</w:t>
            </w:r>
          </w:p>
        </w:tc>
        <w:tc>
          <w:tcPr>
            <w:tcW w:w="542" w:type="pct"/>
            <w:tcBorders>
              <w:top w:val="nil"/>
              <w:left w:val="nil"/>
              <w:bottom w:val="single" w:color="auto" w:sz="4" w:space="0"/>
              <w:right w:val="nil"/>
            </w:tcBorders>
            <w:vAlign w:val="center"/>
          </w:tcPr>
          <w:p w14:paraId="45579DFD">
            <w:pPr>
              <w:widowControl/>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0.002</w:t>
            </w:r>
          </w:p>
        </w:tc>
        <w:tc>
          <w:tcPr>
            <w:tcW w:w="542" w:type="pct"/>
            <w:tcBorders>
              <w:top w:val="nil"/>
              <w:left w:val="nil"/>
              <w:bottom w:val="single" w:color="auto" w:sz="4" w:space="0"/>
              <w:right w:val="nil"/>
            </w:tcBorders>
            <w:vAlign w:val="center"/>
          </w:tcPr>
          <w:p w14:paraId="4D54D7C3">
            <w:pPr>
              <w:widowControl/>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-0.010</w:t>
            </w:r>
          </w:p>
        </w:tc>
        <w:tc>
          <w:tcPr>
            <w:tcW w:w="777" w:type="pct"/>
            <w:tcBorders>
              <w:top w:val="nil"/>
              <w:left w:val="nil"/>
              <w:bottom w:val="single" w:color="auto" w:sz="4" w:space="0"/>
              <w:right w:val="nil"/>
            </w:tcBorders>
            <w:vAlign w:val="center"/>
          </w:tcPr>
          <w:p w14:paraId="4AE64069">
            <w:pPr>
              <w:widowControl/>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-0.298</w:t>
            </w:r>
          </w:p>
        </w:tc>
        <w:tc>
          <w:tcPr>
            <w:tcW w:w="544" w:type="pct"/>
            <w:tcBorders>
              <w:top w:val="nil"/>
              <w:left w:val="nil"/>
              <w:bottom w:val="single" w:color="auto" w:sz="4" w:space="0"/>
              <w:right w:val="nil"/>
            </w:tcBorders>
            <w:vAlign w:val="center"/>
          </w:tcPr>
          <w:p w14:paraId="7E41DD8C">
            <w:pPr>
              <w:widowControl/>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0.039</w:t>
            </w:r>
          </w:p>
        </w:tc>
      </w:tr>
    </w:tbl>
    <w:p w14:paraId="274C62C4">
      <w:pPr>
        <w:jc w:val="both"/>
        <w:rPr>
          <w:rFonts w:ascii="Times New Roman" w:hAnsi="Times New Roman"/>
          <w:lang w:bidi="ar"/>
        </w:rPr>
      </w:pPr>
      <w:r>
        <w:rPr>
          <w:rFonts w:ascii="Times New Roman" w:hAnsi="Times New Roman"/>
          <w:lang w:eastAsia="zh" w:bidi="ar"/>
        </w:rPr>
        <w:t>"</w:t>
      </w:r>
      <w:r>
        <w:rPr>
          <w:rFonts w:ascii="Times New Roman" w:hAnsi="Times New Roman"/>
          <w:lang w:bidi="ar"/>
        </w:rPr>
        <w:t>Lobe</w:t>
      </w:r>
      <w:r>
        <w:rPr>
          <w:rFonts w:ascii="Times New Roman" w:hAnsi="Times New Roman"/>
          <w:lang w:eastAsia="zh" w:bidi="ar"/>
        </w:rPr>
        <w:t>"</w:t>
      </w:r>
      <w:r>
        <w:rPr>
          <w:rFonts w:ascii="Times New Roman" w:hAnsi="Times New Roman"/>
          <w:lang w:bidi="ar"/>
        </w:rPr>
        <w:t xml:space="preserve"> is the major lobe of the brain. </w:t>
      </w:r>
      <w:r>
        <w:rPr>
          <w:rFonts w:ascii="Times New Roman" w:hAnsi="Times New Roman"/>
          <w:lang w:eastAsia="zh" w:bidi="ar"/>
        </w:rPr>
        <w:t>"</w:t>
      </w:r>
      <w:r>
        <w:rPr>
          <w:rFonts w:ascii="Times New Roman" w:hAnsi="Times New Roman"/>
          <w:lang w:bidi="ar"/>
        </w:rPr>
        <w:t>Gyrus</w:t>
      </w:r>
      <w:r>
        <w:rPr>
          <w:rFonts w:ascii="Times New Roman" w:hAnsi="Times New Roman"/>
          <w:lang w:eastAsia="zh" w:bidi="ar"/>
        </w:rPr>
        <w:t>"</w:t>
      </w:r>
      <w:r>
        <w:rPr>
          <w:rFonts w:ascii="Times New Roman" w:hAnsi="Times New Roman"/>
          <w:lang w:bidi="ar"/>
        </w:rPr>
        <w:t xml:space="preserve"> is the specific gyrus within the lobe. </w:t>
      </w:r>
      <w:r>
        <w:rPr>
          <w:rFonts w:ascii="Times New Roman" w:hAnsi="Times New Roman"/>
          <w:lang w:eastAsia="zh" w:bidi="ar"/>
        </w:rPr>
        <w:t>"</w:t>
      </w:r>
      <w:r>
        <w:rPr>
          <w:rFonts w:ascii="Times New Roman" w:hAnsi="Times New Roman"/>
          <w:lang w:bidi="ar"/>
        </w:rPr>
        <w:t>Number</w:t>
      </w:r>
      <w:r>
        <w:rPr>
          <w:rFonts w:ascii="Times New Roman" w:hAnsi="Times New Roman"/>
          <w:lang w:eastAsia="zh" w:bidi="ar"/>
        </w:rPr>
        <w:t>"</w:t>
      </w:r>
      <w:r>
        <w:rPr>
          <w:rFonts w:ascii="Times New Roman" w:hAnsi="Times New Roman"/>
          <w:lang w:bidi="ar"/>
        </w:rPr>
        <w:t xml:space="preserve"> is the identifier for the brain region. </w:t>
      </w:r>
      <w:r>
        <w:rPr>
          <w:rFonts w:ascii="Times New Roman" w:hAnsi="Times New Roman"/>
          <w:lang w:eastAsia="zh" w:bidi="ar"/>
        </w:rPr>
        <w:t>"</w:t>
      </w:r>
      <w:r>
        <w:rPr>
          <w:rFonts w:ascii="Times New Roman" w:hAnsi="Times New Roman"/>
          <w:lang w:bidi="ar"/>
        </w:rPr>
        <w:t>Mean AI</w:t>
      </w:r>
      <w:r>
        <w:rPr>
          <w:rFonts w:ascii="Times New Roman" w:hAnsi="Times New Roman"/>
          <w:lang w:eastAsia="zh" w:bidi="ar"/>
        </w:rPr>
        <w:t>"</w:t>
      </w:r>
      <w:r>
        <w:rPr>
          <w:rFonts w:ascii="Times New Roman" w:hAnsi="Times New Roman"/>
          <w:lang w:bidi="ar"/>
        </w:rPr>
        <w:t xml:space="preserve"> (NC, MCI, AD) means the average asymmetry index for each group. The effect size (Cohen's d) and the False Discovery Rate-adjusted </w:t>
      </w:r>
      <w:r>
        <w:rPr>
          <w:rFonts w:ascii="Times New Roman" w:hAnsi="Times New Roman"/>
          <w:lang w:eastAsia="zh" w:bidi="ar"/>
        </w:rPr>
        <w:t>(</w:t>
      </w:r>
      <w:r>
        <w:rPr>
          <w:rFonts w:ascii="Times New Roman" w:hAnsi="Times New Roman"/>
          <w:lang w:bidi="ar"/>
        </w:rPr>
        <w:t>p-FDR</w:t>
      </w:r>
      <w:r>
        <w:rPr>
          <w:rFonts w:ascii="Times New Roman" w:hAnsi="Times New Roman"/>
          <w:lang w:eastAsia="zh" w:bidi="ar"/>
        </w:rPr>
        <w:t>)</w:t>
      </w:r>
      <w:r>
        <w:rPr>
          <w:rFonts w:ascii="Times New Roman" w:hAnsi="Times New Roman"/>
          <w:lang w:bidi="ar"/>
        </w:rPr>
        <w:t xml:space="preserve"> value for the comparison between groups. A dash (-) in the statistical columns indicates that the data is not applicable or not reported for that specific comparison.</w:t>
      </w:r>
    </w:p>
    <w:p w14:paraId="3875CDDF">
      <w:pPr>
        <w:rPr>
          <w:rStyle w:val="34"/>
          <w:rFonts w:ascii="Times New Roman" w:hAnsi="Times New Roman"/>
          <w:b/>
          <w:bCs/>
        </w:rPr>
      </w:pPr>
    </w:p>
    <w:p w14:paraId="1A67C798">
      <w:pPr>
        <w:rPr>
          <w:rFonts w:ascii="Times New Roman" w:hAnsi="Times New Roman"/>
          <w:b/>
          <w:bCs/>
          <w:lang w:bidi="ar"/>
        </w:rPr>
      </w:pPr>
      <w:r>
        <w:rPr>
          <w:rStyle w:val="34"/>
          <w:rFonts w:ascii="Times New Roman" w:hAnsi="Times New Roman"/>
          <w:b/>
          <w:bCs/>
        </w:rPr>
        <w:t>Table S</w:t>
      </w:r>
      <w:r>
        <w:rPr>
          <w:rStyle w:val="34"/>
          <w:rFonts w:ascii="Times New Roman" w:hAnsi="Times New Roman"/>
          <w:b/>
          <w:bCs/>
          <w:lang w:eastAsia="zh"/>
        </w:rPr>
        <w:t>4</w:t>
      </w:r>
      <w:r>
        <w:rPr>
          <w:rStyle w:val="34"/>
          <w:rFonts w:ascii="Times New Roman" w:hAnsi="Times New Roman"/>
          <w:b/>
          <w:bCs/>
        </w:rPr>
        <w:t xml:space="preserve">. </w:t>
      </w:r>
      <w:r>
        <w:rPr>
          <w:rFonts w:ascii="Times New Roman" w:hAnsi="Times New Roman"/>
          <w:b/>
          <w:bCs/>
          <w:lang w:bidi="ar"/>
        </w:rPr>
        <w:t>Brain regions of group difference with significant lateralization in GI after FDR correction.</w:t>
      </w:r>
    </w:p>
    <w:tbl>
      <w:tblPr>
        <w:tblStyle w:val="2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32"/>
        <w:gridCol w:w="1338"/>
        <w:gridCol w:w="1669"/>
        <w:gridCol w:w="1437"/>
        <w:gridCol w:w="1437"/>
        <w:gridCol w:w="1437"/>
        <w:gridCol w:w="2061"/>
        <w:gridCol w:w="1442"/>
      </w:tblGrid>
      <w:tr w14:paraId="6501469D">
        <w:tc>
          <w:tcPr>
            <w:tcW w:w="2095" w:type="pct"/>
            <w:gridSpan w:val="3"/>
            <w:tcBorders>
              <w:top w:val="single" w:color="auto" w:sz="4" w:space="0"/>
              <w:left w:val="nil"/>
              <w:bottom w:val="nil"/>
              <w:right w:val="nil"/>
            </w:tcBorders>
            <w:vAlign w:val="center"/>
          </w:tcPr>
          <w:p w14:paraId="1A60D50F">
            <w:pPr>
              <w:widowControl/>
              <w:jc w:val="center"/>
              <w:textAlignment w:val="center"/>
              <w:rPr>
                <w:rFonts w:ascii="Times New Roman" w:hAnsi="Times New Roman"/>
                <w:b/>
                <w:bCs/>
                <w:color w:val="000000"/>
                <w:sz w:val="22"/>
                <w:szCs w:val="22"/>
              </w:rPr>
            </w:pPr>
            <w:r>
              <w:rPr>
                <w:rFonts w:ascii="Times New Roman" w:hAnsi="Times New Roman"/>
                <w:b/>
                <w:bCs/>
                <w:color w:val="000000"/>
                <w:sz w:val="22"/>
                <w:szCs w:val="22"/>
                <w:lang w:bidi="ar"/>
              </w:rPr>
              <w:t>GI</w:t>
            </w:r>
          </w:p>
        </w:tc>
        <w:tc>
          <w:tcPr>
            <w:tcW w:w="534" w:type="pct"/>
            <w:tcBorders>
              <w:top w:val="single" w:color="auto" w:sz="4" w:space="0"/>
              <w:left w:val="nil"/>
              <w:bottom w:val="nil"/>
              <w:right w:val="nil"/>
            </w:tcBorders>
            <w:vAlign w:val="center"/>
          </w:tcPr>
          <w:p w14:paraId="0FDA54D4">
            <w:pPr>
              <w:widowControl/>
              <w:jc w:val="center"/>
              <w:textAlignment w:val="center"/>
              <w:rPr>
                <w:rFonts w:ascii="Times New Roman" w:hAnsi="Times New Roman"/>
                <w:b/>
                <w:bCs/>
                <w:color w:val="000000"/>
                <w:sz w:val="22"/>
                <w:szCs w:val="22"/>
              </w:rPr>
            </w:pPr>
            <w:r>
              <w:rPr>
                <w:rFonts w:ascii="Times New Roman" w:hAnsi="Times New Roman"/>
                <w:b/>
                <w:bCs/>
                <w:color w:val="000000"/>
                <w:sz w:val="22"/>
                <w:szCs w:val="22"/>
                <w:lang w:bidi="ar"/>
              </w:rPr>
              <w:t>NC</w:t>
            </w:r>
          </w:p>
        </w:tc>
        <w:tc>
          <w:tcPr>
            <w:tcW w:w="534" w:type="pct"/>
            <w:tcBorders>
              <w:top w:val="single" w:color="auto" w:sz="4" w:space="0"/>
              <w:left w:val="nil"/>
              <w:bottom w:val="nil"/>
              <w:right w:val="nil"/>
            </w:tcBorders>
            <w:vAlign w:val="center"/>
          </w:tcPr>
          <w:p w14:paraId="45F4FB38">
            <w:pPr>
              <w:widowControl/>
              <w:jc w:val="center"/>
              <w:textAlignment w:val="center"/>
              <w:rPr>
                <w:rFonts w:ascii="Times New Roman" w:hAnsi="Times New Roman"/>
                <w:b/>
                <w:bCs/>
                <w:color w:val="000000"/>
                <w:sz w:val="22"/>
                <w:szCs w:val="22"/>
              </w:rPr>
            </w:pPr>
            <w:r>
              <w:rPr>
                <w:rFonts w:ascii="Times New Roman" w:hAnsi="Times New Roman"/>
                <w:b/>
                <w:bCs/>
                <w:color w:val="000000"/>
                <w:sz w:val="22"/>
                <w:szCs w:val="22"/>
                <w:lang w:bidi="ar"/>
              </w:rPr>
              <w:t>MCI</w:t>
            </w:r>
          </w:p>
        </w:tc>
        <w:tc>
          <w:tcPr>
            <w:tcW w:w="534" w:type="pct"/>
            <w:tcBorders>
              <w:top w:val="single" w:color="auto" w:sz="4" w:space="0"/>
              <w:left w:val="nil"/>
              <w:bottom w:val="nil"/>
              <w:right w:val="nil"/>
            </w:tcBorders>
            <w:vAlign w:val="center"/>
          </w:tcPr>
          <w:p w14:paraId="625661A4">
            <w:pPr>
              <w:widowControl/>
              <w:jc w:val="center"/>
              <w:textAlignment w:val="center"/>
              <w:rPr>
                <w:rFonts w:ascii="Times New Roman" w:hAnsi="Times New Roman"/>
                <w:b/>
                <w:bCs/>
                <w:color w:val="000000"/>
                <w:sz w:val="22"/>
                <w:szCs w:val="22"/>
              </w:rPr>
            </w:pPr>
            <w:r>
              <w:rPr>
                <w:rFonts w:ascii="Times New Roman" w:hAnsi="Times New Roman"/>
                <w:b/>
                <w:bCs/>
                <w:color w:val="000000"/>
                <w:sz w:val="22"/>
                <w:szCs w:val="22"/>
                <w:lang w:bidi="ar"/>
              </w:rPr>
              <w:t>AD</w:t>
            </w:r>
          </w:p>
        </w:tc>
        <w:tc>
          <w:tcPr>
            <w:tcW w:w="1302" w:type="pct"/>
            <w:gridSpan w:val="2"/>
            <w:tcBorders>
              <w:top w:val="single" w:color="auto" w:sz="4" w:space="0"/>
              <w:left w:val="nil"/>
              <w:bottom w:val="nil"/>
              <w:right w:val="nil"/>
            </w:tcBorders>
            <w:vAlign w:val="center"/>
          </w:tcPr>
          <w:p w14:paraId="26ECC9AA">
            <w:pPr>
              <w:widowControl/>
              <w:jc w:val="center"/>
              <w:textAlignment w:val="center"/>
              <w:rPr>
                <w:rFonts w:ascii="Times New Roman" w:hAnsi="Times New Roman"/>
                <w:b/>
                <w:bCs/>
                <w:color w:val="000000"/>
                <w:sz w:val="22"/>
                <w:szCs w:val="22"/>
              </w:rPr>
            </w:pPr>
            <w:r>
              <w:rPr>
                <w:rFonts w:ascii="Times New Roman" w:hAnsi="Times New Roman"/>
                <w:b/>
                <w:bCs/>
                <w:color w:val="000000"/>
                <w:sz w:val="22"/>
                <w:szCs w:val="22"/>
                <w:lang w:bidi="ar"/>
              </w:rPr>
              <w:t>AD VS. NC</w:t>
            </w:r>
          </w:p>
        </w:tc>
      </w:tr>
      <w:tr w14:paraId="58465139">
        <w:tc>
          <w:tcPr>
            <w:tcW w:w="978" w:type="pct"/>
            <w:tcBorders>
              <w:top w:val="nil"/>
              <w:left w:val="nil"/>
              <w:bottom w:val="single" w:color="auto" w:sz="4" w:space="0"/>
              <w:right w:val="nil"/>
            </w:tcBorders>
            <w:vAlign w:val="center"/>
          </w:tcPr>
          <w:p w14:paraId="7CFED64A">
            <w:pPr>
              <w:widowControl/>
              <w:jc w:val="center"/>
              <w:textAlignment w:val="center"/>
              <w:rPr>
                <w:rFonts w:ascii="Times New Roman" w:hAnsi="Times New Roman"/>
                <w:b/>
                <w:bCs/>
                <w:color w:val="000000"/>
                <w:sz w:val="22"/>
                <w:szCs w:val="22"/>
              </w:rPr>
            </w:pPr>
            <w:r>
              <w:rPr>
                <w:rFonts w:ascii="Times New Roman" w:hAnsi="Times New Roman"/>
                <w:b/>
                <w:bCs/>
                <w:color w:val="000000"/>
                <w:sz w:val="22"/>
                <w:szCs w:val="22"/>
                <w:lang w:bidi="ar"/>
              </w:rPr>
              <w:t>Lobe</w:t>
            </w:r>
          </w:p>
        </w:tc>
        <w:tc>
          <w:tcPr>
            <w:tcW w:w="497" w:type="pct"/>
            <w:tcBorders>
              <w:top w:val="nil"/>
              <w:left w:val="nil"/>
              <w:bottom w:val="single" w:color="auto" w:sz="4" w:space="0"/>
              <w:right w:val="nil"/>
            </w:tcBorders>
            <w:vAlign w:val="center"/>
          </w:tcPr>
          <w:p w14:paraId="576FCC3E">
            <w:pPr>
              <w:widowControl/>
              <w:jc w:val="center"/>
              <w:textAlignment w:val="center"/>
              <w:rPr>
                <w:rFonts w:ascii="Times New Roman" w:hAnsi="Times New Roman"/>
                <w:b/>
                <w:bCs/>
                <w:color w:val="000000"/>
                <w:sz w:val="22"/>
                <w:szCs w:val="22"/>
              </w:rPr>
            </w:pPr>
            <w:r>
              <w:rPr>
                <w:rFonts w:ascii="Times New Roman" w:hAnsi="Times New Roman"/>
                <w:b/>
                <w:bCs/>
                <w:color w:val="000000"/>
                <w:sz w:val="22"/>
                <w:szCs w:val="22"/>
                <w:lang w:bidi="ar"/>
              </w:rPr>
              <w:t>Gyrus</w:t>
            </w:r>
          </w:p>
        </w:tc>
        <w:tc>
          <w:tcPr>
            <w:tcW w:w="619" w:type="pct"/>
            <w:tcBorders>
              <w:top w:val="nil"/>
              <w:left w:val="nil"/>
              <w:bottom w:val="single" w:color="auto" w:sz="4" w:space="0"/>
              <w:right w:val="nil"/>
            </w:tcBorders>
            <w:vAlign w:val="center"/>
          </w:tcPr>
          <w:p w14:paraId="76FB4DFF">
            <w:pPr>
              <w:widowControl/>
              <w:jc w:val="center"/>
              <w:textAlignment w:val="center"/>
              <w:rPr>
                <w:rFonts w:ascii="Times New Roman" w:hAnsi="Times New Roman"/>
                <w:b/>
                <w:bCs/>
                <w:color w:val="000000"/>
                <w:sz w:val="22"/>
                <w:szCs w:val="22"/>
              </w:rPr>
            </w:pPr>
            <w:r>
              <w:rPr>
                <w:rFonts w:ascii="Times New Roman" w:hAnsi="Times New Roman"/>
                <w:b/>
                <w:bCs/>
                <w:color w:val="000000"/>
                <w:sz w:val="22"/>
                <w:szCs w:val="22"/>
                <w:lang w:eastAsia="zh" w:bidi="ar"/>
              </w:rPr>
              <w:t>Region</w:t>
            </w:r>
          </w:p>
        </w:tc>
        <w:tc>
          <w:tcPr>
            <w:tcW w:w="534" w:type="pct"/>
            <w:tcBorders>
              <w:top w:val="nil"/>
              <w:left w:val="nil"/>
              <w:bottom w:val="single" w:color="auto" w:sz="4" w:space="0"/>
              <w:right w:val="nil"/>
            </w:tcBorders>
            <w:vAlign w:val="center"/>
          </w:tcPr>
          <w:p w14:paraId="21EC29EC">
            <w:pPr>
              <w:widowControl/>
              <w:jc w:val="center"/>
              <w:textAlignment w:val="center"/>
              <w:rPr>
                <w:rFonts w:ascii="Times New Roman" w:hAnsi="Times New Roman"/>
                <w:b/>
                <w:bCs/>
                <w:color w:val="000000"/>
                <w:sz w:val="22"/>
                <w:szCs w:val="22"/>
              </w:rPr>
            </w:pPr>
            <w:r>
              <w:rPr>
                <w:rFonts w:ascii="Times New Roman" w:hAnsi="Times New Roman"/>
                <w:b/>
                <w:bCs/>
                <w:color w:val="000000"/>
                <w:sz w:val="22"/>
                <w:szCs w:val="22"/>
                <w:lang w:bidi="ar"/>
              </w:rPr>
              <w:t xml:space="preserve">Mean </w:t>
            </w:r>
            <w:r>
              <w:rPr>
                <w:rFonts w:ascii="Times New Roman" w:hAnsi="Times New Roman"/>
                <w:b/>
                <w:bCs/>
                <w:color w:val="000000"/>
                <w:sz w:val="22"/>
                <w:szCs w:val="22"/>
                <w:lang w:bidi="ar"/>
              </w:rPr>
              <w:br w:type="textWrapping"/>
            </w:r>
            <w:r>
              <w:rPr>
                <w:rFonts w:ascii="Times New Roman" w:hAnsi="Times New Roman"/>
                <w:b/>
                <w:bCs/>
                <w:color w:val="000000"/>
                <w:sz w:val="22"/>
                <w:szCs w:val="22"/>
                <w:lang w:bidi="ar"/>
              </w:rPr>
              <w:t>AI</w:t>
            </w:r>
          </w:p>
        </w:tc>
        <w:tc>
          <w:tcPr>
            <w:tcW w:w="534" w:type="pct"/>
            <w:tcBorders>
              <w:top w:val="nil"/>
              <w:left w:val="nil"/>
              <w:bottom w:val="single" w:color="auto" w:sz="4" w:space="0"/>
              <w:right w:val="nil"/>
            </w:tcBorders>
            <w:vAlign w:val="center"/>
          </w:tcPr>
          <w:p w14:paraId="7C1106FE">
            <w:pPr>
              <w:widowControl/>
              <w:jc w:val="center"/>
              <w:textAlignment w:val="center"/>
              <w:rPr>
                <w:rFonts w:ascii="Times New Roman" w:hAnsi="Times New Roman"/>
                <w:b/>
                <w:bCs/>
                <w:color w:val="000000"/>
                <w:sz w:val="22"/>
                <w:szCs w:val="22"/>
              </w:rPr>
            </w:pPr>
            <w:r>
              <w:rPr>
                <w:rFonts w:ascii="Times New Roman" w:hAnsi="Times New Roman"/>
                <w:b/>
                <w:bCs/>
                <w:color w:val="000000"/>
                <w:sz w:val="22"/>
                <w:szCs w:val="22"/>
                <w:lang w:bidi="ar"/>
              </w:rPr>
              <w:t xml:space="preserve">Mean </w:t>
            </w:r>
            <w:r>
              <w:rPr>
                <w:rFonts w:ascii="Times New Roman" w:hAnsi="Times New Roman"/>
                <w:b/>
                <w:bCs/>
                <w:color w:val="000000"/>
                <w:sz w:val="22"/>
                <w:szCs w:val="22"/>
                <w:lang w:bidi="ar"/>
              </w:rPr>
              <w:br w:type="textWrapping"/>
            </w:r>
            <w:r>
              <w:rPr>
                <w:rFonts w:ascii="Times New Roman" w:hAnsi="Times New Roman"/>
                <w:b/>
                <w:bCs/>
                <w:color w:val="000000"/>
                <w:sz w:val="22"/>
                <w:szCs w:val="22"/>
                <w:lang w:bidi="ar"/>
              </w:rPr>
              <w:t>AI</w:t>
            </w:r>
          </w:p>
        </w:tc>
        <w:tc>
          <w:tcPr>
            <w:tcW w:w="534" w:type="pct"/>
            <w:tcBorders>
              <w:top w:val="nil"/>
              <w:left w:val="nil"/>
              <w:bottom w:val="single" w:color="auto" w:sz="4" w:space="0"/>
              <w:right w:val="nil"/>
            </w:tcBorders>
            <w:vAlign w:val="center"/>
          </w:tcPr>
          <w:p w14:paraId="34462A52">
            <w:pPr>
              <w:widowControl/>
              <w:jc w:val="center"/>
              <w:textAlignment w:val="center"/>
              <w:rPr>
                <w:rFonts w:ascii="Times New Roman" w:hAnsi="Times New Roman"/>
                <w:b/>
                <w:bCs/>
                <w:color w:val="000000"/>
                <w:sz w:val="22"/>
                <w:szCs w:val="22"/>
              </w:rPr>
            </w:pPr>
            <w:r>
              <w:rPr>
                <w:rFonts w:ascii="Times New Roman" w:hAnsi="Times New Roman"/>
                <w:b/>
                <w:bCs/>
                <w:color w:val="000000"/>
                <w:sz w:val="22"/>
                <w:szCs w:val="22"/>
                <w:lang w:bidi="ar"/>
              </w:rPr>
              <w:t xml:space="preserve">Mean </w:t>
            </w:r>
            <w:r>
              <w:rPr>
                <w:rFonts w:ascii="Times New Roman" w:hAnsi="Times New Roman"/>
                <w:b/>
                <w:bCs/>
                <w:color w:val="000000"/>
                <w:sz w:val="22"/>
                <w:szCs w:val="22"/>
                <w:lang w:bidi="ar"/>
              </w:rPr>
              <w:br w:type="textWrapping"/>
            </w:r>
            <w:r>
              <w:rPr>
                <w:rFonts w:ascii="Times New Roman" w:hAnsi="Times New Roman"/>
                <w:b/>
                <w:bCs/>
                <w:color w:val="000000"/>
                <w:sz w:val="22"/>
                <w:szCs w:val="22"/>
                <w:lang w:bidi="ar"/>
              </w:rPr>
              <w:t>AI</w:t>
            </w:r>
          </w:p>
        </w:tc>
        <w:tc>
          <w:tcPr>
            <w:tcW w:w="766" w:type="pct"/>
            <w:tcBorders>
              <w:top w:val="nil"/>
              <w:left w:val="nil"/>
              <w:bottom w:val="single" w:color="auto" w:sz="4" w:space="0"/>
              <w:right w:val="nil"/>
            </w:tcBorders>
            <w:vAlign w:val="center"/>
          </w:tcPr>
          <w:p w14:paraId="02D262EF">
            <w:pPr>
              <w:widowControl/>
              <w:jc w:val="center"/>
              <w:textAlignment w:val="center"/>
              <w:rPr>
                <w:rFonts w:ascii="Times New Roman" w:hAnsi="Times New Roman"/>
                <w:b/>
                <w:bCs/>
                <w:color w:val="000000"/>
                <w:sz w:val="22"/>
                <w:szCs w:val="22"/>
              </w:rPr>
            </w:pPr>
            <w:r>
              <w:rPr>
                <w:rFonts w:ascii="Times New Roman" w:hAnsi="Times New Roman"/>
                <w:b/>
                <w:bCs/>
                <w:szCs w:val="20"/>
                <w:lang w:bidi="ar"/>
              </w:rPr>
              <w:t>Cohen's d</w:t>
            </w:r>
          </w:p>
        </w:tc>
        <w:tc>
          <w:tcPr>
            <w:tcW w:w="535" w:type="pct"/>
            <w:tcBorders>
              <w:top w:val="nil"/>
              <w:left w:val="nil"/>
              <w:bottom w:val="single" w:color="auto" w:sz="4" w:space="0"/>
              <w:right w:val="nil"/>
            </w:tcBorders>
            <w:vAlign w:val="center"/>
          </w:tcPr>
          <w:p w14:paraId="5C2A27D1">
            <w:pPr>
              <w:widowControl/>
              <w:jc w:val="center"/>
              <w:textAlignment w:val="center"/>
              <w:rPr>
                <w:rFonts w:ascii="Times New Roman" w:hAnsi="Times New Roman"/>
                <w:b/>
                <w:bCs/>
                <w:color w:val="000000"/>
                <w:sz w:val="22"/>
                <w:szCs w:val="22"/>
              </w:rPr>
            </w:pPr>
            <w:r>
              <w:rPr>
                <w:rFonts w:ascii="Times New Roman" w:hAnsi="Times New Roman"/>
                <w:b/>
                <w:bCs/>
                <w:color w:val="000000"/>
                <w:sz w:val="22"/>
                <w:szCs w:val="22"/>
                <w:lang w:bidi="ar"/>
              </w:rPr>
              <w:t>p-FDR</w:t>
            </w:r>
          </w:p>
        </w:tc>
      </w:tr>
      <w:tr w14:paraId="1340DE7C">
        <w:tc>
          <w:tcPr>
            <w:tcW w:w="978" w:type="pct"/>
            <w:tcBorders>
              <w:top w:val="single" w:color="auto" w:sz="4" w:space="0"/>
              <w:left w:val="nil"/>
              <w:bottom w:val="single" w:color="auto" w:sz="4" w:space="0"/>
              <w:right w:val="nil"/>
            </w:tcBorders>
            <w:vAlign w:val="center"/>
          </w:tcPr>
          <w:p w14:paraId="1CA6CF73">
            <w:pPr>
              <w:widowControl/>
              <w:jc w:val="center"/>
              <w:textAlignment w:val="center"/>
              <w:rPr>
                <w:rFonts w:ascii="Times New Roman" w:hAnsi="Times New Roman"/>
                <w:color w:val="000000"/>
                <w:sz w:val="22"/>
                <w:szCs w:val="22"/>
              </w:rPr>
            </w:pPr>
            <w:r>
              <w:rPr>
                <w:rFonts w:ascii="Times New Roman" w:hAnsi="Times New Roman"/>
                <w:color w:val="000000"/>
                <w:sz w:val="22"/>
                <w:szCs w:val="22"/>
              </w:rPr>
              <w:t>Temporal Lobe</w:t>
            </w:r>
          </w:p>
        </w:tc>
        <w:tc>
          <w:tcPr>
            <w:tcW w:w="497" w:type="pct"/>
            <w:tcBorders>
              <w:top w:val="single" w:color="auto" w:sz="4" w:space="0"/>
              <w:left w:val="nil"/>
              <w:bottom w:val="single" w:color="auto" w:sz="4" w:space="0"/>
              <w:right w:val="nil"/>
            </w:tcBorders>
            <w:vAlign w:val="center"/>
          </w:tcPr>
          <w:p w14:paraId="46713D27">
            <w:pPr>
              <w:widowControl/>
              <w:jc w:val="center"/>
              <w:textAlignment w:val="center"/>
              <w:rPr>
                <w:rFonts w:ascii="Times New Roman" w:hAnsi="Times New Roman"/>
                <w:color w:val="000000"/>
                <w:sz w:val="22"/>
                <w:szCs w:val="22"/>
              </w:rPr>
            </w:pPr>
            <w:r>
              <w:rPr>
                <w:rFonts w:ascii="Times New Roman" w:hAnsi="Times New Roman"/>
                <w:color w:val="000000"/>
                <w:sz w:val="22"/>
                <w:szCs w:val="22"/>
              </w:rPr>
              <w:t>STG</w:t>
            </w:r>
          </w:p>
        </w:tc>
        <w:tc>
          <w:tcPr>
            <w:tcW w:w="619" w:type="pct"/>
            <w:tcBorders>
              <w:top w:val="single" w:color="auto" w:sz="4" w:space="0"/>
              <w:left w:val="nil"/>
              <w:bottom w:val="single" w:color="auto" w:sz="4" w:space="0"/>
              <w:right w:val="nil"/>
            </w:tcBorders>
            <w:vAlign w:val="center"/>
          </w:tcPr>
          <w:p w14:paraId="0143DADC">
            <w:pPr>
              <w:widowControl/>
              <w:jc w:val="center"/>
              <w:textAlignment w:val="center"/>
              <w:rPr>
                <w:rFonts w:ascii="Times New Roman" w:hAnsi="Times New Roman"/>
                <w:color w:val="000000"/>
                <w:sz w:val="22"/>
                <w:szCs w:val="22"/>
              </w:rPr>
            </w:pPr>
            <w:r>
              <w:rPr>
                <w:rFonts w:ascii="Times New Roman" w:hAnsi="Times New Roman"/>
                <w:color w:val="000000"/>
                <w:sz w:val="22"/>
                <w:szCs w:val="22"/>
              </w:rPr>
              <w:t>A38l</w:t>
            </w:r>
          </w:p>
        </w:tc>
        <w:tc>
          <w:tcPr>
            <w:tcW w:w="534" w:type="pct"/>
            <w:tcBorders>
              <w:top w:val="single" w:color="auto" w:sz="4" w:space="0"/>
              <w:left w:val="nil"/>
              <w:bottom w:val="single" w:color="auto" w:sz="4" w:space="0"/>
              <w:right w:val="nil"/>
            </w:tcBorders>
            <w:vAlign w:val="center"/>
          </w:tcPr>
          <w:p w14:paraId="232FEDA9">
            <w:pPr>
              <w:widowControl/>
              <w:jc w:val="center"/>
              <w:textAlignment w:val="center"/>
              <w:rPr>
                <w:rFonts w:ascii="Times New Roman" w:hAnsi="Times New Roman"/>
                <w:color w:val="000000"/>
                <w:sz w:val="22"/>
                <w:szCs w:val="22"/>
              </w:rPr>
            </w:pPr>
            <w:r>
              <w:rPr>
                <w:rFonts w:ascii="Times New Roman" w:hAnsi="Times New Roman"/>
                <w:color w:val="000000"/>
                <w:sz w:val="22"/>
                <w:szCs w:val="22"/>
              </w:rPr>
              <w:t>-0.063</w:t>
            </w:r>
          </w:p>
        </w:tc>
        <w:tc>
          <w:tcPr>
            <w:tcW w:w="534" w:type="pct"/>
            <w:tcBorders>
              <w:top w:val="single" w:color="auto" w:sz="4" w:space="0"/>
              <w:left w:val="nil"/>
              <w:bottom w:val="single" w:color="auto" w:sz="4" w:space="0"/>
              <w:right w:val="nil"/>
            </w:tcBorders>
            <w:vAlign w:val="center"/>
          </w:tcPr>
          <w:p w14:paraId="00BD27AB">
            <w:pPr>
              <w:widowControl/>
              <w:jc w:val="center"/>
              <w:textAlignment w:val="center"/>
              <w:rPr>
                <w:rFonts w:ascii="Times New Roman" w:hAnsi="Times New Roman"/>
                <w:color w:val="000000"/>
                <w:sz w:val="22"/>
                <w:szCs w:val="22"/>
              </w:rPr>
            </w:pPr>
            <w:r>
              <w:rPr>
                <w:rFonts w:ascii="Times New Roman" w:hAnsi="Times New Roman"/>
                <w:color w:val="000000"/>
                <w:sz w:val="22"/>
                <w:szCs w:val="22"/>
              </w:rPr>
              <w:t>-0.063</w:t>
            </w:r>
          </w:p>
        </w:tc>
        <w:tc>
          <w:tcPr>
            <w:tcW w:w="534" w:type="pct"/>
            <w:tcBorders>
              <w:top w:val="single" w:color="auto" w:sz="4" w:space="0"/>
              <w:left w:val="nil"/>
              <w:bottom w:val="single" w:color="auto" w:sz="4" w:space="0"/>
              <w:right w:val="nil"/>
            </w:tcBorders>
            <w:vAlign w:val="center"/>
          </w:tcPr>
          <w:p w14:paraId="73A77DBB">
            <w:pPr>
              <w:widowControl/>
              <w:jc w:val="center"/>
              <w:textAlignment w:val="center"/>
              <w:rPr>
                <w:rFonts w:ascii="Times New Roman" w:hAnsi="Times New Roman"/>
                <w:color w:val="000000"/>
                <w:sz w:val="22"/>
                <w:szCs w:val="22"/>
              </w:rPr>
            </w:pPr>
            <w:r>
              <w:rPr>
                <w:rFonts w:ascii="Times New Roman" w:hAnsi="Times New Roman"/>
                <w:color w:val="000000"/>
                <w:sz w:val="22"/>
                <w:szCs w:val="22"/>
              </w:rPr>
              <w:t>-0.087</w:t>
            </w:r>
          </w:p>
        </w:tc>
        <w:tc>
          <w:tcPr>
            <w:tcW w:w="766" w:type="pct"/>
            <w:tcBorders>
              <w:top w:val="single" w:color="auto" w:sz="4" w:space="0"/>
              <w:left w:val="nil"/>
              <w:bottom w:val="single" w:color="auto" w:sz="4" w:space="0"/>
              <w:right w:val="nil"/>
            </w:tcBorders>
            <w:vAlign w:val="center"/>
          </w:tcPr>
          <w:p w14:paraId="7B8F76BD">
            <w:pPr>
              <w:widowControl/>
              <w:jc w:val="center"/>
              <w:textAlignment w:val="center"/>
              <w:rPr>
                <w:rFonts w:ascii="Times New Roman" w:hAnsi="Times New Roman"/>
                <w:color w:val="000000"/>
                <w:sz w:val="22"/>
                <w:szCs w:val="22"/>
              </w:rPr>
            </w:pPr>
            <w:r>
              <w:rPr>
                <w:rFonts w:ascii="Times New Roman" w:hAnsi="Times New Roman"/>
                <w:color w:val="000000"/>
                <w:sz w:val="22"/>
                <w:szCs w:val="22"/>
              </w:rPr>
              <w:t>-0.320</w:t>
            </w:r>
          </w:p>
        </w:tc>
        <w:tc>
          <w:tcPr>
            <w:tcW w:w="535" w:type="pct"/>
            <w:tcBorders>
              <w:top w:val="single" w:color="auto" w:sz="4" w:space="0"/>
              <w:left w:val="nil"/>
              <w:bottom w:val="single" w:color="auto" w:sz="4" w:space="0"/>
              <w:right w:val="nil"/>
            </w:tcBorders>
            <w:vAlign w:val="center"/>
          </w:tcPr>
          <w:p w14:paraId="49CB31C3">
            <w:pPr>
              <w:widowControl/>
              <w:jc w:val="center"/>
              <w:textAlignment w:val="center"/>
              <w:rPr>
                <w:rFonts w:ascii="Times New Roman" w:hAnsi="Times New Roman"/>
                <w:b/>
                <w:bCs/>
                <w:color w:val="000000"/>
                <w:sz w:val="22"/>
                <w:szCs w:val="22"/>
              </w:rPr>
            </w:pPr>
            <w:r>
              <w:rPr>
                <w:rFonts w:ascii="Times New Roman" w:hAnsi="Times New Roman"/>
                <w:color w:val="000000"/>
                <w:sz w:val="22"/>
                <w:szCs w:val="22"/>
              </w:rPr>
              <w:t>0.026</w:t>
            </w:r>
          </w:p>
        </w:tc>
      </w:tr>
    </w:tbl>
    <w:p w14:paraId="3AA3E9F4">
      <w:pPr>
        <w:jc w:val="both"/>
        <w:rPr>
          <w:rStyle w:val="34"/>
          <w:rFonts w:ascii="Times New Roman" w:hAnsi="Times New Roman"/>
          <w:b/>
          <w:bCs/>
          <w:sz w:val="28"/>
          <w:szCs w:val="28"/>
        </w:rPr>
      </w:pPr>
      <w:r>
        <w:rPr>
          <w:rFonts w:ascii="Times New Roman" w:hAnsi="Times New Roman"/>
          <w:lang w:eastAsia="zh" w:bidi="ar"/>
        </w:rPr>
        <w:t>"</w:t>
      </w:r>
      <w:r>
        <w:rPr>
          <w:rFonts w:ascii="Times New Roman" w:hAnsi="Times New Roman"/>
          <w:lang w:bidi="ar"/>
        </w:rPr>
        <w:t>Lobe</w:t>
      </w:r>
      <w:r>
        <w:rPr>
          <w:rFonts w:ascii="Times New Roman" w:hAnsi="Times New Roman"/>
          <w:lang w:eastAsia="zh" w:bidi="ar"/>
        </w:rPr>
        <w:t>"</w:t>
      </w:r>
      <w:r>
        <w:rPr>
          <w:rFonts w:ascii="Times New Roman" w:hAnsi="Times New Roman"/>
          <w:lang w:bidi="ar"/>
        </w:rPr>
        <w:t xml:space="preserve"> is the major lobe of the brain. </w:t>
      </w:r>
      <w:r>
        <w:rPr>
          <w:rFonts w:ascii="Times New Roman" w:hAnsi="Times New Roman"/>
          <w:lang w:eastAsia="zh" w:bidi="ar"/>
        </w:rPr>
        <w:t>"</w:t>
      </w:r>
      <w:r>
        <w:rPr>
          <w:rFonts w:ascii="Times New Roman" w:hAnsi="Times New Roman"/>
          <w:lang w:bidi="ar"/>
        </w:rPr>
        <w:t>Gyrus</w:t>
      </w:r>
      <w:r>
        <w:rPr>
          <w:rFonts w:ascii="Times New Roman" w:hAnsi="Times New Roman"/>
          <w:lang w:eastAsia="zh" w:bidi="ar"/>
        </w:rPr>
        <w:t>"</w:t>
      </w:r>
      <w:r>
        <w:rPr>
          <w:rFonts w:ascii="Times New Roman" w:hAnsi="Times New Roman"/>
          <w:lang w:bidi="ar"/>
        </w:rPr>
        <w:t xml:space="preserve"> is the specific gyrus within the lobe. </w:t>
      </w:r>
      <w:r>
        <w:rPr>
          <w:rFonts w:ascii="Times New Roman" w:hAnsi="Times New Roman"/>
          <w:lang w:eastAsia="zh" w:bidi="ar"/>
        </w:rPr>
        <w:t>"</w:t>
      </w:r>
      <w:r>
        <w:rPr>
          <w:rFonts w:ascii="Times New Roman" w:hAnsi="Times New Roman"/>
          <w:lang w:bidi="ar"/>
        </w:rPr>
        <w:t>Number</w:t>
      </w:r>
      <w:r>
        <w:rPr>
          <w:rFonts w:ascii="Times New Roman" w:hAnsi="Times New Roman"/>
          <w:lang w:eastAsia="zh" w:bidi="ar"/>
        </w:rPr>
        <w:t>"</w:t>
      </w:r>
      <w:r>
        <w:rPr>
          <w:rFonts w:ascii="Times New Roman" w:hAnsi="Times New Roman"/>
          <w:lang w:bidi="ar"/>
        </w:rPr>
        <w:t xml:space="preserve"> is the identifier for the brain region. </w:t>
      </w:r>
      <w:r>
        <w:rPr>
          <w:rFonts w:ascii="Times New Roman" w:hAnsi="Times New Roman"/>
          <w:lang w:eastAsia="zh" w:bidi="ar"/>
        </w:rPr>
        <w:t>"</w:t>
      </w:r>
      <w:r>
        <w:rPr>
          <w:rFonts w:ascii="Times New Roman" w:hAnsi="Times New Roman"/>
          <w:lang w:bidi="ar"/>
        </w:rPr>
        <w:t>Mean AI</w:t>
      </w:r>
      <w:r>
        <w:rPr>
          <w:rFonts w:ascii="Times New Roman" w:hAnsi="Times New Roman"/>
          <w:lang w:eastAsia="zh" w:bidi="ar"/>
        </w:rPr>
        <w:t>"</w:t>
      </w:r>
      <w:r>
        <w:rPr>
          <w:rFonts w:ascii="Times New Roman" w:hAnsi="Times New Roman"/>
          <w:lang w:bidi="ar"/>
        </w:rPr>
        <w:t xml:space="preserve"> (NC, MCI, AD) means the average asymmetry index for each group. The effect size (Cohen's d) and the False Discovery Rate-adjusted p-FDR value for the comparison between groups. A dash (-) in the statistical columns indicates that the data is not applicable or not reported for that specific comparison.</w:t>
      </w:r>
    </w:p>
    <w:p w14:paraId="3D53043E">
      <w:pPr>
        <w:rPr>
          <w:rStyle w:val="34"/>
          <w:rFonts w:ascii="Times New Roman" w:hAnsi="Times New Roman"/>
          <w:b/>
          <w:bCs/>
        </w:rPr>
      </w:pPr>
    </w:p>
    <w:p w14:paraId="34D686C1">
      <w:pPr>
        <w:rPr>
          <w:rFonts w:ascii="Times New Roman" w:hAnsi="Times New Roman"/>
          <w:b/>
          <w:bCs/>
          <w:lang w:bidi="ar"/>
        </w:rPr>
      </w:pPr>
      <w:r>
        <w:rPr>
          <w:rStyle w:val="34"/>
          <w:rFonts w:ascii="Times New Roman" w:hAnsi="Times New Roman"/>
          <w:b/>
          <w:bCs/>
        </w:rPr>
        <w:t>Table S</w:t>
      </w:r>
      <w:r>
        <w:rPr>
          <w:rStyle w:val="34"/>
          <w:rFonts w:ascii="Times New Roman" w:hAnsi="Times New Roman"/>
          <w:b/>
          <w:bCs/>
          <w:lang w:eastAsia="zh"/>
        </w:rPr>
        <w:t>5</w:t>
      </w:r>
      <w:r>
        <w:rPr>
          <w:rStyle w:val="34"/>
          <w:rFonts w:ascii="Times New Roman" w:hAnsi="Times New Roman"/>
          <w:b/>
          <w:bCs/>
        </w:rPr>
        <w:t xml:space="preserve">. </w:t>
      </w:r>
      <w:r>
        <w:rPr>
          <w:rFonts w:ascii="Times New Roman" w:hAnsi="Times New Roman"/>
          <w:b/>
          <w:bCs/>
          <w:lang w:bidi="ar"/>
        </w:rPr>
        <w:t>Brain regions of group difference with significant lateralization in SD after FDR correction.</w:t>
      </w:r>
    </w:p>
    <w:tbl>
      <w:tblPr>
        <w:tblStyle w:val="2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77"/>
        <w:gridCol w:w="1367"/>
        <w:gridCol w:w="1709"/>
        <w:gridCol w:w="1472"/>
        <w:gridCol w:w="1472"/>
        <w:gridCol w:w="1472"/>
        <w:gridCol w:w="2108"/>
        <w:gridCol w:w="1476"/>
      </w:tblGrid>
      <w:tr w14:paraId="78D8151A">
        <w:trPr>
          <w:trHeight w:val="90" w:hRule="atLeast"/>
        </w:trPr>
        <w:tc>
          <w:tcPr>
            <w:tcW w:w="2026" w:type="pct"/>
            <w:gridSpan w:val="3"/>
            <w:tcBorders>
              <w:top w:val="single" w:color="auto" w:sz="4" w:space="0"/>
              <w:left w:val="nil"/>
              <w:bottom w:val="nil"/>
              <w:right w:val="nil"/>
            </w:tcBorders>
            <w:vAlign w:val="center"/>
          </w:tcPr>
          <w:p w14:paraId="24FC77DA">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SD</w:t>
            </w:r>
          </w:p>
        </w:tc>
        <w:tc>
          <w:tcPr>
            <w:tcW w:w="547" w:type="pct"/>
            <w:tcBorders>
              <w:top w:val="single" w:color="auto" w:sz="4" w:space="0"/>
              <w:left w:val="nil"/>
              <w:bottom w:val="nil"/>
              <w:right w:val="nil"/>
            </w:tcBorders>
            <w:vAlign w:val="center"/>
          </w:tcPr>
          <w:p w14:paraId="048EA297">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NC</w:t>
            </w:r>
          </w:p>
        </w:tc>
        <w:tc>
          <w:tcPr>
            <w:tcW w:w="547" w:type="pct"/>
            <w:tcBorders>
              <w:top w:val="single" w:color="auto" w:sz="4" w:space="0"/>
              <w:left w:val="nil"/>
              <w:bottom w:val="nil"/>
              <w:right w:val="nil"/>
            </w:tcBorders>
            <w:vAlign w:val="center"/>
          </w:tcPr>
          <w:p w14:paraId="6F003DC4">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MCI</w:t>
            </w:r>
          </w:p>
        </w:tc>
        <w:tc>
          <w:tcPr>
            <w:tcW w:w="547" w:type="pct"/>
            <w:tcBorders>
              <w:top w:val="single" w:color="auto" w:sz="4" w:space="0"/>
              <w:left w:val="nil"/>
              <w:bottom w:val="nil"/>
              <w:right w:val="nil"/>
            </w:tcBorders>
            <w:vAlign w:val="center"/>
          </w:tcPr>
          <w:p w14:paraId="774E69E8">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AD</w:t>
            </w:r>
          </w:p>
        </w:tc>
        <w:tc>
          <w:tcPr>
            <w:tcW w:w="1331" w:type="pct"/>
            <w:gridSpan w:val="2"/>
            <w:tcBorders>
              <w:top w:val="single" w:color="auto" w:sz="4" w:space="0"/>
              <w:left w:val="nil"/>
              <w:bottom w:val="nil"/>
              <w:right w:val="nil"/>
            </w:tcBorders>
            <w:vAlign w:val="center"/>
          </w:tcPr>
          <w:p w14:paraId="1641E417">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AD VS. NC</w:t>
            </w:r>
          </w:p>
        </w:tc>
      </w:tr>
      <w:tr w14:paraId="0776E094">
        <w:tc>
          <w:tcPr>
            <w:tcW w:w="883" w:type="pct"/>
            <w:tcBorders>
              <w:top w:val="nil"/>
              <w:left w:val="nil"/>
              <w:bottom w:val="single" w:color="auto" w:sz="4" w:space="0"/>
              <w:right w:val="nil"/>
            </w:tcBorders>
            <w:vAlign w:val="center"/>
          </w:tcPr>
          <w:p w14:paraId="14AE82FB">
            <w:pPr>
              <w:widowControl/>
              <w:jc w:val="center"/>
              <w:textAlignment w:val="center"/>
              <w:rPr>
                <w:rFonts w:ascii="Times New Roman" w:hAnsi="Times New Roman"/>
                <w:b/>
                <w:bCs/>
                <w:color w:val="000000"/>
                <w:sz w:val="22"/>
                <w:szCs w:val="22"/>
              </w:rPr>
            </w:pPr>
            <w:r>
              <w:rPr>
                <w:rFonts w:ascii="Times New Roman" w:hAnsi="Times New Roman"/>
                <w:b/>
                <w:bCs/>
                <w:color w:val="000000"/>
                <w:sz w:val="22"/>
                <w:szCs w:val="22"/>
                <w:lang w:bidi="ar"/>
              </w:rPr>
              <w:t>Lobe</w:t>
            </w:r>
          </w:p>
        </w:tc>
        <w:tc>
          <w:tcPr>
            <w:tcW w:w="508" w:type="pct"/>
            <w:tcBorders>
              <w:top w:val="nil"/>
              <w:left w:val="nil"/>
              <w:bottom w:val="single" w:color="auto" w:sz="4" w:space="0"/>
              <w:right w:val="nil"/>
            </w:tcBorders>
            <w:vAlign w:val="center"/>
          </w:tcPr>
          <w:p w14:paraId="05E38678">
            <w:pPr>
              <w:widowControl/>
              <w:jc w:val="center"/>
              <w:textAlignment w:val="center"/>
              <w:rPr>
                <w:rFonts w:ascii="Times New Roman" w:hAnsi="Times New Roman"/>
                <w:b/>
                <w:bCs/>
                <w:color w:val="000000"/>
                <w:sz w:val="22"/>
                <w:szCs w:val="22"/>
              </w:rPr>
            </w:pPr>
            <w:r>
              <w:rPr>
                <w:rFonts w:ascii="Times New Roman" w:hAnsi="Times New Roman"/>
                <w:b/>
                <w:bCs/>
                <w:color w:val="000000"/>
                <w:sz w:val="22"/>
                <w:szCs w:val="22"/>
                <w:lang w:bidi="ar"/>
              </w:rPr>
              <w:t>Gyrus</w:t>
            </w:r>
          </w:p>
        </w:tc>
        <w:tc>
          <w:tcPr>
            <w:tcW w:w="635" w:type="pct"/>
            <w:tcBorders>
              <w:top w:val="nil"/>
              <w:left w:val="nil"/>
              <w:bottom w:val="single" w:color="auto" w:sz="4" w:space="0"/>
              <w:right w:val="nil"/>
            </w:tcBorders>
            <w:vAlign w:val="center"/>
          </w:tcPr>
          <w:p w14:paraId="04AA4E50">
            <w:pPr>
              <w:widowControl/>
              <w:jc w:val="center"/>
              <w:textAlignment w:val="center"/>
              <w:rPr>
                <w:rFonts w:ascii="Times New Roman" w:hAnsi="Times New Roman"/>
                <w:b/>
                <w:bCs/>
                <w:color w:val="000000"/>
                <w:sz w:val="22"/>
                <w:szCs w:val="22"/>
              </w:rPr>
            </w:pPr>
            <w:r>
              <w:rPr>
                <w:rFonts w:ascii="Times New Roman" w:hAnsi="Times New Roman"/>
                <w:b/>
                <w:bCs/>
                <w:color w:val="000000"/>
                <w:sz w:val="22"/>
                <w:szCs w:val="22"/>
                <w:lang w:eastAsia="zh" w:bidi="ar"/>
              </w:rPr>
              <w:t>Region</w:t>
            </w:r>
          </w:p>
        </w:tc>
        <w:tc>
          <w:tcPr>
            <w:tcW w:w="547" w:type="pct"/>
            <w:tcBorders>
              <w:top w:val="nil"/>
              <w:left w:val="nil"/>
              <w:bottom w:val="single" w:color="auto" w:sz="4" w:space="0"/>
              <w:right w:val="nil"/>
            </w:tcBorders>
            <w:vAlign w:val="center"/>
          </w:tcPr>
          <w:p w14:paraId="148B06B1">
            <w:pPr>
              <w:widowControl/>
              <w:jc w:val="center"/>
              <w:textAlignment w:val="center"/>
              <w:rPr>
                <w:rFonts w:ascii="Times New Roman" w:hAnsi="Times New Roman"/>
                <w:b/>
                <w:bCs/>
                <w:color w:val="000000"/>
                <w:sz w:val="22"/>
                <w:szCs w:val="22"/>
              </w:rPr>
            </w:pPr>
            <w:r>
              <w:rPr>
                <w:rFonts w:ascii="Times New Roman" w:hAnsi="Times New Roman"/>
                <w:b/>
                <w:bCs/>
                <w:color w:val="000000"/>
                <w:sz w:val="22"/>
                <w:szCs w:val="22"/>
                <w:lang w:bidi="ar"/>
              </w:rPr>
              <w:t xml:space="preserve">Mean </w:t>
            </w:r>
            <w:r>
              <w:rPr>
                <w:rFonts w:ascii="Times New Roman" w:hAnsi="Times New Roman"/>
                <w:b/>
                <w:bCs/>
                <w:color w:val="000000"/>
                <w:sz w:val="22"/>
                <w:szCs w:val="22"/>
                <w:lang w:bidi="ar"/>
              </w:rPr>
              <w:br w:type="textWrapping"/>
            </w:r>
            <w:r>
              <w:rPr>
                <w:rFonts w:ascii="Times New Roman" w:hAnsi="Times New Roman"/>
                <w:b/>
                <w:bCs/>
                <w:color w:val="000000"/>
                <w:sz w:val="22"/>
                <w:szCs w:val="22"/>
                <w:lang w:bidi="ar"/>
              </w:rPr>
              <w:t>AI</w:t>
            </w:r>
          </w:p>
        </w:tc>
        <w:tc>
          <w:tcPr>
            <w:tcW w:w="547" w:type="pct"/>
            <w:tcBorders>
              <w:top w:val="nil"/>
              <w:left w:val="nil"/>
              <w:bottom w:val="single" w:color="auto" w:sz="4" w:space="0"/>
              <w:right w:val="nil"/>
            </w:tcBorders>
            <w:vAlign w:val="center"/>
          </w:tcPr>
          <w:p w14:paraId="348C6D8C">
            <w:pPr>
              <w:widowControl/>
              <w:jc w:val="center"/>
              <w:textAlignment w:val="center"/>
              <w:rPr>
                <w:rFonts w:ascii="Times New Roman" w:hAnsi="Times New Roman"/>
                <w:b/>
                <w:bCs/>
                <w:color w:val="000000"/>
                <w:sz w:val="22"/>
                <w:szCs w:val="22"/>
              </w:rPr>
            </w:pPr>
            <w:r>
              <w:rPr>
                <w:rFonts w:ascii="Times New Roman" w:hAnsi="Times New Roman"/>
                <w:b/>
                <w:bCs/>
                <w:color w:val="000000"/>
                <w:sz w:val="22"/>
                <w:szCs w:val="22"/>
                <w:lang w:bidi="ar"/>
              </w:rPr>
              <w:t xml:space="preserve">Mean </w:t>
            </w:r>
            <w:r>
              <w:rPr>
                <w:rFonts w:ascii="Times New Roman" w:hAnsi="Times New Roman"/>
                <w:b/>
                <w:bCs/>
                <w:color w:val="000000"/>
                <w:sz w:val="22"/>
                <w:szCs w:val="22"/>
                <w:lang w:bidi="ar"/>
              </w:rPr>
              <w:br w:type="textWrapping"/>
            </w:r>
            <w:r>
              <w:rPr>
                <w:rFonts w:ascii="Times New Roman" w:hAnsi="Times New Roman"/>
                <w:b/>
                <w:bCs/>
                <w:color w:val="000000"/>
                <w:sz w:val="22"/>
                <w:szCs w:val="22"/>
                <w:lang w:bidi="ar"/>
              </w:rPr>
              <w:t>AI</w:t>
            </w:r>
          </w:p>
        </w:tc>
        <w:tc>
          <w:tcPr>
            <w:tcW w:w="547" w:type="pct"/>
            <w:tcBorders>
              <w:top w:val="nil"/>
              <w:left w:val="nil"/>
              <w:bottom w:val="single" w:color="auto" w:sz="4" w:space="0"/>
              <w:right w:val="nil"/>
            </w:tcBorders>
            <w:vAlign w:val="center"/>
          </w:tcPr>
          <w:p w14:paraId="0A536503">
            <w:pPr>
              <w:widowControl/>
              <w:jc w:val="center"/>
              <w:textAlignment w:val="center"/>
              <w:rPr>
                <w:rFonts w:ascii="Times New Roman" w:hAnsi="Times New Roman"/>
                <w:b/>
                <w:bCs/>
                <w:color w:val="000000"/>
                <w:sz w:val="22"/>
                <w:szCs w:val="22"/>
              </w:rPr>
            </w:pPr>
            <w:r>
              <w:rPr>
                <w:rFonts w:ascii="Times New Roman" w:hAnsi="Times New Roman"/>
                <w:b/>
                <w:bCs/>
                <w:color w:val="000000"/>
                <w:sz w:val="22"/>
                <w:szCs w:val="22"/>
                <w:lang w:bidi="ar"/>
              </w:rPr>
              <w:t xml:space="preserve">Mean </w:t>
            </w:r>
            <w:r>
              <w:rPr>
                <w:rFonts w:ascii="Times New Roman" w:hAnsi="Times New Roman"/>
                <w:b/>
                <w:bCs/>
                <w:color w:val="000000"/>
                <w:sz w:val="22"/>
                <w:szCs w:val="22"/>
                <w:lang w:bidi="ar"/>
              </w:rPr>
              <w:br w:type="textWrapping"/>
            </w:r>
            <w:r>
              <w:rPr>
                <w:rFonts w:ascii="Times New Roman" w:hAnsi="Times New Roman"/>
                <w:b/>
                <w:bCs/>
                <w:color w:val="000000"/>
                <w:sz w:val="22"/>
                <w:szCs w:val="22"/>
                <w:lang w:bidi="ar"/>
              </w:rPr>
              <w:t>AI</w:t>
            </w:r>
          </w:p>
        </w:tc>
        <w:tc>
          <w:tcPr>
            <w:tcW w:w="783" w:type="pct"/>
            <w:tcBorders>
              <w:top w:val="nil"/>
              <w:left w:val="nil"/>
              <w:bottom w:val="single" w:color="auto" w:sz="4" w:space="0"/>
              <w:right w:val="nil"/>
            </w:tcBorders>
            <w:vAlign w:val="center"/>
          </w:tcPr>
          <w:p w14:paraId="3C56CCB4">
            <w:pPr>
              <w:widowControl/>
              <w:jc w:val="center"/>
              <w:textAlignment w:val="center"/>
              <w:rPr>
                <w:rFonts w:ascii="Times New Roman" w:hAnsi="Times New Roman"/>
                <w:b/>
                <w:bCs/>
                <w:color w:val="000000"/>
                <w:sz w:val="22"/>
                <w:szCs w:val="22"/>
              </w:rPr>
            </w:pPr>
            <w:r>
              <w:rPr>
                <w:rFonts w:ascii="Times New Roman" w:hAnsi="Times New Roman"/>
                <w:b/>
                <w:bCs/>
                <w:lang w:bidi="ar"/>
              </w:rPr>
              <w:t>Cohen's d</w:t>
            </w:r>
          </w:p>
        </w:tc>
        <w:tc>
          <w:tcPr>
            <w:tcW w:w="548" w:type="pct"/>
            <w:tcBorders>
              <w:top w:val="nil"/>
              <w:left w:val="nil"/>
              <w:bottom w:val="single" w:color="auto" w:sz="4" w:space="0"/>
              <w:right w:val="nil"/>
            </w:tcBorders>
            <w:vAlign w:val="center"/>
          </w:tcPr>
          <w:p w14:paraId="68F7DA19">
            <w:pPr>
              <w:widowControl/>
              <w:jc w:val="center"/>
              <w:textAlignment w:val="center"/>
              <w:rPr>
                <w:rFonts w:ascii="Times New Roman" w:hAnsi="Times New Roman"/>
                <w:b/>
                <w:bCs/>
                <w:color w:val="000000"/>
                <w:sz w:val="22"/>
                <w:szCs w:val="22"/>
              </w:rPr>
            </w:pPr>
            <w:r>
              <w:rPr>
                <w:rFonts w:ascii="Times New Roman" w:hAnsi="Times New Roman"/>
                <w:b/>
                <w:bCs/>
                <w:color w:val="000000"/>
                <w:sz w:val="22"/>
                <w:szCs w:val="22"/>
                <w:lang w:bidi="ar"/>
              </w:rPr>
              <w:t>p-FDR</w:t>
            </w:r>
          </w:p>
        </w:tc>
      </w:tr>
      <w:tr w14:paraId="339D99B5">
        <w:trPr>
          <w:trHeight w:val="90" w:hRule="atLeast"/>
        </w:trPr>
        <w:tc>
          <w:tcPr>
            <w:tcW w:w="883" w:type="pct"/>
            <w:tcBorders>
              <w:top w:val="single" w:color="auto" w:sz="4" w:space="0"/>
              <w:left w:val="nil"/>
              <w:bottom w:val="single" w:color="auto" w:sz="4" w:space="0"/>
              <w:right w:val="nil"/>
            </w:tcBorders>
            <w:vAlign w:val="center"/>
          </w:tcPr>
          <w:p w14:paraId="76924C07">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Parietal Lobe</w:t>
            </w:r>
          </w:p>
        </w:tc>
        <w:tc>
          <w:tcPr>
            <w:tcW w:w="508" w:type="pct"/>
            <w:tcBorders>
              <w:top w:val="single" w:color="auto" w:sz="4" w:space="0"/>
              <w:left w:val="nil"/>
              <w:bottom w:val="single" w:color="auto" w:sz="4" w:space="0"/>
              <w:right w:val="nil"/>
            </w:tcBorders>
            <w:vAlign w:val="center"/>
          </w:tcPr>
          <w:p w14:paraId="657BA692">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SPL</w:t>
            </w:r>
          </w:p>
        </w:tc>
        <w:tc>
          <w:tcPr>
            <w:tcW w:w="635" w:type="pct"/>
            <w:tcBorders>
              <w:top w:val="single" w:color="auto" w:sz="4" w:space="0"/>
              <w:left w:val="nil"/>
              <w:bottom w:val="single" w:color="auto" w:sz="4" w:space="0"/>
              <w:right w:val="nil"/>
            </w:tcBorders>
            <w:vAlign w:val="center"/>
          </w:tcPr>
          <w:p w14:paraId="53B21CF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A7c</w:t>
            </w:r>
          </w:p>
        </w:tc>
        <w:tc>
          <w:tcPr>
            <w:tcW w:w="547" w:type="pct"/>
            <w:tcBorders>
              <w:top w:val="single" w:color="auto" w:sz="4" w:space="0"/>
              <w:left w:val="nil"/>
              <w:bottom w:val="single" w:color="auto" w:sz="4" w:space="0"/>
              <w:right w:val="nil"/>
            </w:tcBorders>
            <w:vAlign w:val="center"/>
          </w:tcPr>
          <w:p w14:paraId="730DCEBF">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0.181 </w:t>
            </w:r>
          </w:p>
        </w:tc>
        <w:tc>
          <w:tcPr>
            <w:tcW w:w="547" w:type="pct"/>
            <w:tcBorders>
              <w:top w:val="single" w:color="auto" w:sz="4" w:space="0"/>
              <w:left w:val="nil"/>
              <w:bottom w:val="single" w:color="auto" w:sz="4" w:space="0"/>
              <w:right w:val="nil"/>
            </w:tcBorders>
            <w:vAlign w:val="center"/>
          </w:tcPr>
          <w:p w14:paraId="73C17D3B">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0.116 </w:t>
            </w:r>
          </w:p>
        </w:tc>
        <w:tc>
          <w:tcPr>
            <w:tcW w:w="547" w:type="pct"/>
            <w:tcBorders>
              <w:top w:val="single" w:color="auto" w:sz="4" w:space="0"/>
              <w:left w:val="nil"/>
              <w:bottom w:val="single" w:color="auto" w:sz="4" w:space="0"/>
              <w:right w:val="nil"/>
            </w:tcBorders>
            <w:vAlign w:val="center"/>
          </w:tcPr>
          <w:p w14:paraId="60EE2669">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 xml:space="preserve">0.118 </w:t>
            </w:r>
          </w:p>
        </w:tc>
        <w:tc>
          <w:tcPr>
            <w:tcW w:w="783" w:type="pct"/>
            <w:tcBorders>
              <w:top w:val="single" w:color="auto" w:sz="4" w:space="0"/>
              <w:left w:val="nil"/>
              <w:bottom w:val="single" w:color="auto" w:sz="4" w:space="0"/>
              <w:right w:val="nil"/>
            </w:tcBorders>
            <w:vAlign w:val="center"/>
          </w:tcPr>
          <w:p w14:paraId="2B446C3A">
            <w:pPr>
              <w:widowControl/>
              <w:jc w:val="center"/>
              <w:textAlignment w:val="center"/>
              <w:rPr>
                <w:rFonts w:ascii="Times New Roman" w:hAnsi="Times New Roman"/>
                <w:color w:val="000000"/>
                <w:sz w:val="22"/>
                <w:szCs w:val="22"/>
              </w:rPr>
            </w:pPr>
            <w:r>
              <w:rPr>
                <w:rFonts w:ascii="Times New Roman" w:hAnsi="Times New Roman"/>
                <w:color w:val="000000"/>
                <w:sz w:val="22"/>
                <w:szCs w:val="22"/>
              </w:rPr>
              <w:t>-0.331</w:t>
            </w:r>
          </w:p>
        </w:tc>
        <w:tc>
          <w:tcPr>
            <w:tcW w:w="548" w:type="pct"/>
            <w:tcBorders>
              <w:top w:val="single" w:color="auto" w:sz="4" w:space="0"/>
              <w:left w:val="nil"/>
              <w:bottom w:val="single" w:color="auto" w:sz="4" w:space="0"/>
              <w:right w:val="nil"/>
            </w:tcBorders>
            <w:vAlign w:val="center"/>
          </w:tcPr>
          <w:p w14:paraId="7AF8BDFD">
            <w:pPr>
              <w:widowControl/>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0.016 </w:t>
            </w:r>
          </w:p>
        </w:tc>
      </w:tr>
    </w:tbl>
    <w:p w14:paraId="401E85E7">
      <w:pPr>
        <w:jc w:val="both"/>
        <w:rPr>
          <w:rFonts w:ascii="Times New Roman" w:hAnsi="Times New Roman"/>
          <w:lang w:bidi="ar"/>
        </w:rPr>
      </w:pPr>
      <w:r>
        <w:rPr>
          <w:rFonts w:ascii="Times New Roman" w:hAnsi="Times New Roman"/>
          <w:lang w:eastAsia="zh" w:bidi="ar"/>
        </w:rPr>
        <w:t>"</w:t>
      </w:r>
      <w:r>
        <w:rPr>
          <w:rFonts w:ascii="Times New Roman" w:hAnsi="Times New Roman"/>
          <w:lang w:bidi="ar"/>
        </w:rPr>
        <w:t>Lobe</w:t>
      </w:r>
      <w:r>
        <w:rPr>
          <w:rFonts w:ascii="Times New Roman" w:hAnsi="Times New Roman"/>
          <w:lang w:eastAsia="zh" w:bidi="ar"/>
        </w:rPr>
        <w:t>"</w:t>
      </w:r>
      <w:r>
        <w:rPr>
          <w:rFonts w:ascii="Times New Roman" w:hAnsi="Times New Roman"/>
          <w:lang w:bidi="ar"/>
        </w:rPr>
        <w:t xml:space="preserve"> is the major lobe of the brain. </w:t>
      </w:r>
      <w:r>
        <w:rPr>
          <w:rFonts w:ascii="Times New Roman" w:hAnsi="Times New Roman"/>
          <w:lang w:eastAsia="zh" w:bidi="ar"/>
        </w:rPr>
        <w:t>"</w:t>
      </w:r>
      <w:r>
        <w:rPr>
          <w:rFonts w:ascii="Times New Roman" w:hAnsi="Times New Roman"/>
          <w:lang w:bidi="ar"/>
        </w:rPr>
        <w:t>Gyrus</w:t>
      </w:r>
      <w:r>
        <w:rPr>
          <w:rFonts w:ascii="Times New Roman" w:hAnsi="Times New Roman"/>
          <w:lang w:eastAsia="zh" w:bidi="ar"/>
        </w:rPr>
        <w:t>"</w:t>
      </w:r>
      <w:r>
        <w:rPr>
          <w:rFonts w:ascii="Times New Roman" w:hAnsi="Times New Roman"/>
          <w:lang w:bidi="ar"/>
        </w:rPr>
        <w:t xml:space="preserve"> is the specific gyrus within the lobe. </w:t>
      </w:r>
      <w:r>
        <w:rPr>
          <w:rFonts w:ascii="Times New Roman" w:hAnsi="Times New Roman"/>
          <w:lang w:eastAsia="zh" w:bidi="ar"/>
        </w:rPr>
        <w:t>"</w:t>
      </w:r>
      <w:r>
        <w:rPr>
          <w:rFonts w:ascii="Times New Roman" w:hAnsi="Times New Roman"/>
          <w:lang w:bidi="ar"/>
        </w:rPr>
        <w:t>Number</w:t>
      </w:r>
      <w:r>
        <w:rPr>
          <w:rFonts w:ascii="Times New Roman" w:hAnsi="Times New Roman"/>
          <w:lang w:eastAsia="zh" w:bidi="ar"/>
        </w:rPr>
        <w:t>"</w:t>
      </w:r>
      <w:r>
        <w:rPr>
          <w:rFonts w:ascii="Times New Roman" w:hAnsi="Times New Roman"/>
          <w:lang w:bidi="ar"/>
        </w:rPr>
        <w:t xml:space="preserve"> is the identifier for the brain region. </w:t>
      </w:r>
      <w:r>
        <w:rPr>
          <w:rFonts w:ascii="Times New Roman" w:hAnsi="Times New Roman"/>
          <w:lang w:eastAsia="zh" w:bidi="ar"/>
        </w:rPr>
        <w:t>"</w:t>
      </w:r>
      <w:r>
        <w:rPr>
          <w:rFonts w:ascii="Times New Roman" w:hAnsi="Times New Roman"/>
          <w:lang w:bidi="ar"/>
        </w:rPr>
        <w:t>Mean AI</w:t>
      </w:r>
      <w:r>
        <w:rPr>
          <w:rFonts w:ascii="Times New Roman" w:hAnsi="Times New Roman"/>
          <w:lang w:eastAsia="zh" w:bidi="ar"/>
        </w:rPr>
        <w:t>"</w:t>
      </w:r>
      <w:r>
        <w:rPr>
          <w:rFonts w:ascii="Times New Roman" w:hAnsi="Times New Roman"/>
          <w:lang w:bidi="ar"/>
        </w:rPr>
        <w:t xml:space="preserve"> (NC, MCI, AD) means the average asymmetry index for each group. The effect size (Cohen's d) and the False Discovery Rate-adjusted p-FDR value for the comparison between groups. A dash (-) in the statistical columns indicates that the data is not applicable or not reported for that specific comparison.</w:t>
      </w:r>
    </w:p>
    <w:p w14:paraId="6E03BDE4">
      <w:pPr>
        <w:spacing w:before="312" w:beforeLines="100"/>
        <w:rPr>
          <w:rStyle w:val="34"/>
          <w:rFonts w:ascii="Times New Roman" w:hAnsi="Times New Roman"/>
          <w:b/>
          <w:bCs/>
        </w:rPr>
      </w:pPr>
      <w:r>
        <w:rPr>
          <w:rStyle w:val="34"/>
          <w:rFonts w:ascii="Times New Roman" w:hAnsi="Times New Roman"/>
          <w:b/>
          <w:bCs/>
        </w:rPr>
        <w:t>Table S6. Detailed statistical results of gene expression for AD VS. NC.</w:t>
      </w:r>
    </w:p>
    <w:tbl>
      <w:tblPr>
        <w:tblStyle w:val="2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0"/>
        <w:gridCol w:w="2188"/>
        <w:gridCol w:w="5988"/>
        <w:gridCol w:w="803"/>
        <w:gridCol w:w="601"/>
        <w:gridCol w:w="1084"/>
        <w:gridCol w:w="1072"/>
      </w:tblGrid>
      <w:tr w14:paraId="47B84DE7">
        <w:tc>
          <w:tcPr>
            <w:tcW w:w="639" w:type="pct"/>
            <w:tcBorders>
              <w:top w:val="single" w:color="auto" w:sz="4" w:space="0"/>
              <w:left w:val="nil"/>
              <w:bottom w:val="single" w:color="auto" w:sz="4" w:space="0"/>
              <w:right w:val="nil"/>
            </w:tcBorders>
            <w:vAlign w:val="center"/>
          </w:tcPr>
          <w:p w14:paraId="2098BEE7">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GO</w:t>
            </w:r>
          </w:p>
        </w:tc>
        <w:tc>
          <w:tcPr>
            <w:tcW w:w="813" w:type="pct"/>
            <w:tcBorders>
              <w:top w:val="single" w:color="auto" w:sz="4" w:space="0"/>
              <w:left w:val="nil"/>
              <w:bottom w:val="single" w:color="auto" w:sz="4" w:space="0"/>
              <w:right w:val="nil"/>
            </w:tcBorders>
            <w:vAlign w:val="center"/>
          </w:tcPr>
          <w:p w14:paraId="1EE06D20">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Category</w:t>
            </w:r>
          </w:p>
        </w:tc>
        <w:tc>
          <w:tcPr>
            <w:tcW w:w="2224" w:type="pct"/>
            <w:tcBorders>
              <w:top w:val="single" w:color="auto" w:sz="4" w:space="0"/>
              <w:left w:val="nil"/>
              <w:bottom w:val="single" w:color="auto" w:sz="4" w:space="0"/>
              <w:right w:val="nil"/>
            </w:tcBorders>
            <w:vAlign w:val="center"/>
          </w:tcPr>
          <w:p w14:paraId="22C729DC">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Description</w:t>
            </w:r>
          </w:p>
        </w:tc>
        <w:tc>
          <w:tcPr>
            <w:tcW w:w="298" w:type="pct"/>
            <w:tcBorders>
              <w:top w:val="single" w:color="auto" w:sz="4" w:space="0"/>
              <w:left w:val="nil"/>
              <w:bottom w:val="single" w:color="auto" w:sz="4" w:space="0"/>
              <w:right w:val="nil"/>
            </w:tcBorders>
            <w:vAlign w:val="center"/>
          </w:tcPr>
          <w:p w14:paraId="4D9DB077">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Count</w:t>
            </w:r>
          </w:p>
        </w:tc>
        <w:tc>
          <w:tcPr>
            <w:tcW w:w="223" w:type="pct"/>
            <w:tcBorders>
              <w:top w:val="single" w:color="auto" w:sz="4" w:space="0"/>
              <w:left w:val="nil"/>
              <w:bottom w:val="single" w:color="auto" w:sz="4" w:space="0"/>
              <w:right w:val="nil"/>
            </w:tcBorders>
            <w:vAlign w:val="center"/>
          </w:tcPr>
          <w:p w14:paraId="3587B360">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w:t>
            </w:r>
          </w:p>
        </w:tc>
        <w:tc>
          <w:tcPr>
            <w:tcW w:w="402" w:type="pct"/>
            <w:tcBorders>
              <w:top w:val="single" w:color="auto" w:sz="4" w:space="0"/>
              <w:left w:val="nil"/>
              <w:bottom w:val="single" w:color="auto" w:sz="4" w:space="0"/>
              <w:right w:val="nil"/>
            </w:tcBorders>
            <w:vAlign w:val="center"/>
          </w:tcPr>
          <w:p w14:paraId="31F9442A">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Log10(P)</w:t>
            </w:r>
          </w:p>
        </w:tc>
        <w:tc>
          <w:tcPr>
            <w:tcW w:w="398" w:type="pct"/>
            <w:tcBorders>
              <w:top w:val="single" w:color="auto" w:sz="4" w:space="0"/>
              <w:left w:val="nil"/>
              <w:bottom w:val="single" w:color="auto" w:sz="4" w:space="0"/>
              <w:right w:val="nil"/>
            </w:tcBorders>
            <w:vAlign w:val="center"/>
          </w:tcPr>
          <w:p w14:paraId="42B8D460">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Log10(q)</w:t>
            </w:r>
          </w:p>
        </w:tc>
      </w:tr>
      <w:tr w14:paraId="448FAFDD">
        <w:tc>
          <w:tcPr>
            <w:tcW w:w="639" w:type="pct"/>
            <w:tcBorders>
              <w:top w:val="single" w:color="auto" w:sz="4" w:space="0"/>
              <w:left w:val="nil"/>
              <w:bottom w:val="nil"/>
              <w:right w:val="nil"/>
            </w:tcBorders>
            <w:vAlign w:val="center"/>
          </w:tcPr>
          <w:p w14:paraId="0491676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R-HSA-8953854</w:t>
            </w:r>
          </w:p>
        </w:tc>
        <w:tc>
          <w:tcPr>
            <w:tcW w:w="813" w:type="pct"/>
            <w:tcBorders>
              <w:top w:val="single" w:color="auto" w:sz="4" w:space="0"/>
              <w:left w:val="nil"/>
              <w:bottom w:val="nil"/>
              <w:right w:val="nil"/>
            </w:tcBorders>
            <w:vAlign w:val="center"/>
          </w:tcPr>
          <w:p w14:paraId="59384450">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Reactome Gene Sets</w:t>
            </w:r>
          </w:p>
        </w:tc>
        <w:tc>
          <w:tcPr>
            <w:tcW w:w="2224" w:type="pct"/>
            <w:tcBorders>
              <w:top w:val="single" w:color="auto" w:sz="4" w:space="0"/>
              <w:left w:val="nil"/>
              <w:bottom w:val="nil"/>
              <w:right w:val="nil"/>
            </w:tcBorders>
            <w:vAlign w:val="center"/>
          </w:tcPr>
          <w:p w14:paraId="5EA19ADC">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Metabolism of RNA</w:t>
            </w:r>
          </w:p>
        </w:tc>
        <w:tc>
          <w:tcPr>
            <w:tcW w:w="298" w:type="pct"/>
            <w:tcBorders>
              <w:top w:val="single" w:color="auto" w:sz="4" w:space="0"/>
              <w:left w:val="nil"/>
              <w:bottom w:val="nil"/>
              <w:right w:val="nil"/>
            </w:tcBorders>
            <w:vAlign w:val="center"/>
          </w:tcPr>
          <w:p w14:paraId="78BED60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81</w:t>
            </w:r>
          </w:p>
        </w:tc>
        <w:tc>
          <w:tcPr>
            <w:tcW w:w="223" w:type="pct"/>
            <w:tcBorders>
              <w:top w:val="single" w:color="auto" w:sz="4" w:space="0"/>
              <w:left w:val="nil"/>
              <w:bottom w:val="nil"/>
              <w:right w:val="nil"/>
            </w:tcBorders>
            <w:vAlign w:val="center"/>
          </w:tcPr>
          <w:p w14:paraId="4C2641F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8.19</w:t>
            </w:r>
          </w:p>
        </w:tc>
        <w:tc>
          <w:tcPr>
            <w:tcW w:w="402" w:type="pct"/>
            <w:tcBorders>
              <w:top w:val="single" w:color="auto" w:sz="4" w:space="0"/>
              <w:left w:val="nil"/>
              <w:bottom w:val="nil"/>
              <w:right w:val="nil"/>
            </w:tcBorders>
            <w:vAlign w:val="center"/>
          </w:tcPr>
          <w:p w14:paraId="72BD2573">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-24.74</w:t>
            </w:r>
          </w:p>
        </w:tc>
        <w:tc>
          <w:tcPr>
            <w:tcW w:w="398" w:type="pct"/>
            <w:tcBorders>
              <w:top w:val="single" w:color="auto" w:sz="4" w:space="0"/>
              <w:left w:val="nil"/>
              <w:bottom w:val="nil"/>
              <w:right w:val="nil"/>
            </w:tcBorders>
            <w:vAlign w:val="center"/>
          </w:tcPr>
          <w:p w14:paraId="5D5297A0">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-20.58</w:t>
            </w:r>
          </w:p>
        </w:tc>
      </w:tr>
      <w:tr w14:paraId="2941FB57">
        <w:tc>
          <w:tcPr>
            <w:tcW w:w="639" w:type="pct"/>
            <w:tcBorders>
              <w:top w:val="nil"/>
              <w:left w:val="nil"/>
              <w:bottom w:val="nil"/>
              <w:right w:val="nil"/>
            </w:tcBorders>
            <w:vAlign w:val="center"/>
          </w:tcPr>
          <w:p w14:paraId="575A89D9">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R-HSA-1428517</w:t>
            </w:r>
          </w:p>
        </w:tc>
        <w:tc>
          <w:tcPr>
            <w:tcW w:w="813" w:type="pct"/>
            <w:tcBorders>
              <w:top w:val="nil"/>
              <w:left w:val="nil"/>
              <w:bottom w:val="nil"/>
              <w:right w:val="nil"/>
            </w:tcBorders>
            <w:vAlign w:val="center"/>
          </w:tcPr>
          <w:p w14:paraId="47673E7F">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Reactome Gene Sets</w:t>
            </w:r>
          </w:p>
        </w:tc>
        <w:tc>
          <w:tcPr>
            <w:tcW w:w="2224" w:type="pct"/>
            <w:tcBorders>
              <w:top w:val="nil"/>
              <w:left w:val="nil"/>
              <w:bottom w:val="nil"/>
              <w:right w:val="nil"/>
            </w:tcBorders>
            <w:vAlign w:val="center"/>
          </w:tcPr>
          <w:p w14:paraId="5ED560DB">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Aerobic respiration and respiratory electron transport</w:t>
            </w:r>
          </w:p>
        </w:tc>
        <w:tc>
          <w:tcPr>
            <w:tcW w:w="298" w:type="pct"/>
            <w:tcBorders>
              <w:top w:val="nil"/>
              <w:left w:val="nil"/>
              <w:bottom w:val="nil"/>
              <w:right w:val="nil"/>
            </w:tcBorders>
            <w:vAlign w:val="center"/>
          </w:tcPr>
          <w:p w14:paraId="3AF19FC7">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43</w:t>
            </w:r>
          </w:p>
        </w:tc>
        <w:tc>
          <w:tcPr>
            <w:tcW w:w="223" w:type="pct"/>
            <w:tcBorders>
              <w:top w:val="nil"/>
              <w:left w:val="nil"/>
              <w:bottom w:val="nil"/>
              <w:right w:val="nil"/>
            </w:tcBorders>
            <w:vAlign w:val="center"/>
          </w:tcPr>
          <w:p w14:paraId="628B768C">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4.35</w:t>
            </w:r>
          </w:p>
        </w:tc>
        <w:tc>
          <w:tcPr>
            <w:tcW w:w="402" w:type="pct"/>
            <w:tcBorders>
              <w:top w:val="nil"/>
              <w:left w:val="nil"/>
              <w:bottom w:val="nil"/>
              <w:right w:val="nil"/>
            </w:tcBorders>
            <w:vAlign w:val="center"/>
          </w:tcPr>
          <w:p w14:paraId="1B4FD039">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-18.42</w:t>
            </w:r>
          </w:p>
        </w:tc>
        <w:tc>
          <w:tcPr>
            <w:tcW w:w="398" w:type="pct"/>
            <w:tcBorders>
              <w:top w:val="nil"/>
              <w:left w:val="nil"/>
              <w:bottom w:val="nil"/>
              <w:right w:val="nil"/>
            </w:tcBorders>
            <w:vAlign w:val="center"/>
          </w:tcPr>
          <w:p w14:paraId="5FF3DBB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-14.68</w:t>
            </w:r>
          </w:p>
        </w:tc>
      </w:tr>
      <w:tr w14:paraId="1CFA47E4">
        <w:tc>
          <w:tcPr>
            <w:tcW w:w="639" w:type="pct"/>
            <w:tcBorders>
              <w:top w:val="nil"/>
              <w:left w:val="nil"/>
              <w:bottom w:val="nil"/>
              <w:right w:val="nil"/>
            </w:tcBorders>
            <w:vAlign w:val="center"/>
          </w:tcPr>
          <w:p w14:paraId="635400FC">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GO:0007005</w:t>
            </w:r>
          </w:p>
        </w:tc>
        <w:tc>
          <w:tcPr>
            <w:tcW w:w="813" w:type="pct"/>
            <w:tcBorders>
              <w:top w:val="nil"/>
              <w:left w:val="nil"/>
              <w:bottom w:val="nil"/>
              <w:right w:val="nil"/>
            </w:tcBorders>
            <w:vAlign w:val="center"/>
          </w:tcPr>
          <w:p w14:paraId="28B6AF38">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 Biological Processes</w:t>
            </w:r>
          </w:p>
        </w:tc>
        <w:tc>
          <w:tcPr>
            <w:tcW w:w="2224" w:type="pct"/>
            <w:tcBorders>
              <w:top w:val="nil"/>
              <w:left w:val="nil"/>
              <w:bottom w:val="nil"/>
              <w:right w:val="nil"/>
            </w:tcBorders>
            <w:vAlign w:val="center"/>
          </w:tcPr>
          <w:p w14:paraId="036CD1DC">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mitochondrion organization</w:t>
            </w:r>
          </w:p>
        </w:tc>
        <w:tc>
          <w:tcPr>
            <w:tcW w:w="298" w:type="pct"/>
            <w:tcBorders>
              <w:top w:val="nil"/>
              <w:left w:val="nil"/>
              <w:bottom w:val="nil"/>
              <w:right w:val="nil"/>
            </w:tcBorders>
            <w:vAlign w:val="center"/>
          </w:tcPr>
          <w:p w14:paraId="00BBA896">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53</w:t>
            </w:r>
          </w:p>
        </w:tc>
        <w:tc>
          <w:tcPr>
            <w:tcW w:w="223" w:type="pct"/>
            <w:tcBorders>
              <w:top w:val="nil"/>
              <w:left w:val="nil"/>
              <w:bottom w:val="nil"/>
              <w:right w:val="nil"/>
            </w:tcBorders>
            <w:vAlign w:val="center"/>
          </w:tcPr>
          <w:p w14:paraId="3A3F36CB">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5.36</w:t>
            </w:r>
          </w:p>
        </w:tc>
        <w:tc>
          <w:tcPr>
            <w:tcW w:w="402" w:type="pct"/>
            <w:tcBorders>
              <w:top w:val="nil"/>
              <w:left w:val="nil"/>
              <w:bottom w:val="nil"/>
              <w:right w:val="nil"/>
            </w:tcBorders>
            <w:vAlign w:val="center"/>
          </w:tcPr>
          <w:p w14:paraId="2625DB59">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-17.7</w:t>
            </w:r>
          </w:p>
        </w:tc>
        <w:tc>
          <w:tcPr>
            <w:tcW w:w="398" w:type="pct"/>
            <w:tcBorders>
              <w:top w:val="nil"/>
              <w:left w:val="nil"/>
              <w:bottom w:val="nil"/>
              <w:right w:val="nil"/>
            </w:tcBorders>
            <w:vAlign w:val="center"/>
          </w:tcPr>
          <w:p w14:paraId="155C9CDB">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-14.06</w:t>
            </w:r>
          </w:p>
        </w:tc>
      </w:tr>
      <w:tr w14:paraId="7132D2F0">
        <w:tc>
          <w:tcPr>
            <w:tcW w:w="639" w:type="pct"/>
            <w:tcBorders>
              <w:top w:val="nil"/>
              <w:left w:val="nil"/>
              <w:bottom w:val="nil"/>
              <w:right w:val="nil"/>
            </w:tcBorders>
            <w:vAlign w:val="center"/>
          </w:tcPr>
          <w:p w14:paraId="48A4B07F">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GO:0033365</w:t>
            </w:r>
          </w:p>
        </w:tc>
        <w:tc>
          <w:tcPr>
            <w:tcW w:w="813" w:type="pct"/>
            <w:tcBorders>
              <w:top w:val="nil"/>
              <w:left w:val="nil"/>
              <w:bottom w:val="nil"/>
              <w:right w:val="nil"/>
            </w:tcBorders>
            <w:vAlign w:val="center"/>
          </w:tcPr>
          <w:p w14:paraId="7113DA97">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 Biological Processes</w:t>
            </w:r>
          </w:p>
        </w:tc>
        <w:tc>
          <w:tcPr>
            <w:tcW w:w="2224" w:type="pct"/>
            <w:tcBorders>
              <w:top w:val="nil"/>
              <w:left w:val="nil"/>
              <w:bottom w:val="nil"/>
              <w:right w:val="nil"/>
            </w:tcBorders>
            <w:vAlign w:val="center"/>
          </w:tcPr>
          <w:p w14:paraId="21B5C69F">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protein localization to organelle</w:t>
            </w:r>
          </w:p>
        </w:tc>
        <w:tc>
          <w:tcPr>
            <w:tcW w:w="298" w:type="pct"/>
            <w:tcBorders>
              <w:top w:val="nil"/>
              <w:left w:val="nil"/>
              <w:bottom w:val="nil"/>
              <w:right w:val="nil"/>
            </w:tcBorders>
            <w:vAlign w:val="center"/>
          </w:tcPr>
          <w:p w14:paraId="55918DA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76</w:t>
            </w:r>
          </w:p>
        </w:tc>
        <w:tc>
          <w:tcPr>
            <w:tcW w:w="223" w:type="pct"/>
            <w:tcBorders>
              <w:top w:val="nil"/>
              <w:left w:val="nil"/>
              <w:bottom w:val="nil"/>
              <w:right w:val="nil"/>
            </w:tcBorders>
            <w:vAlign w:val="center"/>
          </w:tcPr>
          <w:p w14:paraId="4BF48CAC">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7.68</w:t>
            </w:r>
          </w:p>
        </w:tc>
        <w:tc>
          <w:tcPr>
            <w:tcW w:w="402" w:type="pct"/>
            <w:tcBorders>
              <w:top w:val="nil"/>
              <w:left w:val="nil"/>
              <w:bottom w:val="nil"/>
              <w:right w:val="nil"/>
            </w:tcBorders>
            <w:vAlign w:val="center"/>
          </w:tcPr>
          <w:p w14:paraId="7FC57B1F">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-16.22</w:t>
            </w:r>
          </w:p>
        </w:tc>
        <w:tc>
          <w:tcPr>
            <w:tcW w:w="398" w:type="pct"/>
            <w:tcBorders>
              <w:top w:val="nil"/>
              <w:left w:val="nil"/>
              <w:bottom w:val="nil"/>
              <w:right w:val="nil"/>
            </w:tcBorders>
            <w:vAlign w:val="center"/>
          </w:tcPr>
          <w:p w14:paraId="56114FE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-12.95</w:t>
            </w:r>
          </w:p>
        </w:tc>
      </w:tr>
      <w:tr w14:paraId="139BCDB0">
        <w:tc>
          <w:tcPr>
            <w:tcW w:w="639" w:type="pct"/>
            <w:tcBorders>
              <w:top w:val="nil"/>
              <w:left w:val="nil"/>
              <w:bottom w:val="nil"/>
              <w:right w:val="nil"/>
            </w:tcBorders>
            <w:vAlign w:val="center"/>
          </w:tcPr>
          <w:p w14:paraId="45D33DB8">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GO:0022613</w:t>
            </w:r>
          </w:p>
        </w:tc>
        <w:tc>
          <w:tcPr>
            <w:tcW w:w="813" w:type="pct"/>
            <w:tcBorders>
              <w:top w:val="nil"/>
              <w:left w:val="nil"/>
              <w:bottom w:val="nil"/>
              <w:right w:val="nil"/>
            </w:tcBorders>
            <w:vAlign w:val="center"/>
          </w:tcPr>
          <w:p w14:paraId="53F3917C">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 Biological Processes</w:t>
            </w:r>
          </w:p>
        </w:tc>
        <w:tc>
          <w:tcPr>
            <w:tcW w:w="2224" w:type="pct"/>
            <w:tcBorders>
              <w:top w:val="nil"/>
              <w:left w:val="nil"/>
              <w:bottom w:val="nil"/>
              <w:right w:val="nil"/>
            </w:tcBorders>
            <w:vAlign w:val="center"/>
          </w:tcPr>
          <w:p w14:paraId="4221337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ribonucleoprotein complex biogenesis</w:t>
            </w:r>
          </w:p>
        </w:tc>
        <w:tc>
          <w:tcPr>
            <w:tcW w:w="298" w:type="pct"/>
            <w:tcBorders>
              <w:top w:val="nil"/>
              <w:left w:val="nil"/>
              <w:bottom w:val="nil"/>
              <w:right w:val="nil"/>
            </w:tcBorders>
            <w:vAlign w:val="center"/>
          </w:tcPr>
          <w:p w14:paraId="0EC11C67">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53</w:t>
            </w:r>
          </w:p>
        </w:tc>
        <w:tc>
          <w:tcPr>
            <w:tcW w:w="223" w:type="pct"/>
            <w:tcBorders>
              <w:top w:val="nil"/>
              <w:left w:val="nil"/>
              <w:bottom w:val="nil"/>
              <w:right w:val="nil"/>
            </w:tcBorders>
            <w:vAlign w:val="center"/>
          </w:tcPr>
          <w:p w14:paraId="216B54A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5.36</w:t>
            </w:r>
          </w:p>
        </w:tc>
        <w:tc>
          <w:tcPr>
            <w:tcW w:w="402" w:type="pct"/>
            <w:tcBorders>
              <w:top w:val="nil"/>
              <w:left w:val="nil"/>
              <w:bottom w:val="nil"/>
              <w:right w:val="nil"/>
            </w:tcBorders>
            <w:vAlign w:val="center"/>
          </w:tcPr>
          <w:p w14:paraId="2D9BCEE8">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-13.81</w:t>
            </w:r>
          </w:p>
        </w:tc>
        <w:tc>
          <w:tcPr>
            <w:tcW w:w="398" w:type="pct"/>
            <w:tcBorders>
              <w:top w:val="nil"/>
              <w:left w:val="nil"/>
              <w:bottom w:val="nil"/>
              <w:right w:val="nil"/>
            </w:tcBorders>
            <w:vAlign w:val="center"/>
          </w:tcPr>
          <w:p w14:paraId="4D5D694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-10.85</w:t>
            </w:r>
          </w:p>
        </w:tc>
      </w:tr>
      <w:tr w14:paraId="1DCB7EC0">
        <w:tc>
          <w:tcPr>
            <w:tcW w:w="639" w:type="pct"/>
            <w:tcBorders>
              <w:top w:val="nil"/>
              <w:left w:val="nil"/>
              <w:bottom w:val="nil"/>
              <w:right w:val="nil"/>
            </w:tcBorders>
            <w:vAlign w:val="center"/>
          </w:tcPr>
          <w:p w14:paraId="5B2EA21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GO:1903320</w:t>
            </w:r>
          </w:p>
        </w:tc>
        <w:tc>
          <w:tcPr>
            <w:tcW w:w="813" w:type="pct"/>
            <w:tcBorders>
              <w:top w:val="nil"/>
              <w:left w:val="nil"/>
              <w:bottom w:val="nil"/>
              <w:right w:val="nil"/>
            </w:tcBorders>
            <w:vAlign w:val="center"/>
          </w:tcPr>
          <w:p w14:paraId="270C4AC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 Biological Processes</w:t>
            </w:r>
          </w:p>
        </w:tc>
        <w:tc>
          <w:tcPr>
            <w:tcW w:w="2224" w:type="pct"/>
            <w:tcBorders>
              <w:top w:val="nil"/>
              <w:left w:val="nil"/>
              <w:bottom w:val="nil"/>
              <w:right w:val="nil"/>
            </w:tcBorders>
            <w:vAlign w:val="center"/>
          </w:tcPr>
          <w:p w14:paraId="1D9E988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regulation of protein modification by small protein conjugation or removal</w:t>
            </w:r>
          </w:p>
        </w:tc>
        <w:tc>
          <w:tcPr>
            <w:tcW w:w="298" w:type="pct"/>
            <w:tcBorders>
              <w:top w:val="nil"/>
              <w:left w:val="nil"/>
              <w:bottom w:val="nil"/>
              <w:right w:val="nil"/>
            </w:tcBorders>
            <w:vAlign w:val="center"/>
          </w:tcPr>
          <w:p w14:paraId="684D544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35</w:t>
            </w:r>
          </w:p>
        </w:tc>
        <w:tc>
          <w:tcPr>
            <w:tcW w:w="223" w:type="pct"/>
            <w:tcBorders>
              <w:top w:val="nil"/>
              <w:left w:val="nil"/>
              <w:bottom w:val="nil"/>
              <w:right w:val="nil"/>
            </w:tcBorders>
            <w:vAlign w:val="center"/>
          </w:tcPr>
          <w:p w14:paraId="79A6B8E0">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3.54</w:t>
            </w:r>
          </w:p>
        </w:tc>
        <w:tc>
          <w:tcPr>
            <w:tcW w:w="402" w:type="pct"/>
            <w:tcBorders>
              <w:top w:val="nil"/>
              <w:left w:val="nil"/>
              <w:bottom w:val="nil"/>
              <w:right w:val="nil"/>
            </w:tcBorders>
            <w:vAlign w:val="center"/>
          </w:tcPr>
          <w:p w14:paraId="0C0F531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-12.66</w:t>
            </w:r>
          </w:p>
        </w:tc>
        <w:tc>
          <w:tcPr>
            <w:tcW w:w="398" w:type="pct"/>
            <w:tcBorders>
              <w:top w:val="nil"/>
              <w:left w:val="nil"/>
              <w:bottom w:val="nil"/>
              <w:right w:val="nil"/>
            </w:tcBorders>
            <w:vAlign w:val="center"/>
          </w:tcPr>
          <w:p w14:paraId="42F3CB4F">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-9.89</w:t>
            </w:r>
          </w:p>
        </w:tc>
      </w:tr>
      <w:tr w14:paraId="1FBC932D">
        <w:tc>
          <w:tcPr>
            <w:tcW w:w="639" w:type="pct"/>
            <w:tcBorders>
              <w:top w:val="nil"/>
              <w:left w:val="nil"/>
              <w:bottom w:val="nil"/>
              <w:right w:val="nil"/>
            </w:tcBorders>
            <w:vAlign w:val="center"/>
          </w:tcPr>
          <w:p w14:paraId="22CA588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hsa05022</w:t>
            </w:r>
          </w:p>
        </w:tc>
        <w:tc>
          <w:tcPr>
            <w:tcW w:w="813" w:type="pct"/>
            <w:tcBorders>
              <w:top w:val="nil"/>
              <w:left w:val="nil"/>
              <w:bottom w:val="nil"/>
              <w:right w:val="nil"/>
            </w:tcBorders>
            <w:vAlign w:val="center"/>
          </w:tcPr>
          <w:p w14:paraId="47B3FA08">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KEGG Pathway</w:t>
            </w:r>
          </w:p>
        </w:tc>
        <w:tc>
          <w:tcPr>
            <w:tcW w:w="2224" w:type="pct"/>
            <w:tcBorders>
              <w:top w:val="nil"/>
              <w:left w:val="nil"/>
              <w:bottom w:val="nil"/>
              <w:right w:val="nil"/>
            </w:tcBorders>
            <w:vAlign w:val="center"/>
          </w:tcPr>
          <w:p w14:paraId="5E8BD27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Pathways of neurodegeneration - multiple diseases</w:t>
            </w:r>
          </w:p>
        </w:tc>
        <w:tc>
          <w:tcPr>
            <w:tcW w:w="298" w:type="pct"/>
            <w:tcBorders>
              <w:top w:val="nil"/>
              <w:left w:val="nil"/>
              <w:bottom w:val="nil"/>
              <w:right w:val="nil"/>
            </w:tcBorders>
            <w:vAlign w:val="center"/>
          </w:tcPr>
          <w:p w14:paraId="3515AC4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50</w:t>
            </w:r>
          </w:p>
        </w:tc>
        <w:tc>
          <w:tcPr>
            <w:tcW w:w="223" w:type="pct"/>
            <w:tcBorders>
              <w:top w:val="nil"/>
              <w:left w:val="nil"/>
              <w:bottom w:val="nil"/>
              <w:right w:val="nil"/>
            </w:tcBorders>
            <w:vAlign w:val="center"/>
          </w:tcPr>
          <w:p w14:paraId="1B7E9DC6">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5.06</w:t>
            </w:r>
          </w:p>
        </w:tc>
        <w:tc>
          <w:tcPr>
            <w:tcW w:w="402" w:type="pct"/>
            <w:tcBorders>
              <w:top w:val="nil"/>
              <w:left w:val="nil"/>
              <w:bottom w:val="nil"/>
              <w:right w:val="nil"/>
            </w:tcBorders>
            <w:vAlign w:val="center"/>
          </w:tcPr>
          <w:p w14:paraId="63776C13">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-12.09</w:t>
            </w:r>
          </w:p>
        </w:tc>
        <w:tc>
          <w:tcPr>
            <w:tcW w:w="398" w:type="pct"/>
            <w:tcBorders>
              <w:top w:val="nil"/>
              <w:left w:val="nil"/>
              <w:bottom w:val="nil"/>
              <w:right w:val="nil"/>
            </w:tcBorders>
            <w:vAlign w:val="center"/>
          </w:tcPr>
          <w:p w14:paraId="777A091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-9.38</w:t>
            </w:r>
          </w:p>
        </w:tc>
      </w:tr>
      <w:tr w14:paraId="6D6B38A3">
        <w:tc>
          <w:tcPr>
            <w:tcW w:w="639" w:type="pct"/>
            <w:tcBorders>
              <w:top w:val="nil"/>
              <w:left w:val="nil"/>
              <w:bottom w:val="nil"/>
              <w:right w:val="nil"/>
            </w:tcBorders>
            <w:vAlign w:val="center"/>
          </w:tcPr>
          <w:p w14:paraId="2066DFB8">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GO:0072655</w:t>
            </w:r>
          </w:p>
        </w:tc>
        <w:tc>
          <w:tcPr>
            <w:tcW w:w="813" w:type="pct"/>
            <w:tcBorders>
              <w:top w:val="nil"/>
              <w:left w:val="nil"/>
              <w:bottom w:val="nil"/>
              <w:right w:val="nil"/>
            </w:tcBorders>
            <w:vAlign w:val="center"/>
          </w:tcPr>
          <w:p w14:paraId="25A15C6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 Biological Processes</w:t>
            </w:r>
          </w:p>
        </w:tc>
        <w:tc>
          <w:tcPr>
            <w:tcW w:w="2224" w:type="pct"/>
            <w:tcBorders>
              <w:top w:val="nil"/>
              <w:left w:val="nil"/>
              <w:bottom w:val="nil"/>
              <w:right w:val="nil"/>
            </w:tcBorders>
            <w:vAlign w:val="center"/>
          </w:tcPr>
          <w:p w14:paraId="3A639F7C">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establishment of protein localization to mitochondrion</w:t>
            </w:r>
          </w:p>
        </w:tc>
        <w:tc>
          <w:tcPr>
            <w:tcW w:w="298" w:type="pct"/>
            <w:tcBorders>
              <w:top w:val="nil"/>
              <w:left w:val="nil"/>
              <w:bottom w:val="nil"/>
              <w:right w:val="nil"/>
            </w:tcBorders>
            <w:vAlign w:val="center"/>
          </w:tcPr>
          <w:p w14:paraId="1AEA226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19</w:t>
            </w:r>
          </w:p>
        </w:tc>
        <w:tc>
          <w:tcPr>
            <w:tcW w:w="223" w:type="pct"/>
            <w:tcBorders>
              <w:top w:val="nil"/>
              <w:left w:val="nil"/>
              <w:bottom w:val="nil"/>
              <w:right w:val="nil"/>
            </w:tcBorders>
            <w:vAlign w:val="center"/>
          </w:tcPr>
          <w:p w14:paraId="23359DE9">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1.92</w:t>
            </w:r>
          </w:p>
        </w:tc>
        <w:tc>
          <w:tcPr>
            <w:tcW w:w="402" w:type="pct"/>
            <w:tcBorders>
              <w:top w:val="nil"/>
              <w:left w:val="nil"/>
              <w:bottom w:val="nil"/>
              <w:right w:val="nil"/>
            </w:tcBorders>
            <w:vAlign w:val="center"/>
          </w:tcPr>
          <w:p w14:paraId="5AF7AFBC">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-11.38</w:t>
            </w:r>
          </w:p>
        </w:tc>
        <w:tc>
          <w:tcPr>
            <w:tcW w:w="398" w:type="pct"/>
            <w:tcBorders>
              <w:top w:val="nil"/>
              <w:left w:val="nil"/>
              <w:bottom w:val="nil"/>
              <w:right w:val="nil"/>
            </w:tcBorders>
            <w:vAlign w:val="center"/>
          </w:tcPr>
          <w:p w14:paraId="6B1DB30F">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-8.76</w:t>
            </w:r>
          </w:p>
        </w:tc>
      </w:tr>
      <w:tr w14:paraId="3DB34FB1">
        <w:tc>
          <w:tcPr>
            <w:tcW w:w="639" w:type="pct"/>
            <w:tcBorders>
              <w:top w:val="nil"/>
              <w:left w:val="nil"/>
              <w:bottom w:val="nil"/>
              <w:right w:val="nil"/>
            </w:tcBorders>
            <w:vAlign w:val="center"/>
          </w:tcPr>
          <w:p w14:paraId="4568BE86">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GO:0010506</w:t>
            </w:r>
          </w:p>
        </w:tc>
        <w:tc>
          <w:tcPr>
            <w:tcW w:w="813" w:type="pct"/>
            <w:tcBorders>
              <w:top w:val="nil"/>
              <w:left w:val="nil"/>
              <w:bottom w:val="nil"/>
              <w:right w:val="nil"/>
            </w:tcBorders>
            <w:vAlign w:val="center"/>
          </w:tcPr>
          <w:p w14:paraId="5E61F78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 Biological Processes</w:t>
            </w:r>
          </w:p>
        </w:tc>
        <w:tc>
          <w:tcPr>
            <w:tcW w:w="2224" w:type="pct"/>
            <w:tcBorders>
              <w:top w:val="nil"/>
              <w:left w:val="nil"/>
              <w:bottom w:val="nil"/>
              <w:right w:val="nil"/>
            </w:tcBorders>
            <w:vAlign w:val="center"/>
          </w:tcPr>
          <w:p w14:paraId="6F615ED0">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regulation of autophagy</w:t>
            </w:r>
          </w:p>
        </w:tc>
        <w:tc>
          <w:tcPr>
            <w:tcW w:w="298" w:type="pct"/>
            <w:tcBorders>
              <w:top w:val="nil"/>
              <w:left w:val="nil"/>
              <w:bottom w:val="nil"/>
              <w:right w:val="nil"/>
            </w:tcBorders>
            <w:vAlign w:val="center"/>
          </w:tcPr>
          <w:p w14:paraId="057F45E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41</w:t>
            </w:r>
          </w:p>
        </w:tc>
        <w:tc>
          <w:tcPr>
            <w:tcW w:w="223" w:type="pct"/>
            <w:tcBorders>
              <w:top w:val="nil"/>
              <w:left w:val="nil"/>
              <w:bottom w:val="nil"/>
              <w:right w:val="nil"/>
            </w:tcBorders>
            <w:vAlign w:val="center"/>
          </w:tcPr>
          <w:p w14:paraId="7EAA726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4.15</w:t>
            </w:r>
          </w:p>
        </w:tc>
        <w:tc>
          <w:tcPr>
            <w:tcW w:w="402" w:type="pct"/>
            <w:tcBorders>
              <w:top w:val="nil"/>
              <w:left w:val="nil"/>
              <w:bottom w:val="nil"/>
              <w:right w:val="nil"/>
            </w:tcBorders>
            <w:vAlign w:val="center"/>
          </w:tcPr>
          <w:p w14:paraId="6BF2F8E8">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-11.38</w:t>
            </w:r>
          </w:p>
        </w:tc>
        <w:tc>
          <w:tcPr>
            <w:tcW w:w="398" w:type="pct"/>
            <w:tcBorders>
              <w:top w:val="nil"/>
              <w:left w:val="nil"/>
              <w:bottom w:val="nil"/>
              <w:right w:val="nil"/>
            </w:tcBorders>
            <w:vAlign w:val="center"/>
          </w:tcPr>
          <w:p w14:paraId="6343DE48">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-8.76</w:t>
            </w:r>
          </w:p>
        </w:tc>
      </w:tr>
      <w:tr w14:paraId="5876AE6E">
        <w:tc>
          <w:tcPr>
            <w:tcW w:w="639" w:type="pct"/>
            <w:tcBorders>
              <w:top w:val="nil"/>
              <w:left w:val="nil"/>
              <w:bottom w:val="nil"/>
              <w:right w:val="nil"/>
            </w:tcBorders>
            <w:vAlign w:val="center"/>
          </w:tcPr>
          <w:p w14:paraId="2305037B">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GO:0006914</w:t>
            </w:r>
          </w:p>
        </w:tc>
        <w:tc>
          <w:tcPr>
            <w:tcW w:w="813" w:type="pct"/>
            <w:tcBorders>
              <w:top w:val="nil"/>
              <w:left w:val="nil"/>
              <w:bottom w:val="nil"/>
              <w:right w:val="nil"/>
            </w:tcBorders>
            <w:vAlign w:val="center"/>
          </w:tcPr>
          <w:p w14:paraId="126358C8">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 Biological Processes</w:t>
            </w:r>
          </w:p>
        </w:tc>
        <w:tc>
          <w:tcPr>
            <w:tcW w:w="2224" w:type="pct"/>
            <w:tcBorders>
              <w:top w:val="nil"/>
              <w:left w:val="nil"/>
              <w:bottom w:val="nil"/>
              <w:right w:val="nil"/>
            </w:tcBorders>
            <w:vAlign w:val="center"/>
          </w:tcPr>
          <w:p w14:paraId="0851B4FF">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autophagy</w:t>
            </w:r>
          </w:p>
        </w:tc>
        <w:tc>
          <w:tcPr>
            <w:tcW w:w="298" w:type="pct"/>
            <w:tcBorders>
              <w:top w:val="nil"/>
              <w:left w:val="nil"/>
              <w:bottom w:val="nil"/>
              <w:right w:val="nil"/>
            </w:tcBorders>
            <w:vAlign w:val="center"/>
          </w:tcPr>
          <w:p w14:paraId="419940E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39</w:t>
            </w:r>
          </w:p>
        </w:tc>
        <w:tc>
          <w:tcPr>
            <w:tcW w:w="223" w:type="pct"/>
            <w:tcBorders>
              <w:top w:val="nil"/>
              <w:left w:val="nil"/>
              <w:bottom w:val="nil"/>
              <w:right w:val="nil"/>
            </w:tcBorders>
            <w:vAlign w:val="center"/>
          </w:tcPr>
          <w:p w14:paraId="2F5C96F8">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3.94</w:t>
            </w:r>
          </w:p>
        </w:tc>
        <w:tc>
          <w:tcPr>
            <w:tcW w:w="402" w:type="pct"/>
            <w:tcBorders>
              <w:top w:val="nil"/>
              <w:left w:val="nil"/>
              <w:bottom w:val="nil"/>
              <w:right w:val="nil"/>
            </w:tcBorders>
            <w:vAlign w:val="center"/>
          </w:tcPr>
          <w:p w14:paraId="0E187DE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-11.27</w:t>
            </w:r>
          </w:p>
        </w:tc>
        <w:tc>
          <w:tcPr>
            <w:tcW w:w="398" w:type="pct"/>
            <w:tcBorders>
              <w:top w:val="nil"/>
              <w:left w:val="nil"/>
              <w:bottom w:val="nil"/>
              <w:right w:val="nil"/>
            </w:tcBorders>
            <w:vAlign w:val="center"/>
          </w:tcPr>
          <w:p w14:paraId="5CA2467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-8.67</w:t>
            </w:r>
          </w:p>
        </w:tc>
      </w:tr>
      <w:tr w14:paraId="7EA96041">
        <w:tc>
          <w:tcPr>
            <w:tcW w:w="639" w:type="pct"/>
            <w:tcBorders>
              <w:top w:val="nil"/>
              <w:left w:val="nil"/>
              <w:bottom w:val="nil"/>
              <w:right w:val="nil"/>
            </w:tcBorders>
            <w:vAlign w:val="center"/>
          </w:tcPr>
          <w:p w14:paraId="5C0E925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GO:0030163</w:t>
            </w:r>
          </w:p>
        </w:tc>
        <w:tc>
          <w:tcPr>
            <w:tcW w:w="813" w:type="pct"/>
            <w:tcBorders>
              <w:top w:val="nil"/>
              <w:left w:val="nil"/>
              <w:bottom w:val="nil"/>
              <w:right w:val="nil"/>
            </w:tcBorders>
            <w:vAlign w:val="center"/>
          </w:tcPr>
          <w:p w14:paraId="36101DE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 Biological Processes</w:t>
            </w:r>
          </w:p>
        </w:tc>
        <w:tc>
          <w:tcPr>
            <w:tcW w:w="2224" w:type="pct"/>
            <w:tcBorders>
              <w:top w:val="nil"/>
              <w:left w:val="nil"/>
              <w:bottom w:val="nil"/>
              <w:right w:val="nil"/>
            </w:tcBorders>
            <w:vAlign w:val="center"/>
          </w:tcPr>
          <w:p w14:paraId="2357A652">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protein catabolic process</w:t>
            </w:r>
          </w:p>
        </w:tc>
        <w:tc>
          <w:tcPr>
            <w:tcW w:w="298" w:type="pct"/>
            <w:tcBorders>
              <w:top w:val="nil"/>
              <w:left w:val="nil"/>
              <w:bottom w:val="nil"/>
              <w:right w:val="nil"/>
            </w:tcBorders>
            <w:vAlign w:val="center"/>
          </w:tcPr>
          <w:p w14:paraId="7494603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65</w:t>
            </w:r>
          </w:p>
        </w:tc>
        <w:tc>
          <w:tcPr>
            <w:tcW w:w="223" w:type="pct"/>
            <w:tcBorders>
              <w:top w:val="nil"/>
              <w:left w:val="nil"/>
              <w:bottom w:val="nil"/>
              <w:right w:val="nil"/>
            </w:tcBorders>
            <w:vAlign w:val="center"/>
          </w:tcPr>
          <w:p w14:paraId="7B3D1D29">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6.57</w:t>
            </w:r>
          </w:p>
        </w:tc>
        <w:tc>
          <w:tcPr>
            <w:tcW w:w="402" w:type="pct"/>
            <w:tcBorders>
              <w:top w:val="nil"/>
              <w:left w:val="nil"/>
              <w:bottom w:val="nil"/>
              <w:right w:val="nil"/>
            </w:tcBorders>
            <w:vAlign w:val="center"/>
          </w:tcPr>
          <w:p w14:paraId="7294AACC">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-11.05</w:t>
            </w:r>
          </w:p>
        </w:tc>
        <w:tc>
          <w:tcPr>
            <w:tcW w:w="398" w:type="pct"/>
            <w:tcBorders>
              <w:top w:val="nil"/>
              <w:left w:val="nil"/>
              <w:bottom w:val="nil"/>
              <w:right w:val="nil"/>
            </w:tcBorders>
            <w:vAlign w:val="center"/>
          </w:tcPr>
          <w:p w14:paraId="4C694C8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-8.47</w:t>
            </w:r>
          </w:p>
        </w:tc>
      </w:tr>
      <w:tr w14:paraId="3D890324">
        <w:tc>
          <w:tcPr>
            <w:tcW w:w="639" w:type="pct"/>
            <w:tcBorders>
              <w:top w:val="nil"/>
              <w:left w:val="nil"/>
              <w:bottom w:val="nil"/>
              <w:right w:val="nil"/>
            </w:tcBorders>
            <w:vAlign w:val="center"/>
          </w:tcPr>
          <w:p w14:paraId="42DEAAE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R-HSA-1632852</w:t>
            </w:r>
          </w:p>
        </w:tc>
        <w:tc>
          <w:tcPr>
            <w:tcW w:w="813" w:type="pct"/>
            <w:tcBorders>
              <w:top w:val="nil"/>
              <w:left w:val="nil"/>
              <w:bottom w:val="nil"/>
              <w:right w:val="nil"/>
            </w:tcBorders>
            <w:vAlign w:val="center"/>
          </w:tcPr>
          <w:p w14:paraId="7350361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Reactome Gene Sets</w:t>
            </w:r>
          </w:p>
        </w:tc>
        <w:tc>
          <w:tcPr>
            <w:tcW w:w="2224" w:type="pct"/>
            <w:tcBorders>
              <w:top w:val="nil"/>
              <w:left w:val="nil"/>
              <w:bottom w:val="nil"/>
              <w:right w:val="nil"/>
            </w:tcBorders>
            <w:vAlign w:val="center"/>
          </w:tcPr>
          <w:p w14:paraId="6738E59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Macroautophagy</w:t>
            </w:r>
          </w:p>
        </w:tc>
        <w:tc>
          <w:tcPr>
            <w:tcW w:w="298" w:type="pct"/>
            <w:tcBorders>
              <w:top w:val="nil"/>
              <w:left w:val="nil"/>
              <w:bottom w:val="nil"/>
              <w:right w:val="nil"/>
            </w:tcBorders>
            <w:vAlign w:val="center"/>
          </w:tcPr>
          <w:p w14:paraId="0CCC401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22</w:t>
            </w:r>
          </w:p>
        </w:tc>
        <w:tc>
          <w:tcPr>
            <w:tcW w:w="223" w:type="pct"/>
            <w:tcBorders>
              <w:top w:val="nil"/>
              <w:left w:val="nil"/>
              <w:bottom w:val="nil"/>
              <w:right w:val="nil"/>
            </w:tcBorders>
            <w:vAlign w:val="center"/>
          </w:tcPr>
          <w:p w14:paraId="12C3D70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2.22</w:t>
            </w:r>
          </w:p>
        </w:tc>
        <w:tc>
          <w:tcPr>
            <w:tcW w:w="402" w:type="pct"/>
            <w:tcBorders>
              <w:top w:val="nil"/>
              <w:left w:val="nil"/>
              <w:bottom w:val="nil"/>
              <w:right w:val="nil"/>
            </w:tcBorders>
            <w:vAlign w:val="center"/>
          </w:tcPr>
          <w:p w14:paraId="7E1DCAA3">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-10.24</w:t>
            </w:r>
          </w:p>
        </w:tc>
        <w:tc>
          <w:tcPr>
            <w:tcW w:w="398" w:type="pct"/>
            <w:tcBorders>
              <w:top w:val="nil"/>
              <w:left w:val="nil"/>
              <w:bottom w:val="nil"/>
              <w:right w:val="nil"/>
            </w:tcBorders>
            <w:vAlign w:val="center"/>
          </w:tcPr>
          <w:p w14:paraId="57F3C2E7">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-7.77</w:t>
            </w:r>
          </w:p>
        </w:tc>
      </w:tr>
      <w:tr w14:paraId="4BC8C087">
        <w:tc>
          <w:tcPr>
            <w:tcW w:w="639" w:type="pct"/>
            <w:tcBorders>
              <w:top w:val="nil"/>
              <w:left w:val="nil"/>
              <w:bottom w:val="nil"/>
              <w:right w:val="nil"/>
            </w:tcBorders>
            <w:vAlign w:val="center"/>
          </w:tcPr>
          <w:p w14:paraId="4C4A532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GO:0051604</w:t>
            </w:r>
          </w:p>
        </w:tc>
        <w:tc>
          <w:tcPr>
            <w:tcW w:w="813" w:type="pct"/>
            <w:tcBorders>
              <w:top w:val="nil"/>
              <w:left w:val="nil"/>
              <w:bottom w:val="nil"/>
              <w:right w:val="nil"/>
            </w:tcBorders>
            <w:vAlign w:val="center"/>
          </w:tcPr>
          <w:p w14:paraId="5A648ED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 Biological Processes</w:t>
            </w:r>
          </w:p>
        </w:tc>
        <w:tc>
          <w:tcPr>
            <w:tcW w:w="2224" w:type="pct"/>
            <w:tcBorders>
              <w:top w:val="nil"/>
              <w:left w:val="nil"/>
              <w:bottom w:val="nil"/>
              <w:right w:val="nil"/>
            </w:tcBorders>
            <w:vAlign w:val="center"/>
          </w:tcPr>
          <w:p w14:paraId="5EC8336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protein maturation</w:t>
            </w:r>
          </w:p>
        </w:tc>
        <w:tc>
          <w:tcPr>
            <w:tcW w:w="298" w:type="pct"/>
            <w:tcBorders>
              <w:top w:val="nil"/>
              <w:left w:val="nil"/>
              <w:bottom w:val="nil"/>
              <w:right w:val="nil"/>
            </w:tcBorders>
            <w:vAlign w:val="center"/>
          </w:tcPr>
          <w:p w14:paraId="4169E9B0">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50</w:t>
            </w:r>
          </w:p>
        </w:tc>
        <w:tc>
          <w:tcPr>
            <w:tcW w:w="223" w:type="pct"/>
            <w:tcBorders>
              <w:top w:val="nil"/>
              <w:left w:val="nil"/>
              <w:bottom w:val="nil"/>
              <w:right w:val="nil"/>
            </w:tcBorders>
            <w:vAlign w:val="center"/>
          </w:tcPr>
          <w:p w14:paraId="1736DFE7">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5.06</w:t>
            </w:r>
          </w:p>
        </w:tc>
        <w:tc>
          <w:tcPr>
            <w:tcW w:w="402" w:type="pct"/>
            <w:tcBorders>
              <w:top w:val="nil"/>
              <w:left w:val="nil"/>
              <w:bottom w:val="nil"/>
              <w:right w:val="nil"/>
            </w:tcBorders>
            <w:vAlign w:val="center"/>
          </w:tcPr>
          <w:p w14:paraId="2F386807">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-10.21</w:t>
            </w:r>
          </w:p>
        </w:tc>
        <w:tc>
          <w:tcPr>
            <w:tcW w:w="398" w:type="pct"/>
            <w:tcBorders>
              <w:top w:val="nil"/>
              <w:left w:val="nil"/>
              <w:bottom w:val="nil"/>
              <w:right w:val="nil"/>
            </w:tcBorders>
            <w:vAlign w:val="center"/>
          </w:tcPr>
          <w:p w14:paraId="21FB967B">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-7.74</w:t>
            </w:r>
          </w:p>
        </w:tc>
      </w:tr>
      <w:tr w14:paraId="68C521C7">
        <w:tc>
          <w:tcPr>
            <w:tcW w:w="639" w:type="pct"/>
            <w:tcBorders>
              <w:top w:val="nil"/>
              <w:left w:val="nil"/>
              <w:bottom w:val="nil"/>
              <w:right w:val="nil"/>
            </w:tcBorders>
            <w:vAlign w:val="center"/>
          </w:tcPr>
          <w:p w14:paraId="6F8EDEB2">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R-HSA-8951664</w:t>
            </w:r>
          </w:p>
        </w:tc>
        <w:tc>
          <w:tcPr>
            <w:tcW w:w="813" w:type="pct"/>
            <w:tcBorders>
              <w:top w:val="nil"/>
              <w:left w:val="nil"/>
              <w:bottom w:val="nil"/>
              <w:right w:val="nil"/>
            </w:tcBorders>
            <w:vAlign w:val="center"/>
          </w:tcPr>
          <w:p w14:paraId="570242D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Reactome Gene Sets</w:t>
            </w:r>
          </w:p>
        </w:tc>
        <w:tc>
          <w:tcPr>
            <w:tcW w:w="2224" w:type="pct"/>
            <w:tcBorders>
              <w:top w:val="nil"/>
              <w:left w:val="nil"/>
              <w:bottom w:val="nil"/>
              <w:right w:val="nil"/>
            </w:tcBorders>
            <w:vAlign w:val="center"/>
          </w:tcPr>
          <w:p w14:paraId="0CCABC13">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Neddylation</w:t>
            </w:r>
          </w:p>
        </w:tc>
        <w:tc>
          <w:tcPr>
            <w:tcW w:w="298" w:type="pct"/>
            <w:tcBorders>
              <w:top w:val="nil"/>
              <w:left w:val="nil"/>
              <w:bottom w:val="nil"/>
              <w:right w:val="nil"/>
            </w:tcBorders>
            <w:vAlign w:val="center"/>
          </w:tcPr>
          <w:p w14:paraId="589DDE72">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28</w:t>
            </w:r>
          </w:p>
        </w:tc>
        <w:tc>
          <w:tcPr>
            <w:tcW w:w="223" w:type="pct"/>
            <w:tcBorders>
              <w:top w:val="nil"/>
              <w:left w:val="nil"/>
              <w:bottom w:val="nil"/>
              <w:right w:val="nil"/>
            </w:tcBorders>
            <w:vAlign w:val="center"/>
          </w:tcPr>
          <w:p w14:paraId="3B6BA86F">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2.83</w:t>
            </w:r>
          </w:p>
        </w:tc>
        <w:tc>
          <w:tcPr>
            <w:tcW w:w="402" w:type="pct"/>
            <w:tcBorders>
              <w:top w:val="nil"/>
              <w:left w:val="nil"/>
              <w:bottom w:val="nil"/>
              <w:right w:val="nil"/>
            </w:tcBorders>
            <w:vAlign w:val="center"/>
          </w:tcPr>
          <w:p w14:paraId="2C298F2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-10.06</w:t>
            </w:r>
          </w:p>
        </w:tc>
        <w:tc>
          <w:tcPr>
            <w:tcW w:w="398" w:type="pct"/>
            <w:tcBorders>
              <w:top w:val="nil"/>
              <w:left w:val="nil"/>
              <w:bottom w:val="nil"/>
              <w:right w:val="nil"/>
            </w:tcBorders>
            <w:vAlign w:val="center"/>
          </w:tcPr>
          <w:p w14:paraId="51669DEB">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-7.62</w:t>
            </w:r>
          </w:p>
        </w:tc>
      </w:tr>
      <w:tr w14:paraId="7456FFC7">
        <w:tc>
          <w:tcPr>
            <w:tcW w:w="639" w:type="pct"/>
            <w:tcBorders>
              <w:top w:val="nil"/>
              <w:left w:val="nil"/>
              <w:bottom w:val="nil"/>
              <w:right w:val="nil"/>
            </w:tcBorders>
            <w:vAlign w:val="center"/>
          </w:tcPr>
          <w:p w14:paraId="6DADAE3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GO:0016050</w:t>
            </w:r>
          </w:p>
        </w:tc>
        <w:tc>
          <w:tcPr>
            <w:tcW w:w="813" w:type="pct"/>
            <w:tcBorders>
              <w:top w:val="nil"/>
              <w:left w:val="nil"/>
              <w:bottom w:val="nil"/>
              <w:right w:val="nil"/>
            </w:tcBorders>
            <w:vAlign w:val="center"/>
          </w:tcPr>
          <w:p w14:paraId="3B01C63B">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 Biological Processes</w:t>
            </w:r>
          </w:p>
        </w:tc>
        <w:tc>
          <w:tcPr>
            <w:tcW w:w="2224" w:type="pct"/>
            <w:tcBorders>
              <w:top w:val="nil"/>
              <w:left w:val="nil"/>
              <w:bottom w:val="nil"/>
              <w:right w:val="nil"/>
            </w:tcBorders>
            <w:vAlign w:val="center"/>
          </w:tcPr>
          <w:p w14:paraId="4E1E9349">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vesicle organization</w:t>
            </w:r>
          </w:p>
        </w:tc>
        <w:tc>
          <w:tcPr>
            <w:tcW w:w="298" w:type="pct"/>
            <w:tcBorders>
              <w:top w:val="nil"/>
              <w:left w:val="nil"/>
              <w:bottom w:val="nil"/>
              <w:right w:val="nil"/>
            </w:tcBorders>
            <w:vAlign w:val="center"/>
          </w:tcPr>
          <w:p w14:paraId="060526CC">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38</w:t>
            </w:r>
          </w:p>
        </w:tc>
        <w:tc>
          <w:tcPr>
            <w:tcW w:w="223" w:type="pct"/>
            <w:tcBorders>
              <w:top w:val="nil"/>
              <w:left w:val="nil"/>
              <w:bottom w:val="nil"/>
              <w:right w:val="nil"/>
            </w:tcBorders>
            <w:vAlign w:val="center"/>
          </w:tcPr>
          <w:p w14:paraId="0EAE1A5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3.84</w:t>
            </w:r>
          </w:p>
        </w:tc>
        <w:tc>
          <w:tcPr>
            <w:tcW w:w="402" w:type="pct"/>
            <w:tcBorders>
              <w:top w:val="nil"/>
              <w:left w:val="nil"/>
              <w:bottom w:val="nil"/>
              <w:right w:val="nil"/>
            </w:tcBorders>
            <w:vAlign w:val="center"/>
          </w:tcPr>
          <w:p w14:paraId="4834E786">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-9.91</w:t>
            </w:r>
          </w:p>
        </w:tc>
        <w:tc>
          <w:tcPr>
            <w:tcW w:w="398" w:type="pct"/>
            <w:tcBorders>
              <w:top w:val="nil"/>
              <w:left w:val="nil"/>
              <w:bottom w:val="nil"/>
              <w:right w:val="nil"/>
            </w:tcBorders>
            <w:vAlign w:val="center"/>
          </w:tcPr>
          <w:p w14:paraId="30A2E5CF">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-7.47</w:t>
            </w:r>
          </w:p>
        </w:tc>
      </w:tr>
      <w:tr w14:paraId="2C2440BE">
        <w:tc>
          <w:tcPr>
            <w:tcW w:w="639" w:type="pct"/>
            <w:tcBorders>
              <w:top w:val="nil"/>
              <w:left w:val="nil"/>
              <w:bottom w:val="nil"/>
              <w:right w:val="nil"/>
            </w:tcBorders>
            <w:vAlign w:val="center"/>
          </w:tcPr>
          <w:p w14:paraId="489F5D5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R-HSA-5368286</w:t>
            </w:r>
          </w:p>
        </w:tc>
        <w:tc>
          <w:tcPr>
            <w:tcW w:w="813" w:type="pct"/>
            <w:tcBorders>
              <w:top w:val="nil"/>
              <w:left w:val="nil"/>
              <w:bottom w:val="nil"/>
              <w:right w:val="nil"/>
            </w:tcBorders>
            <w:vAlign w:val="center"/>
          </w:tcPr>
          <w:p w14:paraId="24CDC487">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Reactome Gene Sets</w:t>
            </w:r>
          </w:p>
        </w:tc>
        <w:tc>
          <w:tcPr>
            <w:tcW w:w="2224" w:type="pct"/>
            <w:tcBorders>
              <w:top w:val="nil"/>
              <w:left w:val="nil"/>
              <w:bottom w:val="nil"/>
              <w:right w:val="nil"/>
            </w:tcBorders>
            <w:vAlign w:val="center"/>
          </w:tcPr>
          <w:p w14:paraId="04F93FAB">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Mitochondrial translation initiation</w:t>
            </w:r>
          </w:p>
        </w:tc>
        <w:tc>
          <w:tcPr>
            <w:tcW w:w="298" w:type="pct"/>
            <w:tcBorders>
              <w:top w:val="nil"/>
              <w:left w:val="nil"/>
              <w:bottom w:val="nil"/>
              <w:right w:val="nil"/>
            </w:tcBorders>
            <w:vAlign w:val="center"/>
          </w:tcPr>
          <w:p w14:paraId="690C47A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18</w:t>
            </w:r>
          </w:p>
        </w:tc>
        <w:tc>
          <w:tcPr>
            <w:tcW w:w="223" w:type="pct"/>
            <w:tcBorders>
              <w:top w:val="nil"/>
              <w:left w:val="nil"/>
              <w:bottom w:val="nil"/>
              <w:right w:val="nil"/>
            </w:tcBorders>
            <w:vAlign w:val="center"/>
          </w:tcPr>
          <w:p w14:paraId="1726BFC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1.82</w:t>
            </w:r>
          </w:p>
        </w:tc>
        <w:tc>
          <w:tcPr>
            <w:tcW w:w="402" w:type="pct"/>
            <w:tcBorders>
              <w:top w:val="nil"/>
              <w:left w:val="nil"/>
              <w:bottom w:val="nil"/>
              <w:right w:val="nil"/>
            </w:tcBorders>
            <w:vAlign w:val="center"/>
          </w:tcPr>
          <w:p w14:paraId="4497AF13">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-9.54</w:t>
            </w:r>
          </w:p>
        </w:tc>
        <w:tc>
          <w:tcPr>
            <w:tcW w:w="398" w:type="pct"/>
            <w:tcBorders>
              <w:top w:val="nil"/>
              <w:left w:val="nil"/>
              <w:bottom w:val="nil"/>
              <w:right w:val="nil"/>
            </w:tcBorders>
            <w:vAlign w:val="center"/>
          </w:tcPr>
          <w:p w14:paraId="0A2442D3">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-7.14</w:t>
            </w:r>
          </w:p>
        </w:tc>
      </w:tr>
      <w:tr w14:paraId="53DD2831">
        <w:tc>
          <w:tcPr>
            <w:tcW w:w="639" w:type="pct"/>
            <w:tcBorders>
              <w:top w:val="nil"/>
              <w:left w:val="nil"/>
              <w:bottom w:val="nil"/>
              <w:right w:val="nil"/>
            </w:tcBorders>
            <w:vAlign w:val="center"/>
          </w:tcPr>
          <w:p w14:paraId="05D47352">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GO:0034655</w:t>
            </w:r>
          </w:p>
        </w:tc>
        <w:tc>
          <w:tcPr>
            <w:tcW w:w="813" w:type="pct"/>
            <w:tcBorders>
              <w:top w:val="nil"/>
              <w:left w:val="nil"/>
              <w:bottom w:val="nil"/>
              <w:right w:val="nil"/>
            </w:tcBorders>
            <w:vAlign w:val="center"/>
          </w:tcPr>
          <w:p w14:paraId="4258D067">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 Biological Processes</w:t>
            </w:r>
          </w:p>
        </w:tc>
        <w:tc>
          <w:tcPr>
            <w:tcW w:w="2224" w:type="pct"/>
            <w:tcBorders>
              <w:top w:val="nil"/>
              <w:left w:val="nil"/>
              <w:bottom w:val="nil"/>
              <w:right w:val="nil"/>
            </w:tcBorders>
            <w:vAlign w:val="center"/>
          </w:tcPr>
          <w:p w14:paraId="643FE16C">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nucleobase-containing compound catabolic process</w:t>
            </w:r>
          </w:p>
        </w:tc>
        <w:tc>
          <w:tcPr>
            <w:tcW w:w="298" w:type="pct"/>
            <w:tcBorders>
              <w:top w:val="nil"/>
              <w:left w:val="nil"/>
              <w:bottom w:val="nil"/>
              <w:right w:val="nil"/>
            </w:tcBorders>
            <w:vAlign w:val="center"/>
          </w:tcPr>
          <w:p w14:paraId="01B7DC8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34</w:t>
            </w:r>
          </w:p>
        </w:tc>
        <w:tc>
          <w:tcPr>
            <w:tcW w:w="223" w:type="pct"/>
            <w:tcBorders>
              <w:top w:val="nil"/>
              <w:left w:val="nil"/>
              <w:bottom w:val="nil"/>
              <w:right w:val="nil"/>
            </w:tcBorders>
            <w:vAlign w:val="center"/>
          </w:tcPr>
          <w:p w14:paraId="0594F1C8">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3.44</w:t>
            </w:r>
          </w:p>
        </w:tc>
        <w:tc>
          <w:tcPr>
            <w:tcW w:w="402" w:type="pct"/>
            <w:tcBorders>
              <w:top w:val="nil"/>
              <w:left w:val="nil"/>
              <w:bottom w:val="nil"/>
              <w:right w:val="nil"/>
            </w:tcBorders>
            <w:vAlign w:val="center"/>
          </w:tcPr>
          <w:p w14:paraId="3E0C2FF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-8.28</w:t>
            </w:r>
          </w:p>
        </w:tc>
        <w:tc>
          <w:tcPr>
            <w:tcW w:w="398" w:type="pct"/>
            <w:tcBorders>
              <w:top w:val="nil"/>
              <w:left w:val="nil"/>
              <w:bottom w:val="nil"/>
              <w:right w:val="nil"/>
            </w:tcBorders>
            <w:vAlign w:val="center"/>
          </w:tcPr>
          <w:p w14:paraId="749A05CB">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-6</w:t>
            </w:r>
          </w:p>
        </w:tc>
      </w:tr>
      <w:tr w14:paraId="2EB0D519">
        <w:tc>
          <w:tcPr>
            <w:tcW w:w="639" w:type="pct"/>
            <w:tcBorders>
              <w:top w:val="nil"/>
              <w:left w:val="nil"/>
              <w:bottom w:val="nil"/>
              <w:right w:val="nil"/>
            </w:tcBorders>
            <w:vAlign w:val="center"/>
          </w:tcPr>
          <w:p w14:paraId="665BCBEC">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GO:0042273</w:t>
            </w:r>
          </w:p>
        </w:tc>
        <w:tc>
          <w:tcPr>
            <w:tcW w:w="813" w:type="pct"/>
            <w:tcBorders>
              <w:top w:val="nil"/>
              <w:left w:val="nil"/>
              <w:bottom w:val="nil"/>
              <w:right w:val="nil"/>
            </w:tcBorders>
            <w:vAlign w:val="center"/>
          </w:tcPr>
          <w:p w14:paraId="6AAAFAB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 Biological Processes</w:t>
            </w:r>
          </w:p>
        </w:tc>
        <w:tc>
          <w:tcPr>
            <w:tcW w:w="2224" w:type="pct"/>
            <w:tcBorders>
              <w:top w:val="nil"/>
              <w:left w:val="nil"/>
              <w:bottom w:val="nil"/>
              <w:right w:val="nil"/>
            </w:tcBorders>
            <w:vAlign w:val="center"/>
          </w:tcPr>
          <w:p w14:paraId="3C604FF6">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ribosomal large subunit biogenesis</w:t>
            </w:r>
          </w:p>
        </w:tc>
        <w:tc>
          <w:tcPr>
            <w:tcW w:w="298" w:type="pct"/>
            <w:tcBorders>
              <w:top w:val="nil"/>
              <w:left w:val="nil"/>
              <w:bottom w:val="nil"/>
              <w:right w:val="nil"/>
            </w:tcBorders>
            <w:vAlign w:val="center"/>
          </w:tcPr>
          <w:p w14:paraId="55E86D47">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14</w:t>
            </w:r>
          </w:p>
        </w:tc>
        <w:tc>
          <w:tcPr>
            <w:tcW w:w="223" w:type="pct"/>
            <w:tcBorders>
              <w:top w:val="nil"/>
              <w:left w:val="nil"/>
              <w:bottom w:val="nil"/>
              <w:right w:val="nil"/>
            </w:tcBorders>
            <w:vAlign w:val="center"/>
          </w:tcPr>
          <w:p w14:paraId="50B51F9F">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1.42</w:t>
            </w:r>
          </w:p>
        </w:tc>
        <w:tc>
          <w:tcPr>
            <w:tcW w:w="402" w:type="pct"/>
            <w:tcBorders>
              <w:top w:val="nil"/>
              <w:left w:val="nil"/>
              <w:bottom w:val="nil"/>
              <w:right w:val="nil"/>
            </w:tcBorders>
            <w:vAlign w:val="center"/>
          </w:tcPr>
          <w:p w14:paraId="4F8B070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-7.73</w:t>
            </w:r>
          </w:p>
        </w:tc>
        <w:tc>
          <w:tcPr>
            <w:tcW w:w="398" w:type="pct"/>
            <w:tcBorders>
              <w:top w:val="nil"/>
              <w:left w:val="nil"/>
              <w:bottom w:val="nil"/>
              <w:right w:val="nil"/>
            </w:tcBorders>
            <w:vAlign w:val="center"/>
          </w:tcPr>
          <w:p w14:paraId="23988EF3">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-5.49</w:t>
            </w:r>
          </w:p>
        </w:tc>
      </w:tr>
      <w:tr w14:paraId="196B1CEA">
        <w:tc>
          <w:tcPr>
            <w:tcW w:w="639" w:type="pct"/>
            <w:tcBorders>
              <w:top w:val="nil"/>
              <w:left w:val="nil"/>
              <w:bottom w:val="nil"/>
              <w:right w:val="nil"/>
            </w:tcBorders>
            <w:vAlign w:val="center"/>
          </w:tcPr>
          <w:p w14:paraId="50EBEB3C">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R-HSA-199991</w:t>
            </w:r>
          </w:p>
        </w:tc>
        <w:tc>
          <w:tcPr>
            <w:tcW w:w="813" w:type="pct"/>
            <w:tcBorders>
              <w:top w:val="nil"/>
              <w:left w:val="nil"/>
              <w:bottom w:val="nil"/>
              <w:right w:val="nil"/>
            </w:tcBorders>
            <w:vAlign w:val="center"/>
          </w:tcPr>
          <w:p w14:paraId="05AC3DC2">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Reactome Gene Sets</w:t>
            </w:r>
          </w:p>
        </w:tc>
        <w:tc>
          <w:tcPr>
            <w:tcW w:w="2224" w:type="pct"/>
            <w:tcBorders>
              <w:top w:val="nil"/>
              <w:left w:val="nil"/>
              <w:bottom w:val="nil"/>
              <w:right w:val="nil"/>
            </w:tcBorders>
            <w:vAlign w:val="center"/>
          </w:tcPr>
          <w:p w14:paraId="3BC9F09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Membrane Trafficking</w:t>
            </w:r>
          </w:p>
        </w:tc>
        <w:tc>
          <w:tcPr>
            <w:tcW w:w="298" w:type="pct"/>
            <w:tcBorders>
              <w:top w:val="nil"/>
              <w:left w:val="nil"/>
              <w:bottom w:val="nil"/>
              <w:right w:val="nil"/>
            </w:tcBorders>
            <w:vAlign w:val="center"/>
          </w:tcPr>
          <w:p w14:paraId="4D201578">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45</w:t>
            </w:r>
          </w:p>
        </w:tc>
        <w:tc>
          <w:tcPr>
            <w:tcW w:w="223" w:type="pct"/>
            <w:tcBorders>
              <w:top w:val="nil"/>
              <w:left w:val="nil"/>
              <w:bottom w:val="nil"/>
              <w:right w:val="nil"/>
            </w:tcBorders>
            <w:vAlign w:val="center"/>
          </w:tcPr>
          <w:p w14:paraId="62E4680B">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4.55</w:t>
            </w:r>
          </w:p>
        </w:tc>
        <w:tc>
          <w:tcPr>
            <w:tcW w:w="402" w:type="pct"/>
            <w:tcBorders>
              <w:top w:val="nil"/>
              <w:left w:val="nil"/>
              <w:bottom w:val="nil"/>
              <w:right w:val="nil"/>
            </w:tcBorders>
            <w:vAlign w:val="center"/>
          </w:tcPr>
          <w:p w14:paraId="6F786AD3">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-7.62</w:t>
            </w:r>
          </w:p>
        </w:tc>
        <w:tc>
          <w:tcPr>
            <w:tcW w:w="398" w:type="pct"/>
            <w:tcBorders>
              <w:top w:val="nil"/>
              <w:left w:val="nil"/>
              <w:bottom w:val="nil"/>
              <w:right w:val="nil"/>
            </w:tcBorders>
            <w:vAlign w:val="center"/>
          </w:tcPr>
          <w:p w14:paraId="79A7120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-5.39</w:t>
            </w:r>
          </w:p>
        </w:tc>
      </w:tr>
      <w:tr w14:paraId="3CD50273">
        <w:tc>
          <w:tcPr>
            <w:tcW w:w="639" w:type="pct"/>
            <w:tcBorders>
              <w:top w:val="nil"/>
              <w:left w:val="nil"/>
              <w:bottom w:val="single" w:color="auto" w:sz="4" w:space="0"/>
              <w:right w:val="nil"/>
            </w:tcBorders>
            <w:vAlign w:val="center"/>
          </w:tcPr>
          <w:p w14:paraId="3D41016B">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GO:0022411</w:t>
            </w:r>
          </w:p>
        </w:tc>
        <w:tc>
          <w:tcPr>
            <w:tcW w:w="813" w:type="pct"/>
            <w:tcBorders>
              <w:top w:val="nil"/>
              <w:left w:val="nil"/>
              <w:bottom w:val="single" w:color="auto" w:sz="4" w:space="0"/>
              <w:right w:val="nil"/>
            </w:tcBorders>
            <w:vAlign w:val="center"/>
          </w:tcPr>
          <w:p w14:paraId="01E0397F">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 Biological Processes</w:t>
            </w:r>
          </w:p>
        </w:tc>
        <w:tc>
          <w:tcPr>
            <w:tcW w:w="2224" w:type="pct"/>
            <w:tcBorders>
              <w:top w:val="nil"/>
              <w:left w:val="nil"/>
              <w:bottom w:val="single" w:color="auto" w:sz="4" w:space="0"/>
              <w:right w:val="nil"/>
            </w:tcBorders>
            <w:vAlign w:val="center"/>
          </w:tcPr>
          <w:p w14:paraId="120A6587">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cellular component disassembly</w:t>
            </w:r>
          </w:p>
        </w:tc>
        <w:tc>
          <w:tcPr>
            <w:tcW w:w="298" w:type="pct"/>
            <w:tcBorders>
              <w:top w:val="nil"/>
              <w:left w:val="nil"/>
              <w:bottom w:val="single" w:color="auto" w:sz="4" w:space="0"/>
              <w:right w:val="nil"/>
            </w:tcBorders>
            <w:vAlign w:val="center"/>
          </w:tcPr>
          <w:p w14:paraId="33E59BD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31</w:t>
            </w:r>
          </w:p>
        </w:tc>
        <w:tc>
          <w:tcPr>
            <w:tcW w:w="223" w:type="pct"/>
            <w:tcBorders>
              <w:top w:val="nil"/>
              <w:left w:val="nil"/>
              <w:bottom w:val="single" w:color="auto" w:sz="4" w:space="0"/>
              <w:right w:val="nil"/>
            </w:tcBorders>
            <w:vAlign w:val="center"/>
          </w:tcPr>
          <w:p w14:paraId="0A98C05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3.13</w:t>
            </w:r>
          </w:p>
        </w:tc>
        <w:tc>
          <w:tcPr>
            <w:tcW w:w="402" w:type="pct"/>
            <w:tcBorders>
              <w:top w:val="nil"/>
              <w:left w:val="nil"/>
              <w:bottom w:val="single" w:color="auto" w:sz="4" w:space="0"/>
              <w:right w:val="nil"/>
            </w:tcBorders>
            <w:vAlign w:val="center"/>
          </w:tcPr>
          <w:p w14:paraId="211730F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-7.56</w:t>
            </w:r>
          </w:p>
        </w:tc>
        <w:tc>
          <w:tcPr>
            <w:tcW w:w="398" w:type="pct"/>
            <w:tcBorders>
              <w:top w:val="nil"/>
              <w:left w:val="nil"/>
              <w:bottom w:val="single" w:color="auto" w:sz="4" w:space="0"/>
              <w:right w:val="nil"/>
            </w:tcBorders>
            <w:vAlign w:val="center"/>
          </w:tcPr>
          <w:p w14:paraId="11BDE3B3">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-5.34</w:t>
            </w:r>
          </w:p>
        </w:tc>
      </w:tr>
    </w:tbl>
    <w:p w14:paraId="52CBC700">
      <w:pPr>
        <w:jc w:val="both"/>
        <w:rPr>
          <w:rStyle w:val="34"/>
          <w:rFonts w:ascii="Times New Roman" w:hAnsi="Times New Roman"/>
        </w:rPr>
      </w:pPr>
      <w:r>
        <w:rPr>
          <w:rStyle w:val="34"/>
          <w:rFonts w:ascii="Times New Roman" w:hAnsi="Times New Roman"/>
        </w:rPr>
        <w:t>Top 20 clusters with their representative enriched terms (one per cluster). "Count" is the number of genes in the user-provided lists with membership in the given ontology term. "Gene proportion (%)" is the percentage of all of the user-provided genes that are found in the given ontology term (only input genes with at least one ontology term annotation are included in the calculation). "Log10(P)" is the p-value in log base 10. "Log10(q)" is the multi-test adjusted p-value in log base 10.</w:t>
      </w:r>
    </w:p>
    <w:p w14:paraId="6E9E20F1">
      <w:pPr>
        <w:rPr>
          <w:rStyle w:val="34"/>
          <w:rFonts w:ascii="Times New Roman" w:hAnsi="Times New Roman"/>
        </w:rPr>
      </w:pPr>
    </w:p>
    <w:p w14:paraId="4362A481">
      <w:pPr>
        <w:rPr>
          <w:rStyle w:val="34"/>
          <w:rFonts w:ascii="Times New Roman" w:hAnsi="Times New Roman"/>
          <w:b/>
          <w:bCs/>
        </w:rPr>
      </w:pPr>
      <w:r>
        <w:rPr>
          <w:rStyle w:val="34"/>
          <w:rFonts w:ascii="Times New Roman" w:hAnsi="Times New Roman"/>
          <w:b/>
          <w:bCs/>
        </w:rPr>
        <w:br w:type="page"/>
      </w:r>
    </w:p>
    <w:p w14:paraId="3A4DB285">
      <w:pPr>
        <w:rPr>
          <w:rStyle w:val="34"/>
          <w:rFonts w:ascii="Times New Roman" w:hAnsi="Times New Roman"/>
          <w:b/>
          <w:bCs/>
        </w:rPr>
      </w:pPr>
      <w:r>
        <w:rPr>
          <w:rStyle w:val="34"/>
          <w:rFonts w:ascii="Times New Roman" w:hAnsi="Times New Roman"/>
          <w:b/>
          <w:bCs/>
        </w:rPr>
        <w:t>Table S7. Detailed statistical results of gene expression for AD VS. MCI.</w:t>
      </w:r>
    </w:p>
    <w:tbl>
      <w:tblPr>
        <w:tblStyle w:val="2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5"/>
        <w:gridCol w:w="2581"/>
        <w:gridCol w:w="5237"/>
        <w:gridCol w:w="856"/>
        <w:gridCol w:w="641"/>
        <w:gridCol w:w="1157"/>
        <w:gridCol w:w="1144"/>
      </w:tblGrid>
      <w:tr w14:paraId="7FF90713">
        <w:tc>
          <w:tcPr>
            <w:tcW w:w="682" w:type="pct"/>
            <w:tcBorders>
              <w:top w:val="single" w:color="auto" w:sz="4" w:space="0"/>
              <w:left w:val="nil"/>
              <w:bottom w:val="single" w:color="auto" w:sz="4" w:space="0"/>
              <w:right w:val="nil"/>
            </w:tcBorders>
            <w:vAlign w:val="center"/>
          </w:tcPr>
          <w:p w14:paraId="51C660FF">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GO</w:t>
            </w:r>
          </w:p>
        </w:tc>
        <w:tc>
          <w:tcPr>
            <w:tcW w:w="959" w:type="pct"/>
            <w:tcBorders>
              <w:top w:val="single" w:color="auto" w:sz="4" w:space="0"/>
              <w:left w:val="nil"/>
              <w:bottom w:val="single" w:color="auto" w:sz="4" w:space="0"/>
              <w:right w:val="nil"/>
            </w:tcBorders>
            <w:vAlign w:val="center"/>
          </w:tcPr>
          <w:p w14:paraId="4283F7D2">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Category</w:t>
            </w:r>
          </w:p>
        </w:tc>
        <w:tc>
          <w:tcPr>
            <w:tcW w:w="1946" w:type="pct"/>
            <w:tcBorders>
              <w:top w:val="single" w:color="auto" w:sz="4" w:space="0"/>
              <w:left w:val="nil"/>
              <w:bottom w:val="single" w:color="auto" w:sz="4" w:space="0"/>
              <w:right w:val="nil"/>
            </w:tcBorders>
            <w:vAlign w:val="center"/>
          </w:tcPr>
          <w:p w14:paraId="5BC6FD51">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Description</w:t>
            </w:r>
          </w:p>
        </w:tc>
        <w:tc>
          <w:tcPr>
            <w:tcW w:w="318" w:type="pct"/>
            <w:tcBorders>
              <w:top w:val="single" w:color="auto" w:sz="4" w:space="0"/>
              <w:left w:val="nil"/>
              <w:bottom w:val="single" w:color="auto" w:sz="4" w:space="0"/>
              <w:right w:val="nil"/>
            </w:tcBorders>
            <w:vAlign w:val="center"/>
          </w:tcPr>
          <w:p w14:paraId="7BF0F7F2">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Count</w:t>
            </w:r>
          </w:p>
        </w:tc>
        <w:tc>
          <w:tcPr>
            <w:tcW w:w="238" w:type="pct"/>
            <w:tcBorders>
              <w:top w:val="single" w:color="auto" w:sz="4" w:space="0"/>
              <w:left w:val="nil"/>
              <w:bottom w:val="single" w:color="auto" w:sz="4" w:space="0"/>
              <w:right w:val="nil"/>
            </w:tcBorders>
            <w:vAlign w:val="center"/>
          </w:tcPr>
          <w:p w14:paraId="6664F1DA">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w:t>
            </w:r>
          </w:p>
        </w:tc>
        <w:tc>
          <w:tcPr>
            <w:tcW w:w="430" w:type="pct"/>
            <w:tcBorders>
              <w:top w:val="single" w:color="auto" w:sz="4" w:space="0"/>
              <w:left w:val="nil"/>
              <w:bottom w:val="single" w:color="auto" w:sz="4" w:space="0"/>
              <w:right w:val="nil"/>
            </w:tcBorders>
            <w:vAlign w:val="center"/>
          </w:tcPr>
          <w:p w14:paraId="499F2A9C">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Log10(P)</w:t>
            </w:r>
          </w:p>
        </w:tc>
        <w:tc>
          <w:tcPr>
            <w:tcW w:w="425" w:type="pct"/>
            <w:tcBorders>
              <w:top w:val="single" w:color="auto" w:sz="4" w:space="0"/>
              <w:left w:val="nil"/>
              <w:bottom w:val="single" w:color="auto" w:sz="4" w:space="0"/>
              <w:right w:val="nil"/>
            </w:tcBorders>
            <w:vAlign w:val="center"/>
          </w:tcPr>
          <w:p w14:paraId="7A328A85">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Log10(q)</w:t>
            </w:r>
          </w:p>
        </w:tc>
      </w:tr>
      <w:tr w14:paraId="3146B29F">
        <w:tc>
          <w:tcPr>
            <w:tcW w:w="682" w:type="pct"/>
            <w:tcBorders>
              <w:top w:val="single" w:color="auto" w:sz="4" w:space="0"/>
              <w:left w:val="nil"/>
              <w:bottom w:val="nil"/>
              <w:right w:val="nil"/>
            </w:tcBorders>
            <w:vAlign w:val="center"/>
          </w:tcPr>
          <w:p w14:paraId="0F91605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R-HSA-1428517</w:t>
            </w:r>
          </w:p>
        </w:tc>
        <w:tc>
          <w:tcPr>
            <w:tcW w:w="959" w:type="pct"/>
            <w:tcBorders>
              <w:top w:val="single" w:color="auto" w:sz="4" w:space="0"/>
              <w:left w:val="nil"/>
              <w:bottom w:val="nil"/>
              <w:right w:val="nil"/>
            </w:tcBorders>
            <w:vAlign w:val="center"/>
          </w:tcPr>
          <w:p w14:paraId="572A780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Reactome Gene Sets</w:t>
            </w:r>
          </w:p>
        </w:tc>
        <w:tc>
          <w:tcPr>
            <w:tcW w:w="1946" w:type="pct"/>
            <w:tcBorders>
              <w:top w:val="single" w:color="auto" w:sz="4" w:space="0"/>
              <w:left w:val="nil"/>
              <w:bottom w:val="nil"/>
              <w:right w:val="nil"/>
            </w:tcBorders>
            <w:vAlign w:val="center"/>
          </w:tcPr>
          <w:p w14:paraId="134B466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Aerobic respiration and respiratory electron transport</w:t>
            </w:r>
          </w:p>
        </w:tc>
        <w:tc>
          <w:tcPr>
            <w:tcW w:w="318" w:type="pct"/>
            <w:tcBorders>
              <w:top w:val="single" w:color="auto" w:sz="4" w:space="0"/>
              <w:left w:val="nil"/>
              <w:bottom w:val="nil"/>
              <w:right w:val="nil"/>
            </w:tcBorders>
            <w:vAlign w:val="center"/>
          </w:tcPr>
          <w:p w14:paraId="49D907E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25</w:t>
            </w:r>
          </w:p>
        </w:tc>
        <w:tc>
          <w:tcPr>
            <w:tcW w:w="238" w:type="pct"/>
            <w:tcBorders>
              <w:top w:val="single" w:color="auto" w:sz="4" w:space="0"/>
              <w:left w:val="nil"/>
              <w:bottom w:val="nil"/>
              <w:right w:val="nil"/>
            </w:tcBorders>
            <w:vAlign w:val="center"/>
          </w:tcPr>
          <w:p w14:paraId="2610257F">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4.73</w:t>
            </w:r>
          </w:p>
        </w:tc>
        <w:tc>
          <w:tcPr>
            <w:tcW w:w="430" w:type="pct"/>
            <w:tcBorders>
              <w:top w:val="single" w:color="auto" w:sz="4" w:space="0"/>
              <w:left w:val="nil"/>
              <w:bottom w:val="nil"/>
              <w:right w:val="nil"/>
            </w:tcBorders>
            <w:vAlign w:val="center"/>
          </w:tcPr>
          <w:p w14:paraId="547B3C0C">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-11.25</w:t>
            </w:r>
          </w:p>
        </w:tc>
        <w:tc>
          <w:tcPr>
            <w:tcW w:w="425" w:type="pct"/>
            <w:tcBorders>
              <w:top w:val="single" w:color="auto" w:sz="4" w:space="0"/>
              <w:left w:val="nil"/>
              <w:bottom w:val="nil"/>
              <w:right w:val="nil"/>
            </w:tcBorders>
            <w:vAlign w:val="center"/>
          </w:tcPr>
          <w:p w14:paraId="16BB7A12">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-6.91</w:t>
            </w:r>
          </w:p>
        </w:tc>
      </w:tr>
      <w:tr w14:paraId="09D7A28E">
        <w:tc>
          <w:tcPr>
            <w:tcW w:w="682" w:type="pct"/>
            <w:tcBorders>
              <w:top w:val="nil"/>
              <w:left w:val="nil"/>
              <w:bottom w:val="nil"/>
              <w:right w:val="nil"/>
            </w:tcBorders>
            <w:vAlign w:val="center"/>
          </w:tcPr>
          <w:p w14:paraId="003F4C7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R-HSA-199991</w:t>
            </w:r>
          </w:p>
        </w:tc>
        <w:tc>
          <w:tcPr>
            <w:tcW w:w="959" w:type="pct"/>
            <w:tcBorders>
              <w:top w:val="nil"/>
              <w:left w:val="nil"/>
              <w:bottom w:val="nil"/>
              <w:right w:val="nil"/>
            </w:tcBorders>
            <w:vAlign w:val="center"/>
          </w:tcPr>
          <w:p w14:paraId="176433E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Reactome Gene Sets</w:t>
            </w:r>
          </w:p>
        </w:tc>
        <w:tc>
          <w:tcPr>
            <w:tcW w:w="1946" w:type="pct"/>
            <w:tcBorders>
              <w:top w:val="nil"/>
              <w:left w:val="nil"/>
              <w:bottom w:val="nil"/>
              <w:right w:val="nil"/>
            </w:tcBorders>
            <w:vAlign w:val="center"/>
          </w:tcPr>
          <w:p w14:paraId="7A27651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Membrane Trafficking</w:t>
            </w:r>
          </w:p>
        </w:tc>
        <w:tc>
          <w:tcPr>
            <w:tcW w:w="318" w:type="pct"/>
            <w:tcBorders>
              <w:top w:val="nil"/>
              <w:left w:val="nil"/>
              <w:bottom w:val="nil"/>
              <w:right w:val="nil"/>
            </w:tcBorders>
            <w:vAlign w:val="center"/>
          </w:tcPr>
          <w:p w14:paraId="545DA1C3">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39</w:t>
            </w:r>
          </w:p>
        </w:tc>
        <w:tc>
          <w:tcPr>
            <w:tcW w:w="238" w:type="pct"/>
            <w:tcBorders>
              <w:top w:val="nil"/>
              <w:left w:val="nil"/>
              <w:bottom w:val="nil"/>
              <w:right w:val="nil"/>
            </w:tcBorders>
            <w:vAlign w:val="center"/>
          </w:tcPr>
          <w:p w14:paraId="27139EAB">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7.39</w:t>
            </w:r>
          </w:p>
        </w:tc>
        <w:tc>
          <w:tcPr>
            <w:tcW w:w="430" w:type="pct"/>
            <w:tcBorders>
              <w:top w:val="nil"/>
              <w:left w:val="nil"/>
              <w:bottom w:val="nil"/>
              <w:right w:val="nil"/>
            </w:tcBorders>
            <w:vAlign w:val="center"/>
          </w:tcPr>
          <w:p w14:paraId="36BABE0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-10.84</w:t>
            </w:r>
          </w:p>
        </w:tc>
        <w:tc>
          <w:tcPr>
            <w:tcW w:w="425" w:type="pct"/>
            <w:tcBorders>
              <w:top w:val="nil"/>
              <w:left w:val="nil"/>
              <w:bottom w:val="nil"/>
              <w:right w:val="nil"/>
            </w:tcBorders>
            <w:vAlign w:val="center"/>
          </w:tcPr>
          <w:p w14:paraId="35188CA0">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-6.79</w:t>
            </w:r>
          </w:p>
        </w:tc>
      </w:tr>
      <w:tr w14:paraId="165992D9">
        <w:tc>
          <w:tcPr>
            <w:tcW w:w="682" w:type="pct"/>
            <w:tcBorders>
              <w:top w:val="nil"/>
              <w:left w:val="nil"/>
              <w:bottom w:val="nil"/>
              <w:right w:val="nil"/>
            </w:tcBorders>
            <w:vAlign w:val="center"/>
          </w:tcPr>
          <w:p w14:paraId="3083DF8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GO:0043603</w:t>
            </w:r>
          </w:p>
        </w:tc>
        <w:tc>
          <w:tcPr>
            <w:tcW w:w="959" w:type="pct"/>
            <w:tcBorders>
              <w:top w:val="nil"/>
              <w:left w:val="nil"/>
              <w:bottom w:val="nil"/>
              <w:right w:val="nil"/>
            </w:tcBorders>
            <w:vAlign w:val="center"/>
          </w:tcPr>
          <w:p w14:paraId="4E24066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 Biological Processes</w:t>
            </w:r>
          </w:p>
        </w:tc>
        <w:tc>
          <w:tcPr>
            <w:tcW w:w="1946" w:type="pct"/>
            <w:tcBorders>
              <w:top w:val="nil"/>
              <w:left w:val="nil"/>
              <w:bottom w:val="nil"/>
              <w:right w:val="nil"/>
            </w:tcBorders>
            <w:vAlign w:val="center"/>
          </w:tcPr>
          <w:p w14:paraId="57158F2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amide metabolic process</w:t>
            </w:r>
          </w:p>
        </w:tc>
        <w:tc>
          <w:tcPr>
            <w:tcW w:w="318" w:type="pct"/>
            <w:tcBorders>
              <w:top w:val="nil"/>
              <w:left w:val="nil"/>
              <w:bottom w:val="nil"/>
              <w:right w:val="nil"/>
            </w:tcBorders>
            <w:vAlign w:val="center"/>
          </w:tcPr>
          <w:p w14:paraId="7120C14C">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29</w:t>
            </w:r>
          </w:p>
        </w:tc>
        <w:tc>
          <w:tcPr>
            <w:tcW w:w="238" w:type="pct"/>
            <w:tcBorders>
              <w:top w:val="nil"/>
              <w:left w:val="nil"/>
              <w:bottom w:val="nil"/>
              <w:right w:val="nil"/>
            </w:tcBorders>
            <w:vAlign w:val="center"/>
          </w:tcPr>
          <w:p w14:paraId="10A4786C">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5.49</w:t>
            </w:r>
          </w:p>
        </w:tc>
        <w:tc>
          <w:tcPr>
            <w:tcW w:w="430" w:type="pct"/>
            <w:tcBorders>
              <w:top w:val="nil"/>
              <w:left w:val="nil"/>
              <w:bottom w:val="nil"/>
              <w:right w:val="nil"/>
            </w:tcBorders>
            <w:vAlign w:val="center"/>
          </w:tcPr>
          <w:p w14:paraId="10AC8BCC">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-9.1</w:t>
            </w:r>
          </w:p>
        </w:tc>
        <w:tc>
          <w:tcPr>
            <w:tcW w:w="425" w:type="pct"/>
            <w:tcBorders>
              <w:top w:val="nil"/>
              <w:left w:val="nil"/>
              <w:bottom w:val="nil"/>
              <w:right w:val="nil"/>
            </w:tcBorders>
            <w:vAlign w:val="center"/>
          </w:tcPr>
          <w:p w14:paraId="467BCC4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-5.36</w:t>
            </w:r>
          </w:p>
        </w:tc>
      </w:tr>
      <w:tr w14:paraId="4BA7A6E3">
        <w:tc>
          <w:tcPr>
            <w:tcW w:w="682" w:type="pct"/>
            <w:tcBorders>
              <w:top w:val="nil"/>
              <w:left w:val="nil"/>
              <w:bottom w:val="nil"/>
              <w:right w:val="nil"/>
            </w:tcBorders>
            <w:vAlign w:val="center"/>
          </w:tcPr>
          <w:p w14:paraId="05633F6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GO:0010256</w:t>
            </w:r>
          </w:p>
        </w:tc>
        <w:tc>
          <w:tcPr>
            <w:tcW w:w="959" w:type="pct"/>
            <w:tcBorders>
              <w:top w:val="nil"/>
              <w:left w:val="nil"/>
              <w:bottom w:val="nil"/>
              <w:right w:val="nil"/>
            </w:tcBorders>
            <w:vAlign w:val="center"/>
          </w:tcPr>
          <w:p w14:paraId="4B83876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 Biological Processes</w:t>
            </w:r>
          </w:p>
        </w:tc>
        <w:tc>
          <w:tcPr>
            <w:tcW w:w="1946" w:type="pct"/>
            <w:tcBorders>
              <w:top w:val="nil"/>
              <w:left w:val="nil"/>
              <w:bottom w:val="nil"/>
              <w:right w:val="nil"/>
            </w:tcBorders>
            <w:vAlign w:val="center"/>
          </w:tcPr>
          <w:p w14:paraId="0FEECE2B">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endomembrane system organization</w:t>
            </w:r>
          </w:p>
        </w:tc>
        <w:tc>
          <w:tcPr>
            <w:tcW w:w="318" w:type="pct"/>
            <w:tcBorders>
              <w:top w:val="nil"/>
              <w:left w:val="nil"/>
              <w:bottom w:val="nil"/>
              <w:right w:val="nil"/>
            </w:tcBorders>
            <w:vAlign w:val="center"/>
          </w:tcPr>
          <w:p w14:paraId="5768073C">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34</w:t>
            </w:r>
          </w:p>
        </w:tc>
        <w:tc>
          <w:tcPr>
            <w:tcW w:w="238" w:type="pct"/>
            <w:tcBorders>
              <w:top w:val="nil"/>
              <w:left w:val="nil"/>
              <w:bottom w:val="nil"/>
              <w:right w:val="nil"/>
            </w:tcBorders>
            <w:vAlign w:val="center"/>
          </w:tcPr>
          <w:p w14:paraId="4CEA6AC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6.44</w:t>
            </w:r>
          </w:p>
        </w:tc>
        <w:tc>
          <w:tcPr>
            <w:tcW w:w="430" w:type="pct"/>
            <w:tcBorders>
              <w:top w:val="nil"/>
              <w:left w:val="nil"/>
              <w:bottom w:val="nil"/>
              <w:right w:val="nil"/>
            </w:tcBorders>
            <w:vAlign w:val="center"/>
          </w:tcPr>
          <w:p w14:paraId="58102AC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-8.58</w:t>
            </w:r>
          </w:p>
        </w:tc>
        <w:tc>
          <w:tcPr>
            <w:tcW w:w="425" w:type="pct"/>
            <w:tcBorders>
              <w:top w:val="nil"/>
              <w:left w:val="nil"/>
              <w:bottom w:val="nil"/>
              <w:right w:val="nil"/>
            </w:tcBorders>
            <w:vAlign w:val="center"/>
          </w:tcPr>
          <w:p w14:paraId="7F466BEF">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-5.01</w:t>
            </w:r>
          </w:p>
        </w:tc>
      </w:tr>
      <w:tr w14:paraId="3FE341A8">
        <w:tc>
          <w:tcPr>
            <w:tcW w:w="682" w:type="pct"/>
            <w:tcBorders>
              <w:top w:val="nil"/>
              <w:left w:val="nil"/>
              <w:bottom w:val="nil"/>
              <w:right w:val="nil"/>
            </w:tcBorders>
            <w:vAlign w:val="center"/>
          </w:tcPr>
          <w:p w14:paraId="79BA1E10">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GO:0006605</w:t>
            </w:r>
          </w:p>
        </w:tc>
        <w:tc>
          <w:tcPr>
            <w:tcW w:w="959" w:type="pct"/>
            <w:tcBorders>
              <w:top w:val="nil"/>
              <w:left w:val="nil"/>
              <w:bottom w:val="nil"/>
              <w:right w:val="nil"/>
            </w:tcBorders>
            <w:vAlign w:val="center"/>
          </w:tcPr>
          <w:p w14:paraId="7420569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 Biological Processes</w:t>
            </w:r>
          </w:p>
        </w:tc>
        <w:tc>
          <w:tcPr>
            <w:tcW w:w="1946" w:type="pct"/>
            <w:tcBorders>
              <w:top w:val="nil"/>
              <w:left w:val="nil"/>
              <w:bottom w:val="nil"/>
              <w:right w:val="nil"/>
            </w:tcBorders>
            <w:vAlign w:val="center"/>
          </w:tcPr>
          <w:p w14:paraId="17A654E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protein targeting</w:t>
            </w:r>
          </w:p>
        </w:tc>
        <w:tc>
          <w:tcPr>
            <w:tcW w:w="318" w:type="pct"/>
            <w:tcBorders>
              <w:top w:val="nil"/>
              <w:left w:val="nil"/>
              <w:bottom w:val="nil"/>
              <w:right w:val="nil"/>
            </w:tcBorders>
            <w:vAlign w:val="center"/>
          </w:tcPr>
          <w:p w14:paraId="631382AC">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19</w:t>
            </w:r>
          </w:p>
        </w:tc>
        <w:tc>
          <w:tcPr>
            <w:tcW w:w="238" w:type="pct"/>
            <w:tcBorders>
              <w:top w:val="nil"/>
              <w:left w:val="nil"/>
              <w:bottom w:val="nil"/>
              <w:right w:val="nil"/>
            </w:tcBorders>
            <w:vAlign w:val="center"/>
          </w:tcPr>
          <w:p w14:paraId="7E88E423">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3.6</w:t>
            </w:r>
          </w:p>
        </w:tc>
        <w:tc>
          <w:tcPr>
            <w:tcW w:w="430" w:type="pct"/>
            <w:tcBorders>
              <w:top w:val="nil"/>
              <w:left w:val="nil"/>
              <w:bottom w:val="nil"/>
              <w:right w:val="nil"/>
            </w:tcBorders>
            <w:vAlign w:val="center"/>
          </w:tcPr>
          <w:p w14:paraId="64A502E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-7.18</w:t>
            </w:r>
          </w:p>
        </w:tc>
        <w:tc>
          <w:tcPr>
            <w:tcW w:w="425" w:type="pct"/>
            <w:tcBorders>
              <w:top w:val="nil"/>
              <w:left w:val="nil"/>
              <w:bottom w:val="nil"/>
              <w:right w:val="nil"/>
            </w:tcBorders>
            <w:vAlign w:val="center"/>
          </w:tcPr>
          <w:p w14:paraId="296C6ECC">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-3.71</w:t>
            </w:r>
          </w:p>
        </w:tc>
      </w:tr>
      <w:tr w14:paraId="6CC48375">
        <w:tc>
          <w:tcPr>
            <w:tcW w:w="682" w:type="pct"/>
            <w:tcBorders>
              <w:top w:val="nil"/>
              <w:left w:val="nil"/>
              <w:bottom w:val="nil"/>
              <w:right w:val="nil"/>
            </w:tcBorders>
            <w:vAlign w:val="center"/>
          </w:tcPr>
          <w:p w14:paraId="0C5A90B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GO:0098660</w:t>
            </w:r>
          </w:p>
        </w:tc>
        <w:tc>
          <w:tcPr>
            <w:tcW w:w="959" w:type="pct"/>
            <w:tcBorders>
              <w:top w:val="nil"/>
              <w:left w:val="nil"/>
              <w:bottom w:val="nil"/>
              <w:right w:val="nil"/>
            </w:tcBorders>
            <w:vAlign w:val="center"/>
          </w:tcPr>
          <w:p w14:paraId="096D94CB">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 Biological Processes</w:t>
            </w:r>
          </w:p>
        </w:tc>
        <w:tc>
          <w:tcPr>
            <w:tcW w:w="1946" w:type="pct"/>
            <w:tcBorders>
              <w:top w:val="nil"/>
              <w:left w:val="nil"/>
              <w:bottom w:val="nil"/>
              <w:right w:val="nil"/>
            </w:tcBorders>
            <w:vAlign w:val="center"/>
          </w:tcPr>
          <w:p w14:paraId="4BF1F5F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inorganic ion transmembrane transport</w:t>
            </w:r>
          </w:p>
        </w:tc>
        <w:tc>
          <w:tcPr>
            <w:tcW w:w="318" w:type="pct"/>
            <w:tcBorders>
              <w:top w:val="nil"/>
              <w:left w:val="nil"/>
              <w:bottom w:val="nil"/>
              <w:right w:val="nil"/>
            </w:tcBorders>
            <w:vAlign w:val="center"/>
          </w:tcPr>
          <w:p w14:paraId="1C75730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37</w:t>
            </w:r>
          </w:p>
        </w:tc>
        <w:tc>
          <w:tcPr>
            <w:tcW w:w="238" w:type="pct"/>
            <w:tcBorders>
              <w:top w:val="nil"/>
              <w:left w:val="nil"/>
              <w:bottom w:val="nil"/>
              <w:right w:val="nil"/>
            </w:tcBorders>
            <w:vAlign w:val="center"/>
          </w:tcPr>
          <w:p w14:paraId="60CB724B">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7.01</w:t>
            </w:r>
          </w:p>
        </w:tc>
        <w:tc>
          <w:tcPr>
            <w:tcW w:w="430" w:type="pct"/>
            <w:tcBorders>
              <w:top w:val="nil"/>
              <w:left w:val="nil"/>
              <w:bottom w:val="nil"/>
              <w:right w:val="nil"/>
            </w:tcBorders>
            <w:vAlign w:val="center"/>
          </w:tcPr>
          <w:p w14:paraId="77EC8667">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-7.15</w:t>
            </w:r>
          </w:p>
        </w:tc>
        <w:tc>
          <w:tcPr>
            <w:tcW w:w="425" w:type="pct"/>
            <w:tcBorders>
              <w:top w:val="nil"/>
              <w:left w:val="nil"/>
              <w:bottom w:val="nil"/>
              <w:right w:val="nil"/>
            </w:tcBorders>
            <w:vAlign w:val="center"/>
          </w:tcPr>
          <w:p w14:paraId="47ED117B">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-3.71</w:t>
            </w:r>
          </w:p>
        </w:tc>
      </w:tr>
      <w:tr w14:paraId="6523044B">
        <w:tc>
          <w:tcPr>
            <w:tcW w:w="682" w:type="pct"/>
            <w:tcBorders>
              <w:top w:val="nil"/>
              <w:left w:val="nil"/>
              <w:bottom w:val="nil"/>
              <w:right w:val="nil"/>
            </w:tcBorders>
            <w:vAlign w:val="center"/>
          </w:tcPr>
          <w:p w14:paraId="49F40F4C">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R-HSA-9837999</w:t>
            </w:r>
          </w:p>
        </w:tc>
        <w:tc>
          <w:tcPr>
            <w:tcW w:w="959" w:type="pct"/>
            <w:tcBorders>
              <w:top w:val="nil"/>
              <w:left w:val="nil"/>
              <w:bottom w:val="nil"/>
              <w:right w:val="nil"/>
            </w:tcBorders>
            <w:vAlign w:val="center"/>
          </w:tcPr>
          <w:p w14:paraId="32FBB0C0">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Reactome Gene Sets</w:t>
            </w:r>
          </w:p>
        </w:tc>
        <w:tc>
          <w:tcPr>
            <w:tcW w:w="1946" w:type="pct"/>
            <w:tcBorders>
              <w:top w:val="nil"/>
              <w:left w:val="nil"/>
              <w:bottom w:val="nil"/>
              <w:right w:val="nil"/>
            </w:tcBorders>
            <w:vAlign w:val="center"/>
          </w:tcPr>
          <w:p w14:paraId="7CB87CE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Mitochondrial protein degradation</w:t>
            </w:r>
          </w:p>
        </w:tc>
        <w:tc>
          <w:tcPr>
            <w:tcW w:w="318" w:type="pct"/>
            <w:tcBorders>
              <w:top w:val="nil"/>
              <w:left w:val="nil"/>
              <w:bottom w:val="nil"/>
              <w:right w:val="nil"/>
            </w:tcBorders>
            <w:vAlign w:val="center"/>
          </w:tcPr>
          <w:p w14:paraId="4C9DA5BB">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12</w:t>
            </w:r>
          </w:p>
        </w:tc>
        <w:tc>
          <w:tcPr>
            <w:tcW w:w="238" w:type="pct"/>
            <w:tcBorders>
              <w:top w:val="nil"/>
              <w:left w:val="nil"/>
              <w:bottom w:val="nil"/>
              <w:right w:val="nil"/>
            </w:tcBorders>
            <w:vAlign w:val="center"/>
          </w:tcPr>
          <w:p w14:paraId="56EBC6BB">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2.27</w:t>
            </w:r>
          </w:p>
        </w:tc>
        <w:tc>
          <w:tcPr>
            <w:tcW w:w="430" w:type="pct"/>
            <w:tcBorders>
              <w:top w:val="nil"/>
              <w:left w:val="nil"/>
              <w:bottom w:val="nil"/>
              <w:right w:val="nil"/>
            </w:tcBorders>
            <w:vAlign w:val="center"/>
          </w:tcPr>
          <w:p w14:paraId="2E33DEEF">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-6.93</w:t>
            </w:r>
          </w:p>
        </w:tc>
        <w:tc>
          <w:tcPr>
            <w:tcW w:w="425" w:type="pct"/>
            <w:tcBorders>
              <w:top w:val="nil"/>
              <w:left w:val="nil"/>
              <w:bottom w:val="nil"/>
              <w:right w:val="nil"/>
            </w:tcBorders>
            <w:vAlign w:val="center"/>
          </w:tcPr>
          <w:p w14:paraId="16FC38F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-3.59</w:t>
            </w:r>
          </w:p>
        </w:tc>
      </w:tr>
      <w:tr w14:paraId="44B44175">
        <w:tc>
          <w:tcPr>
            <w:tcW w:w="682" w:type="pct"/>
            <w:tcBorders>
              <w:top w:val="nil"/>
              <w:left w:val="nil"/>
              <w:bottom w:val="nil"/>
              <w:right w:val="nil"/>
            </w:tcBorders>
            <w:vAlign w:val="center"/>
          </w:tcPr>
          <w:p w14:paraId="0B68AEE8">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GO:0051668</w:t>
            </w:r>
          </w:p>
        </w:tc>
        <w:tc>
          <w:tcPr>
            <w:tcW w:w="959" w:type="pct"/>
            <w:tcBorders>
              <w:top w:val="nil"/>
              <w:left w:val="nil"/>
              <w:bottom w:val="nil"/>
              <w:right w:val="nil"/>
            </w:tcBorders>
            <w:vAlign w:val="center"/>
          </w:tcPr>
          <w:p w14:paraId="4A0A9ED9">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 Biological Processes</w:t>
            </w:r>
          </w:p>
        </w:tc>
        <w:tc>
          <w:tcPr>
            <w:tcW w:w="1946" w:type="pct"/>
            <w:tcBorders>
              <w:top w:val="nil"/>
              <w:left w:val="nil"/>
              <w:bottom w:val="nil"/>
              <w:right w:val="nil"/>
            </w:tcBorders>
            <w:vAlign w:val="center"/>
          </w:tcPr>
          <w:p w14:paraId="147CB6E3">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localization within membrane</w:t>
            </w:r>
          </w:p>
        </w:tc>
        <w:tc>
          <w:tcPr>
            <w:tcW w:w="318" w:type="pct"/>
            <w:tcBorders>
              <w:top w:val="nil"/>
              <w:left w:val="nil"/>
              <w:bottom w:val="nil"/>
              <w:right w:val="nil"/>
            </w:tcBorders>
            <w:vAlign w:val="center"/>
          </w:tcPr>
          <w:p w14:paraId="0F80E3F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29</w:t>
            </w:r>
          </w:p>
        </w:tc>
        <w:tc>
          <w:tcPr>
            <w:tcW w:w="238" w:type="pct"/>
            <w:tcBorders>
              <w:top w:val="nil"/>
              <w:left w:val="nil"/>
              <w:bottom w:val="nil"/>
              <w:right w:val="nil"/>
            </w:tcBorders>
            <w:vAlign w:val="center"/>
          </w:tcPr>
          <w:p w14:paraId="5EB5D80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5.49</w:t>
            </w:r>
          </w:p>
        </w:tc>
        <w:tc>
          <w:tcPr>
            <w:tcW w:w="430" w:type="pct"/>
            <w:tcBorders>
              <w:top w:val="nil"/>
              <w:left w:val="nil"/>
              <w:bottom w:val="nil"/>
              <w:right w:val="nil"/>
            </w:tcBorders>
            <w:vAlign w:val="center"/>
          </w:tcPr>
          <w:p w14:paraId="012DCDA8">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-6.42</w:t>
            </w:r>
          </w:p>
        </w:tc>
        <w:tc>
          <w:tcPr>
            <w:tcW w:w="425" w:type="pct"/>
            <w:tcBorders>
              <w:top w:val="nil"/>
              <w:left w:val="nil"/>
              <w:bottom w:val="nil"/>
              <w:right w:val="nil"/>
            </w:tcBorders>
            <w:vAlign w:val="center"/>
          </w:tcPr>
          <w:p w14:paraId="55374739">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-3.22</w:t>
            </w:r>
          </w:p>
        </w:tc>
      </w:tr>
      <w:tr w14:paraId="423FAE63">
        <w:tc>
          <w:tcPr>
            <w:tcW w:w="682" w:type="pct"/>
            <w:tcBorders>
              <w:top w:val="nil"/>
              <w:left w:val="nil"/>
              <w:bottom w:val="nil"/>
              <w:right w:val="nil"/>
            </w:tcBorders>
            <w:vAlign w:val="center"/>
          </w:tcPr>
          <w:p w14:paraId="523FEC16">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GO:0046434</w:t>
            </w:r>
          </w:p>
        </w:tc>
        <w:tc>
          <w:tcPr>
            <w:tcW w:w="959" w:type="pct"/>
            <w:tcBorders>
              <w:top w:val="nil"/>
              <w:left w:val="nil"/>
              <w:bottom w:val="nil"/>
              <w:right w:val="nil"/>
            </w:tcBorders>
            <w:vAlign w:val="center"/>
          </w:tcPr>
          <w:p w14:paraId="7950E5E0">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 Biological Processes</w:t>
            </w:r>
          </w:p>
        </w:tc>
        <w:tc>
          <w:tcPr>
            <w:tcW w:w="1946" w:type="pct"/>
            <w:tcBorders>
              <w:top w:val="nil"/>
              <w:left w:val="nil"/>
              <w:bottom w:val="nil"/>
              <w:right w:val="nil"/>
            </w:tcBorders>
            <w:vAlign w:val="center"/>
          </w:tcPr>
          <w:p w14:paraId="2F8FB312">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organophosphate catabolic process</w:t>
            </w:r>
          </w:p>
        </w:tc>
        <w:tc>
          <w:tcPr>
            <w:tcW w:w="318" w:type="pct"/>
            <w:tcBorders>
              <w:top w:val="nil"/>
              <w:left w:val="nil"/>
              <w:bottom w:val="nil"/>
              <w:right w:val="nil"/>
            </w:tcBorders>
            <w:vAlign w:val="center"/>
          </w:tcPr>
          <w:p w14:paraId="36D5743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16</w:t>
            </w:r>
          </w:p>
        </w:tc>
        <w:tc>
          <w:tcPr>
            <w:tcW w:w="238" w:type="pct"/>
            <w:tcBorders>
              <w:top w:val="nil"/>
              <w:left w:val="nil"/>
              <w:bottom w:val="nil"/>
              <w:right w:val="nil"/>
            </w:tcBorders>
            <w:vAlign w:val="center"/>
          </w:tcPr>
          <w:p w14:paraId="35D7F7B6">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3.03</w:t>
            </w:r>
          </w:p>
        </w:tc>
        <w:tc>
          <w:tcPr>
            <w:tcW w:w="430" w:type="pct"/>
            <w:tcBorders>
              <w:top w:val="nil"/>
              <w:left w:val="nil"/>
              <w:bottom w:val="nil"/>
              <w:right w:val="nil"/>
            </w:tcBorders>
            <w:vAlign w:val="center"/>
          </w:tcPr>
          <w:p w14:paraId="3946CE8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-6.31</w:t>
            </w:r>
          </w:p>
        </w:tc>
        <w:tc>
          <w:tcPr>
            <w:tcW w:w="425" w:type="pct"/>
            <w:tcBorders>
              <w:top w:val="nil"/>
              <w:left w:val="nil"/>
              <w:bottom w:val="nil"/>
              <w:right w:val="nil"/>
            </w:tcBorders>
            <w:vAlign w:val="center"/>
          </w:tcPr>
          <w:p w14:paraId="6C6D902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-3.16</w:t>
            </w:r>
          </w:p>
        </w:tc>
      </w:tr>
      <w:tr w14:paraId="20CB5DF9">
        <w:tc>
          <w:tcPr>
            <w:tcW w:w="682" w:type="pct"/>
            <w:tcBorders>
              <w:top w:val="nil"/>
              <w:left w:val="nil"/>
              <w:bottom w:val="nil"/>
              <w:right w:val="nil"/>
            </w:tcBorders>
            <w:vAlign w:val="center"/>
          </w:tcPr>
          <w:p w14:paraId="2011E8C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GO:0016042</w:t>
            </w:r>
          </w:p>
        </w:tc>
        <w:tc>
          <w:tcPr>
            <w:tcW w:w="959" w:type="pct"/>
            <w:tcBorders>
              <w:top w:val="nil"/>
              <w:left w:val="nil"/>
              <w:bottom w:val="nil"/>
              <w:right w:val="nil"/>
            </w:tcBorders>
            <w:vAlign w:val="center"/>
          </w:tcPr>
          <w:p w14:paraId="6A1CDC5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 Biological Processes</w:t>
            </w:r>
          </w:p>
        </w:tc>
        <w:tc>
          <w:tcPr>
            <w:tcW w:w="1946" w:type="pct"/>
            <w:tcBorders>
              <w:top w:val="nil"/>
              <w:left w:val="nil"/>
              <w:bottom w:val="nil"/>
              <w:right w:val="nil"/>
            </w:tcBorders>
            <w:vAlign w:val="center"/>
          </w:tcPr>
          <w:p w14:paraId="703D9D3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lipid catabolic process</w:t>
            </w:r>
          </w:p>
        </w:tc>
        <w:tc>
          <w:tcPr>
            <w:tcW w:w="318" w:type="pct"/>
            <w:tcBorders>
              <w:top w:val="nil"/>
              <w:left w:val="nil"/>
              <w:bottom w:val="nil"/>
              <w:right w:val="nil"/>
            </w:tcBorders>
            <w:vAlign w:val="center"/>
          </w:tcPr>
          <w:p w14:paraId="06C630B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20</w:t>
            </w:r>
          </w:p>
        </w:tc>
        <w:tc>
          <w:tcPr>
            <w:tcW w:w="238" w:type="pct"/>
            <w:tcBorders>
              <w:top w:val="nil"/>
              <w:left w:val="nil"/>
              <w:bottom w:val="nil"/>
              <w:right w:val="nil"/>
            </w:tcBorders>
            <w:vAlign w:val="center"/>
          </w:tcPr>
          <w:p w14:paraId="7C4874A2">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3.79</w:t>
            </w:r>
          </w:p>
        </w:tc>
        <w:tc>
          <w:tcPr>
            <w:tcW w:w="430" w:type="pct"/>
            <w:tcBorders>
              <w:top w:val="nil"/>
              <w:left w:val="nil"/>
              <w:bottom w:val="nil"/>
              <w:right w:val="nil"/>
            </w:tcBorders>
            <w:vAlign w:val="center"/>
          </w:tcPr>
          <w:p w14:paraId="02AF70F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-6.29</w:t>
            </w:r>
          </w:p>
        </w:tc>
        <w:tc>
          <w:tcPr>
            <w:tcW w:w="425" w:type="pct"/>
            <w:tcBorders>
              <w:top w:val="nil"/>
              <w:left w:val="nil"/>
              <w:bottom w:val="nil"/>
              <w:right w:val="nil"/>
            </w:tcBorders>
            <w:vAlign w:val="center"/>
          </w:tcPr>
          <w:p w14:paraId="1F8DDFB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-3.16</w:t>
            </w:r>
          </w:p>
        </w:tc>
      </w:tr>
      <w:tr w14:paraId="6FE0ED8E">
        <w:tc>
          <w:tcPr>
            <w:tcW w:w="682" w:type="pct"/>
            <w:tcBorders>
              <w:top w:val="nil"/>
              <w:left w:val="nil"/>
              <w:bottom w:val="nil"/>
              <w:right w:val="nil"/>
            </w:tcBorders>
            <w:vAlign w:val="center"/>
          </w:tcPr>
          <w:p w14:paraId="34E0EDA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GO:0019752</w:t>
            </w:r>
          </w:p>
        </w:tc>
        <w:tc>
          <w:tcPr>
            <w:tcW w:w="959" w:type="pct"/>
            <w:tcBorders>
              <w:top w:val="nil"/>
              <w:left w:val="nil"/>
              <w:bottom w:val="nil"/>
              <w:right w:val="nil"/>
            </w:tcBorders>
            <w:vAlign w:val="center"/>
          </w:tcPr>
          <w:p w14:paraId="340AE5FB">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 Biological Processes</w:t>
            </w:r>
          </w:p>
        </w:tc>
        <w:tc>
          <w:tcPr>
            <w:tcW w:w="1946" w:type="pct"/>
            <w:tcBorders>
              <w:top w:val="nil"/>
              <w:left w:val="nil"/>
              <w:bottom w:val="nil"/>
              <w:right w:val="nil"/>
            </w:tcBorders>
            <w:vAlign w:val="center"/>
          </w:tcPr>
          <w:p w14:paraId="2125A9C0">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carboxylic acid metabolic process</w:t>
            </w:r>
          </w:p>
        </w:tc>
        <w:tc>
          <w:tcPr>
            <w:tcW w:w="318" w:type="pct"/>
            <w:tcBorders>
              <w:top w:val="nil"/>
              <w:left w:val="nil"/>
              <w:bottom w:val="nil"/>
              <w:right w:val="nil"/>
            </w:tcBorders>
            <w:vAlign w:val="center"/>
          </w:tcPr>
          <w:p w14:paraId="3CEDDCE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35</w:t>
            </w:r>
          </w:p>
        </w:tc>
        <w:tc>
          <w:tcPr>
            <w:tcW w:w="238" w:type="pct"/>
            <w:tcBorders>
              <w:top w:val="nil"/>
              <w:left w:val="nil"/>
              <w:bottom w:val="nil"/>
              <w:right w:val="nil"/>
            </w:tcBorders>
            <w:vAlign w:val="center"/>
          </w:tcPr>
          <w:p w14:paraId="0C3F6B13">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6.63</w:t>
            </w:r>
          </w:p>
        </w:tc>
        <w:tc>
          <w:tcPr>
            <w:tcW w:w="430" w:type="pct"/>
            <w:tcBorders>
              <w:top w:val="nil"/>
              <w:left w:val="nil"/>
              <w:bottom w:val="nil"/>
              <w:right w:val="nil"/>
            </w:tcBorders>
            <w:vAlign w:val="center"/>
          </w:tcPr>
          <w:p w14:paraId="77FB686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-6.28</w:t>
            </w:r>
          </w:p>
        </w:tc>
        <w:tc>
          <w:tcPr>
            <w:tcW w:w="425" w:type="pct"/>
            <w:tcBorders>
              <w:top w:val="nil"/>
              <w:left w:val="nil"/>
              <w:bottom w:val="nil"/>
              <w:right w:val="nil"/>
            </w:tcBorders>
            <w:vAlign w:val="center"/>
          </w:tcPr>
          <w:p w14:paraId="02E03F16">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-3.16</w:t>
            </w:r>
          </w:p>
        </w:tc>
      </w:tr>
      <w:tr w14:paraId="7B3ECBBE">
        <w:tc>
          <w:tcPr>
            <w:tcW w:w="682" w:type="pct"/>
            <w:tcBorders>
              <w:top w:val="nil"/>
              <w:left w:val="nil"/>
              <w:bottom w:val="nil"/>
              <w:right w:val="nil"/>
            </w:tcBorders>
            <w:vAlign w:val="center"/>
          </w:tcPr>
          <w:p w14:paraId="2306542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GO:0048193</w:t>
            </w:r>
          </w:p>
        </w:tc>
        <w:tc>
          <w:tcPr>
            <w:tcW w:w="959" w:type="pct"/>
            <w:tcBorders>
              <w:top w:val="nil"/>
              <w:left w:val="nil"/>
              <w:bottom w:val="nil"/>
              <w:right w:val="nil"/>
            </w:tcBorders>
            <w:vAlign w:val="center"/>
          </w:tcPr>
          <w:p w14:paraId="44D643F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 Biological Processes</w:t>
            </w:r>
          </w:p>
        </w:tc>
        <w:tc>
          <w:tcPr>
            <w:tcW w:w="1946" w:type="pct"/>
            <w:tcBorders>
              <w:top w:val="nil"/>
              <w:left w:val="nil"/>
              <w:bottom w:val="nil"/>
              <w:right w:val="nil"/>
            </w:tcBorders>
            <w:vAlign w:val="center"/>
          </w:tcPr>
          <w:p w14:paraId="6AFB1E1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Golgi vesicle transport</w:t>
            </w:r>
          </w:p>
        </w:tc>
        <w:tc>
          <w:tcPr>
            <w:tcW w:w="318" w:type="pct"/>
            <w:tcBorders>
              <w:top w:val="nil"/>
              <w:left w:val="nil"/>
              <w:bottom w:val="nil"/>
              <w:right w:val="nil"/>
            </w:tcBorders>
            <w:vAlign w:val="center"/>
          </w:tcPr>
          <w:p w14:paraId="3EBF639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19</w:t>
            </w:r>
          </w:p>
        </w:tc>
        <w:tc>
          <w:tcPr>
            <w:tcW w:w="238" w:type="pct"/>
            <w:tcBorders>
              <w:top w:val="nil"/>
              <w:left w:val="nil"/>
              <w:bottom w:val="nil"/>
              <w:right w:val="nil"/>
            </w:tcBorders>
            <w:vAlign w:val="center"/>
          </w:tcPr>
          <w:p w14:paraId="4F5CEAC7">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3.6</w:t>
            </w:r>
          </w:p>
        </w:tc>
        <w:tc>
          <w:tcPr>
            <w:tcW w:w="430" w:type="pct"/>
            <w:tcBorders>
              <w:top w:val="nil"/>
              <w:left w:val="nil"/>
              <w:bottom w:val="nil"/>
              <w:right w:val="nil"/>
            </w:tcBorders>
            <w:vAlign w:val="center"/>
          </w:tcPr>
          <w:p w14:paraId="3AA7BA59">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-5.71</w:t>
            </w:r>
          </w:p>
        </w:tc>
        <w:tc>
          <w:tcPr>
            <w:tcW w:w="425" w:type="pct"/>
            <w:tcBorders>
              <w:top w:val="nil"/>
              <w:left w:val="nil"/>
              <w:bottom w:val="nil"/>
              <w:right w:val="nil"/>
            </w:tcBorders>
            <w:vAlign w:val="center"/>
          </w:tcPr>
          <w:p w14:paraId="4FA4AAF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-2.79</w:t>
            </w:r>
          </w:p>
        </w:tc>
      </w:tr>
      <w:tr w14:paraId="38AA6917">
        <w:tc>
          <w:tcPr>
            <w:tcW w:w="682" w:type="pct"/>
            <w:tcBorders>
              <w:top w:val="nil"/>
              <w:left w:val="nil"/>
              <w:bottom w:val="nil"/>
              <w:right w:val="nil"/>
            </w:tcBorders>
            <w:vAlign w:val="center"/>
          </w:tcPr>
          <w:p w14:paraId="331B435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R-HSA-6799198</w:t>
            </w:r>
          </w:p>
        </w:tc>
        <w:tc>
          <w:tcPr>
            <w:tcW w:w="959" w:type="pct"/>
            <w:tcBorders>
              <w:top w:val="nil"/>
              <w:left w:val="nil"/>
              <w:bottom w:val="nil"/>
              <w:right w:val="nil"/>
            </w:tcBorders>
            <w:vAlign w:val="center"/>
          </w:tcPr>
          <w:p w14:paraId="37F247A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Reactome Gene Sets</w:t>
            </w:r>
          </w:p>
        </w:tc>
        <w:tc>
          <w:tcPr>
            <w:tcW w:w="1946" w:type="pct"/>
            <w:tcBorders>
              <w:top w:val="nil"/>
              <w:left w:val="nil"/>
              <w:bottom w:val="nil"/>
              <w:right w:val="nil"/>
            </w:tcBorders>
            <w:vAlign w:val="center"/>
          </w:tcPr>
          <w:p w14:paraId="64B49C1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Complex I biogenesis</w:t>
            </w:r>
          </w:p>
        </w:tc>
        <w:tc>
          <w:tcPr>
            <w:tcW w:w="318" w:type="pct"/>
            <w:tcBorders>
              <w:top w:val="nil"/>
              <w:left w:val="nil"/>
              <w:bottom w:val="nil"/>
              <w:right w:val="nil"/>
            </w:tcBorders>
            <w:vAlign w:val="center"/>
          </w:tcPr>
          <w:p w14:paraId="7FD56CA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9</w:t>
            </w:r>
          </w:p>
        </w:tc>
        <w:tc>
          <w:tcPr>
            <w:tcW w:w="238" w:type="pct"/>
            <w:tcBorders>
              <w:top w:val="nil"/>
              <w:left w:val="nil"/>
              <w:bottom w:val="nil"/>
              <w:right w:val="nil"/>
            </w:tcBorders>
            <w:vAlign w:val="center"/>
          </w:tcPr>
          <w:p w14:paraId="39B55ED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1.7</w:t>
            </w:r>
          </w:p>
        </w:tc>
        <w:tc>
          <w:tcPr>
            <w:tcW w:w="430" w:type="pct"/>
            <w:tcBorders>
              <w:top w:val="nil"/>
              <w:left w:val="nil"/>
              <w:bottom w:val="nil"/>
              <w:right w:val="nil"/>
            </w:tcBorders>
            <w:vAlign w:val="center"/>
          </w:tcPr>
          <w:p w14:paraId="7E052038">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-5.61</w:t>
            </w:r>
          </w:p>
        </w:tc>
        <w:tc>
          <w:tcPr>
            <w:tcW w:w="425" w:type="pct"/>
            <w:tcBorders>
              <w:top w:val="nil"/>
              <w:left w:val="nil"/>
              <w:bottom w:val="nil"/>
              <w:right w:val="nil"/>
            </w:tcBorders>
            <w:vAlign w:val="center"/>
          </w:tcPr>
          <w:p w14:paraId="25B1FFA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-2.7</w:t>
            </w:r>
          </w:p>
        </w:tc>
      </w:tr>
      <w:tr w14:paraId="74B3A827">
        <w:tc>
          <w:tcPr>
            <w:tcW w:w="682" w:type="pct"/>
            <w:tcBorders>
              <w:top w:val="nil"/>
              <w:left w:val="nil"/>
              <w:bottom w:val="nil"/>
              <w:right w:val="nil"/>
            </w:tcBorders>
            <w:vAlign w:val="center"/>
          </w:tcPr>
          <w:p w14:paraId="7C8E57A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R-HSA-72766</w:t>
            </w:r>
          </w:p>
        </w:tc>
        <w:tc>
          <w:tcPr>
            <w:tcW w:w="959" w:type="pct"/>
            <w:tcBorders>
              <w:top w:val="nil"/>
              <w:left w:val="nil"/>
              <w:bottom w:val="nil"/>
              <w:right w:val="nil"/>
            </w:tcBorders>
            <w:vAlign w:val="center"/>
          </w:tcPr>
          <w:p w14:paraId="7BC528EF">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Reactome Gene Sets</w:t>
            </w:r>
          </w:p>
        </w:tc>
        <w:tc>
          <w:tcPr>
            <w:tcW w:w="1946" w:type="pct"/>
            <w:tcBorders>
              <w:top w:val="nil"/>
              <w:left w:val="nil"/>
              <w:bottom w:val="nil"/>
              <w:right w:val="nil"/>
            </w:tcBorders>
            <w:vAlign w:val="center"/>
          </w:tcPr>
          <w:p w14:paraId="55C04A7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Translation</w:t>
            </w:r>
          </w:p>
        </w:tc>
        <w:tc>
          <w:tcPr>
            <w:tcW w:w="318" w:type="pct"/>
            <w:tcBorders>
              <w:top w:val="nil"/>
              <w:left w:val="nil"/>
              <w:bottom w:val="nil"/>
              <w:right w:val="nil"/>
            </w:tcBorders>
            <w:vAlign w:val="center"/>
          </w:tcPr>
          <w:p w14:paraId="4CF68C6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19</w:t>
            </w:r>
          </w:p>
        </w:tc>
        <w:tc>
          <w:tcPr>
            <w:tcW w:w="238" w:type="pct"/>
            <w:tcBorders>
              <w:top w:val="nil"/>
              <w:left w:val="nil"/>
              <w:bottom w:val="nil"/>
              <w:right w:val="nil"/>
            </w:tcBorders>
            <w:vAlign w:val="center"/>
          </w:tcPr>
          <w:p w14:paraId="29743F7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3.6</w:t>
            </w:r>
          </w:p>
        </w:tc>
        <w:tc>
          <w:tcPr>
            <w:tcW w:w="430" w:type="pct"/>
            <w:tcBorders>
              <w:top w:val="nil"/>
              <w:left w:val="nil"/>
              <w:bottom w:val="nil"/>
              <w:right w:val="nil"/>
            </w:tcBorders>
            <w:vAlign w:val="center"/>
          </w:tcPr>
          <w:p w14:paraId="6BB3134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-5.55</w:t>
            </w:r>
          </w:p>
        </w:tc>
        <w:tc>
          <w:tcPr>
            <w:tcW w:w="425" w:type="pct"/>
            <w:tcBorders>
              <w:top w:val="nil"/>
              <w:left w:val="nil"/>
              <w:bottom w:val="nil"/>
              <w:right w:val="nil"/>
            </w:tcBorders>
            <w:vAlign w:val="center"/>
          </w:tcPr>
          <w:p w14:paraId="4FF7E908">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-2.67</w:t>
            </w:r>
          </w:p>
        </w:tc>
      </w:tr>
      <w:tr w14:paraId="25245B3C">
        <w:tc>
          <w:tcPr>
            <w:tcW w:w="682" w:type="pct"/>
            <w:tcBorders>
              <w:top w:val="nil"/>
              <w:left w:val="nil"/>
              <w:bottom w:val="nil"/>
              <w:right w:val="nil"/>
            </w:tcBorders>
            <w:vAlign w:val="center"/>
          </w:tcPr>
          <w:p w14:paraId="2B46CE9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hsa04142</w:t>
            </w:r>
          </w:p>
        </w:tc>
        <w:tc>
          <w:tcPr>
            <w:tcW w:w="959" w:type="pct"/>
            <w:tcBorders>
              <w:top w:val="nil"/>
              <w:left w:val="nil"/>
              <w:bottom w:val="nil"/>
              <w:right w:val="nil"/>
            </w:tcBorders>
            <w:vAlign w:val="center"/>
          </w:tcPr>
          <w:p w14:paraId="56712CFC">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KEGG Pathway</w:t>
            </w:r>
          </w:p>
        </w:tc>
        <w:tc>
          <w:tcPr>
            <w:tcW w:w="1946" w:type="pct"/>
            <w:tcBorders>
              <w:top w:val="nil"/>
              <w:left w:val="nil"/>
              <w:bottom w:val="nil"/>
              <w:right w:val="nil"/>
            </w:tcBorders>
            <w:vAlign w:val="center"/>
          </w:tcPr>
          <w:p w14:paraId="4ED7921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Lysosome</w:t>
            </w:r>
          </w:p>
        </w:tc>
        <w:tc>
          <w:tcPr>
            <w:tcW w:w="318" w:type="pct"/>
            <w:tcBorders>
              <w:top w:val="nil"/>
              <w:left w:val="nil"/>
              <w:bottom w:val="nil"/>
              <w:right w:val="nil"/>
            </w:tcBorders>
            <w:vAlign w:val="center"/>
          </w:tcPr>
          <w:p w14:paraId="3F0D692F">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12</w:t>
            </w:r>
          </w:p>
        </w:tc>
        <w:tc>
          <w:tcPr>
            <w:tcW w:w="238" w:type="pct"/>
            <w:tcBorders>
              <w:top w:val="nil"/>
              <w:left w:val="nil"/>
              <w:bottom w:val="nil"/>
              <w:right w:val="nil"/>
            </w:tcBorders>
            <w:vAlign w:val="center"/>
          </w:tcPr>
          <w:p w14:paraId="0088F337">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2.27</w:t>
            </w:r>
          </w:p>
        </w:tc>
        <w:tc>
          <w:tcPr>
            <w:tcW w:w="430" w:type="pct"/>
            <w:tcBorders>
              <w:top w:val="nil"/>
              <w:left w:val="nil"/>
              <w:bottom w:val="nil"/>
              <w:right w:val="nil"/>
            </w:tcBorders>
            <w:vAlign w:val="center"/>
          </w:tcPr>
          <w:p w14:paraId="20E72ED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-5.4</w:t>
            </w:r>
          </w:p>
        </w:tc>
        <w:tc>
          <w:tcPr>
            <w:tcW w:w="425" w:type="pct"/>
            <w:tcBorders>
              <w:top w:val="nil"/>
              <w:left w:val="nil"/>
              <w:bottom w:val="nil"/>
              <w:right w:val="nil"/>
            </w:tcBorders>
            <w:vAlign w:val="center"/>
          </w:tcPr>
          <w:p w14:paraId="5FFDC2BB">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-2.54</w:t>
            </w:r>
          </w:p>
        </w:tc>
      </w:tr>
      <w:tr w14:paraId="3888FD14">
        <w:tc>
          <w:tcPr>
            <w:tcW w:w="682" w:type="pct"/>
            <w:tcBorders>
              <w:top w:val="nil"/>
              <w:left w:val="nil"/>
              <w:bottom w:val="nil"/>
              <w:right w:val="nil"/>
            </w:tcBorders>
            <w:vAlign w:val="center"/>
          </w:tcPr>
          <w:p w14:paraId="7ECCE01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CORUM:7439</w:t>
            </w:r>
          </w:p>
        </w:tc>
        <w:tc>
          <w:tcPr>
            <w:tcW w:w="959" w:type="pct"/>
            <w:tcBorders>
              <w:top w:val="nil"/>
              <w:left w:val="nil"/>
              <w:bottom w:val="nil"/>
              <w:right w:val="nil"/>
            </w:tcBorders>
            <w:vAlign w:val="center"/>
          </w:tcPr>
          <w:p w14:paraId="14BEB82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CORUM</w:t>
            </w:r>
          </w:p>
        </w:tc>
        <w:tc>
          <w:tcPr>
            <w:tcW w:w="1946" w:type="pct"/>
            <w:tcBorders>
              <w:top w:val="nil"/>
              <w:left w:val="nil"/>
              <w:bottom w:val="nil"/>
              <w:right w:val="nil"/>
            </w:tcBorders>
            <w:vAlign w:val="center"/>
          </w:tcPr>
          <w:p w14:paraId="73AAFD70">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ECT2-KIF23-RACGAP1 complex</w:t>
            </w:r>
          </w:p>
        </w:tc>
        <w:tc>
          <w:tcPr>
            <w:tcW w:w="318" w:type="pct"/>
            <w:tcBorders>
              <w:top w:val="nil"/>
              <w:left w:val="nil"/>
              <w:bottom w:val="nil"/>
              <w:right w:val="nil"/>
            </w:tcBorders>
            <w:vAlign w:val="center"/>
          </w:tcPr>
          <w:p w14:paraId="01C9B30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3</w:t>
            </w:r>
          </w:p>
        </w:tc>
        <w:tc>
          <w:tcPr>
            <w:tcW w:w="238" w:type="pct"/>
            <w:tcBorders>
              <w:top w:val="nil"/>
              <w:left w:val="nil"/>
              <w:bottom w:val="nil"/>
              <w:right w:val="nil"/>
            </w:tcBorders>
            <w:vAlign w:val="center"/>
          </w:tcPr>
          <w:p w14:paraId="31E567B6">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0.57</w:t>
            </w:r>
          </w:p>
        </w:tc>
        <w:tc>
          <w:tcPr>
            <w:tcW w:w="430" w:type="pct"/>
            <w:tcBorders>
              <w:top w:val="nil"/>
              <w:left w:val="nil"/>
              <w:bottom w:val="nil"/>
              <w:right w:val="nil"/>
            </w:tcBorders>
            <w:vAlign w:val="center"/>
          </w:tcPr>
          <w:p w14:paraId="48C880F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-5.28</w:t>
            </w:r>
          </w:p>
        </w:tc>
        <w:tc>
          <w:tcPr>
            <w:tcW w:w="425" w:type="pct"/>
            <w:tcBorders>
              <w:top w:val="nil"/>
              <w:left w:val="nil"/>
              <w:bottom w:val="nil"/>
              <w:right w:val="nil"/>
            </w:tcBorders>
            <w:vAlign w:val="center"/>
          </w:tcPr>
          <w:p w14:paraId="4F0972E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-2.47</w:t>
            </w:r>
          </w:p>
        </w:tc>
      </w:tr>
      <w:tr w14:paraId="533C0E7B">
        <w:tc>
          <w:tcPr>
            <w:tcW w:w="682" w:type="pct"/>
            <w:tcBorders>
              <w:top w:val="nil"/>
              <w:left w:val="nil"/>
              <w:bottom w:val="nil"/>
              <w:right w:val="nil"/>
            </w:tcBorders>
            <w:vAlign w:val="center"/>
          </w:tcPr>
          <w:p w14:paraId="7A61ABD9">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GO:0016197</w:t>
            </w:r>
          </w:p>
        </w:tc>
        <w:tc>
          <w:tcPr>
            <w:tcW w:w="959" w:type="pct"/>
            <w:tcBorders>
              <w:top w:val="nil"/>
              <w:left w:val="nil"/>
              <w:bottom w:val="nil"/>
              <w:right w:val="nil"/>
            </w:tcBorders>
            <w:vAlign w:val="center"/>
          </w:tcPr>
          <w:p w14:paraId="100A9DE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 Biological Processes</w:t>
            </w:r>
          </w:p>
        </w:tc>
        <w:tc>
          <w:tcPr>
            <w:tcW w:w="1946" w:type="pct"/>
            <w:tcBorders>
              <w:top w:val="nil"/>
              <w:left w:val="nil"/>
              <w:bottom w:val="nil"/>
              <w:right w:val="nil"/>
            </w:tcBorders>
            <w:vAlign w:val="center"/>
          </w:tcPr>
          <w:p w14:paraId="025809A0">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endosomal transport</w:t>
            </w:r>
          </w:p>
        </w:tc>
        <w:tc>
          <w:tcPr>
            <w:tcW w:w="318" w:type="pct"/>
            <w:tcBorders>
              <w:top w:val="nil"/>
              <w:left w:val="nil"/>
              <w:bottom w:val="nil"/>
              <w:right w:val="nil"/>
            </w:tcBorders>
            <w:vAlign w:val="center"/>
          </w:tcPr>
          <w:p w14:paraId="0675F1C8">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17</w:t>
            </w:r>
          </w:p>
        </w:tc>
        <w:tc>
          <w:tcPr>
            <w:tcW w:w="238" w:type="pct"/>
            <w:tcBorders>
              <w:top w:val="nil"/>
              <w:left w:val="nil"/>
              <w:bottom w:val="nil"/>
              <w:right w:val="nil"/>
            </w:tcBorders>
            <w:vAlign w:val="center"/>
          </w:tcPr>
          <w:p w14:paraId="75C9310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3.22</w:t>
            </w:r>
          </w:p>
        </w:tc>
        <w:tc>
          <w:tcPr>
            <w:tcW w:w="430" w:type="pct"/>
            <w:tcBorders>
              <w:top w:val="nil"/>
              <w:left w:val="nil"/>
              <w:bottom w:val="nil"/>
              <w:right w:val="nil"/>
            </w:tcBorders>
            <w:vAlign w:val="center"/>
          </w:tcPr>
          <w:p w14:paraId="426B43FC">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-5.26</w:t>
            </w:r>
          </w:p>
        </w:tc>
        <w:tc>
          <w:tcPr>
            <w:tcW w:w="425" w:type="pct"/>
            <w:tcBorders>
              <w:top w:val="nil"/>
              <w:left w:val="nil"/>
              <w:bottom w:val="nil"/>
              <w:right w:val="nil"/>
            </w:tcBorders>
            <w:vAlign w:val="center"/>
          </w:tcPr>
          <w:p w14:paraId="281BF2B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-2.47</w:t>
            </w:r>
          </w:p>
        </w:tc>
      </w:tr>
      <w:tr w14:paraId="1D7CDE8F">
        <w:tc>
          <w:tcPr>
            <w:tcW w:w="682" w:type="pct"/>
            <w:tcBorders>
              <w:top w:val="nil"/>
              <w:left w:val="nil"/>
              <w:bottom w:val="nil"/>
              <w:right w:val="nil"/>
            </w:tcBorders>
            <w:vAlign w:val="center"/>
          </w:tcPr>
          <w:p w14:paraId="42046C03">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GO:0098657</w:t>
            </w:r>
          </w:p>
        </w:tc>
        <w:tc>
          <w:tcPr>
            <w:tcW w:w="959" w:type="pct"/>
            <w:tcBorders>
              <w:top w:val="nil"/>
              <w:left w:val="nil"/>
              <w:bottom w:val="nil"/>
              <w:right w:val="nil"/>
            </w:tcBorders>
            <w:vAlign w:val="center"/>
          </w:tcPr>
          <w:p w14:paraId="3EB07513">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 Biological Processes</w:t>
            </w:r>
          </w:p>
        </w:tc>
        <w:tc>
          <w:tcPr>
            <w:tcW w:w="1946" w:type="pct"/>
            <w:tcBorders>
              <w:top w:val="nil"/>
              <w:left w:val="nil"/>
              <w:bottom w:val="nil"/>
              <w:right w:val="nil"/>
            </w:tcBorders>
            <w:vAlign w:val="center"/>
          </w:tcPr>
          <w:p w14:paraId="12882668">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import into cell</w:t>
            </w:r>
          </w:p>
        </w:tc>
        <w:tc>
          <w:tcPr>
            <w:tcW w:w="318" w:type="pct"/>
            <w:tcBorders>
              <w:top w:val="nil"/>
              <w:left w:val="nil"/>
              <w:bottom w:val="nil"/>
              <w:right w:val="nil"/>
            </w:tcBorders>
            <w:vAlign w:val="center"/>
          </w:tcPr>
          <w:p w14:paraId="0C3628B8">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30</w:t>
            </w:r>
          </w:p>
        </w:tc>
        <w:tc>
          <w:tcPr>
            <w:tcW w:w="238" w:type="pct"/>
            <w:tcBorders>
              <w:top w:val="nil"/>
              <w:left w:val="nil"/>
              <w:bottom w:val="nil"/>
              <w:right w:val="nil"/>
            </w:tcBorders>
            <w:vAlign w:val="center"/>
          </w:tcPr>
          <w:p w14:paraId="14C4D28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5.68</w:t>
            </w:r>
          </w:p>
        </w:tc>
        <w:tc>
          <w:tcPr>
            <w:tcW w:w="430" w:type="pct"/>
            <w:tcBorders>
              <w:top w:val="nil"/>
              <w:left w:val="nil"/>
              <w:bottom w:val="nil"/>
              <w:right w:val="nil"/>
            </w:tcBorders>
            <w:vAlign w:val="center"/>
          </w:tcPr>
          <w:p w14:paraId="5DCCEA38">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-5.04</w:t>
            </w:r>
          </w:p>
        </w:tc>
        <w:tc>
          <w:tcPr>
            <w:tcW w:w="425" w:type="pct"/>
            <w:tcBorders>
              <w:top w:val="nil"/>
              <w:left w:val="nil"/>
              <w:bottom w:val="nil"/>
              <w:right w:val="nil"/>
            </w:tcBorders>
            <w:vAlign w:val="center"/>
          </w:tcPr>
          <w:p w14:paraId="19423F23">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-2.3</w:t>
            </w:r>
          </w:p>
        </w:tc>
      </w:tr>
      <w:tr w14:paraId="367F1E61">
        <w:tc>
          <w:tcPr>
            <w:tcW w:w="682" w:type="pct"/>
            <w:tcBorders>
              <w:top w:val="nil"/>
              <w:left w:val="nil"/>
              <w:bottom w:val="nil"/>
              <w:right w:val="nil"/>
            </w:tcBorders>
            <w:vAlign w:val="center"/>
          </w:tcPr>
          <w:p w14:paraId="5A72DA4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GO:0007005</w:t>
            </w:r>
          </w:p>
        </w:tc>
        <w:tc>
          <w:tcPr>
            <w:tcW w:w="959" w:type="pct"/>
            <w:tcBorders>
              <w:top w:val="nil"/>
              <w:left w:val="nil"/>
              <w:bottom w:val="nil"/>
              <w:right w:val="nil"/>
            </w:tcBorders>
            <w:vAlign w:val="center"/>
          </w:tcPr>
          <w:p w14:paraId="032DD1AF">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GO Biological Processes</w:t>
            </w:r>
          </w:p>
        </w:tc>
        <w:tc>
          <w:tcPr>
            <w:tcW w:w="1946" w:type="pct"/>
            <w:tcBorders>
              <w:top w:val="nil"/>
              <w:left w:val="nil"/>
              <w:bottom w:val="nil"/>
              <w:right w:val="nil"/>
            </w:tcBorders>
            <w:vAlign w:val="center"/>
          </w:tcPr>
          <w:p w14:paraId="0FD1D6E8">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mitochondrion organization</w:t>
            </w:r>
          </w:p>
        </w:tc>
        <w:tc>
          <w:tcPr>
            <w:tcW w:w="318" w:type="pct"/>
            <w:tcBorders>
              <w:top w:val="nil"/>
              <w:left w:val="nil"/>
              <w:bottom w:val="nil"/>
              <w:right w:val="nil"/>
            </w:tcBorders>
            <w:vAlign w:val="center"/>
          </w:tcPr>
          <w:p w14:paraId="002E3BD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20</w:t>
            </w:r>
          </w:p>
        </w:tc>
        <w:tc>
          <w:tcPr>
            <w:tcW w:w="238" w:type="pct"/>
            <w:tcBorders>
              <w:top w:val="nil"/>
              <w:left w:val="nil"/>
              <w:bottom w:val="nil"/>
              <w:right w:val="nil"/>
            </w:tcBorders>
            <w:vAlign w:val="center"/>
          </w:tcPr>
          <w:p w14:paraId="08BA11A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3.79</w:t>
            </w:r>
          </w:p>
        </w:tc>
        <w:tc>
          <w:tcPr>
            <w:tcW w:w="430" w:type="pct"/>
            <w:tcBorders>
              <w:top w:val="nil"/>
              <w:left w:val="nil"/>
              <w:bottom w:val="nil"/>
              <w:right w:val="nil"/>
            </w:tcBorders>
            <w:vAlign w:val="center"/>
          </w:tcPr>
          <w:p w14:paraId="6544F5A2">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-4.89</w:t>
            </w:r>
          </w:p>
        </w:tc>
        <w:tc>
          <w:tcPr>
            <w:tcW w:w="425" w:type="pct"/>
            <w:tcBorders>
              <w:top w:val="nil"/>
              <w:left w:val="nil"/>
              <w:bottom w:val="nil"/>
              <w:right w:val="nil"/>
            </w:tcBorders>
            <w:vAlign w:val="center"/>
          </w:tcPr>
          <w:p w14:paraId="219043A0">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-2.22</w:t>
            </w:r>
          </w:p>
        </w:tc>
      </w:tr>
      <w:tr w14:paraId="38BA3783">
        <w:tc>
          <w:tcPr>
            <w:tcW w:w="682" w:type="pct"/>
            <w:tcBorders>
              <w:top w:val="nil"/>
              <w:left w:val="nil"/>
              <w:bottom w:val="single" w:color="auto" w:sz="4" w:space="0"/>
              <w:right w:val="nil"/>
            </w:tcBorders>
            <w:vAlign w:val="center"/>
          </w:tcPr>
          <w:p w14:paraId="45BD2D2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R-HSA-5628897</w:t>
            </w:r>
          </w:p>
        </w:tc>
        <w:tc>
          <w:tcPr>
            <w:tcW w:w="959" w:type="pct"/>
            <w:tcBorders>
              <w:top w:val="nil"/>
              <w:left w:val="nil"/>
              <w:bottom w:val="single" w:color="auto" w:sz="4" w:space="0"/>
              <w:right w:val="nil"/>
            </w:tcBorders>
            <w:vAlign w:val="center"/>
          </w:tcPr>
          <w:p w14:paraId="0579262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Reactome Gene Sets</w:t>
            </w:r>
          </w:p>
        </w:tc>
        <w:tc>
          <w:tcPr>
            <w:tcW w:w="1946" w:type="pct"/>
            <w:tcBorders>
              <w:top w:val="nil"/>
              <w:left w:val="nil"/>
              <w:bottom w:val="single" w:color="auto" w:sz="4" w:space="0"/>
              <w:right w:val="nil"/>
            </w:tcBorders>
            <w:vAlign w:val="center"/>
          </w:tcPr>
          <w:p w14:paraId="13BA685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TP53 Regulates Metabolic Genes</w:t>
            </w:r>
          </w:p>
        </w:tc>
        <w:tc>
          <w:tcPr>
            <w:tcW w:w="318" w:type="pct"/>
            <w:tcBorders>
              <w:top w:val="nil"/>
              <w:left w:val="nil"/>
              <w:bottom w:val="single" w:color="auto" w:sz="4" w:space="0"/>
              <w:right w:val="nil"/>
            </w:tcBorders>
            <w:vAlign w:val="center"/>
          </w:tcPr>
          <w:p w14:paraId="71426D5B">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9</w:t>
            </w:r>
          </w:p>
        </w:tc>
        <w:tc>
          <w:tcPr>
            <w:tcW w:w="238" w:type="pct"/>
            <w:tcBorders>
              <w:top w:val="nil"/>
              <w:left w:val="nil"/>
              <w:bottom w:val="single" w:color="auto" w:sz="4" w:space="0"/>
              <w:right w:val="nil"/>
            </w:tcBorders>
            <w:vAlign w:val="center"/>
          </w:tcPr>
          <w:p w14:paraId="1C6A376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1.7</w:t>
            </w:r>
          </w:p>
        </w:tc>
        <w:tc>
          <w:tcPr>
            <w:tcW w:w="430" w:type="pct"/>
            <w:tcBorders>
              <w:top w:val="nil"/>
              <w:left w:val="nil"/>
              <w:bottom w:val="single" w:color="auto" w:sz="4" w:space="0"/>
              <w:right w:val="nil"/>
            </w:tcBorders>
            <w:vAlign w:val="center"/>
          </w:tcPr>
          <w:p w14:paraId="31DBD092">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-4.87</w:t>
            </w:r>
          </w:p>
        </w:tc>
        <w:tc>
          <w:tcPr>
            <w:tcW w:w="425" w:type="pct"/>
            <w:tcBorders>
              <w:top w:val="nil"/>
              <w:left w:val="nil"/>
              <w:bottom w:val="single" w:color="auto" w:sz="4" w:space="0"/>
              <w:right w:val="nil"/>
            </w:tcBorders>
            <w:vAlign w:val="center"/>
          </w:tcPr>
          <w:p w14:paraId="58DD315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-2.22</w:t>
            </w:r>
          </w:p>
        </w:tc>
      </w:tr>
    </w:tbl>
    <w:p w14:paraId="5AF067D1">
      <w:pPr>
        <w:rPr>
          <w:rStyle w:val="34"/>
          <w:rFonts w:ascii="Times New Roman" w:hAnsi="Times New Roman"/>
          <w:b/>
          <w:bCs/>
        </w:rPr>
      </w:pPr>
    </w:p>
    <w:p w14:paraId="53CBA4DA">
      <w:pPr>
        <w:rPr>
          <w:rStyle w:val="34"/>
          <w:rFonts w:ascii="Times New Roman" w:hAnsi="Times New Roman"/>
          <w:b/>
          <w:bCs/>
        </w:rPr>
      </w:pPr>
      <w:r>
        <w:rPr>
          <w:rStyle w:val="34"/>
          <w:rFonts w:ascii="Times New Roman" w:hAnsi="Times New Roman"/>
          <w:b/>
          <w:bCs/>
        </w:rPr>
        <w:t>Table S8. The statistical results of the classification between AD and NC for each site.</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3"/>
        <w:gridCol w:w="666"/>
        <w:gridCol w:w="666"/>
        <w:gridCol w:w="683"/>
        <w:gridCol w:w="666"/>
        <w:gridCol w:w="666"/>
        <w:gridCol w:w="953"/>
        <w:gridCol w:w="666"/>
        <w:gridCol w:w="666"/>
        <w:gridCol w:w="683"/>
        <w:gridCol w:w="666"/>
        <w:gridCol w:w="666"/>
        <w:gridCol w:w="953"/>
        <w:gridCol w:w="666"/>
        <w:gridCol w:w="672"/>
        <w:gridCol w:w="690"/>
        <w:gridCol w:w="666"/>
        <w:gridCol w:w="666"/>
        <w:gridCol w:w="953"/>
      </w:tblGrid>
      <w:tr w14:paraId="5BDF9ADE">
        <w:tc>
          <w:tcPr>
            <w:tcW w:w="0" w:type="auto"/>
            <w:tcBorders>
              <w:top w:val="single" w:color="auto" w:sz="4" w:space="0"/>
              <w:left w:val="nil"/>
              <w:bottom w:val="nil"/>
              <w:right w:val="nil"/>
            </w:tcBorders>
            <w:vAlign w:val="center"/>
          </w:tcPr>
          <w:p w14:paraId="46801690">
            <w:pPr>
              <w:widowControl w:val="0"/>
              <w:jc w:val="both"/>
              <w:rPr>
                <w:rFonts w:ascii="Times New Roman" w:hAnsi="Times New Roman"/>
                <w:b/>
                <w:bCs/>
                <w:color w:val="000000"/>
                <w:sz w:val="22"/>
                <w:szCs w:val="22"/>
                <w:lang w:bidi="ar"/>
              </w:rPr>
            </w:pPr>
          </w:p>
        </w:tc>
        <w:tc>
          <w:tcPr>
            <w:tcW w:w="0" w:type="auto"/>
            <w:gridSpan w:val="6"/>
            <w:tcBorders>
              <w:top w:val="single" w:color="auto" w:sz="4" w:space="0"/>
              <w:left w:val="nil"/>
              <w:bottom w:val="nil"/>
              <w:right w:val="nil"/>
            </w:tcBorders>
            <w:vAlign w:val="center"/>
          </w:tcPr>
          <w:p w14:paraId="3AEE6436">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Features across all</w:t>
            </w:r>
            <w:r>
              <w:rPr>
                <w:rStyle w:val="63"/>
                <w:rFonts w:ascii="Times New Roman" w:hAnsi="Times New Roman" w:cs="Times New Roman"/>
                <w:lang w:bidi="ar"/>
              </w:rPr>
              <w:t>-brains</w:t>
            </w:r>
          </w:p>
        </w:tc>
        <w:tc>
          <w:tcPr>
            <w:tcW w:w="0" w:type="auto"/>
            <w:gridSpan w:val="6"/>
            <w:tcBorders>
              <w:top w:val="single" w:color="auto" w:sz="4" w:space="0"/>
              <w:left w:val="nil"/>
              <w:bottom w:val="nil"/>
              <w:right w:val="nil"/>
            </w:tcBorders>
            <w:vAlign w:val="center"/>
          </w:tcPr>
          <w:p w14:paraId="6687338C">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Features across sig</w:t>
            </w:r>
            <w:r>
              <w:rPr>
                <w:rStyle w:val="63"/>
                <w:rFonts w:ascii="Times New Roman" w:hAnsi="Times New Roman" w:cs="Times New Roman"/>
                <w:lang w:bidi="ar"/>
              </w:rPr>
              <w:t>-brains</w:t>
            </w:r>
          </w:p>
        </w:tc>
        <w:tc>
          <w:tcPr>
            <w:tcW w:w="0" w:type="auto"/>
            <w:gridSpan w:val="6"/>
            <w:tcBorders>
              <w:top w:val="single" w:color="auto" w:sz="4" w:space="0"/>
              <w:left w:val="nil"/>
              <w:bottom w:val="nil"/>
              <w:right w:val="nil"/>
            </w:tcBorders>
            <w:vAlign w:val="center"/>
          </w:tcPr>
          <w:p w14:paraId="6BD16A15">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Features across FDR-brains</w:t>
            </w:r>
          </w:p>
        </w:tc>
      </w:tr>
      <w:tr w14:paraId="6854A3E3">
        <w:tc>
          <w:tcPr>
            <w:tcW w:w="0" w:type="auto"/>
            <w:tcBorders>
              <w:top w:val="nil"/>
              <w:left w:val="nil"/>
              <w:bottom w:val="single" w:color="auto" w:sz="4" w:space="0"/>
              <w:right w:val="nil"/>
            </w:tcBorders>
            <w:vAlign w:val="center"/>
          </w:tcPr>
          <w:p w14:paraId="2C451E93">
            <w:pPr>
              <w:widowControl/>
              <w:jc w:val="center"/>
              <w:textAlignment w:val="center"/>
              <w:rPr>
                <w:rFonts w:ascii="Times New Roman" w:hAnsi="Times New Roman"/>
                <w:b/>
                <w:bCs/>
                <w:color w:val="000000"/>
                <w:sz w:val="18"/>
                <w:szCs w:val="18"/>
                <w:lang w:bidi="ar"/>
              </w:rPr>
            </w:pPr>
            <w:r>
              <w:rPr>
                <w:rFonts w:ascii="Times New Roman" w:hAnsi="Times New Roman"/>
                <w:b/>
                <w:bCs/>
                <w:color w:val="000000"/>
                <w:sz w:val="20"/>
                <w:szCs w:val="20"/>
                <w:lang w:bidi="ar"/>
              </w:rPr>
              <w:t>Site</w:t>
            </w:r>
          </w:p>
        </w:tc>
        <w:tc>
          <w:tcPr>
            <w:tcW w:w="0" w:type="auto"/>
            <w:tcBorders>
              <w:top w:val="nil"/>
              <w:left w:val="nil"/>
              <w:bottom w:val="single" w:color="auto" w:sz="4" w:space="0"/>
              <w:right w:val="nil"/>
            </w:tcBorders>
            <w:vAlign w:val="center"/>
          </w:tcPr>
          <w:p w14:paraId="72B2C4C4">
            <w:pPr>
              <w:widowControl/>
              <w:jc w:val="center"/>
              <w:textAlignment w:val="center"/>
              <w:rPr>
                <w:rFonts w:ascii="Times New Roman" w:hAnsi="Times New Roman"/>
                <w:b/>
                <w:bCs/>
                <w:color w:val="000000"/>
                <w:sz w:val="18"/>
                <w:szCs w:val="18"/>
                <w:lang w:bidi="ar"/>
              </w:rPr>
            </w:pPr>
            <w:r>
              <w:rPr>
                <w:rFonts w:ascii="Times New Roman" w:hAnsi="Times New Roman"/>
                <w:b/>
                <w:bCs/>
                <w:color w:val="000000"/>
                <w:sz w:val="20"/>
                <w:szCs w:val="20"/>
                <w:lang w:bidi="ar"/>
              </w:rPr>
              <w:t>ACC</w:t>
            </w:r>
          </w:p>
        </w:tc>
        <w:tc>
          <w:tcPr>
            <w:tcW w:w="0" w:type="auto"/>
            <w:tcBorders>
              <w:top w:val="nil"/>
              <w:left w:val="nil"/>
              <w:bottom w:val="single" w:color="auto" w:sz="4" w:space="0"/>
              <w:right w:val="nil"/>
            </w:tcBorders>
            <w:vAlign w:val="center"/>
          </w:tcPr>
          <w:p w14:paraId="4F338B76">
            <w:pPr>
              <w:widowControl/>
              <w:jc w:val="center"/>
              <w:textAlignment w:val="center"/>
              <w:rPr>
                <w:rFonts w:ascii="Times New Roman" w:hAnsi="Times New Roman"/>
                <w:b/>
                <w:bCs/>
                <w:color w:val="000000"/>
                <w:sz w:val="18"/>
                <w:szCs w:val="18"/>
                <w:lang w:bidi="ar"/>
              </w:rPr>
            </w:pPr>
            <w:r>
              <w:rPr>
                <w:rFonts w:ascii="Times New Roman" w:hAnsi="Times New Roman"/>
                <w:b/>
                <w:bCs/>
                <w:color w:val="000000"/>
                <w:sz w:val="20"/>
                <w:szCs w:val="20"/>
                <w:lang w:bidi="ar"/>
              </w:rPr>
              <w:t>AUC</w:t>
            </w:r>
          </w:p>
        </w:tc>
        <w:tc>
          <w:tcPr>
            <w:tcW w:w="0" w:type="auto"/>
            <w:tcBorders>
              <w:top w:val="nil"/>
              <w:left w:val="nil"/>
              <w:bottom w:val="single" w:color="auto" w:sz="4" w:space="0"/>
              <w:right w:val="nil"/>
            </w:tcBorders>
            <w:vAlign w:val="center"/>
          </w:tcPr>
          <w:p w14:paraId="077A1C3E">
            <w:pPr>
              <w:widowControl/>
              <w:jc w:val="center"/>
              <w:textAlignment w:val="center"/>
              <w:rPr>
                <w:rFonts w:ascii="Times New Roman" w:hAnsi="Times New Roman"/>
                <w:sz w:val="20"/>
                <w:szCs w:val="20"/>
              </w:rPr>
            </w:pPr>
            <w:r>
              <w:rPr>
                <w:rFonts w:ascii="Times New Roman" w:hAnsi="Times New Roman"/>
                <w:b/>
                <w:bCs/>
                <w:color w:val="000000"/>
                <w:sz w:val="20"/>
                <w:szCs w:val="20"/>
                <w:lang w:bidi="ar"/>
              </w:rPr>
              <w:t>F1</w:t>
            </w:r>
            <w:r>
              <w:rPr>
                <w:rStyle w:val="63"/>
                <w:rFonts w:ascii="Times New Roman" w:hAnsi="Times New Roman" w:cs="Times New Roman"/>
                <w:sz w:val="20"/>
                <w:szCs w:val="20"/>
                <w:lang w:bidi="ar"/>
              </w:rPr>
              <w:t xml:space="preserve"> score</w:t>
            </w:r>
          </w:p>
        </w:tc>
        <w:tc>
          <w:tcPr>
            <w:tcW w:w="0" w:type="auto"/>
            <w:tcBorders>
              <w:top w:val="nil"/>
              <w:left w:val="nil"/>
              <w:bottom w:val="single" w:color="auto" w:sz="4" w:space="0"/>
              <w:right w:val="nil"/>
            </w:tcBorders>
            <w:vAlign w:val="center"/>
          </w:tcPr>
          <w:p w14:paraId="729A18FD">
            <w:pPr>
              <w:widowControl/>
              <w:jc w:val="center"/>
              <w:textAlignment w:val="center"/>
              <w:rPr>
                <w:rFonts w:ascii="Times New Roman" w:hAnsi="Times New Roman"/>
                <w:b/>
                <w:bCs/>
                <w:color w:val="000000"/>
                <w:sz w:val="18"/>
                <w:szCs w:val="18"/>
                <w:lang w:bidi="ar"/>
              </w:rPr>
            </w:pPr>
            <w:r>
              <w:rPr>
                <w:rFonts w:ascii="Times New Roman" w:hAnsi="Times New Roman"/>
                <w:b/>
                <w:bCs/>
                <w:color w:val="000000"/>
                <w:sz w:val="20"/>
                <w:szCs w:val="20"/>
                <w:lang w:bidi="ar"/>
              </w:rPr>
              <w:t>SPE</w:t>
            </w:r>
          </w:p>
        </w:tc>
        <w:tc>
          <w:tcPr>
            <w:tcW w:w="0" w:type="auto"/>
            <w:tcBorders>
              <w:top w:val="nil"/>
              <w:left w:val="nil"/>
              <w:bottom w:val="single" w:color="auto" w:sz="4" w:space="0"/>
              <w:right w:val="nil"/>
            </w:tcBorders>
            <w:vAlign w:val="center"/>
          </w:tcPr>
          <w:p w14:paraId="1CBD9108">
            <w:pPr>
              <w:widowControl/>
              <w:jc w:val="center"/>
              <w:textAlignment w:val="center"/>
              <w:rPr>
                <w:rFonts w:ascii="Times New Roman" w:hAnsi="Times New Roman"/>
                <w:sz w:val="20"/>
                <w:szCs w:val="20"/>
              </w:rPr>
            </w:pPr>
            <w:r>
              <w:rPr>
                <w:rFonts w:ascii="Times New Roman" w:hAnsi="Times New Roman"/>
                <w:b/>
                <w:bCs/>
                <w:color w:val="000000"/>
                <w:sz w:val="20"/>
                <w:szCs w:val="20"/>
                <w:lang w:bidi="ar"/>
              </w:rPr>
              <w:t>SEN</w:t>
            </w:r>
          </w:p>
        </w:tc>
        <w:tc>
          <w:tcPr>
            <w:tcW w:w="0" w:type="auto"/>
            <w:tcBorders>
              <w:top w:val="nil"/>
              <w:left w:val="nil"/>
              <w:bottom w:val="single" w:color="auto" w:sz="4" w:space="0"/>
              <w:right w:val="nil"/>
            </w:tcBorders>
            <w:vAlign w:val="center"/>
          </w:tcPr>
          <w:p w14:paraId="2F71A1C5">
            <w:pPr>
              <w:widowControl/>
              <w:jc w:val="center"/>
              <w:textAlignment w:val="center"/>
              <w:rPr>
                <w:rFonts w:ascii="Times New Roman" w:hAnsi="Times New Roman"/>
                <w:sz w:val="20"/>
                <w:szCs w:val="20"/>
              </w:rPr>
            </w:pPr>
            <w:r>
              <w:rPr>
                <w:rFonts w:ascii="Times New Roman" w:hAnsi="Times New Roman"/>
                <w:b/>
                <w:bCs/>
                <w:color w:val="000000"/>
                <w:sz w:val="18"/>
                <w:szCs w:val="18"/>
                <w:lang w:bidi="ar"/>
              </w:rPr>
              <w:t>Balanced</w:t>
            </w:r>
            <w:r>
              <w:rPr>
                <w:rStyle w:val="64"/>
                <w:sz w:val="13"/>
                <w:szCs w:val="13"/>
                <w:lang w:bidi="ar"/>
              </w:rPr>
              <w:t xml:space="preserve"> </w:t>
            </w:r>
            <w:r>
              <w:rPr>
                <w:rStyle w:val="64"/>
                <w:b/>
                <w:bCs/>
                <w:lang w:bidi="ar"/>
              </w:rPr>
              <w:t>ACC</w:t>
            </w:r>
          </w:p>
        </w:tc>
        <w:tc>
          <w:tcPr>
            <w:tcW w:w="0" w:type="auto"/>
            <w:tcBorders>
              <w:top w:val="nil"/>
              <w:left w:val="nil"/>
              <w:bottom w:val="single" w:color="auto" w:sz="4" w:space="0"/>
              <w:right w:val="nil"/>
            </w:tcBorders>
            <w:vAlign w:val="center"/>
          </w:tcPr>
          <w:p w14:paraId="3557CF72">
            <w:pPr>
              <w:widowControl/>
              <w:jc w:val="center"/>
              <w:textAlignment w:val="center"/>
              <w:rPr>
                <w:rFonts w:ascii="Times New Roman" w:hAnsi="Times New Roman"/>
                <w:b/>
                <w:bCs/>
                <w:color w:val="000000"/>
                <w:sz w:val="18"/>
                <w:szCs w:val="18"/>
                <w:lang w:bidi="ar"/>
              </w:rPr>
            </w:pPr>
            <w:r>
              <w:rPr>
                <w:rFonts w:ascii="Times New Roman" w:hAnsi="Times New Roman"/>
                <w:b/>
                <w:bCs/>
                <w:color w:val="000000"/>
                <w:sz w:val="20"/>
                <w:szCs w:val="20"/>
                <w:lang w:bidi="ar"/>
              </w:rPr>
              <w:t>ACC</w:t>
            </w:r>
          </w:p>
        </w:tc>
        <w:tc>
          <w:tcPr>
            <w:tcW w:w="0" w:type="auto"/>
            <w:tcBorders>
              <w:top w:val="nil"/>
              <w:left w:val="nil"/>
              <w:bottom w:val="single" w:color="auto" w:sz="4" w:space="0"/>
              <w:right w:val="nil"/>
            </w:tcBorders>
            <w:vAlign w:val="center"/>
          </w:tcPr>
          <w:p w14:paraId="04BE09D5">
            <w:pPr>
              <w:widowControl/>
              <w:jc w:val="center"/>
              <w:textAlignment w:val="center"/>
              <w:rPr>
                <w:rFonts w:ascii="Times New Roman" w:hAnsi="Times New Roman"/>
                <w:b/>
                <w:bCs/>
                <w:color w:val="000000"/>
                <w:sz w:val="18"/>
                <w:szCs w:val="18"/>
                <w:lang w:bidi="ar"/>
              </w:rPr>
            </w:pPr>
            <w:r>
              <w:rPr>
                <w:rFonts w:ascii="Times New Roman" w:hAnsi="Times New Roman"/>
                <w:b/>
                <w:bCs/>
                <w:color w:val="000000"/>
                <w:sz w:val="20"/>
                <w:szCs w:val="20"/>
                <w:lang w:bidi="ar"/>
              </w:rPr>
              <w:t>AUC</w:t>
            </w:r>
          </w:p>
        </w:tc>
        <w:tc>
          <w:tcPr>
            <w:tcW w:w="0" w:type="auto"/>
            <w:tcBorders>
              <w:top w:val="nil"/>
              <w:left w:val="nil"/>
              <w:bottom w:val="single" w:color="auto" w:sz="4" w:space="0"/>
              <w:right w:val="nil"/>
            </w:tcBorders>
            <w:vAlign w:val="center"/>
          </w:tcPr>
          <w:p w14:paraId="098BD373">
            <w:pPr>
              <w:widowControl/>
              <w:jc w:val="center"/>
              <w:textAlignment w:val="center"/>
              <w:rPr>
                <w:rFonts w:ascii="Times New Roman" w:hAnsi="Times New Roman"/>
                <w:sz w:val="20"/>
                <w:szCs w:val="20"/>
              </w:rPr>
            </w:pPr>
            <w:r>
              <w:rPr>
                <w:rFonts w:ascii="Times New Roman" w:hAnsi="Times New Roman"/>
                <w:b/>
                <w:bCs/>
                <w:color w:val="000000"/>
                <w:sz w:val="20"/>
                <w:szCs w:val="20"/>
                <w:lang w:bidi="ar"/>
              </w:rPr>
              <w:t>F1</w:t>
            </w:r>
            <w:r>
              <w:rPr>
                <w:rStyle w:val="63"/>
                <w:rFonts w:ascii="Times New Roman" w:hAnsi="Times New Roman" w:cs="Times New Roman"/>
                <w:sz w:val="20"/>
                <w:szCs w:val="20"/>
                <w:lang w:bidi="ar"/>
              </w:rPr>
              <w:t xml:space="preserve"> score</w:t>
            </w:r>
          </w:p>
        </w:tc>
        <w:tc>
          <w:tcPr>
            <w:tcW w:w="0" w:type="auto"/>
            <w:tcBorders>
              <w:top w:val="nil"/>
              <w:left w:val="nil"/>
              <w:bottom w:val="single" w:color="auto" w:sz="4" w:space="0"/>
              <w:right w:val="nil"/>
            </w:tcBorders>
            <w:vAlign w:val="center"/>
          </w:tcPr>
          <w:p w14:paraId="543B968D">
            <w:pPr>
              <w:widowControl/>
              <w:jc w:val="center"/>
              <w:textAlignment w:val="center"/>
              <w:rPr>
                <w:rFonts w:ascii="Times New Roman" w:hAnsi="Times New Roman"/>
                <w:b/>
                <w:bCs/>
                <w:color w:val="000000"/>
                <w:sz w:val="18"/>
                <w:szCs w:val="18"/>
                <w:lang w:bidi="ar"/>
              </w:rPr>
            </w:pPr>
            <w:r>
              <w:rPr>
                <w:rFonts w:ascii="Times New Roman" w:hAnsi="Times New Roman"/>
                <w:b/>
                <w:bCs/>
                <w:color w:val="000000"/>
                <w:sz w:val="20"/>
                <w:szCs w:val="20"/>
                <w:lang w:bidi="ar"/>
              </w:rPr>
              <w:t>SPE</w:t>
            </w:r>
          </w:p>
        </w:tc>
        <w:tc>
          <w:tcPr>
            <w:tcW w:w="0" w:type="auto"/>
            <w:tcBorders>
              <w:top w:val="nil"/>
              <w:left w:val="nil"/>
              <w:bottom w:val="single" w:color="auto" w:sz="4" w:space="0"/>
              <w:right w:val="nil"/>
            </w:tcBorders>
            <w:vAlign w:val="center"/>
          </w:tcPr>
          <w:p w14:paraId="0D0B8CC5">
            <w:pPr>
              <w:widowControl/>
              <w:jc w:val="center"/>
              <w:textAlignment w:val="center"/>
              <w:rPr>
                <w:rFonts w:ascii="Times New Roman" w:hAnsi="Times New Roman"/>
                <w:sz w:val="20"/>
                <w:szCs w:val="20"/>
              </w:rPr>
            </w:pPr>
            <w:r>
              <w:rPr>
                <w:rFonts w:ascii="Times New Roman" w:hAnsi="Times New Roman"/>
                <w:b/>
                <w:bCs/>
                <w:color w:val="000000"/>
                <w:sz w:val="20"/>
                <w:szCs w:val="20"/>
                <w:lang w:bidi="ar"/>
              </w:rPr>
              <w:t>SEN</w:t>
            </w:r>
          </w:p>
        </w:tc>
        <w:tc>
          <w:tcPr>
            <w:tcW w:w="0" w:type="auto"/>
            <w:tcBorders>
              <w:top w:val="nil"/>
              <w:left w:val="nil"/>
              <w:bottom w:val="single" w:color="auto" w:sz="4" w:space="0"/>
              <w:right w:val="nil"/>
            </w:tcBorders>
            <w:vAlign w:val="center"/>
          </w:tcPr>
          <w:p w14:paraId="0F242A7A">
            <w:pPr>
              <w:widowControl/>
              <w:jc w:val="center"/>
              <w:textAlignment w:val="center"/>
              <w:rPr>
                <w:rFonts w:ascii="Times New Roman" w:hAnsi="Times New Roman"/>
                <w:sz w:val="20"/>
                <w:szCs w:val="20"/>
              </w:rPr>
            </w:pPr>
            <w:r>
              <w:rPr>
                <w:rFonts w:ascii="Times New Roman" w:hAnsi="Times New Roman"/>
                <w:b/>
                <w:bCs/>
                <w:color w:val="000000"/>
                <w:sz w:val="18"/>
                <w:szCs w:val="18"/>
                <w:lang w:bidi="ar"/>
              </w:rPr>
              <w:t>Balanced</w:t>
            </w:r>
            <w:r>
              <w:rPr>
                <w:rStyle w:val="64"/>
                <w:sz w:val="13"/>
                <w:szCs w:val="13"/>
                <w:lang w:bidi="ar"/>
              </w:rPr>
              <w:t xml:space="preserve"> </w:t>
            </w:r>
            <w:r>
              <w:rPr>
                <w:rStyle w:val="64"/>
                <w:b/>
                <w:bCs/>
                <w:lang w:bidi="ar"/>
              </w:rPr>
              <w:t>ACC</w:t>
            </w:r>
          </w:p>
        </w:tc>
        <w:tc>
          <w:tcPr>
            <w:tcW w:w="0" w:type="auto"/>
            <w:tcBorders>
              <w:top w:val="nil"/>
              <w:left w:val="nil"/>
              <w:bottom w:val="single" w:color="auto" w:sz="4" w:space="0"/>
              <w:right w:val="nil"/>
            </w:tcBorders>
            <w:vAlign w:val="center"/>
          </w:tcPr>
          <w:p w14:paraId="797E33AD">
            <w:pPr>
              <w:widowControl/>
              <w:jc w:val="center"/>
              <w:textAlignment w:val="center"/>
              <w:rPr>
                <w:rFonts w:ascii="Times New Roman" w:hAnsi="Times New Roman"/>
                <w:b/>
                <w:bCs/>
                <w:color w:val="000000"/>
                <w:sz w:val="18"/>
                <w:szCs w:val="18"/>
                <w:lang w:bidi="ar"/>
              </w:rPr>
            </w:pPr>
            <w:r>
              <w:rPr>
                <w:rFonts w:ascii="Times New Roman" w:hAnsi="Times New Roman"/>
                <w:b/>
                <w:bCs/>
                <w:color w:val="000000"/>
                <w:sz w:val="20"/>
                <w:szCs w:val="20"/>
                <w:lang w:bidi="ar"/>
              </w:rPr>
              <w:t>ACC</w:t>
            </w:r>
          </w:p>
        </w:tc>
        <w:tc>
          <w:tcPr>
            <w:tcW w:w="672" w:type="dxa"/>
            <w:tcBorders>
              <w:top w:val="nil"/>
              <w:left w:val="nil"/>
              <w:bottom w:val="single" w:color="auto" w:sz="4" w:space="0"/>
              <w:right w:val="nil"/>
            </w:tcBorders>
            <w:vAlign w:val="center"/>
          </w:tcPr>
          <w:p w14:paraId="79917E3D">
            <w:pPr>
              <w:widowControl/>
              <w:jc w:val="center"/>
              <w:textAlignment w:val="center"/>
              <w:rPr>
                <w:rFonts w:ascii="Times New Roman" w:hAnsi="Times New Roman"/>
                <w:b/>
                <w:bCs/>
                <w:color w:val="000000"/>
                <w:sz w:val="18"/>
                <w:szCs w:val="18"/>
                <w:lang w:bidi="ar"/>
              </w:rPr>
            </w:pPr>
            <w:r>
              <w:rPr>
                <w:rFonts w:ascii="Times New Roman" w:hAnsi="Times New Roman"/>
                <w:b/>
                <w:bCs/>
                <w:color w:val="000000"/>
                <w:sz w:val="20"/>
                <w:szCs w:val="20"/>
                <w:lang w:bidi="ar"/>
              </w:rPr>
              <w:t>AUC</w:t>
            </w:r>
          </w:p>
        </w:tc>
        <w:tc>
          <w:tcPr>
            <w:tcW w:w="690" w:type="dxa"/>
            <w:tcBorders>
              <w:top w:val="nil"/>
              <w:left w:val="nil"/>
              <w:bottom w:val="single" w:color="auto" w:sz="4" w:space="0"/>
              <w:right w:val="nil"/>
            </w:tcBorders>
            <w:vAlign w:val="center"/>
          </w:tcPr>
          <w:p w14:paraId="5DA4D6E1">
            <w:pPr>
              <w:widowControl/>
              <w:jc w:val="center"/>
              <w:textAlignment w:val="center"/>
              <w:rPr>
                <w:rFonts w:ascii="Times New Roman" w:hAnsi="Times New Roman"/>
                <w:sz w:val="20"/>
                <w:szCs w:val="20"/>
              </w:rPr>
            </w:pPr>
            <w:r>
              <w:rPr>
                <w:rFonts w:ascii="Times New Roman" w:hAnsi="Times New Roman"/>
                <w:b/>
                <w:bCs/>
                <w:color w:val="000000"/>
                <w:sz w:val="20"/>
                <w:szCs w:val="20"/>
                <w:lang w:bidi="ar"/>
              </w:rPr>
              <w:t>F1</w:t>
            </w:r>
            <w:r>
              <w:rPr>
                <w:rStyle w:val="63"/>
                <w:rFonts w:ascii="Times New Roman" w:hAnsi="Times New Roman" w:cs="Times New Roman"/>
                <w:sz w:val="20"/>
                <w:szCs w:val="20"/>
                <w:lang w:bidi="ar"/>
              </w:rPr>
              <w:t xml:space="preserve"> score</w:t>
            </w:r>
          </w:p>
        </w:tc>
        <w:tc>
          <w:tcPr>
            <w:tcW w:w="0" w:type="auto"/>
            <w:tcBorders>
              <w:top w:val="nil"/>
              <w:left w:val="nil"/>
              <w:bottom w:val="single" w:color="auto" w:sz="4" w:space="0"/>
              <w:right w:val="nil"/>
            </w:tcBorders>
            <w:vAlign w:val="center"/>
          </w:tcPr>
          <w:p w14:paraId="17D46529">
            <w:pPr>
              <w:widowControl/>
              <w:jc w:val="center"/>
              <w:textAlignment w:val="center"/>
              <w:rPr>
                <w:rFonts w:ascii="Times New Roman" w:hAnsi="Times New Roman"/>
                <w:b/>
                <w:bCs/>
                <w:color w:val="000000"/>
                <w:sz w:val="18"/>
                <w:szCs w:val="18"/>
                <w:lang w:bidi="ar"/>
              </w:rPr>
            </w:pPr>
            <w:r>
              <w:rPr>
                <w:rFonts w:ascii="Times New Roman" w:hAnsi="Times New Roman"/>
                <w:b/>
                <w:bCs/>
                <w:color w:val="000000"/>
                <w:sz w:val="20"/>
                <w:szCs w:val="20"/>
                <w:lang w:bidi="ar"/>
              </w:rPr>
              <w:t>SPE</w:t>
            </w:r>
          </w:p>
        </w:tc>
        <w:tc>
          <w:tcPr>
            <w:tcW w:w="0" w:type="auto"/>
            <w:tcBorders>
              <w:top w:val="nil"/>
              <w:left w:val="nil"/>
              <w:bottom w:val="single" w:color="auto" w:sz="4" w:space="0"/>
              <w:right w:val="nil"/>
            </w:tcBorders>
            <w:vAlign w:val="center"/>
          </w:tcPr>
          <w:p w14:paraId="4A398D31">
            <w:pPr>
              <w:widowControl/>
              <w:jc w:val="center"/>
              <w:textAlignment w:val="center"/>
              <w:rPr>
                <w:rFonts w:ascii="Times New Roman" w:hAnsi="Times New Roman"/>
                <w:sz w:val="20"/>
                <w:szCs w:val="20"/>
              </w:rPr>
            </w:pPr>
            <w:r>
              <w:rPr>
                <w:rFonts w:ascii="Times New Roman" w:hAnsi="Times New Roman"/>
                <w:b/>
                <w:bCs/>
                <w:color w:val="000000"/>
                <w:sz w:val="20"/>
                <w:szCs w:val="20"/>
                <w:lang w:bidi="ar"/>
              </w:rPr>
              <w:t>SEN</w:t>
            </w:r>
          </w:p>
        </w:tc>
        <w:tc>
          <w:tcPr>
            <w:tcW w:w="0" w:type="auto"/>
            <w:tcBorders>
              <w:top w:val="nil"/>
              <w:left w:val="nil"/>
              <w:bottom w:val="single" w:color="auto" w:sz="4" w:space="0"/>
              <w:right w:val="nil"/>
            </w:tcBorders>
            <w:vAlign w:val="center"/>
          </w:tcPr>
          <w:p w14:paraId="1CEA6C97">
            <w:pPr>
              <w:widowControl/>
              <w:jc w:val="center"/>
              <w:textAlignment w:val="center"/>
              <w:rPr>
                <w:rFonts w:ascii="Times New Roman" w:hAnsi="Times New Roman"/>
                <w:sz w:val="20"/>
                <w:szCs w:val="20"/>
              </w:rPr>
            </w:pPr>
            <w:r>
              <w:rPr>
                <w:rFonts w:ascii="Times New Roman" w:hAnsi="Times New Roman"/>
                <w:b/>
                <w:bCs/>
                <w:color w:val="000000"/>
                <w:sz w:val="18"/>
                <w:szCs w:val="18"/>
                <w:lang w:bidi="ar"/>
              </w:rPr>
              <w:t>Balanced</w:t>
            </w:r>
            <w:r>
              <w:rPr>
                <w:rStyle w:val="64"/>
                <w:b/>
                <w:bCs/>
                <w:sz w:val="11"/>
                <w:szCs w:val="11"/>
                <w:lang w:bidi="ar"/>
              </w:rPr>
              <w:t xml:space="preserve"> </w:t>
            </w:r>
            <w:r>
              <w:rPr>
                <w:rStyle w:val="64"/>
                <w:b/>
                <w:bCs/>
                <w:lang w:bidi="ar"/>
              </w:rPr>
              <w:t>ACC</w:t>
            </w:r>
          </w:p>
        </w:tc>
      </w:tr>
      <w:tr w14:paraId="759AB7F5">
        <w:tc>
          <w:tcPr>
            <w:tcW w:w="0" w:type="auto"/>
            <w:tcBorders>
              <w:top w:val="single" w:color="auto" w:sz="4" w:space="0"/>
              <w:left w:val="nil"/>
              <w:bottom w:val="nil"/>
              <w:right w:val="nil"/>
            </w:tcBorders>
            <w:vAlign w:val="center"/>
          </w:tcPr>
          <w:p w14:paraId="12201CCD">
            <w:pPr>
              <w:widowControl/>
              <w:jc w:val="center"/>
              <w:textAlignment w:val="center"/>
              <w:rPr>
                <w:rFonts w:ascii="Times New Roman" w:hAnsi="Times New Roman"/>
                <w:color w:val="000000"/>
                <w:sz w:val="21"/>
                <w:szCs w:val="21"/>
              </w:rPr>
            </w:pPr>
            <w:r>
              <w:rPr>
                <w:rFonts w:ascii="Times New Roman" w:hAnsi="Times New Roman"/>
                <w:color w:val="000000"/>
                <w:sz w:val="21"/>
                <w:szCs w:val="21"/>
                <w:lang w:bidi="ar"/>
              </w:rPr>
              <w:t>S01</w:t>
            </w:r>
          </w:p>
        </w:tc>
        <w:tc>
          <w:tcPr>
            <w:tcW w:w="0" w:type="auto"/>
            <w:tcBorders>
              <w:top w:val="single" w:color="auto" w:sz="4" w:space="0"/>
              <w:left w:val="nil"/>
              <w:bottom w:val="nil"/>
              <w:right w:val="nil"/>
            </w:tcBorders>
            <w:vAlign w:val="center"/>
          </w:tcPr>
          <w:p w14:paraId="74FD9613">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0.833</w:t>
            </w:r>
          </w:p>
        </w:tc>
        <w:tc>
          <w:tcPr>
            <w:tcW w:w="0" w:type="auto"/>
            <w:tcBorders>
              <w:top w:val="single" w:color="auto" w:sz="4" w:space="0"/>
              <w:left w:val="nil"/>
              <w:bottom w:val="nil"/>
              <w:right w:val="nil"/>
            </w:tcBorders>
            <w:vAlign w:val="center"/>
          </w:tcPr>
          <w:p w14:paraId="3F733A2F">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0.926</w:t>
            </w:r>
          </w:p>
        </w:tc>
        <w:tc>
          <w:tcPr>
            <w:tcW w:w="0" w:type="auto"/>
            <w:tcBorders>
              <w:top w:val="single" w:color="auto" w:sz="4" w:space="0"/>
              <w:left w:val="nil"/>
              <w:bottom w:val="nil"/>
              <w:right w:val="nil"/>
            </w:tcBorders>
            <w:vAlign w:val="center"/>
          </w:tcPr>
          <w:p w14:paraId="428BEA7A">
            <w:pPr>
              <w:widowControl/>
              <w:jc w:val="center"/>
              <w:textAlignment w:val="center"/>
              <w:rPr>
                <w:rFonts w:ascii="Times New Roman" w:hAnsi="Times New Roman"/>
                <w:sz w:val="21"/>
                <w:szCs w:val="21"/>
              </w:rPr>
            </w:pPr>
            <w:r>
              <w:rPr>
                <w:rFonts w:ascii="Times New Roman" w:hAnsi="Times New Roman"/>
                <w:color w:val="000000"/>
                <w:sz w:val="20"/>
                <w:szCs w:val="20"/>
                <w:lang w:bidi="ar"/>
              </w:rPr>
              <w:t>0.857</w:t>
            </w:r>
          </w:p>
        </w:tc>
        <w:tc>
          <w:tcPr>
            <w:tcW w:w="0" w:type="auto"/>
            <w:tcBorders>
              <w:top w:val="single" w:color="auto" w:sz="4" w:space="0"/>
              <w:left w:val="nil"/>
              <w:bottom w:val="nil"/>
              <w:right w:val="nil"/>
            </w:tcBorders>
            <w:vAlign w:val="center"/>
          </w:tcPr>
          <w:p w14:paraId="0CAF1627">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0.700</w:t>
            </w:r>
          </w:p>
        </w:tc>
        <w:tc>
          <w:tcPr>
            <w:tcW w:w="0" w:type="auto"/>
            <w:tcBorders>
              <w:top w:val="single" w:color="auto" w:sz="4" w:space="0"/>
              <w:left w:val="nil"/>
              <w:bottom w:val="nil"/>
              <w:right w:val="nil"/>
            </w:tcBorders>
            <w:vAlign w:val="center"/>
          </w:tcPr>
          <w:p w14:paraId="33F182C0">
            <w:pPr>
              <w:widowControl/>
              <w:jc w:val="center"/>
              <w:textAlignment w:val="center"/>
              <w:rPr>
                <w:rFonts w:ascii="Times New Roman" w:hAnsi="Times New Roman"/>
                <w:sz w:val="21"/>
                <w:szCs w:val="21"/>
              </w:rPr>
            </w:pPr>
            <w:r>
              <w:rPr>
                <w:rFonts w:ascii="Times New Roman" w:hAnsi="Times New Roman"/>
                <w:color w:val="000000"/>
                <w:sz w:val="20"/>
                <w:szCs w:val="20"/>
                <w:lang w:bidi="ar"/>
              </w:rPr>
              <w:t>0.955</w:t>
            </w:r>
          </w:p>
        </w:tc>
        <w:tc>
          <w:tcPr>
            <w:tcW w:w="0" w:type="auto"/>
            <w:tcBorders>
              <w:top w:val="single" w:color="auto" w:sz="4" w:space="0"/>
              <w:left w:val="nil"/>
              <w:bottom w:val="nil"/>
              <w:right w:val="nil"/>
            </w:tcBorders>
            <w:vAlign w:val="center"/>
          </w:tcPr>
          <w:p w14:paraId="5331DC83">
            <w:pPr>
              <w:widowControl/>
              <w:jc w:val="center"/>
              <w:textAlignment w:val="center"/>
              <w:rPr>
                <w:rFonts w:ascii="Times New Roman" w:hAnsi="Times New Roman"/>
                <w:sz w:val="21"/>
                <w:szCs w:val="21"/>
              </w:rPr>
            </w:pPr>
            <w:r>
              <w:rPr>
                <w:rFonts w:ascii="Times New Roman" w:hAnsi="Times New Roman"/>
                <w:color w:val="000000"/>
                <w:sz w:val="20"/>
                <w:szCs w:val="20"/>
                <w:lang w:bidi="ar"/>
              </w:rPr>
              <w:t>0.827</w:t>
            </w:r>
          </w:p>
        </w:tc>
        <w:tc>
          <w:tcPr>
            <w:tcW w:w="0" w:type="auto"/>
            <w:tcBorders>
              <w:top w:val="single" w:color="auto" w:sz="4" w:space="0"/>
              <w:left w:val="nil"/>
              <w:bottom w:val="nil"/>
              <w:right w:val="nil"/>
            </w:tcBorders>
            <w:vAlign w:val="center"/>
          </w:tcPr>
          <w:p w14:paraId="3AE5627C">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0.833</w:t>
            </w:r>
          </w:p>
        </w:tc>
        <w:tc>
          <w:tcPr>
            <w:tcW w:w="0" w:type="auto"/>
            <w:tcBorders>
              <w:top w:val="single" w:color="auto" w:sz="4" w:space="0"/>
              <w:left w:val="nil"/>
              <w:bottom w:val="nil"/>
              <w:right w:val="nil"/>
            </w:tcBorders>
            <w:vAlign w:val="center"/>
          </w:tcPr>
          <w:p w14:paraId="0D00012C">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0.899</w:t>
            </w:r>
          </w:p>
        </w:tc>
        <w:tc>
          <w:tcPr>
            <w:tcW w:w="0" w:type="auto"/>
            <w:tcBorders>
              <w:top w:val="single" w:color="auto" w:sz="4" w:space="0"/>
              <w:left w:val="nil"/>
              <w:bottom w:val="nil"/>
              <w:right w:val="nil"/>
            </w:tcBorders>
            <w:vAlign w:val="center"/>
          </w:tcPr>
          <w:p w14:paraId="5439AB75">
            <w:pPr>
              <w:widowControl/>
              <w:jc w:val="center"/>
              <w:textAlignment w:val="center"/>
              <w:rPr>
                <w:rFonts w:ascii="Times New Roman" w:hAnsi="Times New Roman"/>
                <w:sz w:val="21"/>
                <w:szCs w:val="21"/>
              </w:rPr>
            </w:pPr>
            <w:r>
              <w:rPr>
                <w:rFonts w:ascii="Times New Roman" w:hAnsi="Times New Roman"/>
                <w:color w:val="000000"/>
                <w:sz w:val="20"/>
                <w:szCs w:val="20"/>
                <w:lang w:bidi="ar"/>
              </w:rPr>
              <w:t>0.841</w:t>
            </w:r>
          </w:p>
        </w:tc>
        <w:tc>
          <w:tcPr>
            <w:tcW w:w="0" w:type="auto"/>
            <w:tcBorders>
              <w:top w:val="single" w:color="auto" w:sz="4" w:space="0"/>
              <w:left w:val="nil"/>
              <w:bottom w:val="nil"/>
              <w:right w:val="nil"/>
            </w:tcBorders>
            <w:vAlign w:val="center"/>
          </w:tcPr>
          <w:p w14:paraId="4373835E">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0.825</w:t>
            </w:r>
          </w:p>
        </w:tc>
        <w:tc>
          <w:tcPr>
            <w:tcW w:w="0" w:type="auto"/>
            <w:tcBorders>
              <w:top w:val="single" w:color="auto" w:sz="4" w:space="0"/>
              <w:left w:val="nil"/>
              <w:bottom w:val="nil"/>
              <w:right w:val="nil"/>
            </w:tcBorders>
            <w:vAlign w:val="center"/>
          </w:tcPr>
          <w:p w14:paraId="41837B26">
            <w:pPr>
              <w:widowControl/>
              <w:jc w:val="center"/>
              <w:textAlignment w:val="center"/>
              <w:rPr>
                <w:rFonts w:ascii="Times New Roman" w:hAnsi="Times New Roman"/>
                <w:sz w:val="21"/>
                <w:szCs w:val="21"/>
              </w:rPr>
            </w:pPr>
            <w:r>
              <w:rPr>
                <w:rFonts w:ascii="Times New Roman" w:hAnsi="Times New Roman"/>
                <w:color w:val="000000"/>
                <w:sz w:val="20"/>
                <w:szCs w:val="20"/>
                <w:lang w:bidi="ar"/>
              </w:rPr>
              <w:t>0.841</w:t>
            </w:r>
          </w:p>
        </w:tc>
        <w:tc>
          <w:tcPr>
            <w:tcW w:w="0" w:type="auto"/>
            <w:tcBorders>
              <w:top w:val="single" w:color="auto" w:sz="4" w:space="0"/>
              <w:left w:val="nil"/>
              <w:bottom w:val="nil"/>
              <w:right w:val="nil"/>
            </w:tcBorders>
            <w:vAlign w:val="center"/>
          </w:tcPr>
          <w:p w14:paraId="6C183E03">
            <w:pPr>
              <w:widowControl/>
              <w:jc w:val="center"/>
              <w:textAlignment w:val="center"/>
              <w:rPr>
                <w:rFonts w:ascii="Times New Roman" w:hAnsi="Times New Roman"/>
                <w:sz w:val="21"/>
                <w:szCs w:val="21"/>
              </w:rPr>
            </w:pPr>
            <w:r>
              <w:rPr>
                <w:rFonts w:ascii="Times New Roman" w:hAnsi="Times New Roman"/>
                <w:color w:val="000000"/>
                <w:sz w:val="20"/>
                <w:szCs w:val="20"/>
                <w:lang w:bidi="ar"/>
              </w:rPr>
              <w:t>0.833</w:t>
            </w:r>
          </w:p>
        </w:tc>
        <w:tc>
          <w:tcPr>
            <w:tcW w:w="0" w:type="auto"/>
            <w:tcBorders>
              <w:top w:val="single" w:color="auto" w:sz="4" w:space="0"/>
              <w:left w:val="nil"/>
              <w:bottom w:val="nil"/>
              <w:right w:val="nil"/>
            </w:tcBorders>
          </w:tcPr>
          <w:p w14:paraId="790FF7CA">
            <w:pPr>
              <w:widowControl/>
              <w:jc w:val="center"/>
              <w:textAlignment w:val="top"/>
              <w:rPr>
                <w:rFonts w:ascii="Times New Roman" w:hAnsi="Times New Roman"/>
                <w:color w:val="000000"/>
                <w:sz w:val="20"/>
                <w:szCs w:val="20"/>
              </w:rPr>
            </w:pPr>
            <w:r>
              <w:rPr>
                <w:rFonts w:ascii="Times New Roman" w:hAnsi="Times New Roman"/>
                <w:color w:val="000000"/>
                <w:sz w:val="20"/>
                <w:szCs w:val="20"/>
                <w:lang w:bidi="ar"/>
              </w:rPr>
              <w:t>0.774</w:t>
            </w:r>
          </w:p>
        </w:tc>
        <w:tc>
          <w:tcPr>
            <w:tcW w:w="672" w:type="dxa"/>
            <w:tcBorders>
              <w:top w:val="single" w:color="auto" w:sz="4" w:space="0"/>
              <w:left w:val="nil"/>
              <w:bottom w:val="nil"/>
              <w:right w:val="nil"/>
            </w:tcBorders>
          </w:tcPr>
          <w:p w14:paraId="74A20694">
            <w:pPr>
              <w:widowControl/>
              <w:jc w:val="center"/>
              <w:textAlignment w:val="top"/>
              <w:rPr>
                <w:rFonts w:ascii="Times New Roman" w:hAnsi="Times New Roman"/>
                <w:color w:val="000000"/>
                <w:sz w:val="20"/>
                <w:szCs w:val="20"/>
              </w:rPr>
            </w:pPr>
            <w:r>
              <w:rPr>
                <w:rFonts w:ascii="Times New Roman" w:hAnsi="Times New Roman"/>
                <w:color w:val="000000"/>
                <w:sz w:val="20"/>
                <w:szCs w:val="20"/>
                <w:lang w:bidi="ar"/>
              </w:rPr>
              <w:t>0.853</w:t>
            </w:r>
          </w:p>
        </w:tc>
        <w:tc>
          <w:tcPr>
            <w:tcW w:w="690" w:type="dxa"/>
            <w:tcBorders>
              <w:top w:val="single" w:color="auto" w:sz="4" w:space="0"/>
              <w:left w:val="nil"/>
              <w:bottom w:val="nil"/>
              <w:right w:val="nil"/>
            </w:tcBorders>
          </w:tcPr>
          <w:p w14:paraId="06E341E6">
            <w:pPr>
              <w:widowControl/>
              <w:jc w:val="center"/>
              <w:textAlignment w:val="top"/>
              <w:rPr>
                <w:rFonts w:ascii="Times New Roman" w:hAnsi="Times New Roman"/>
                <w:sz w:val="21"/>
                <w:szCs w:val="21"/>
              </w:rPr>
            </w:pPr>
            <w:r>
              <w:rPr>
                <w:rFonts w:ascii="Times New Roman" w:hAnsi="Times New Roman"/>
                <w:color w:val="000000"/>
                <w:sz w:val="20"/>
                <w:szCs w:val="20"/>
                <w:lang w:bidi="ar"/>
              </w:rPr>
              <w:t>0.800</w:t>
            </w:r>
          </w:p>
        </w:tc>
        <w:tc>
          <w:tcPr>
            <w:tcW w:w="0" w:type="auto"/>
            <w:tcBorders>
              <w:top w:val="single" w:color="auto" w:sz="4" w:space="0"/>
              <w:left w:val="nil"/>
              <w:bottom w:val="nil"/>
              <w:right w:val="nil"/>
            </w:tcBorders>
            <w:vAlign w:val="center"/>
          </w:tcPr>
          <w:p w14:paraId="5763B7D8">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0.675</w:t>
            </w:r>
          </w:p>
        </w:tc>
        <w:tc>
          <w:tcPr>
            <w:tcW w:w="0" w:type="auto"/>
            <w:tcBorders>
              <w:top w:val="single" w:color="auto" w:sz="4" w:space="0"/>
              <w:left w:val="nil"/>
              <w:bottom w:val="nil"/>
              <w:right w:val="nil"/>
            </w:tcBorders>
            <w:vAlign w:val="center"/>
          </w:tcPr>
          <w:p w14:paraId="2790C884">
            <w:pPr>
              <w:widowControl/>
              <w:jc w:val="center"/>
              <w:textAlignment w:val="center"/>
              <w:rPr>
                <w:rFonts w:ascii="Times New Roman" w:hAnsi="Times New Roman"/>
                <w:sz w:val="21"/>
                <w:szCs w:val="21"/>
              </w:rPr>
            </w:pPr>
            <w:r>
              <w:rPr>
                <w:rFonts w:ascii="Times New Roman" w:hAnsi="Times New Roman"/>
                <w:color w:val="000000"/>
                <w:sz w:val="20"/>
                <w:szCs w:val="20"/>
                <w:lang w:bidi="ar"/>
              </w:rPr>
              <w:t>0.864</w:t>
            </w:r>
          </w:p>
        </w:tc>
        <w:tc>
          <w:tcPr>
            <w:tcW w:w="0" w:type="auto"/>
            <w:tcBorders>
              <w:top w:val="single" w:color="auto" w:sz="4" w:space="0"/>
              <w:left w:val="nil"/>
              <w:bottom w:val="nil"/>
              <w:right w:val="nil"/>
            </w:tcBorders>
            <w:vAlign w:val="center"/>
          </w:tcPr>
          <w:p w14:paraId="78692AC5">
            <w:pPr>
              <w:widowControl/>
              <w:jc w:val="center"/>
              <w:textAlignment w:val="center"/>
              <w:rPr>
                <w:rFonts w:ascii="Times New Roman" w:hAnsi="Times New Roman"/>
                <w:sz w:val="21"/>
                <w:szCs w:val="21"/>
              </w:rPr>
            </w:pPr>
            <w:r>
              <w:rPr>
                <w:rFonts w:ascii="Times New Roman" w:hAnsi="Times New Roman"/>
                <w:color w:val="000000"/>
                <w:sz w:val="20"/>
                <w:szCs w:val="20"/>
                <w:lang w:bidi="ar"/>
              </w:rPr>
              <w:t>0.769</w:t>
            </w:r>
          </w:p>
        </w:tc>
      </w:tr>
      <w:tr w14:paraId="0A0037B1">
        <w:tc>
          <w:tcPr>
            <w:tcW w:w="0" w:type="auto"/>
            <w:tcBorders>
              <w:top w:val="nil"/>
              <w:left w:val="nil"/>
              <w:bottom w:val="nil"/>
              <w:right w:val="nil"/>
            </w:tcBorders>
            <w:vAlign w:val="center"/>
          </w:tcPr>
          <w:p w14:paraId="4B901D87">
            <w:pPr>
              <w:widowControl/>
              <w:jc w:val="center"/>
              <w:textAlignment w:val="center"/>
              <w:rPr>
                <w:rFonts w:ascii="Times New Roman" w:hAnsi="Times New Roman"/>
                <w:color w:val="000000"/>
                <w:sz w:val="21"/>
                <w:szCs w:val="21"/>
              </w:rPr>
            </w:pPr>
            <w:r>
              <w:rPr>
                <w:rFonts w:ascii="Times New Roman" w:hAnsi="Times New Roman"/>
                <w:color w:val="000000"/>
                <w:sz w:val="21"/>
                <w:szCs w:val="21"/>
                <w:lang w:bidi="ar"/>
              </w:rPr>
              <w:t>S02</w:t>
            </w:r>
          </w:p>
        </w:tc>
        <w:tc>
          <w:tcPr>
            <w:tcW w:w="0" w:type="auto"/>
            <w:tcBorders>
              <w:top w:val="nil"/>
              <w:left w:val="nil"/>
              <w:bottom w:val="nil"/>
              <w:right w:val="nil"/>
            </w:tcBorders>
            <w:vAlign w:val="center"/>
          </w:tcPr>
          <w:p w14:paraId="72C990B1">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0.841</w:t>
            </w:r>
          </w:p>
        </w:tc>
        <w:tc>
          <w:tcPr>
            <w:tcW w:w="0" w:type="auto"/>
            <w:tcBorders>
              <w:top w:val="nil"/>
              <w:left w:val="nil"/>
              <w:bottom w:val="nil"/>
              <w:right w:val="nil"/>
            </w:tcBorders>
            <w:vAlign w:val="center"/>
          </w:tcPr>
          <w:p w14:paraId="39C0CF89">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0.896</w:t>
            </w:r>
          </w:p>
        </w:tc>
        <w:tc>
          <w:tcPr>
            <w:tcW w:w="0" w:type="auto"/>
            <w:tcBorders>
              <w:top w:val="nil"/>
              <w:left w:val="nil"/>
              <w:bottom w:val="nil"/>
              <w:right w:val="nil"/>
            </w:tcBorders>
            <w:vAlign w:val="center"/>
          </w:tcPr>
          <w:p w14:paraId="34E690B7">
            <w:pPr>
              <w:widowControl/>
              <w:jc w:val="center"/>
              <w:textAlignment w:val="center"/>
              <w:rPr>
                <w:rFonts w:ascii="Times New Roman" w:hAnsi="Times New Roman"/>
                <w:sz w:val="21"/>
                <w:szCs w:val="21"/>
              </w:rPr>
            </w:pPr>
            <w:r>
              <w:rPr>
                <w:rFonts w:ascii="Times New Roman" w:hAnsi="Times New Roman"/>
                <w:color w:val="000000"/>
                <w:sz w:val="20"/>
                <w:szCs w:val="20"/>
                <w:lang w:bidi="ar"/>
              </w:rPr>
              <w:t>0.844</w:t>
            </w:r>
          </w:p>
        </w:tc>
        <w:tc>
          <w:tcPr>
            <w:tcW w:w="0" w:type="auto"/>
            <w:tcBorders>
              <w:top w:val="nil"/>
              <w:left w:val="nil"/>
              <w:bottom w:val="nil"/>
              <w:right w:val="nil"/>
            </w:tcBorders>
            <w:vAlign w:val="center"/>
          </w:tcPr>
          <w:p w14:paraId="0C4A7D12">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0.857</w:t>
            </w:r>
          </w:p>
        </w:tc>
        <w:tc>
          <w:tcPr>
            <w:tcW w:w="0" w:type="auto"/>
            <w:tcBorders>
              <w:top w:val="nil"/>
              <w:left w:val="nil"/>
              <w:bottom w:val="nil"/>
              <w:right w:val="nil"/>
            </w:tcBorders>
            <w:vAlign w:val="center"/>
          </w:tcPr>
          <w:p w14:paraId="20ACE50C">
            <w:pPr>
              <w:widowControl/>
              <w:jc w:val="center"/>
              <w:textAlignment w:val="center"/>
              <w:rPr>
                <w:rFonts w:ascii="Times New Roman" w:hAnsi="Times New Roman"/>
                <w:sz w:val="21"/>
                <w:szCs w:val="21"/>
              </w:rPr>
            </w:pPr>
            <w:r>
              <w:rPr>
                <w:rFonts w:ascii="Times New Roman" w:hAnsi="Times New Roman"/>
                <w:color w:val="000000"/>
                <w:sz w:val="20"/>
                <w:szCs w:val="20"/>
                <w:lang w:bidi="ar"/>
              </w:rPr>
              <w:t>0.826</w:t>
            </w:r>
          </w:p>
        </w:tc>
        <w:tc>
          <w:tcPr>
            <w:tcW w:w="0" w:type="auto"/>
            <w:tcBorders>
              <w:top w:val="nil"/>
              <w:left w:val="nil"/>
              <w:bottom w:val="nil"/>
              <w:right w:val="nil"/>
            </w:tcBorders>
            <w:vAlign w:val="center"/>
          </w:tcPr>
          <w:p w14:paraId="23DBB81B">
            <w:pPr>
              <w:widowControl/>
              <w:jc w:val="center"/>
              <w:textAlignment w:val="center"/>
              <w:rPr>
                <w:rFonts w:ascii="Times New Roman" w:hAnsi="Times New Roman"/>
                <w:sz w:val="21"/>
                <w:szCs w:val="21"/>
              </w:rPr>
            </w:pPr>
            <w:r>
              <w:rPr>
                <w:rFonts w:ascii="Times New Roman" w:hAnsi="Times New Roman"/>
                <w:color w:val="000000"/>
                <w:sz w:val="20"/>
                <w:szCs w:val="20"/>
                <w:lang w:bidi="ar"/>
              </w:rPr>
              <w:t>0.842</w:t>
            </w:r>
          </w:p>
        </w:tc>
        <w:tc>
          <w:tcPr>
            <w:tcW w:w="0" w:type="auto"/>
            <w:tcBorders>
              <w:top w:val="nil"/>
              <w:left w:val="nil"/>
              <w:bottom w:val="nil"/>
              <w:right w:val="nil"/>
            </w:tcBorders>
            <w:vAlign w:val="center"/>
          </w:tcPr>
          <w:p w14:paraId="3F32A6DF">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0.750</w:t>
            </w:r>
          </w:p>
        </w:tc>
        <w:tc>
          <w:tcPr>
            <w:tcW w:w="0" w:type="auto"/>
            <w:tcBorders>
              <w:top w:val="nil"/>
              <w:left w:val="nil"/>
              <w:bottom w:val="nil"/>
              <w:right w:val="nil"/>
            </w:tcBorders>
            <w:vAlign w:val="center"/>
          </w:tcPr>
          <w:p w14:paraId="1538824B">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0.884</w:t>
            </w:r>
          </w:p>
        </w:tc>
        <w:tc>
          <w:tcPr>
            <w:tcW w:w="0" w:type="auto"/>
            <w:tcBorders>
              <w:top w:val="nil"/>
              <w:left w:val="nil"/>
              <w:bottom w:val="nil"/>
              <w:right w:val="nil"/>
            </w:tcBorders>
            <w:vAlign w:val="center"/>
          </w:tcPr>
          <w:p w14:paraId="33EB4373">
            <w:pPr>
              <w:widowControl/>
              <w:jc w:val="center"/>
              <w:textAlignment w:val="center"/>
              <w:rPr>
                <w:rFonts w:ascii="Times New Roman" w:hAnsi="Times New Roman"/>
                <w:sz w:val="21"/>
                <w:szCs w:val="21"/>
              </w:rPr>
            </w:pPr>
            <w:r>
              <w:rPr>
                <w:rFonts w:ascii="Times New Roman" w:hAnsi="Times New Roman"/>
                <w:color w:val="000000"/>
                <w:sz w:val="20"/>
                <w:szCs w:val="20"/>
                <w:lang w:bidi="ar"/>
              </w:rPr>
              <w:t>0.792</w:t>
            </w:r>
          </w:p>
        </w:tc>
        <w:tc>
          <w:tcPr>
            <w:tcW w:w="0" w:type="auto"/>
            <w:tcBorders>
              <w:top w:val="nil"/>
              <w:left w:val="nil"/>
              <w:bottom w:val="nil"/>
              <w:right w:val="nil"/>
            </w:tcBorders>
            <w:vAlign w:val="center"/>
          </w:tcPr>
          <w:p w14:paraId="63876233">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0.571</w:t>
            </w:r>
          </w:p>
        </w:tc>
        <w:tc>
          <w:tcPr>
            <w:tcW w:w="0" w:type="auto"/>
            <w:tcBorders>
              <w:top w:val="nil"/>
              <w:left w:val="nil"/>
              <w:bottom w:val="nil"/>
              <w:right w:val="nil"/>
            </w:tcBorders>
            <w:vAlign w:val="center"/>
          </w:tcPr>
          <w:p w14:paraId="5BCF2D0C">
            <w:pPr>
              <w:widowControl/>
              <w:jc w:val="center"/>
              <w:textAlignment w:val="center"/>
              <w:rPr>
                <w:rFonts w:ascii="Times New Roman" w:hAnsi="Times New Roman"/>
                <w:sz w:val="21"/>
                <w:szCs w:val="21"/>
              </w:rPr>
            </w:pPr>
            <w:r>
              <w:rPr>
                <w:rFonts w:ascii="Times New Roman" w:hAnsi="Times New Roman"/>
                <w:color w:val="000000"/>
                <w:sz w:val="20"/>
                <w:szCs w:val="20"/>
                <w:lang w:bidi="ar"/>
              </w:rPr>
              <w:t>0.913</w:t>
            </w:r>
          </w:p>
        </w:tc>
        <w:tc>
          <w:tcPr>
            <w:tcW w:w="0" w:type="auto"/>
            <w:tcBorders>
              <w:top w:val="nil"/>
              <w:left w:val="nil"/>
              <w:bottom w:val="nil"/>
              <w:right w:val="nil"/>
            </w:tcBorders>
            <w:vAlign w:val="center"/>
          </w:tcPr>
          <w:p w14:paraId="35FFFC21">
            <w:pPr>
              <w:widowControl/>
              <w:jc w:val="center"/>
              <w:textAlignment w:val="center"/>
              <w:rPr>
                <w:rFonts w:ascii="Times New Roman" w:hAnsi="Times New Roman"/>
                <w:sz w:val="21"/>
                <w:szCs w:val="21"/>
              </w:rPr>
            </w:pPr>
            <w:r>
              <w:rPr>
                <w:rFonts w:ascii="Times New Roman" w:hAnsi="Times New Roman"/>
                <w:color w:val="000000"/>
                <w:sz w:val="20"/>
                <w:szCs w:val="20"/>
                <w:lang w:bidi="ar"/>
              </w:rPr>
              <w:t>0.742</w:t>
            </w:r>
          </w:p>
        </w:tc>
        <w:tc>
          <w:tcPr>
            <w:tcW w:w="0" w:type="auto"/>
            <w:tcBorders>
              <w:top w:val="nil"/>
              <w:left w:val="nil"/>
              <w:bottom w:val="nil"/>
              <w:right w:val="nil"/>
            </w:tcBorders>
          </w:tcPr>
          <w:p w14:paraId="38783E81">
            <w:pPr>
              <w:widowControl/>
              <w:jc w:val="center"/>
              <w:textAlignment w:val="top"/>
              <w:rPr>
                <w:rFonts w:ascii="Times New Roman" w:hAnsi="Times New Roman"/>
                <w:color w:val="000000"/>
                <w:sz w:val="20"/>
                <w:szCs w:val="20"/>
              </w:rPr>
            </w:pPr>
            <w:r>
              <w:rPr>
                <w:rFonts w:ascii="Times New Roman" w:hAnsi="Times New Roman"/>
                <w:color w:val="000000"/>
                <w:sz w:val="20"/>
                <w:szCs w:val="20"/>
                <w:lang w:bidi="ar"/>
              </w:rPr>
              <w:t>0.841</w:t>
            </w:r>
          </w:p>
        </w:tc>
        <w:tc>
          <w:tcPr>
            <w:tcW w:w="672" w:type="dxa"/>
            <w:tcBorders>
              <w:top w:val="nil"/>
              <w:left w:val="nil"/>
              <w:bottom w:val="nil"/>
              <w:right w:val="nil"/>
            </w:tcBorders>
          </w:tcPr>
          <w:p w14:paraId="78029D66">
            <w:pPr>
              <w:widowControl/>
              <w:jc w:val="center"/>
              <w:textAlignment w:val="top"/>
              <w:rPr>
                <w:rFonts w:ascii="Times New Roman" w:hAnsi="Times New Roman"/>
                <w:color w:val="000000"/>
                <w:sz w:val="20"/>
                <w:szCs w:val="20"/>
              </w:rPr>
            </w:pPr>
            <w:r>
              <w:rPr>
                <w:rFonts w:ascii="Times New Roman" w:hAnsi="Times New Roman"/>
                <w:color w:val="000000"/>
                <w:sz w:val="20"/>
                <w:szCs w:val="20"/>
                <w:lang w:bidi="ar"/>
              </w:rPr>
              <w:t>0.920</w:t>
            </w:r>
          </w:p>
        </w:tc>
        <w:tc>
          <w:tcPr>
            <w:tcW w:w="690" w:type="dxa"/>
            <w:tcBorders>
              <w:top w:val="nil"/>
              <w:left w:val="nil"/>
              <w:bottom w:val="nil"/>
              <w:right w:val="nil"/>
            </w:tcBorders>
          </w:tcPr>
          <w:p w14:paraId="175D3749">
            <w:pPr>
              <w:widowControl/>
              <w:jc w:val="center"/>
              <w:textAlignment w:val="top"/>
              <w:rPr>
                <w:rFonts w:ascii="Times New Roman" w:hAnsi="Times New Roman"/>
                <w:sz w:val="21"/>
                <w:szCs w:val="21"/>
              </w:rPr>
            </w:pPr>
            <w:r>
              <w:rPr>
                <w:rFonts w:ascii="Times New Roman" w:hAnsi="Times New Roman"/>
                <w:color w:val="000000"/>
                <w:sz w:val="20"/>
                <w:szCs w:val="20"/>
                <w:lang w:bidi="ar"/>
              </w:rPr>
              <w:t>0.857</w:t>
            </w:r>
          </w:p>
        </w:tc>
        <w:tc>
          <w:tcPr>
            <w:tcW w:w="0" w:type="auto"/>
            <w:tcBorders>
              <w:top w:val="nil"/>
              <w:left w:val="nil"/>
              <w:bottom w:val="nil"/>
              <w:right w:val="nil"/>
            </w:tcBorders>
            <w:vAlign w:val="center"/>
          </w:tcPr>
          <w:p w14:paraId="6E1EAE47">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0.762</w:t>
            </w:r>
          </w:p>
        </w:tc>
        <w:tc>
          <w:tcPr>
            <w:tcW w:w="0" w:type="auto"/>
            <w:tcBorders>
              <w:top w:val="nil"/>
              <w:left w:val="nil"/>
              <w:bottom w:val="nil"/>
              <w:right w:val="nil"/>
            </w:tcBorders>
            <w:vAlign w:val="center"/>
          </w:tcPr>
          <w:p w14:paraId="2A10D3EE">
            <w:pPr>
              <w:widowControl/>
              <w:jc w:val="center"/>
              <w:textAlignment w:val="center"/>
              <w:rPr>
                <w:rFonts w:ascii="Times New Roman" w:hAnsi="Times New Roman"/>
                <w:sz w:val="21"/>
                <w:szCs w:val="21"/>
              </w:rPr>
            </w:pPr>
            <w:r>
              <w:rPr>
                <w:rFonts w:ascii="Times New Roman" w:hAnsi="Times New Roman"/>
                <w:color w:val="000000"/>
                <w:sz w:val="20"/>
                <w:szCs w:val="20"/>
                <w:lang w:bidi="ar"/>
              </w:rPr>
              <w:t>0.913</w:t>
            </w:r>
          </w:p>
        </w:tc>
        <w:tc>
          <w:tcPr>
            <w:tcW w:w="0" w:type="auto"/>
            <w:tcBorders>
              <w:top w:val="nil"/>
              <w:left w:val="nil"/>
              <w:bottom w:val="nil"/>
              <w:right w:val="nil"/>
            </w:tcBorders>
            <w:vAlign w:val="center"/>
          </w:tcPr>
          <w:p w14:paraId="629F07EF">
            <w:pPr>
              <w:widowControl/>
              <w:jc w:val="center"/>
              <w:textAlignment w:val="center"/>
              <w:rPr>
                <w:rFonts w:ascii="Times New Roman" w:hAnsi="Times New Roman"/>
                <w:sz w:val="21"/>
                <w:szCs w:val="21"/>
              </w:rPr>
            </w:pPr>
            <w:r>
              <w:rPr>
                <w:rFonts w:ascii="Times New Roman" w:hAnsi="Times New Roman"/>
                <w:color w:val="000000"/>
                <w:sz w:val="20"/>
                <w:szCs w:val="20"/>
                <w:lang w:bidi="ar"/>
              </w:rPr>
              <w:t>0.837</w:t>
            </w:r>
          </w:p>
        </w:tc>
      </w:tr>
      <w:tr w14:paraId="1CBFF560">
        <w:tc>
          <w:tcPr>
            <w:tcW w:w="0" w:type="auto"/>
            <w:tcBorders>
              <w:top w:val="nil"/>
              <w:left w:val="nil"/>
              <w:bottom w:val="nil"/>
              <w:right w:val="nil"/>
            </w:tcBorders>
            <w:vAlign w:val="center"/>
          </w:tcPr>
          <w:p w14:paraId="456528F0">
            <w:pPr>
              <w:widowControl/>
              <w:jc w:val="center"/>
              <w:textAlignment w:val="center"/>
              <w:rPr>
                <w:rFonts w:ascii="Times New Roman" w:hAnsi="Times New Roman"/>
                <w:color w:val="000000"/>
                <w:sz w:val="21"/>
                <w:szCs w:val="21"/>
              </w:rPr>
            </w:pPr>
            <w:r>
              <w:rPr>
                <w:rFonts w:ascii="Times New Roman" w:hAnsi="Times New Roman"/>
                <w:color w:val="000000"/>
                <w:sz w:val="21"/>
                <w:szCs w:val="21"/>
                <w:lang w:bidi="ar"/>
              </w:rPr>
              <w:t>S03</w:t>
            </w:r>
          </w:p>
        </w:tc>
        <w:tc>
          <w:tcPr>
            <w:tcW w:w="0" w:type="auto"/>
            <w:tcBorders>
              <w:top w:val="nil"/>
              <w:left w:val="nil"/>
              <w:bottom w:val="nil"/>
              <w:right w:val="nil"/>
            </w:tcBorders>
            <w:vAlign w:val="center"/>
          </w:tcPr>
          <w:p w14:paraId="54E05C66">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0.700</w:t>
            </w:r>
          </w:p>
        </w:tc>
        <w:tc>
          <w:tcPr>
            <w:tcW w:w="0" w:type="auto"/>
            <w:tcBorders>
              <w:top w:val="nil"/>
              <w:left w:val="nil"/>
              <w:bottom w:val="nil"/>
              <w:right w:val="nil"/>
            </w:tcBorders>
            <w:vAlign w:val="center"/>
          </w:tcPr>
          <w:p w14:paraId="3E458D65">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0.775</w:t>
            </w:r>
          </w:p>
        </w:tc>
        <w:tc>
          <w:tcPr>
            <w:tcW w:w="0" w:type="auto"/>
            <w:tcBorders>
              <w:top w:val="nil"/>
              <w:left w:val="nil"/>
              <w:bottom w:val="nil"/>
              <w:right w:val="nil"/>
            </w:tcBorders>
            <w:vAlign w:val="center"/>
          </w:tcPr>
          <w:p w14:paraId="0D4E3B74">
            <w:pPr>
              <w:widowControl/>
              <w:jc w:val="center"/>
              <w:textAlignment w:val="center"/>
              <w:rPr>
                <w:rFonts w:ascii="Times New Roman" w:hAnsi="Times New Roman"/>
                <w:sz w:val="21"/>
                <w:szCs w:val="21"/>
              </w:rPr>
            </w:pPr>
            <w:r>
              <w:rPr>
                <w:rFonts w:ascii="Times New Roman" w:hAnsi="Times New Roman"/>
                <w:color w:val="000000"/>
                <w:sz w:val="20"/>
                <w:szCs w:val="20"/>
                <w:lang w:bidi="ar"/>
              </w:rPr>
              <w:t>0.763</w:t>
            </w:r>
          </w:p>
        </w:tc>
        <w:tc>
          <w:tcPr>
            <w:tcW w:w="0" w:type="auto"/>
            <w:tcBorders>
              <w:top w:val="nil"/>
              <w:left w:val="nil"/>
              <w:bottom w:val="nil"/>
              <w:right w:val="nil"/>
            </w:tcBorders>
            <w:vAlign w:val="center"/>
          </w:tcPr>
          <w:p w14:paraId="0D4B89DD">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0.542</w:t>
            </w:r>
          </w:p>
        </w:tc>
        <w:tc>
          <w:tcPr>
            <w:tcW w:w="0" w:type="auto"/>
            <w:tcBorders>
              <w:top w:val="nil"/>
              <w:left w:val="nil"/>
              <w:bottom w:val="nil"/>
              <w:right w:val="nil"/>
            </w:tcBorders>
            <w:vAlign w:val="center"/>
          </w:tcPr>
          <w:p w14:paraId="25F4AA05">
            <w:pPr>
              <w:widowControl/>
              <w:jc w:val="center"/>
              <w:textAlignment w:val="center"/>
              <w:rPr>
                <w:rFonts w:ascii="Times New Roman" w:hAnsi="Times New Roman"/>
                <w:sz w:val="21"/>
                <w:szCs w:val="21"/>
              </w:rPr>
            </w:pPr>
            <w:r>
              <w:rPr>
                <w:rFonts w:ascii="Times New Roman" w:hAnsi="Times New Roman"/>
                <w:color w:val="000000"/>
                <w:sz w:val="20"/>
                <w:szCs w:val="20"/>
                <w:lang w:bidi="ar"/>
              </w:rPr>
              <w:t>0.806</w:t>
            </w:r>
          </w:p>
        </w:tc>
        <w:tc>
          <w:tcPr>
            <w:tcW w:w="0" w:type="auto"/>
            <w:tcBorders>
              <w:top w:val="nil"/>
              <w:left w:val="nil"/>
              <w:bottom w:val="nil"/>
              <w:right w:val="nil"/>
            </w:tcBorders>
            <w:vAlign w:val="center"/>
          </w:tcPr>
          <w:p w14:paraId="362B4747">
            <w:pPr>
              <w:widowControl/>
              <w:jc w:val="center"/>
              <w:textAlignment w:val="center"/>
              <w:rPr>
                <w:rFonts w:ascii="Times New Roman" w:hAnsi="Times New Roman"/>
                <w:sz w:val="21"/>
                <w:szCs w:val="21"/>
              </w:rPr>
            </w:pPr>
            <w:r>
              <w:rPr>
                <w:rFonts w:ascii="Times New Roman" w:hAnsi="Times New Roman"/>
                <w:color w:val="000000"/>
                <w:sz w:val="20"/>
                <w:szCs w:val="20"/>
                <w:lang w:bidi="ar"/>
              </w:rPr>
              <w:t>0.674</w:t>
            </w:r>
          </w:p>
        </w:tc>
        <w:tc>
          <w:tcPr>
            <w:tcW w:w="0" w:type="auto"/>
            <w:tcBorders>
              <w:top w:val="nil"/>
              <w:left w:val="nil"/>
              <w:bottom w:val="nil"/>
              <w:right w:val="nil"/>
            </w:tcBorders>
            <w:vAlign w:val="center"/>
          </w:tcPr>
          <w:p w14:paraId="355A30E1">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0.683</w:t>
            </w:r>
          </w:p>
        </w:tc>
        <w:tc>
          <w:tcPr>
            <w:tcW w:w="0" w:type="auto"/>
            <w:tcBorders>
              <w:top w:val="nil"/>
              <w:left w:val="nil"/>
              <w:bottom w:val="nil"/>
              <w:right w:val="nil"/>
            </w:tcBorders>
            <w:vAlign w:val="center"/>
          </w:tcPr>
          <w:p w14:paraId="60120985">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0.751</w:t>
            </w:r>
          </w:p>
        </w:tc>
        <w:tc>
          <w:tcPr>
            <w:tcW w:w="0" w:type="auto"/>
            <w:tcBorders>
              <w:top w:val="nil"/>
              <w:left w:val="nil"/>
              <w:bottom w:val="nil"/>
              <w:right w:val="nil"/>
            </w:tcBorders>
            <w:vAlign w:val="center"/>
          </w:tcPr>
          <w:p w14:paraId="2F040EBB">
            <w:pPr>
              <w:widowControl/>
              <w:jc w:val="center"/>
              <w:textAlignment w:val="center"/>
              <w:rPr>
                <w:rFonts w:ascii="Times New Roman" w:hAnsi="Times New Roman"/>
                <w:sz w:val="21"/>
                <w:szCs w:val="21"/>
              </w:rPr>
            </w:pPr>
            <w:r>
              <w:rPr>
                <w:rFonts w:ascii="Times New Roman" w:hAnsi="Times New Roman"/>
                <w:color w:val="000000"/>
                <w:sz w:val="20"/>
                <w:szCs w:val="20"/>
                <w:lang w:bidi="ar"/>
              </w:rPr>
              <w:t>0.740</w:t>
            </w:r>
          </w:p>
        </w:tc>
        <w:tc>
          <w:tcPr>
            <w:tcW w:w="0" w:type="auto"/>
            <w:tcBorders>
              <w:top w:val="nil"/>
              <w:left w:val="nil"/>
              <w:bottom w:val="nil"/>
              <w:right w:val="nil"/>
            </w:tcBorders>
            <w:vAlign w:val="center"/>
          </w:tcPr>
          <w:p w14:paraId="49B5E67D">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0.583</w:t>
            </w:r>
          </w:p>
        </w:tc>
        <w:tc>
          <w:tcPr>
            <w:tcW w:w="0" w:type="auto"/>
            <w:tcBorders>
              <w:top w:val="nil"/>
              <w:left w:val="nil"/>
              <w:bottom w:val="nil"/>
              <w:right w:val="nil"/>
            </w:tcBorders>
            <w:vAlign w:val="center"/>
          </w:tcPr>
          <w:p w14:paraId="625818FB">
            <w:pPr>
              <w:widowControl/>
              <w:jc w:val="center"/>
              <w:textAlignment w:val="center"/>
              <w:rPr>
                <w:rFonts w:ascii="Times New Roman" w:hAnsi="Times New Roman"/>
                <w:sz w:val="21"/>
                <w:szCs w:val="21"/>
              </w:rPr>
            </w:pPr>
            <w:r>
              <w:rPr>
                <w:rFonts w:ascii="Times New Roman" w:hAnsi="Times New Roman"/>
                <w:color w:val="000000"/>
                <w:sz w:val="20"/>
                <w:szCs w:val="20"/>
                <w:lang w:bidi="ar"/>
              </w:rPr>
              <w:t>0.750</w:t>
            </w:r>
          </w:p>
        </w:tc>
        <w:tc>
          <w:tcPr>
            <w:tcW w:w="0" w:type="auto"/>
            <w:tcBorders>
              <w:top w:val="nil"/>
              <w:left w:val="nil"/>
              <w:bottom w:val="nil"/>
              <w:right w:val="nil"/>
            </w:tcBorders>
            <w:vAlign w:val="center"/>
          </w:tcPr>
          <w:p w14:paraId="68C351A3">
            <w:pPr>
              <w:widowControl/>
              <w:jc w:val="center"/>
              <w:textAlignment w:val="center"/>
              <w:rPr>
                <w:rFonts w:ascii="Times New Roman" w:hAnsi="Times New Roman"/>
                <w:sz w:val="21"/>
                <w:szCs w:val="21"/>
              </w:rPr>
            </w:pPr>
            <w:r>
              <w:rPr>
                <w:rFonts w:ascii="Times New Roman" w:hAnsi="Times New Roman"/>
                <w:color w:val="000000"/>
                <w:sz w:val="20"/>
                <w:szCs w:val="20"/>
                <w:lang w:bidi="ar"/>
              </w:rPr>
              <w:t>0.667</w:t>
            </w:r>
          </w:p>
        </w:tc>
        <w:tc>
          <w:tcPr>
            <w:tcW w:w="0" w:type="auto"/>
            <w:tcBorders>
              <w:top w:val="nil"/>
              <w:left w:val="nil"/>
              <w:bottom w:val="nil"/>
              <w:right w:val="nil"/>
            </w:tcBorders>
          </w:tcPr>
          <w:p w14:paraId="281FCF1B">
            <w:pPr>
              <w:widowControl/>
              <w:jc w:val="center"/>
              <w:textAlignment w:val="top"/>
              <w:rPr>
                <w:rFonts w:ascii="Times New Roman" w:hAnsi="Times New Roman"/>
                <w:color w:val="000000"/>
                <w:sz w:val="20"/>
                <w:szCs w:val="20"/>
              </w:rPr>
            </w:pPr>
            <w:r>
              <w:rPr>
                <w:rFonts w:ascii="Times New Roman" w:hAnsi="Times New Roman"/>
                <w:color w:val="000000"/>
                <w:sz w:val="20"/>
                <w:szCs w:val="20"/>
                <w:lang w:bidi="ar"/>
              </w:rPr>
              <w:t>0.700</w:t>
            </w:r>
          </w:p>
        </w:tc>
        <w:tc>
          <w:tcPr>
            <w:tcW w:w="672" w:type="dxa"/>
            <w:tcBorders>
              <w:top w:val="nil"/>
              <w:left w:val="nil"/>
              <w:bottom w:val="nil"/>
              <w:right w:val="nil"/>
            </w:tcBorders>
          </w:tcPr>
          <w:p w14:paraId="67590012">
            <w:pPr>
              <w:widowControl/>
              <w:jc w:val="center"/>
              <w:textAlignment w:val="top"/>
              <w:rPr>
                <w:rFonts w:ascii="Times New Roman" w:hAnsi="Times New Roman"/>
                <w:color w:val="000000"/>
                <w:sz w:val="20"/>
                <w:szCs w:val="20"/>
              </w:rPr>
            </w:pPr>
            <w:r>
              <w:rPr>
                <w:rFonts w:ascii="Times New Roman" w:hAnsi="Times New Roman"/>
                <w:color w:val="000000"/>
                <w:sz w:val="20"/>
                <w:szCs w:val="20"/>
                <w:lang w:bidi="ar"/>
              </w:rPr>
              <w:t>0.753</w:t>
            </w:r>
          </w:p>
        </w:tc>
        <w:tc>
          <w:tcPr>
            <w:tcW w:w="690" w:type="dxa"/>
            <w:tcBorders>
              <w:top w:val="nil"/>
              <w:left w:val="nil"/>
              <w:bottom w:val="nil"/>
              <w:right w:val="nil"/>
            </w:tcBorders>
          </w:tcPr>
          <w:p w14:paraId="5C649465">
            <w:pPr>
              <w:widowControl/>
              <w:jc w:val="center"/>
              <w:textAlignment w:val="top"/>
              <w:rPr>
                <w:rFonts w:ascii="Times New Roman" w:hAnsi="Times New Roman"/>
                <w:sz w:val="21"/>
                <w:szCs w:val="21"/>
              </w:rPr>
            </w:pPr>
            <w:r>
              <w:rPr>
                <w:rFonts w:ascii="Times New Roman" w:hAnsi="Times New Roman"/>
                <w:color w:val="000000"/>
                <w:sz w:val="20"/>
                <w:szCs w:val="20"/>
                <w:lang w:bidi="ar"/>
              </w:rPr>
              <w:t>0.769</w:t>
            </w:r>
          </w:p>
        </w:tc>
        <w:tc>
          <w:tcPr>
            <w:tcW w:w="0" w:type="auto"/>
            <w:tcBorders>
              <w:top w:val="nil"/>
              <w:left w:val="nil"/>
              <w:bottom w:val="nil"/>
              <w:right w:val="nil"/>
            </w:tcBorders>
            <w:vAlign w:val="center"/>
          </w:tcPr>
          <w:p w14:paraId="199DC913">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0.500</w:t>
            </w:r>
          </w:p>
        </w:tc>
        <w:tc>
          <w:tcPr>
            <w:tcW w:w="0" w:type="auto"/>
            <w:tcBorders>
              <w:top w:val="nil"/>
              <w:left w:val="nil"/>
              <w:bottom w:val="nil"/>
              <w:right w:val="nil"/>
            </w:tcBorders>
            <w:vAlign w:val="center"/>
          </w:tcPr>
          <w:p w14:paraId="5537A455">
            <w:pPr>
              <w:widowControl/>
              <w:jc w:val="center"/>
              <w:textAlignment w:val="center"/>
              <w:rPr>
                <w:rFonts w:ascii="Times New Roman" w:hAnsi="Times New Roman"/>
                <w:sz w:val="21"/>
                <w:szCs w:val="21"/>
              </w:rPr>
            </w:pPr>
            <w:r>
              <w:rPr>
                <w:rFonts w:ascii="Times New Roman" w:hAnsi="Times New Roman"/>
                <w:color w:val="000000"/>
                <w:sz w:val="20"/>
                <w:szCs w:val="20"/>
                <w:lang w:bidi="ar"/>
              </w:rPr>
              <w:t>0.833</w:t>
            </w:r>
          </w:p>
        </w:tc>
        <w:tc>
          <w:tcPr>
            <w:tcW w:w="0" w:type="auto"/>
            <w:tcBorders>
              <w:top w:val="nil"/>
              <w:left w:val="nil"/>
              <w:bottom w:val="nil"/>
              <w:right w:val="nil"/>
            </w:tcBorders>
            <w:vAlign w:val="center"/>
          </w:tcPr>
          <w:p w14:paraId="52A84731">
            <w:pPr>
              <w:widowControl/>
              <w:jc w:val="center"/>
              <w:textAlignment w:val="center"/>
              <w:rPr>
                <w:rFonts w:ascii="Times New Roman" w:hAnsi="Times New Roman"/>
                <w:sz w:val="21"/>
                <w:szCs w:val="21"/>
              </w:rPr>
            </w:pPr>
            <w:r>
              <w:rPr>
                <w:rFonts w:ascii="Times New Roman" w:hAnsi="Times New Roman"/>
                <w:color w:val="000000"/>
                <w:sz w:val="20"/>
                <w:szCs w:val="20"/>
                <w:lang w:bidi="ar"/>
              </w:rPr>
              <w:t>0.667</w:t>
            </w:r>
          </w:p>
        </w:tc>
      </w:tr>
      <w:tr w14:paraId="0CB82024">
        <w:tc>
          <w:tcPr>
            <w:tcW w:w="0" w:type="auto"/>
            <w:tcBorders>
              <w:top w:val="nil"/>
              <w:left w:val="nil"/>
              <w:bottom w:val="nil"/>
              <w:right w:val="nil"/>
            </w:tcBorders>
            <w:vAlign w:val="center"/>
          </w:tcPr>
          <w:p w14:paraId="0B351DCC">
            <w:pPr>
              <w:widowControl/>
              <w:jc w:val="center"/>
              <w:textAlignment w:val="center"/>
              <w:rPr>
                <w:rFonts w:ascii="Times New Roman" w:hAnsi="Times New Roman"/>
                <w:color w:val="000000"/>
                <w:sz w:val="21"/>
                <w:szCs w:val="21"/>
              </w:rPr>
            </w:pPr>
            <w:r>
              <w:rPr>
                <w:rFonts w:ascii="Times New Roman" w:hAnsi="Times New Roman"/>
                <w:color w:val="000000"/>
                <w:sz w:val="21"/>
                <w:szCs w:val="21"/>
                <w:lang w:bidi="ar"/>
              </w:rPr>
              <w:t>S04</w:t>
            </w:r>
          </w:p>
        </w:tc>
        <w:tc>
          <w:tcPr>
            <w:tcW w:w="0" w:type="auto"/>
            <w:tcBorders>
              <w:top w:val="nil"/>
              <w:left w:val="nil"/>
              <w:bottom w:val="nil"/>
              <w:right w:val="nil"/>
            </w:tcBorders>
            <w:vAlign w:val="center"/>
          </w:tcPr>
          <w:p w14:paraId="0FC4DE40">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0.561</w:t>
            </w:r>
          </w:p>
        </w:tc>
        <w:tc>
          <w:tcPr>
            <w:tcW w:w="0" w:type="auto"/>
            <w:tcBorders>
              <w:top w:val="nil"/>
              <w:left w:val="nil"/>
              <w:bottom w:val="nil"/>
              <w:right w:val="nil"/>
            </w:tcBorders>
            <w:vAlign w:val="center"/>
          </w:tcPr>
          <w:p w14:paraId="0E8EE723">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0.607</w:t>
            </w:r>
          </w:p>
        </w:tc>
        <w:tc>
          <w:tcPr>
            <w:tcW w:w="0" w:type="auto"/>
            <w:tcBorders>
              <w:top w:val="nil"/>
              <w:left w:val="nil"/>
              <w:bottom w:val="nil"/>
              <w:right w:val="nil"/>
            </w:tcBorders>
            <w:vAlign w:val="center"/>
          </w:tcPr>
          <w:p w14:paraId="1B45F1CC">
            <w:pPr>
              <w:widowControl/>
              <w:jc w:val="center"/>
              <w:textAlignment w:val="center"/>
              <w:rPr>
                <w:rFonts w:ascii="Times New Roman" w:hAnsi="Times New Roman"/>
                <w:sz w:val="21"/>
                <w:szCs w:val="21"/>
              </w:rPr>
            </w:pPr>
            <w:r>
              <w:rPr>
                <w:rFonts w:ascii="Times New Roman" w:hAnsi="Times New Roman"/>
                <w:color w:val="000000"/>
                <w:sz w:val="20"/>
                <w:szCs w:val="20"/>
                <w:lang w:bidi="ar"/>
              </w:rPr>
              <w:t>0.657</w:t>
            </w:r>
          </w:p>
        </w:tc>
        <w:tc>
          <w:tcPr>
            <w:tcW w:w="0" w:type="auto"/>
            <w:tcBorders>
              <w:top w:val="nil"/>
              <w:left w:val="nil"/>
              <w:bottom w:val="nil"/>
              <w:right w:val="nil"/>
            </w:tcBorders>
            <w:vAlign w:val="center"/>
          </w:tcPr>
          <w:p w14:paraId="6559EEE8">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0.357</w:t>
            </w:r>
          </w:p>
        </w:tc>
        <w:tc>
          <w:tcPr>
            <w:tcW w:w="0" w:type="auto"/>
            <w:tcBorders>
              <w:top w:val="nil"/>
              <w:left w:val="nil"/>
              <w:bottom w:val="nil"/>
              <w:right w:val="nil"/>
            </w:tcBorders>
            <w:vAlign w:val="center"/>
          </w:tcPr>
          <w:p w14:paraId="462F2547">
            <w:pPr>
              <w:widowControl/>
              <w:jc w:val="center"/>
              <w:textAlignment w:val="center"/>
              <w:rPr>
                <w:rFonts w:ascii="Times New Roman" w:hAnsi="Times New Roman"/>
                <w:sz w:val="21"/>
                <w:szCs w:val="21"/>
              </w:rPr>
            </w:pPr>
            <w:r>
              <w:rPr>
                <w:rFonts w:ascii="Times New Roman" w:hAnsi="Times New Roman"/>
                <w:color w:val="000000"/>
                <w:sz w:val="20"/>
                <w:szCs w:val="20"/>
                <w:lang w:bidi="ar"/>
              </w:rPr>
              <w:t>0.692</w:t>
            </w:r>
          </w:p>
        </w:tc>
        <w:tc>
          <w:tcPr>
            <w:tcW w:w="0" w:type="auto"/>
            <w:tcBorders>
              <w:top w:val="nil"/>
              <w:left w:val="nil"/>
              <w:bottom w:val="nil"/>
              <w:right w:val="nil"/>
            </w:tcBorders>
            <w:vAlign w:val="center"/>
          </w:tcPr>
          <w:p w14:paraId="19B5FD52">
            <w:pPr>
              <w:widowControl/>
              <w:jc w:val="center"/>
              <w:textAlignment w:val="center"/>
              <w:rPr>
                <w:rFonts w:ascii="Times New Roman" w:hAnsi="Times New Roman"/>
                <w:sz w:val="21"/>
                <w:szCs w:val="21"/>
              </w:rPr>
            </w:pPr>
            <w:r>
              <w:rPr>
                <w:rFonts w:ascii="Times New Roman" w:hAnsi="Times New Roman"/>
                <w:color w:val="000000"/>
                <w:sz w:val="20"/>
                <w:szCs w:val="20"/>
                <w:lang w:bidi="ar"/>
              </w:rPr>
              <w:t>0.525</w:t>
            </w:r>
          </w:p>
        </w:tc>
        <w:tc>
          <w:tcPr>
            <w:tcW w:w="0" w:type="auto"/>
            <w:tcBorders>
              <w:top w:val="nil"/>
              <w:left w:val="nil"/>
              <w:bottom w:val="nil"/>
              <w:right w:val="nil"/>
            </w:tcBorders>
            <w:vAlign w:val="center"/>
          </w:tcPr>
          <w:p w14:paraId="75C3F52C">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0.589</w:t>
            </w:r>
          </w:p>
        </w:tc>
        <w:tc>
          <w:tcPr>
            <w:tcW w:w="0" w:type="auto"/>
            <w:tcBorders>
              <w:top w:val="nil"/>
              <w:left w:val="nil"/>
              <w:bottom w:val="nil"/>
              <w:right w:val="nil"/>
            </w:tcBorders>
            <w:vAlign w:val="center"/>
          </w:tcPr>
          <w:p w14:paraId="79A196A3">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0.616</w:t>
            </w:r>
          </w:p>
        </w:tc>
        <w:tc>
          <w:tcPr>
            <w:tcW w:w="0" w:type="auto"/>
            <w:tcBorders>
              <w:top w:val="nil"/>
              <w:left w:val="nil"/>
              <w:bottom w:val="nil"/>
              <w:right w:val="nil"/>
            </w:tcBorders>
            <w:vAlign w:val="center"/>
          </w:tcPr>
          <w:p w14:paraId="471CDC95">
            <w:pPr>
              <w:widowControl/>
              <w:jc w:val="center"/>
              <w:textAlignment w:val="center"/>
              <w:rPr>
                <w:rFonts w:ascii="Times New Roman" w:hAnsi="Times New Roman"/>
                <w:sz w:val="21"/>
                <w:szCs w:val="21"/>
              </w:rPr>
            </w:pPr>
            <w:r>
              <w:rPr>
                <w:rFonts w:ascii="Times New Roman" w:hAnsi="Times New Roman"/>
                <w:color w:val="000000"/>
                <w:sz w:val="20"/>
                <w:szCs w:val="20"/>
                <w:lang w:bidi="ar"/>
              </w:rPr>
              <w:t>0.645</w:t>
            </w:r>
          </w:p>
        </w:tc>
        <w:tc>
          <w:tcPr>
            <w:tcW w:w="0" w:type="auto"/>
            <w:tcBorders>
              <w:top w:val="nil"/>
              <w:left w:val="nil"/>
              <w:bottom w:val="nil"/>
              <w:right w:val="nil"/>
            </w:tcBorders>
            <w:vAlign w:val="center"/>
          </w:tcPr>
          <w:p w14:paraId="3947133A">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0.548</w:t>
            </w:r>
          </w:p>
        </w:tc>
        <w:tc>
          <w:tcPr>
            <w:tcW w:w="0" w:type="auto"/>
            <w:tcBorders>
              <w:top w:val="nil"/>
              <w:left w:val="nil"/>
              <w:bottom w:val="nil"/>
              <w:right w:val="nil"/>
            </w:tcBorders>
            <w:vAlign w:val="center"/>
          </w:tcPr>
          <w:p w14:paraId="76B95C67">
            <w:pPr>
              <w:widowControl/>
              <w:jc w:val="center"/>
              <w:textAlignment w:val="center"/>
              <w:rPr>
                <w:rFonts w:ascii="Times New Roman" w:hAnsi="Times New Roman"/>
                <w:sz w:val="21"/>
                <w:szCs w:val="21"/>
              </w:rPr>
            </w:pPr>
            <w:r>
              <w:rPr>
                <w:rFonts w:ascii="Times New Roman" w:hAnsi="Times New Roman"/>
                <w:color w:val="000000"/>
                <w:sz w:val="20"/>
                <w:szCs w:val="20"/>
                <w:lang w:bidi="ar"/>
              </w:rPr>
              <w:t>0.615</w:t>
            </w:r>
          </w:p>
        </w:tc>
        <w:tc>
          <w:tcPr>
            <w:tcW w:w="0" w:type="auto"/>
            <w:tcBorders>
              <w:top w:val="nil"/>
              <w:left w:val="nil"/>
              <w:bottom w:val="nil"/>
              <w:right w:val="nil"/>
            </w:tcBorders>
            <w:vAlign w:val="center"/>
          </w:tcPr>
          <w:p w14:paraId="401ACE6F">
            <w:pPr>
              <w:widowControl/>
              <w:jc w:val="center"/>
              <w:textAlignment w:val="center"/>
              <w:rPr>
                <w:rFonts w:ascii="Times New Roman" w:hAnsi="Times New Roman"/>
                <w:sz w:val="21"/>
                <w:szCs w:val="21"/>
              </w:rPr>
            </w:pPr>
            <w:r>
              <w:rPr>
                <w:rFonts w:ascii="Times New Roman" w:hAnsi="Times New Roman"/>
                <w:color w:val="000000"/>
                <w:sz w:val="20"/>
                <w:szCs w:val="20"/>
                <w:lang w:bidi="ar"/>
              </w:rPr>
              <w:t>0.582</w:t>
            </w:r>
          </w:p>
        </w:tc>
        <w:tc>
          <w:tcPr>
            <w:tcW w:w="0" w:type="auto"/>
            <w:tcBorders>
              <w:top w:val="nil"/>
              <w:left w:val="nil"/>
              <w:bottom w:val="nil"/>
              <w:right w:val="nil"/>
            </w:tcBorders>
          </w:tcPr>
          <w:p w14:paraId="5F6E4B45">
            <w:pPr>
              <w:widowControl/>
              <w:jc w:val="center"/>
              <w:textAlignment w:val="top"/>
              <w:rPr>
                <w:rFonts w:ascii="Times New Roman" w:hAnsi="Times New Roman"/>
                <w:color w:val="000000"/>
                <w:sz w:val="20"/>
                <w:szCs w:val="20"/>
              </w:rPr>
            </w:pPr>
            <w:r>
              <w:rPr>
                <w:rFonts w:ascii="Times New Roman" w:hAnsi="Times New Roman"/>
                <w:color w:val="000000"/>
                <w:sz w:val="20"/>
                <w:szCs w:val="20"/>
                <w:lang w:bidi="ar"/>
              </w:rPr>
              <w:t>0.495</w:t>
            </w:r>
          </w:p>
        </w:tc>
        <w:tc>
          <w:tcPr>
            <w:tcW w:w="672" w:type="dxa"/>
            <w:tcBorders>
              <w:top w:val="nil"/>
              <w:left w:val="nil"/>
              <w:bottom w:val="nil"/>
              <w:right w:val="nil"/>
            </w:tcBorders>
          </w:tcPr>
          <w:p w14:paraId="254A72D4">
            <w:pPr>
              <w:widowControl/>
              <w:jc w:val="center"/>
              <w:textAlignment w:val="top"/>
              <w:rPr>
                <w:rFonts w:ascii="Times New Roman" w:hAnsi="Times New Roman"/>
                <w:color w:val="000000"/>
                <w:sz w:val="20"/>
                <w:szCs w:val="20"/>
              </w:rPr>
            </w:pPr>
            <w:r>
              <w:rPr>
                <w:rFonts w:ascii="Times New Roman" w:hAnsi="Times New Roman"/>
                <w:color w:val="000000"/>
                <w:sz w:val="20"/>
                <w:szCs w:val="20"/>
                <w:lang w:bidi="ar"/>
              </w:rPr>
              <w:t>0.573</w:t>
            </w:r>
          </w:p>
        </w:tc>
        <w:tc>
          <w:tcPr>
            <w:tcW w:w="690" w:type="dxa"/>
            <w:tcBorders>
              <w:top w:val="nil"/>
              <w:left w:val="nil"/>
              <w:bottom w:val="nil"/>
              <w:right w:val="nil"/>
            </w:tcBorders>
          </w:tcPr>
          <w:p w14:paraId="342403E9">
            <w:pPr>
              <w:widowControl/>
              <w:jc w:val="center"/>
              <w:textAlignment w:val="top"/>
              <w:rPr>
                <w:rFonts w:ascii="Times New Roman" w:hAnsi="Times New Roman"/>
                <w:sz w:val="21"/>
                <w:szCs w:val="21"/>
              </w:rPr>
            </w:pPr>
            <w:r>
              <w:rPr>
                <w:rFonts w:ascii="Times New Roman" w:hAnsi="Times New Roman"/>
                <w:color w:val="000000"/>
                <w:sz w:val="20"/>
                <w:szCs w:val="20"/>
                <w:lang w:bidi="ar"/>
              </w:rPr>
              <w:t>0.591</w:t>
            </w:r>
          </w:p>
        </w:tc>
        <w:tc>
          <w:tcPr>
            <w:tcW w:w="0" w:type="auto"/>
            <w:tcBorders>
              <w:top w:val="nil"/>
              <w:left w:val="nil"/>
              <w:bottom w:val="nil"/>
              <w:right w:val="nil"/>
            </w:tcBorders>
            <w:vAlign w:val="center"/>
          </w:tcPr>
          <w:p w14:paraId="64B6D3C4">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0.333</w:t>
            </w:r>
          </w:p>
        </w:tc>
        <w:tc>
          <w:tcPr>
            <w:tcW w:w="0" w:type="auto"/>
            <w:tcBorders>
              <w:top w:val="nil"/>
              <w:left w:val="nil"/>
              <w:bottom w:val="nil"/>
              <w:right w:val="nil"/>
            </w:tcBorders>
            <w:vAlign w:val="center"/>
          </w:tcPr>
          <w:p w14:paraId="54E6E30A">
            <w:pPr>
              <w:widowControl/>
              <w:jc w:val="center"/>
              <w:textAlignment w:val="center"/>
              <w:rPr>
                <w:rFonts w:ascii="Times New Roman" w:hAnsi="Times New Roman"/>
                <w:sz w:val="21"/>
                <w:szCs w:val="21"/>
              </w:rPr>
            </w:pPr>
            <w:r>
              <w:rPr>
                <w:rFonts w:ascii="Times New Roman" w:hAnsi="Times New Roman"/>
                <w:color w:val="000000"/>
                <w:sz w:val="20"/>
                <w:szCs w:val="20"/>
                <w:lang w:bidi="ar"/>
              </w:rPr>
              <w:t>0.600</w:t>
            </w:r>
          </w:p>
        </w:tc>
        <w:tc>
          <w:tcPr>
            <w:tcW w:w="0" w:type="auto"/>
            <w:tcBorders>
              <w:top w:val="nil"/>
              <w:left w:val="nil"/>
              <w:bottom w:val="nil"/>
              <w:right w:val="nil"/>
            </w:tcBorders>
            <w:vAlign w:val="center"/>
          </w:tcPr>
          <w:p w14:paraId="38A0D27F">
            <w:pPr>
              <w:widowControl/>
              <w:jc w:val="center"/>
              <w:textAlignment w:val="center"/>
              <w:rPr>
                <w:rFonts w:ascii="Times New Roman" w:hAnsi="Times New Roman"/>
                <w:sz w:val="21"/>
                <w:szCs w:val="21"/>
              </w:rPr>
            </w:pPr>
            <w:r>
              <w:rPr>
                <w:rFonts w:ascii="Times New Roman" w:hAnsi="Times New Roman"/>
                <w:color w:val="000000"/>
                <w:sz w:val="20"/>
                <w:szCs w:val="20"/>
                <w:lang w:bidi="ar"/>
              </w:rPr>
              <w:t>0.467</w:t>
            </w:r>
          </w:p>
        </w:tc>
      </w:tr>
      <w:tr w14:paraId="3CD3082B">
        <w:tc>
          <w:tcPr>
            <w:tcW w:w="0" w:type="auto"/>
            <w:tcBorders>
              <w:top w:val="nil"/>
              <w:left w:val="nil"/>
              <w:bottom w:val="nil"/>
              <w:right w:val="nil"/>
            </w:tcBorders>
            <w:vAlign w:val="center"/>
          </w:tcPr>
          <w:p w14:paraId="0EB5BBEE">
            <w:pPr>
              <w:widowControl/>
              <w:jc w:val="center"/>
              <w:textAlignment w:val="center"/>
              <w:rPr>
                <w:rFonts w:ascii="Times New Roman" w:hAnsi="Times New Roman"/>
                <w:color w:val="000000"/>
                <w:sz w:val="21"/>
                <w:szCs w:val="21"/>
              </w:rPr>
            </w:pPr>
            <w:r>
              <w:rPr>
                <w:rFonts w:ascii="Times New Roman" w:hAnsi="Times New Roman"/>
                <w:color w:val="000000"/>
                <w:sz w:val="21"/>
                <w:szCs w:val="21"/>
                <w:lang w:bidi="ar"/>
              </w:rPr>
              <w:t>S05</w:t>
            </w:r>
          </w:p>
        </w:tc>
        <w:tc>
          <w:tcPr>
            <w:tcW w:w="0" w:type="auto"/>
            <w:tcBorders>
              <w:top w:val="nil"/>
              <w:left w:val="nil"/>
              <w:bottom w:val="nil"/>
              <w:right w:val="nil"/>
            </w:tcBorders>
            <w:vAlign w:val="center"/>
          </w:tcPr>
          <w:p w14:paraId="6CF74B70">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0.779</w:t>
            </w:r>
          </w:p>
        </w:tc>
        <w:tc>
          <w:tcPr>
            <w:tcW w:w="0" w:type="auto"/>
            <w:tcBorders>
              <w:top w:val="nil"/>
              <w:left w:val="nil"/>
              <w:bottom w:val="nil"/>
              <w:right w:val="nil"/>
            </w:tcBorders>
            <w:vAlign w:val="center"/>
          </w:tcPr>
          <w:p w14:paraId="6615E772">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0.814</w:t>
            </w:r>
          </w:p>
        </w:tc>
        <w:tc>
          <w:tcPr>
            <w:tcW w:w="0" w:type="auto"/>
            <w:tcBorders>
              <w:top w:val="nil"/>
              <w:left w:val="nil"/>
              <w:bottom w:val="nil"/>
              <w:right w:val="nil"/>
            </w:tcBorders>
            <w:vAlign w:val="center"/>
          </w:tcPr>
          <w:p w14:paraId="715CDFA5">
            <w:pPr>
              <w:widowControl/>
              <w:jc w:val="center"/>
              <w:textAlignment w:val="center"/>
              <w:rPr>
                <w:rFonts w:ascii="Times New Roman" w:hAnsi="Times New Roman"/>
                <w:sz w:val="21"/>
                <w:szCs w:val="21"/>
              </w:rPr>
            </w:pPr>
            <w:r>
              <w:rPr>
                <w:rFonts w:ascii="Times New Roman" w:hAnsi="Times New Roman"/>
                <w:color w:val="000000"/>
                <w:sz w:val="20"/>
                <w:szCs w:val="20"/>
                <w:lang w:bidi="ar"/>
              </w:rPr>
              <w:t>0.747</w:t>
            </w:r>
          </w:p>
        </w:tc>
        <w:tc>
          <w:tcPr>
            <w:tcW w:w="0" w:type="auto"/>
            <w:tcBorders>
              <w:top w:val="nil"/>
              <w:left w:val="nil"/>
              <w:bottom w:val="nil"/>
              <w:right w:val="nil"/>
            </w:tcBorders>
            <w:vAlign w:val="center"/>
          </w:tcPr>
          <w:p w14:paraId="12FCB7FA">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0.773</w:t>
            </w:r>
          </w:p>
        </w:tc>
        <w:tc>
          <w:tcPr>
            <w:tcW w:w="0" w:type="auto"/>
            <w:tcBorders>
              <w:top w:val="nil"/>
              <w:left w:val="nil"/>
              <w:bottom w:val="nil"/>
              <w:right w:val="nil"/>
            </w:tcBorders>
            <w:vAlign w:val="center"/>
          </w:tcPr>
          <w:p w14:paraId="042AAF31">
            <w:pPr>
              <w:widowControl/>
              <w:jc w:val="center"/>
              <w:textAlignment w:val="center"/>
              <w:rPr>
                <w:rFonts w:ascii="Times New Roman" w:hAnsi="Times New Roman"/>
                <w:sz w:val="21"/>
                <w:szCs w:val="21"/>
              </w:rPr>
            </w:pPr>
            <w:r>
              <w:rPr>
                <w:rFonts w:ascii="Times New Roman" w:hAnsi="Times New Roman"/>
                <w:color w:val="000000"/>
                <w:sz w:val="20"/>
                <w:szCs w:val="20"/>
                <w:lang w:bidi="ar"/>
              </w:rPr>
              <w:t>0.787</w:t>
            </w:r>
          </w:p>
        </w:tc>
        <w:tc>
          <w:tcPr>
            <w:tcW w:w="0" w:type="auto"/>
            <w:tcBorders>
              <w:top w:val="nil"/>
              <w:left w:val="nil"/>
              <w:bottom w:val="nil"/>
              <w:right w:val="nil"/>
            </w:tcBorders>
            <w:vAlign w:val="center"/>
          </w:tcPr>
          <w:p w14:paraId="748F9535">
            <w:pPr>
              <w:widowControl/>
              <w:jc w:val="center"/>
              <w:textAlignment w:val="center"/>
              <w:rPr>
                <w:rFonts w:ascii="Times New Roman" w:hAnsi="Times New Roman"/>
                <w:sz w:val="21"/>
                <w:szCs w:val="21"/>
              </w:rPr>
            </w:pPr>
            <w:r>
              <w:rPr>
                <w:rFonts w:ascii="Times New Roman" w:hAnsi="Times New Roman"/>
                <w:color w:val="000000"/>
                <w:sz w:val="20"/>
                <w:szCs w:val="20"/>
                <w:lang w:bidi="ar"/>
              </w:rPr>
              <w:t>0.780</w:t>
            </w:r>
          </w:p>
        </w:tc>
        <w:tc>
          <w:tcPr>
            <w:tcW w:w="0" w:type="auto"/>
            <w:tcBorders>
              <w:top w:val="nil"/>
              <w:left w:val="nil"/>
              <w:bottom w:val="nil"/>
              <w:right w:val="nil"/>
            </w:tcBorders>
            <w:vAlign w:val="center"/>
          </w:tcPr>
          <w:p w14:paraId="435C0B1D">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0.699</w:t>
            </w:r>
          </w:p>
        </w:tc>
        <w:tc>
          <w:tcPr>
            <w:tcW w:w="0" w:type="auto"/>
            <w:tcBorders>
              <w:top w:val="nil"/>
              <w:left w:val="nil"/>
              <w:bottom w:val="nil"/>
              <w:right w:val="nil"/>
            </w:tcBorders>
            <w:vAlign w:val="center"/>
          </w:tcPr>
          <w:p w14:paraId="3D2330ED">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0.787</w:t>
            </w:r>
          </w:p>
        </w:tc>
        <w:tc>
          <w:tcPr>
            <w:tcW w:w="0" w:type="auto"/>
            <w:tcBorders>
              <w:top w:val="nil"/>
              <w:left w:val="nil"/>
              <w:bottom w:val="nil"/>
              <w:right w:val="nil"/>
            </w:tcBorders>
            <w:vAlign w:val="center"/>
          </w:tcPr>
          <w:p w14:paraId="0A18C254">
            <w:pPr>
              <w:widowControl/>
              <w:jc w:val="center"/>
              <w:textAlignment w:val="center"/>
              <w:rPr>
                <w:rFonts w:ascii="Times New Roman" w:hAnsi="Times New Roman"/>
                <w:sz w:val="21"/>
                <w:szCs w:val="21"/>
              </w:rPr>
            </w:pPr>
            <w:r>
              <w:rPr>
                <w:rFonts w:ascii="Times New Roman" w:hAnsi="Times New Roman"/>
                <w:color w:val="000000"/>
                <w:sz w:val="20"/>
                <w:szCs w:val="20"/>
                <w:lang w:bidi="ar"/>
              </w:rPr>
              <w:t>0.653</w:t>
            </w:r>
          </w:p>
        </w:tc>
        <w:tc>
          <w:tcPr>
            <w:tcW w:w="0" w:type="auto"/>
            <w:tcBorders>
              <w:top w:val="nil"/>
              <w:left w:val="nil"/>
              <w:bottom w:val="nil"/>
              <w:right w:val="nil"/>
            </w:tcBorders>
            <w:vAlign w:val="center"/>
          </w:tcPr>
          <w:p w14:paraId="72E3B5E7">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0.712</w:t>
            </w:r>
          </w:p>
        </w:tc>
        <w:tc>
          <w:tcPr>
            <w:tcW w:w="0" w:type="auto"/>
            <w:tcBorders>
              <w:top w:val="nil"/>
              <w:left w:val="nil"/>
              <w:bottom w:val="nil"/>
              <w:right w:val="nil"/>
            </w:tcBorders>
            <w:vAlign w:val="center"/>
          </w:tcPr>
          <w:p w14:paraId="24C65143">
            <w:pPr>
              <w:widowControl/>
              <w:jc w:val="center"/>
              <w:textAlignment w:val="center"/>
              <w:rPr>
                <w:rFonts w:ascii="Times New Roman" w:hAnsi="Times New Roman"/>
                <w:sz w:val="21"/>
                <w:szCs w:val="21"/>
              </w:rPr>
            </w:pPr>
            <w:r>
              <w:rPr>
                <w:rFonts w:ascii="Times New Roman" w:hAnsi="Times New Roman"/>
                <w:color w:val="000000"/>
                <w:sz w:val="20"/>
                <w:szCs w:val="20"/>
                <w:lang w:bidi="ar"/>
              </w:rPr>
              <w:t>0.681</w:t>
            </w:r>
          </w:p>
        </w:tc>
        <w:tc>
          <w:tcPr>
            <w:tcW w:w="0" w:type="auto"/>
            <w:tcBorders>
              <w:top w:val="nil"/>
              <w:left w:val="nil"/>
              <w:bottom w:val="nil"/>
              <w:right w:val="nil"/>
            </w:tcBorders>
            <w:vAlign w:val="center"/>
          </w:tcPr>
          <w:p w14:paraId="67283202">
            <w:pPr>
              <w:widowControl/>
              <w:jc w:val="center"/>
              <w:textAlignment w:val="center"/>
              <w:rPr>
                <w:rFonts w:ascii="Times New Roman" w:hAnsi="Times New Roman"/>
                <w:sz w:val="21"/>
                <w:szCs w:val="21"/>
              </w:rPr>
            </w:pPr>
            <w:r>
              <w:rPr>
                <w:rFonts w:ascii="Times New Roman" w:hAnsi="Times New Roman"/>
                <w:color w:val="000000"/>
                <w:sz w:val="20"/>
                <w:szCs w:val="20"/>
                <w:lang w:bidi="ar"/>
              </w:rPr>
              <w:t>0.696</w:t>
            </w:r>
          </w:p>
        </w:tc>
        <w:tc>
          <w:tcPr>
            <w:tcW w:w="0" w:type="auto"/>
            <w:tcBorders>
              <w:top w:val="nil"/>
              <w:left w:val="nil"/>
              <w:bottom w:val="nil"/>
              <w:right w:val="nil"/>
            </w:tcBorders>
          </w:tcPr>
          <w:p w14:paraId="0C135930">
            <w:pPr>
              <w:widowControl/>
              <w:jc w:val="center"/>
              <w:textAlignment w:val="top"/>
              <w:rPr>
                <w:rFonts w:ascii="Times New Roman" w:hAnsi="Times New Roman"/>
                <w:color w:val="000000"/>
                <w:sz w:val="20"/>
                <w:szCs w:val="20"/>
              </w:rPr>
            </w:pPr>
            <w:r>
              <w:rPr>
                <w:rFonts w:ascii="Times New Roman" w:hAnsi="Times New Roman"/>
                <w:color w:val="000000"/>
                <w:sz w:val="20"/>
                <w:szCs w:val="20"/>
                <w:lang w:bidi="ar"/>
              </w:rPr>
              <w:t>0.717</w:t>
            </w:r>
          </w:p>
        </w:tc>
        <w:tc>
          <w:tcPr>
            <w:tcW w:w="672" w:type="dxa"/>
            <w:tcBorders>
              <w:top w:val="nil"/>
              <w:left w:val="nil"/>
              <w:bottom w:val="nil"/>
              <w:right w:val="nil"/>
            </w:tcBorders>
          </w:tcPr>
          <w:p w14:paraId="5D512D79">
            <w:pPr>
              <w:widowControl/>
              <w:jc w:val="center"/>
              <w:textAlignment w:val="top"/>
              <w:rPr>
                <w:rFonts w:ascii="Times New Roman" w:hAnsi="Times New Roman"/>
                <w:color w:val="000000"/>
                <w:sz w:val="20"/>
                <w:szCs w:val="20"/>
              </w:rPr>
            </w:pPr>
            <w:r>
              <w:rPr>
                <w:rFonts w:ascii="Times New Roman" w:hAnsi="Times New Roman"/>
                <w:color w:val="000000"/>
                <w:sz w:val="20"/>
                <w:szCs w:val="20"/>
                <w:lang w:bidi="ar"/>
              </w:rPr>
              <w:t>0.782</w:t>
            </w:r>
          </w:p>
        </w:tc>
        <w:tc>
          <w:tcPr>
            <w:tcW w:w="690" w:type="dxa"/>
            <w:tcBorders>
              <w:top w:val="nil"/>
              <w:left w:val="nil"/>
              <w:bottom w:val="nil"/>
              <w:right w:val="nil"/>
            </w:tcBorders>
          </w:tcPr>
          <w:p w14:paraId="0E4A6D27">
            <w:pPr>
              <w:widowControl/>
              <w:jc w:val="center"/>
              <w:textAlignment w:val="top"/>
              <w:rPr>
                <w:rFonts w:ascii="Times New Roman" w:hAnsi="Times New Roman"/>
                <w:sz w:val="21"/>
                <w:szCs w:val="21"/>
              </w:rPr>
            </w:pPr>
            <w:r>
              <w:rPr>
                <w:rFonts w:ascii="Times New Roman" w:hAnsi="Times New Roman"/>
                <w:color w:val="000000"/>
                <w:sz w:val="20"/>
                <w:szCs w:val="20"/>
                <w:lang w:bidi="ar"/>
              </w:rPr>
              <w:t>0.667</w:t>
            </w:r>
          </w:p>
        </w:tc>
        <w:tc>
          <w:tcPr>
            <w:tcW w:w="0" w:type="auto"/>
            <w:tcBorders>
              <w:top w:val="nil"/>
              <w:left w:val="nil"/>
              <w:bottom w:val="nil"/>
              <w:right w:val="nil"/>
            </w:tcBorders>
            <w:vAlign w:val="center"/>
          </w:tcPr>
          <w:p w14:paraId="584A1DC0">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0.742</w:t>
            </w:r>
          </w:p>
        </w:tc>
        <w:tc>
          <w:tcPr>
            <w:tcW w:w="0" w:type="auto"/>
            <w:tcBorders>
              <w:top w:val="nil"/>
              <w:left w:val="nil"/>
              <w:bottom w:val="nil"/>
              <w:right w:val="nil"/>
            </w:tcBorders>
            <w:vAlign w:val="center"/>
          </w:tcPr>
          <w:p w14:paraId="2E642B83">
            <w:pPr>
              <w:widowControl/>
              <w:jc w:val="center"/>
              <w:textAlignment w:val="center"/>
              <w:rPr>
                <w:rFonts w:ascii="Times New Roman" w:hAnsi="Times New Roman"/>
                <w:sz w:val="21"/>
                <w:szCs w:val="21"/>
              </w:rPr>
            </w:pPr>
            <w:r>
              <w:rPr>
                <w:rFonts w:ascii="Times New Roman" w:hAnsi="Times New Roman"/>
                <w:color w:val="000000"/>
                <w:sz w:val="20"/>
                <w:szCs w:val="20"/>
                <w:lang w:bidi="ar"/>
              </w:rPr>
              <w:t>0.681</w:t>
            </w:r>
          </w:p>
        </w:tc>
        <w:tc>
          <w:tcPr>
            <w:tcW w:w="0" w:type="auto"/>
            <w:tcBorders>
              <w:top w:val="nil"/>
              <w:left w:val="nil"/>
              <w:bottom w:val="nil"/>
              <w:right w:val="nil"/>
            </w:tcBorders>
            <w:vAlign w:val="center"/>
          </w:tcPr>
          <w:p w14:paraId="53E6157C">
            <w:pPr>
              <w:widowControl/>
              <w:jc w:val="center"/>
              <w:textAlignment w:val="center"/>
              <w:rPr>
                <w:rFonts w:ascii="Times New Roman" w:hAnsi="Times New Roman"/>
                <w:sz w:val="21"/>
                <w:szCs w:val="21"/>
              </w:rPr>
            </w:pPr>
            <w:r>
              <w:rPr>
                <w:rFonts w:ascii="Times New Roman" w:hAnsi="Times New Roman"/>
                <w:color w:val="000000"/>
                <w:sz w:val="20"/>
                <w:szCs w:val="20"/>
                <w:lang w:bidi="ar"/>
              </w:rPr>
              <w:t>0.712</w:t>
            </w:r>
          </w:p>
        </w:tc>
      </w:tr>
      <w:tr w14:paraId="465ACE59">
        <w:tc>
          <w:tcPr>
            <w:tcW w:w="0" w:type="auto"/>
            <w:tcBorders>
              <w:top w:val="nil"/>
              <w:left w:val="nil"/>
              <w:bottom w:val="nil"/>
              <w:right w:val="nil"/>
            </w:tcBorders>
            <w:vAlign w:val="center"/>
          </w:tcPr>
          <w:p w14:paraId="06ED3676">
            <w:pPr>
              <w:widowControl/>
              <w:jc w:val="center"/>
              <w:textAlignment w:val="center"/>
              <w:rPr>
                <w:rFonts w:ascii="Times New Roman" w:hAnsi="Times New Roman"/>
                <w:color w:val="000000"/>
                <w:sz w:val="21"/>
                <w:szCs w:val="21"/>
              </w:rPr>
            </w:pPr>
            <w:r>
              <w:rPr>
                <w:rFonts w:ascii="Times New Roman" w:hAnsi="Times New Roman"/>
                <w:color w:val="000000"/>
                <w:sz w:val="21"/>
                <w:szCs w:val="21"/>
                <w:lang w:bidi="ar"/>
              </w:rPr>
              <w:t>S06</w:t>
            </w:r>
          </w:p>
        </w:tc>
        <w:tc>
          <w:tcPr>
            <w:tcW w:w="0" w:type="auto"/>
            <w:tcBorders>
              <w:top w:val="nil"/>
              <w:left w:val="nil"/>
              <w:bottom w:val="nil"/>
              <w:right w:val="nil"/>
            </w:tcBorders>
            <w:vAlign w:val="center"/>
          </w:tcPr>
          <w:p w14:paraId="554F025D">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0.736</w:t>
            </w:r>
          </w:p>
        </w:tc>
        <w:tc>
          <w:tcPr>
            <w:tcW w:w="0" w:type="auto"/>
            <w:tcBorders>
              <w:top w:val="nil"/>
              <w:left w:val="nil"/>
              <w:bottom w:val="nil"/>
              <w:right w:val="nil"/>
            </w:tcBorders>
            <w:vAlign w:val="center"/>
          </w:tcPr>
          <w:p w14:paraId="531A9E26">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0.856</w:t>
            </w:r>
          </w:p>
        </w:tc>
        <w:tc>
          <w:tcPr>
            <w:tcW w:w="0" w:type="auto"/>
            <w:tcBorders>
              <w:top w:val="nil"/>
              <w:left w:val="nil"/>
              <w:bottom w:val="nil"/>
              <w:right w:val="nil"/>
            </w:tcBorders>
            <w:vAlign w:val="center"/>
          </w:tcPr>
          <w:p w14:paraId="3F31F504">
            <w:pPr>
              <w:widowControl/>
              <w:jc w:val="center"/>
              <w:textAlignment w:val="center"/>
              <w:rPr>
                <w:rFonts w:ascii="Times New Roman" w:hAnsi="Times New Roman"/>
                <w:sz w:val="21"/>
                <w:szCs w:val="21"/>
              </w:rPr>
            </w:pPr>
            <w:r>
              <w:rPr>
                <w:rFonts w:ascii="Times New Roman" w:hAnsi="Times New Roman"/>
                <w:color w:val="000000"/>
                <w:sz w:val="20"/>
                <w:szCs w:val="20"/>
                <w:lang w:bidi="ar"/>
              </w:rPr>
              <w:t>0.788</w:t>
            </w:r>
          </w:p>
        </w:tc>
        <w:tc>
          <w:tcPr>
            <w:tcW w:w="0" w:type="auto"/>
            <w:tcBorders>
              <w:top w:val="nil"/>
              <w:left w:val="nil"/>
              <w:bottom w:val="nil"/>
              <w:right w:val="nil"/>
            </w:tcBorders>
            <w:vAlign w:val="center"/>
          </w:tcPr>
          <w:p w14:paraId="7A9172CA">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0.619</w:t>
            </w:r>
          </w:p>
        </w:tc>
        <w:tc>
          <w:tcPr>
            <w:tcW w:w="0" w:type="auto"/>
            <w:tcBorders>
              <w:top w:val="nil"/>
              <w:left w:val="nil"/>
              <w:bottom w:val="nil"/>
              <w:right w:val="nil"/>
            </w:tcBorders>
            <w:vAlign w:val="center"/>
          </w:tcPr>
          <w:p w14:paraId="38EDB581">
            <w:pPr>
              <w:widowControl/>
              <w:jc w:val="center"/>
              <w:textAlignment w:val="center"/>
              <w:rPr>
                <w:rFonts w:ascii="Times New Roman" w:hAnsi="Times New Roman"/>
                <w:sz w:val="21"/>
                <w:szCs w:val="21"/>
              </w:rPr>
            </w:pPr>
            <w:r>
              <w:rPr>
                <w:rFonts w:ascii="Times New Roman" w:hAnsi="Times New Roman"/>
                <w:color w:val="000000"/>
                <w:sz w:val="20"/>
                <w:szCs w:val="20"/>
                <w:lang w:bidi="ar"/>
              </w:rPr>
              <w:t>0.813</w:t>
            </w:r>
          </w:p>
        </w:tc>
        <w:tc>
          <w:tcPr>
            <w:tcW w:w="0" w:type="auto"/>
            <w:tcBorders>
              <w:top w:val="nil"/>
              <w:left w:val="nil"/>
              <w:bottom w:val="nil"/>
              <w:right w:val="nil"/>
            </w:tcBorders>
            <w:vAlign w:val="center"/>
          </w:tcPr>
          <w:p w14:paraId="1258F51A">
            <w:pPr>
              <w:widowControl/>
              <w:jc w:val="center"/>
              <w:textAlignment w:val="center"/>
              <w:rPr>
                <w:rFonts w:ascii="Times New Roman" w:hAnsi="Times New Roman"/>
                <w:sz w:val="21"/>
                <w:szCs w:val="21"/>
              </w:rPr>
            </w:pPr>
            <w:r>
              <w:rPr>
                <w:rFonts w:ascii="Times New Roman" w:hAnsi="Times New Roman"/>
                <w:color w:val="000000"/>
                <w:sz w:val="20"/>
                <w:szCs w:val="20"/>
                <w:lang w:bidi="ar"/>
              </w:rPr>
              <w:t>0.716</w:t>
            </w:r>
          </w:p>
        </w:tc>
        <w:tc>
          <w:tcPr>
            <w:tcW w:w="0" w:type="auto"/>
            <w:tcBorders>
              <w:top w:val="nil"/>
              <w:left w:val="nil"/>
              <w:bottom w:val="nil"/>
              <w:right w:val="nil"/>
            </w:tcBorders>
            <w:vAlign w:val="center"/>
          </w:tcPr>
          <w:p w14:paraId="79BF94BF">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0.774</w:t>
            </w:r>
          </w:p>
        </w:tc>
        <w:tc>
          <w:tcPr>
            <w:tcW w:w="0" w:type="auto"/>
            <w:tcBorders>
              <w:top w:val="nil"/>
              <w:left w:val="nil"/>
              <w:bottom w:val="nil"/>
              <w:right w:val="nil"/>
            </w:tcBorders>
            <w:vAlign w:val="center"/>
          </w:tcPr>
          <w:p w14:paraId="45BA6D54">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0.859</w:t>
            </w:r>
          </w:p>
        </w:tc>
        <w:tc>
          <w:tcPr>
            <w:tcW w:w="0" w:type="auto"/>
            <w:tcBorders>
              <w:top w:val="nil"/>
              <w:left w:val="nil"/>
              <w:bottom w:val="nil"/>
              <w:right w:val="nil"/>
            </w:tcBorders>
            <w:vAlign w:val="center"/>
          </w:tcPr>
          <w:p w14:paraId="1C0118CB">
            <w:pPr>
              <w:widowControl/>
              <w:jc w:val="center"/>
              <w:textAlignment w:val="center"/>
              <w:rPr>
                <w:rFonts w:ascii="Times New Roman" w:hAnsi="Times New Roman"/>
                <w:sz w:val="21"/>
                <w:szCs w:val="21"/>
              </w:rPr>
            </w:pPr>
            <w:r>
              <w:rPr>
                <w:rFonts w:ascii="Times New Roman" w:hAnsi="Times New Roman"/>
                <w:color w:val="000000"/>
                <w:sz w:val="20"/>
                <w:szCs w:val="20"/>
                <w:lang w:bidi="ar"/>
              </w:rPr>
              <w:t>0.800</w:t>
            </w:r>
          </w:p>
        </w:tc>
        <w:tc>
          <w:tcPr>
            <w:tcW w:w="0" w:type="auto"/>
            <w:tcBorders>
              <w:top w:val="nil"/>
              <w:left w:val="nil"/>
              <w:bottom w:val="nil"/>
              <w:right w:val="nil"/>
            </w:tcBorders>
            <w:vAlign w:val="center"/>
          </w:tcPr>
          <w:p w14:paraId="7120DF16">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0.810</w:t>
            </w:r>
          </w:p>
        </w:tc>
        <w:tc>
          <w:tcPr>
            <w:tcW w:w="0" w:type="auto"/>
            <w:tcBorders>
              <w:top w:val="nil"/>
              <w:left w:val="nil"/>
              <w:bottom w:val="nil"/>
              <w:right w:val="nil"/>
            </w:tcBorders>
            <w:vAlign w:val="center"/>
          </w:tcPr>
          <w:p w14:paraId="151B49CD">
            <w:pPr>
              <w:widowControl/>
              <w:jc w:val="center"/>
              <w:textAlignment w:val="center"/>
              <w:rPr>
                <w:rFonts w:ascii="Times New Roman" w:hAnsi="Times New Roman"/>
                <w:sz w:val="21"/>
                <w:szCs w:val="21"/>
              </w:rPr>
            </w:pPr>
            <w:r>
              <w:rPr>
                <w:rFonts w:ascii="Times New Roman" w:hAnsi="Times New Roman"/>
                <w:color w:val="000000"/>
                <w:sz w:val="20"/>
                <w:szCs w:val="20"/>
                <w:lang w:bidi="ar"/>
              </w:rPr>
              <w:t>0.750</w:t>
            </w:r>
          </w:p>
        </w:tc>
        <w:tc>
          <w:tcPr>
            <w:tcW w:w="0" w:type="auto"/>
            <w:tcBorders>
              <w:top w:val="nil"/>
              <w:left w:val="nil"/>
              <w:bottom w:val="nil"/>
              <w:right w:val="nil"/>
            </w:tcBorders>
            <w:vAlign w:val="center"/>
          </w:tcPr>
          <w:p w14:paraId="52EB0C39">
            <w:pPr>
              <w:widowControl/>
              <w:jc w:val="center"/>
              <w:textAlignment w:val="center"/>
              <w:rPr>
                <w:rFonts w:ascii="Times New Roman" w:hAnsi="Times New Roman"/>
                <w:sz w:val="21"/>
                <w:szCs w:val="21"/>
              </w:rPr>
            </w:pPr>
            <w:r>
              <w:rPr>
                <w:rFonts w:ascii="Times New Roman" w:hAnsi="Times New Roman"/>
                <w:color w:val="000000"/>
                <w:sz w:val="20"/>
                <w:szCs w:val="20"/>
                <w:lang w:bidi="ar"/>
              </w:rPr>
              <w:t>0.780</w:t>
            </w:r>
          </w:p>
        </w:tc>
        <w:tc>
          <w:tcPr>
            <w:tcW w:w="0" w:type="auto"/>
            <w:tcBorders>
              <w:top w:val="nil"/>
              <w:left w:val="nil"/>
              <w:bottom w:val="nil"/>
              <w:right w:val="nil"/>
            </w:tcBorders>
          </w:tcPr>
          <w:p w14:paraId="1E40BCE0">
            <w:pPr>
              <w:widowControl/>
              <w:jc w:val="center"/>
              <w:textAlignment w:val="top"/>
              <w:rPr>
                <w:rFonts w:ascii="Times New Roman" w:hAnsi="Times New Roman"/>
                <w:color w:val="000000"/>
                <w:sz w:val="20"/>
                <w:szCs w:val="20"/>
              </w:rPr>
            </w:pPr>
            <w:r>
              <w:rPr>
                <w:rFonts w:ascii="Times New Roman" w:hAnsi="Times New Roman"/>
                <w:color w:val="000000"/>
                <w:sz w:val="20"/>
                <w:szCs w:val="20"/>
                <w:lang w:bidi="ar"/>
              </w:rPr>
              <w:t>0.755</w:t>
            </w:r>
          </w:p>
        </w:tc>
        <w:tc>
          <w:tcPr>
            <w:tcW w:w="672" w:type="dxa"/>
            <w:tcBorders>
              <w:top w:val="nil"/>
              <w:left w:val="nil"/>
              <w:bottom w:val="nil"/>
              <w:right w:val="nil"/>
            </w:tcBorders>
          </w:tcPr>
          <w:p w14:paraId="349AB2DF">
            <w:pPr>
              <w:widowControl/>
              <w:jc w:val="center"/>
              <w:textAlignment w:val="top"/>
              <w:rPr>
                <w:rFonts w:ascii="Times New Roman" w:hAnsi="Times New Roman"/>
                <w:color w:val="000000"/>
                <w:sz w:val="20"/>
                <w:szCs w:val="20"/>
              </w:rPr>
            </w:pPr>
            <w:r>
              <w:rPr>
                <w:rFonts w:ascii="Times New Roman" w:hAnsi="Times New Roman"/>
                <w:color w:val="000000"/>
                <w:sz w:val="20"/>
                <w:szCs w:val="20"/>
                <w:lang w:bidi="ar"/>
              </w:rPr>
              <w:t>0.86</w:t>
            </w:r>
          </w:p>
        </w:tc>
        <w:tc>
          <w:tcPr>
            <w:tcW w:w="690" w:type="dxa"/>
            <w:tcBorders>
              <w:top w:val="nil"/>
              <w:left w:val="nil"/>
              <w:bottom w:val="nil"/>
              <w:right w:val="nil"/>
            </w:tcBorders>
          </w:tcPr>
          <w:p w14:paraId="2DCCD228">
            <w:pPr>
              <w:widowControl/>
              <w:jc w:val="center"/>
              <w:textAlignment w:val="top"/>
              <w:rPr>
                <w:rFonts w:ascii="Times New Roman" w:hAnsi="Times New Roman"/>
                <w:sz w:val="21"/>
                <w:szCs w:val="21"/>
              </w:rPr>
            </w:pPr>
            <w:r>
              <w:rPr>
                <w:rFonts w:ascii="Times New Roman" w:hAnsi="Times New Roman"/>
                <w:color w:val="000000"/>
                <w:sz w:val="20"/>
                <w:szCs w:val="20"/>
                <w:lang w:bidi="ar"/>
              </w:rPr>
              <w:t>0.787</w:t>
            </w:r>
          </w:p>
        </w:tc>
        <w:tc>
          <w:tcPr>
            <w:tcW w:w="0" w:type="auto"/>
            <w:tcBorders>
              <w:top w:val="nil"/>
              <w:left w:val="nil"/>
              <w:bottom w:val="nil"/>
              <w:right w:val="nil"/>
            </w:tcBorders>
            <w:vAlign w:val="center"/>
          </w:tcPr>
          <w:p w14:paraId="25A70467">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0.762</w:t>
            </w:r>
          </w:p>
        </w:tc>
        <w:tc>
          <w:tcPr>
            <w:tcW w:w="0" w:type="auto"/>
            <w:tcBorders>
              <w:top w:val="nil"/>
              <w:left w:val="nil"/>
              <w:bottom w:val="nil"/>
              <w:right w:val="nil"/>
            </w:tcBorders>
            <w:vAlign w:val="center"/>
          </w:tcPr>
          <w:p w14:paraId="13609BEB">
            <w:pPr>
              <w:widowControl/>
              <w:jc w:val="center"/>
              <w:textAlignment w:val="center"/>
              <w:rPr>
                <w:rFonts w:ascii="Times New Roman" w:hAnsi="Times New Roman"/>
                <w:sz w:val="21"/>
                <w:szCs w:val="21"/>
              </w:rPr>
            </w:pPr>
            <w:r>
              <w:rPr>
                <w:rFonts w:ascii="Times New Roman" w:hAnsi="Times New Roman"/>
                <w:color w:val="000000"/>
                <w:sz w:val="20"/>
                <w:szCs w:val="20"/>
                <w:lang w:bidi="ar"/>
              </w:rPr>
              <w:t>0.750</w:t>
            </w:r>
          </w:p>
        </w:tc>
        <w:tc>
          <w:tcPr>
            <w:tcW w:w="0" w:type="auto"/>
            <w:tcBorders>
              <w:top w:val="nil"/>
              <w:left w:val="nil"/>
              <w:bottom w:val="nil"/>
              <w:right w:val="nil"/>
            </w:tcBorders>
            <w:vAlign w:val="center"/>
          </w:tcPr>
          <w:p w14:paraId="7C4A3832">
            <w:pPr>
              <w:widowControl/>
              <w:jc w:val="center"/>
              <w:textAlignment w:val="center"/>
              <w:rPr>
                <w:rFonts w:ascii="Times New Roman" w:hAnsi="Times New Roman"/>
                <w:sz w:val="21"/>
                <w:szCs w:val="21"/>
              </w:rPr>
            </w:pPr>
            <w:r>
              <w:rPr>
                <w:rFonts w:ascii="Times New Roman" w:hAnsi="Times New Roman"/>
                <w:color w:val="000000"/>
                <w:sz w:val="20"/>
                <w:szCs w:val="20"/>
                <w:lang w:bidi="ar"/>
              </w:rPr>
              <w:t>0.756</w:t>
            </w:r>
          </w:p>
        </w:tc>
      </w:tr>
      <w:tr w14:paraId="22DB551B">
        <w:tc>
          <w:tcPr>
            <w:tcW w:w="0" w:type="auto"/>
            <w:tcBorders>
              <w:top w:val="nil"/>
              <w:left w:val="nil"/>
              <w:bottom w:val="single" w:color="auto" w:sz="4" w:space="0"/>
              <w:right w:val="nil"/>
            </w:tcBorders>
            <w:vAlign w:val="center"/>
          </w:tcPr>
          <w:p w14:paraId="24AB13A9">
            <w:pPr>
              <w:widowControl/>
              <w:jc w:val="center"/>
              <w:textAlignment w:val="center"/>
              <w:rPr>
                <w:rFonts w:ascii="Times New Roman" w:hAnsi="Times New Roman"/>
                <w:color w:val="000000"/>
                <w:sz w:val="21"/>
                <w:szCs w:val="21"/>
              </w:rPr>
            </w:pPr>
            <w:r>
              <w:rPr>
                <w:rFonts w:ascii="Times New Roman" w:hAnsi="Times New Roman"/>
                <w:color w:val="000000"/>
                <w:sz w:val="21"/>
                <w:szCs w:val="21"/>
                <w:lang w:bidi="ar"/>
              </w:rPr>
              <w:t>S07</w:t>
            </w:r>
          </w:p>
        </w:tc>
        <w:tc>
          <w:tcPr>
            <w:tcW w:w="0" w:type="auto"/>
            <w:tcBorders>
              <w:top w:val="nil"/>
              <w:left w:val="nil"/>
              <w:bottom w:val="single" w:color="auto" w:sz="4" w:space="0"/>
              <w:right w:val="nil"/>
            </w:tcBorders>
            <w:vAlign w:val="center"/>
          </w:tcPr>
          <w:p w14:paraId="521E0060">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0.765</w:t>
            </w:r>
          </w:p>
        </w:tc>
        <w:tc>
          <w:tcPr>
            <w:tcW w:w="0" w:type="auto"/>
            <w:tcBorders>
              <w:top w:val="nil"/>
              <w:left w:val="nil"/>
              <w:bottom w:val="single" w:color="auto" w:sz="4" w:space="0"/>
              <w:right w:val="nil"/>
            </w:tcBorders>
            <w:vAlign w:val="center"/>
          </w:tcPr>
          <w:p w14:paraId="640155BD">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0.832</w:t>
            </w:r>
          </w:p>
        </w:tc>
        <w:tc>
          <w:tcPr>
            <w:tcW w:w="0" w:type="auto"/>
            <w:tcBorders>
              <w:top w:val="nil"/>
              <w:left w:val="nil"/>
              <w:bottom w:val="single" w:color="auto" w:sz="4" w:space="0"/>
              <w:right w:val="nil"/>
            </w:tcBorders>
            <w:vAlign w:val="center"/>
          </w:tcPr>
          <w:p w14:paraId="22431EF6">
            <w:pPr>
              <w:widowControl/>
              <w:jc w:val="center"/>
              <w:textAlignment w:val="center"/>
              <w:rPr>
                <w:rFonts w:ascii="Times New Roman" w:hAnsi="Times New Roman"/>
                <w:sz w:val="21"/>
                <w:szCs w:val="21"/>
              </w:rPr>
            </w:pPr>
            <w:r>
              <w:rPr>
                <w:rFonts w:ascii="Times New Roman" w:hAnsi="Times New Roman"/>
                <w:color w:val="000000"/>
                <w:sz w:val="20"/>
                <w:szCs w:val="20"/>
                <w:lang w:bidi="ar"/>
              </w:rPr>
              <w:t>0.762</w:t>
            </w:r>
          </w:p>
        </w:tc>
        <w:tc>
          <w:tcPr>
            <w:tcW w:w="0" w:type="auto"/>
            <w:tcBorders>
              <w:top w:val="nil"/>
              <w:left w:val="nil"/>
              <w:bottom w:val="single" w:color="auto" w:sz="4" w:space="0"/>
              <w:right w:val="nil"/>
            </w:tcBorders>
            <w:vAlign w:val="center"/>
          </w:tcPr>
          <w:p w14:paraId="04077B0B">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0.767</w:t>
            </w:r>
          </w:p>
        </w:tc>
        <w:tc>
          <w:tcPr>
            <w:tcW w:w="0" w:type="auto"/>
            <w:tcBorders>
              <w:top w:val="nil"/>
              <w:left w:val="nil"/>
              <w:bottom w:val="single" w:color="auto" w:sz="4" w:space="0"/>
              <w:right w:val="nil"/>
            </w:tcBorders>
            <w:vAlign w:val="center"/>
          </w:tcPr>
          <w:p w14:paraId="2E0806E6">
            <w:pPr>
              <w:widowControl/>
              <w:jc w:val="center"/>
              <w:textAlignment w:val="center"/>
              <w:rPr>
                <w:rFonts w:ascii="Times New Roman" w:hAnsi="Times New Roman"/>
                <w:sz w:val="21"/>
                <w:szCs w:val="21"/>
              </w:rPr>
            </w:pPr>
            <w:r>
              <w:rPr>
                <w:rFonts w:ascii="Times New Roman" w:hAnsi="Times New Roman"/>
                <w:color w:val="000000"/>
                <w:sz w:val="20"/>
                <w:szCs w:val="20"/>
                <w:lang w:bidi="ar"/>
              </w:rPr>
              <w:t>0.762</w:t>
            </w:r>
          </w:p>
        </w:tc>
        <w:tc>
          <w:tcPr>
            <w:tcW w:w="0" w:type="auto"/>
            <w:tcBorders>
              <w:top w:val="nil"/>
              <w:left w:val="nil"/>
              <w:bottom w:val="single" w:color="auto" w:sz="4" w:space="0"/>
              <w:right w:val="nil"/>
            </w:tcBorders>
            <w:vAlign w:val="center"/>
          </w:tcPr>
          <w:p w14:paraId="04FD7E59">
            <w:pPr>
              <w:widowControl/>
              <w:jc w:val="center"/>
              <w:textAlignment w:val="center"/>
              <w:rPr>
                <w:rFonts w:ascii="Times New Roman" w:hAnsi="Times New Roman"/>
                <w:sz w:val="21"/>
                <w:szCs w:val="21"/>
              </w:rPr>
            </w:pPr>
            <w:r>
              <w:rPr>
                <w:rFonts w:ascii="Times New Roman" w:hAnsi="Times New Roman"/>
                <w:color w:val="000000"/>
                <w:sz w:val="20"/>
                <w:szCs w:val="20"/>
                <w:lang w:bidi="ar"/>
              </w:rPr>
              <w:t>0.765</w:t>
            </w:r>
          </w:p>
        </w:tc>
        <w:tc>
          <w:tcPr>
            <w:tcW w:w="0" w:type="auto"/>
            <w:tcBorders>
              <w:top w:val="nil"/>
              <w:left w:val="nil"/>
              <w:bottom w:val="single" w:color="auto" w:sz="4" w:space="0"/>
              <w:right w:val="nil"/>
            </w:tcBorders>
            <w:vAlign w:val="center"/>
          </w:tcPr>
          <w:p w14:paraId="0BE4D92D">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0.765</w:t>
            </w:r>
          </w:p>
        </w:tc>
        <w:tc>
          <w:tcPr>
            <w:tcW w:w="0" w:type="auto"/>
            <w:tcBorders>
              <w:top w:val="nil"/>
              <w:left w:val="nil"/>
              <w:bottom w:val="single" w:color="auto" w:sz="4" w:space="0"/>
              <w:right w:val="nil"/>
            </w:tcBorders>
            <w:vAlign w:val="center"/>
          </w:tcPr>
          <w:p w14:paraId="656C59B4">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0.82</w:t>
            </w:r>
          </w:p>
        </w:tc>
        <w:tc>
          <w:tcPr>
            <w:tcW w:w="0" w:type="auto"/>
            <w:tcBorders>
              <w:top w:val="nil"/>
              <w:left w:val="nil"/>
              <w:bottom w:val="single" w:color="auto" w:sz="4" w:space="0"/>
              <w:right w:val="nil"/>
            </w:tcBorders>
            <w:vAlign w:val="center"/>
          </w:tcPr>
          <w:p w14:paraId="08BA3DBD">
            <w:pPr>
              <w:widowControl/>
              <w:jc w:val="center"/>
              <w:textAlignment w:val="center"/>
              <w:rPr>
                <w:rFonts w:ascii="Times New Roman" w:hAnsi="Times New Roman"/>
                <w:sz w:val="21"/>
                <w:szCs w:val="21"/>
              </w:rPr>
            </w:pPr>
            <w:r>
              <w:rPr>
                <w:rFonts w:ascii="Times New Roman" w:hAnsi="Times New Roman"/>
                <w:color w:val="000000"/>
                <w:sz w:val="20"/>
                <w:szCs w:val="20"/>
                <w:lang w:bidi="ar"/>
              </w:rPr>
              <w:t>0.737</w:t>
            </w:r>
          </w:p>
        </w:tc>
        <w:tc>
          <w:tcPr>
            <w:tcW w:w="0" w:type="auto"/>
            <w:tcBorders>
              <w:top w:val="nil"/>
              <w:left w:val="nil"/>
              <w:bottom w:val="single" w:color="auto" w:sz="4" w:space="0"/>
              <w:right w:val="nil"/>
            </w:tcBorders>
            <w:vAlign w:val="center"/>
          </w:tcPr>
          <w:p w14:paraId="6BDF2BFD">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0.860</w:t>
            </w:r>
          </w:p>
        </w:tc>
        <w:tc>
          <w:tcPr>
            <w:tcW w:w="0" w:type="auto"/>
            <w:tcBorders>
              <w:top w:val="nil"/>
              <w:left w:val="nil"/>
              <w:bottom w:val="single" w:color="auto" w:sz="4" w:space="0"/>
              <w:right w:val="nil"/>
            </w:tcBorders>
            <w:vAlign w:val="center"/>
          </w:tcPr>
          <w:p w14:paraId="6BA768D1">
            <w:pPr>
              <w:widowControl/>
              <w:jc w:val="center"/>
              <w:textAlignment w:val="center"/>
              <w:rPr>
                <w:rFonts w:ascii="Times New Roman" w:hAnsi="Times New Roman"/>
                <w:sz w:val="21"/>
                <w:szCs w:val="21"/>
              </w:rPr>
            </w:pPr>
            <w:r>
              <w:rPr>
                <w:rFonts w:ascii="Times New Roman" w:hAnsi="Times New Roman"/>
                <w:color w:val="000000"/>
                <w:sz w:val="20"/>
                <w:szCs w:val="20"/>
                <w:lang w:bidi="ar"/>
              </w:rPr>
              <w:t>0.667</w:t>
            </w:r>
          </w:p>
        </w:tc>
        <w:tc>
          <w:tcPr>
            <w:tcW w:w="0" w:type="auto"/>
            <w:tcBorders>
              <w:top w:val="nil"/>
              <w:left w:val="nil"/>
              <w:bottom w:val="single" w:color="auto" w:sz="4" w:space="0"/>
              <w:right w:val="nil"/>
            </w:tcBorders>
            <w:vAlign w:val="center"/>
          </w:tcPr>
          <w:p w14:paraId="106D06F3">
            <w:pPr>
              <w:widowControl/>
              <w:jc w:val="center"/>
              <w:textAlignment w:val="center"/>
              <w:rPr>
                <w:rFonts w:ascii="Times New Roman" w:hAnsi="Times New Roman"/>
                <w:sz w:val="21"/>
                <w:szCs w:val="21"/>
              </w:rPr>
            </w:pPr>
            <w:r>
              <w:rPr>
                <w:rFonts w:ascii="Times New Roman" w:hAnsi="Times New Roman"/>
                <w:color w:val="000000"/>
                <w:sz w:val="20"/>
                <w:szCs w:val="20"/>
                <w:lang w:bidi="ar"/>
              </w:rPr>
              <w:t>0.764</w:t>
            </w:r>
          </w:p>
        </w:tc>
        <w:tc>
          <w:tcPr>
            <w:tcW w:w="0" w:type="auto"/>
            <w:tcBorders>
              <w:top w:val="nil"/>
              <w:left w:val="nil"/>
              <w:bottom w:val="single" w:color="auto" w:sz="4" w:space="0"/>
              <w:right w:val="nil"/>
            </w:tcBorders>
          </w:tcPr>
          <w:p w14:paraId="41B056D8">
            <w:pPr>
              <w:widowControl/>
              <w:jc w:val="center"/>
              <w:textAlignment w:val="top"/>
              <w:rPr>
                <w:rFonts w:ascii="Times New Roman" w:hAnsi="Times New Roman"/>
                <w:color w:val="000000"/>
                <w:sz w:val="20"/>
                <w:szCs w:val="20"/>
              </w:rPr>
            </w:pPr>
            <w:r>
              <w:rPr>
                <w:rFonts w:ascii="Times New Roman" w:hAnsi="Times New Roman"/>
                <w:color w:val="000000"/>
                <w:sz w:val="20"/>
                <w:szCs w:val="20"/>
                <w:lang w:bidi="ar"/>
              </w:rPr>
              <w:t>0.788</w:t>
            </w:r>
          </w:p>
        </w:tc>
        <w:tc>
          <w:tcPr>
            <w:tcW w:w="672" w:type="dxa"/>
            <w:tcBorders>
              <w:top w:val="nil"/>
              <w:left w:val="nil"/>
              <w:bottom w:val="single" w:color="auto" w:sz="4" w:space="0"/>
              <w:right w:val="nil"/>
            </w:tcBorders>
          </w:tcPr>
          <w:p w14:paraId="250069A6">
            <w:pPr>
              <w:widowControl/>
              <w:jc w:val="center"/>
              <w:textAlignment w:val="top"/>
              <w:rPr>
                <w:rFonts w:ascii="Times New Roman" w:hAnsi="Times New Roman"/>
                <w:color w:val="000000"/>
                <w:sz w:val="20"/>
                <w:szCs w:val="20"/>
              </w:rPr>
            </w:pPr>
            <w:r>
              <w:rPr>
                <w:rFonts w:ascii="Times New Roman" w:hAnsi="Times New Roman"/>
                <w:color w:val="000000"/>
                <w:sz w:val="20"/>
                <w:szCs w:val="20"/>
                <w:lang w:bidi="ar"/>
              </w:rPr>
              <w:t>0.819</w:t>
            </w:r>
          </w:p>
        </w:tc>
        <w:tc>
          <w:tcPr>
            <w:tcW w:w="690" w:type="dxa"/>
            <w:tcBorders>
              <w:top w:val="nil"/>
              <w:left w:val="nil"/>
              <w:bottom w:val="single" w:color="auto" w:sz="4" w:space="0"/>
              <w:right w:val="nil"/>
            </w:tcBorders>
          </w:tcPr>
          <w:p w14:paraId="1BE1BC3B">
            <w:pPr>
              <w:widowControl/>
              <w:jc w:val="center"/>
              <w:textAlignment w:val="top"/>
              <w:rPr>
                <w:rFonts w:ascii="Times New Roman" w:hAnsi="Times New Roman"/>
                <w:sz w:val="21"/>
                <w:szCs w:val="21"/>
              </w:rPr>
            </w:pPr>
            <w:r>
              <w:rPr>
                <w:rFonts w:ascii="Times New Roman" w:hAnsi="Times New Roman"/>
                <w:color w:val="000000"/>
                <w:sz w:val="20"/>
                <w:szCs w:val="20"/>
                <w:lang w:bidi="ar"/>
              </w:rPr>
              <w:t>0.757</w:t>
            </w:r>
          </w:p>
        </w:tc>
        <w:tc>
          <w:tcPr>
            <w:tcW w:w="0" w:type="auto"/>
            <w:tcBorders>
              <w:top w:val="nil"/>
              <w:left w:val="nil"/>
              <w:bottom w:val="single" w:color="auto" w:sz="4" w:space="0"/>
              <w:right w:val="nil"/>
            </w:tcBorders>
            <w:vAlign w:val="center"/>
          </w:tcPr>
          <w:p w14:paraId="3DFEDC61">
            <w:pPr>
              <w:widowControl/>
              <w:jc w:val="center"/>
              <w:textAlignment w:val="center"/>
              <w:rPr>
                <w:rFonts w:ascii="Times New Roman" w:hAnsi="Times New Roman"/>
                <w:color w:val="000000"/>
                <w:sz w:val="20"/>
                <w:szCs w:val="20"/>
              </w:rPr>
            </w:pPr>
            <w:r>
              <w:rPr>
                <w:rFonts w:ascii="Times New Roman" w:hAnsi="Times New Roman"/>
                <w:color w:val="000000"/>
                <w:sz w:val="20"/>
                <w:szCs w:val="20"/>
                <w:lang w:bidi="ar"/>
              </w:rPr>
              <w:t>0.907</w:t>
            </w:r>
          </w:p>
        </w:tc>
        <w:tc>
          <w:tcPr>
            <w:tcW w:w="0" w:type="auto"/>
            <w:tcBorders>
              <w:top w:val="nil"/>
              <w:left w:val="nil"/>
              <w:bottom w:val="single" w:color="auto" w:sz="4" w:space="0"/>
              <w:right w:val="nil"/>
            </w:tcBorders>
            <w:vAlign w:val="center"/>
          </w:tcPr>
          <w:p w14:paraId="755950DF">
            <w:pPr>
              <w:widowControl/>
              <w:jc w:val="center"/>
              <w:textAlignment w:val="center"/>
              <w:rPr>
                <w:rFonts w:ascii="Times New Roman" w:hAnsi="Times New Roman"/>
                <w:sz w:val="21"/>
                <w:szCs w:val="21"/>
              </w:rPr>
            </w:pPr>
            <w:r>
              <w:rPr>
                <w:rFonts w:ascii="Times New Roman" w:hAnsi="Times New Roman"/>
                <w:color w:val="000000"/>
                <w:sz w:val="20"/>
                <w:szCs w:val="20"/>
                <w:lang w:bidi="ar"/>
              </w:rPr>
              <w:t>0.667</w:t>
            </w:r>
          </w:p>
        </w:tc>
        <w:tc>
          <w:tcPr>
            <w:tcW w:w="0" w:type="auto"/>
            <w:tcBorders>
              <w:top w:val="nil"/>
              <w:left w:val="nil"/>
              <w:bottom w:val="single" w:color="auto" w:sz="4" w:space="0"/>
              <w:right w:val="nil"/>
            </w:tcBorders>
            <w:vAlign w:val="center"/>
          </w:tcPr>
          <w:p w14:paraId="7E8080D5">
            <w:pPr>
              <w:widowControl/>
              <w:jc w:val="center"/>
              <w:textAlignment w:val="center"/>
              <w:rPr>
                <w:rFonts w:ascii="Times New Roman" w:hAnsi="Times New Roman"/>
                <w:sz w:val="21"/>
                <w:szCs w:val="21"/>
              </w:rPr>
            </w:pPr>
            <w:r>
              <w:rPr>
                <w:rFonts w:ascii="Times New Roman" w:hAnsi="Times New Roman"/>
                <w:color w:val="000000"/>
                <w:sz w:val="20"/>
                <w:szCs w:val="20"/>
                <w:lang w:bidi="ar"/>
              </w:rPr>
              <w:t>0.787</w:t>
            </w:r>
          </w:p>
        </w:tc>
      </w:tr>
    </w:tbl>
    <w:p w14:paraId="535CABAC">
      <w:pPr>
        <w:jc w:val="both"/>
        <w:rPr>
          <w:rStyle w:val="34"/>
          <w:rFonts w:ascii="Times New Roman" w:hAnsi="Times New Roman"/>
        </w:rPr>
      </w:pPr>
      <w:r>
        <w:rPr>
          <w:rStyle w:val="34"/>
          <w:rFonts w:ascii="Times New Roman" w:hAnsi="Times New Roman"/>
          <w:lang w:eastAsia="zh"/>
        </w:rPr>
        <w:t>"</w:t>
      </w:r>
      <w:r>
        <w:rPr>
          <w:rStyle w:val="34"/>
          <w:rFonts w:ascii="Times New Roman" w:hAnsi="Times New Roman"/>
        </w:rPr>
        <w:t>ACC</w:t>
      </w:r>
      <w:r>
        <w:rPr>
          <w:rStyle w:val="34"/>
          <w:rFonts w:ascii="Times New Roman" w:hAnsi="Times New Roman"/>
          <w:lang w:eastAsia="zh"/>
        </w:rPr>
        <w:t>"</w:t>
      </w:r>
      <w:r>
        <w:rPr>
          <w:rStyle w:val="34"/>
          <w:rFonts w:ascii="Times New Roman" w:hAnsi="Times New Roman"/>
        </w:rPr>
        <w:t xml:space="preserve"> is the classification Accuracy achieved on the respective site. </w:t>
      </w:r>
      <w:r>
        <w:rPr>
          <w:rStyle w:val="34"/>
          <w:rFonts w:ascii="Times New Roman" w:hAnsi="Times New Roman"/>
          <w:lang w:eastAsia="zh"/>
        </w:rPr>
        <w:t>"</w:t>
      </w:r>
      <w:r>
        <w:rPr>
          <w:rStyle w:val="34"/>
          <w:rFonts w:ascii="Times New Roman" w:hAnsi="Times New Roman"/>
        </w:rPr>
        <w:t>AUC</w:t>
      </w:r>
      <w:r>
        <w:rPr>
          <w:rStyle w:val="34"/>
          <w:rFonts w:ascii="Times New Roman" w:hAnsi="Times New Roman"/>
          <w:lang w:eastAsia="zh"/>
        </w:rPr>
        <w:t>"</w:t>
      </w:r>
      <w:r>
        <w:rPr>
          <w:rStyle w:val="34"/>
          <w:rFonts w:ascii="Times New Roman" w:hAnsi="Times New Roman"/>
        </w:rPr>
        <w:t xml:space="preserve"> means the Area Under the ROC Curve, which measures the model's ability to distinguish between classes across all classification thresholds. The F1 score, which is the harmonic mean of precision and recall. </w:t>
      </w:r>
      <w:r>
        <w:rPr>
          <w:rStyle w:val="34"/>
          <w:rFonts w:ascii="Times New Roman" w:hAnsi="Times New Roman"/>
          <w:lang w:eastAsia="zh"/>
        </w:rPr>
        <w:t>"</w:t>
      </w:r>
      <w:r>
        <w:rPr>
          <w:rStyle w:val="34"/>
          <w:rFonts w:ascii="Times New Roman" w:hAnsi="Times New Roman"/>
        </w:rPr>
        <w:t>SPE</w:t>
      </w:r>
      <w:r>
        <w:rPr>
          <w:rStyle w:val="34"/>
          <w:rFonts w:ascii="Times New Roman" w:hAnsi="Times New Roman"/>
          <w:lang w:eastAsia="zh"/>
        </w:rPr>
        <w:t>"</w:t>
      </w:r>
      <w:r>
        <w:rPr>
          <w:rStyle w:val="34"/>
          <w:rFonts w:ascii="Times New Roman" w:hAnsi="Times New Roman"/>
        </w:rPr>
        <w:t xml:space="preserve"> means Specificity, the proportion of actual negative instances correctly identified as negative. </w:t>
      </w:r>
      <w:r>
        <w:rPr>
          <w:rStyle w:val="34"/>
          <w:rFonts w:ascii="Times New Roman" w:hAnsi="Times New Roman"/>
          <w:lang w:eastAsia="zh"/>
        </w:rPr>
        <w:t>"</w:t>
      </w:r>
      <w:r>
        <w:rPr>
          <w:rStyle w:val="34"/>
          <w:rFonts w:ascii="Times New Roman" w:hAnsi="Times New Roman"/>
        </w:rPr>
        <w:t>SEN</w:t>
      </w:r>
      <w:r>
        <w:rPr>
          <w:rStyle w:val="34"/>
          <w:rFonts w:ascii="Times New Roman" w:hAnsi="Times New Roman"/>
          <w:lang w:eastAsia="zh"/>
        </w:rPr>
        <w:t>"</w:t>
      </w:r>
      <w:r>
        <w:rPr>
          <w:rStyle w:val="34"/>
          <w:rFonts w:ascii="Times New Roman" w:hAnsi="Times New Roman"/>
        </w:rPr>
        <w:t> means Sensitivity,  referred to as Recall or True Positive Rate. Balanced ACC (Balanced Accuracy): the arithmetic mean of Sensitivity and Specificity.</w:t>
      </w:r>
    </w:p>
    <w:p w14:paraId="2532CE89">
      <w:pPr>
        <w:rPr>
          <w:rStyle w:val="34"/>
          <w:rFonts w:ascii="Times New Roman" w:hAnsi="Times New Roman"/>
        </w:rPr>
      </w:pPr>
    </w:p>
    <w:p w14:paraId="292A2A93">
      <w:pPr>
        <w:rPr>
          <w:rStyle w:val="60"/>
          <w:b/>
          <w:bCs/>
        </w:rPr>
      </w:pPr>
      <w:r>
        <w:rPr>
          <w:rStyle w:val="34"/>
          <w:rFonts w:ascii="Times New Roman" w:hAnsi="Times New Roman"/>
          <w:b/>
          <w:bCs/>
        </w:rPr>
        <w:t>Table</w:t>
      </w:r>
      <w:r>
        <w:rPr>
          <w:rStyle w:val="60"/>
          <w:b/>
          <w:bCs/>
        </w:rPr>
        <w:t xml:space="preserve"> S9. The statistical results of the classification between AD and MCI for each site.</w:t>
      </w:r>
    </w:p>
    <w:tbl>
      <w:tblPr>
        <w:tblStyle w:val="28"/>
        <w:tblW w:w="4999" w:type="pct"/>
        <w:tblInd w:w="0" w:type="dxa"/>
        <w:tblLayout w:type="autofit"/>
        <w:tblCellMar>
          <w:top w:w="0" w:type="dxa"/>
          <w:left w:w="108" w:type="dxa"/>
          <w:bottom w:w="0" w:type="dxa"/>
          <w:right w:w="108" w:type="dxa"/>
        </w:tblCellMar>
      </w:tblPr>
      <w:tblGrid>
        <w:gridCol w:w="539"/>
        <w:gridCol w:w="661"/>
        <w:gridCol w:w="661"/>
        <w:gridCol w:w="661"/>
        <w:gridCol w:w="661"/>
        <w:gridCol w:w="662"/>
        <w:gridCol w:w="997"/>
        <w:gridCol w:w="662"/>
        <w:gridCol w:w="662"/>
        <w:gridCol w:w="662"/>
        <w:gridCol w:w="662"/>
        <w:gridCol w:w="662"/>
        <w:gridCol w:w="997"/>
        <w:gridCol w:w="662"/>
        <w:gridCol w:w="662"/>
        <w:gridCol w:w="662"/>
        <w:gridCol w:w="662"/>
        <w:gridCol w:w="662"/>
        <w:gridCol w:w="997"/>
      </w:tblGrid>
      <w:tr w14:paraId="2CCE86B5">
        <w:trPr>
          <w:trHeight w:val="300" w:hRule="atLeast"/>
        </w:trPr>
        <w:tc>
          <w:tcPr>
            <w:tcW w:w="195" w:type="pct"/>
            <w:tcBorders>
              <w:top w:val="single" w:color="000000" w:sz="8" w:space="0"/>
              <w:left w:val="nil"/>
              <w:bottom w:val="nil"/>
              <w:right w:val="nil"/>
            </w:tcBorders>
            <w:noWrap/>
            <w:vAlign w:val="center"/>
          </w:tcPr>
          <w:p w14:paraId="51B003D8">
            <w:pPr>
              <w:rPr>
                <w:rFonts w:ascii="Times New Roman" w:hAnsi="Times New Roman"/>
                <w:color w:val="000000"/>
                <w:sz w:val="20"/>
                <w:szCs w:val="20"/>
              </w:rPr>
            </w:pPr>
          </w:p>
        </w:tc>
        <w:tc>
          <w:tcPr>
            <w:tcW w:w="1601" w:type="pct"/>
            <w:gridSpan w:val="6"/>
            <w:tcBorders>
              <w:top w:val="single" w:color="000000" w:sz="8" w:space="0"/>
              <w:left w:val="nil"/>
              <w:bottom w:val="nil"/>
              <w:right w:val="nil"/>
            </w:tcBorders>
            <w:vAlign w:val="center"/>
          </w:tcPr>
          <w:p w14:paraId="68906961">
            <w:pPr>
              <w:jc w:val="center"/>
              <w:textAlignment w:val="center"/>
              <w:rPr>
                <w:rFonts w:ascii="Times New Roman" w:hAnsi="Times New Roman"/>
                <w:b/>
                <w:bCs/>
                <w:color w:val="000000"/>
                <w:sz w:val="20"/>
                <w:szCs w:val="20"/>
              </w:rPr>
            </w:pPr>
            <w:r>
              <w:rPr>
                <w:rFonts w:ascii="Times New Roman" w:hAnsi="Times New Roman"/>
                <w:b/>
                <w:bCs/>
                <w:color w:val="000000"/>
                <w:sz w:val="20"/>
                <w:szCs w:val="20"/>
                <w:lang w:bidi="ar"/>
              </w:rPr>
              <w:t>Features across all-brains</w:t>
            </w:r>
          </w:p>
        </w:tc>
        <w:tc>
          <w:tcPr>
            <w:tcW w:w="1601" w:type="pct"/>
            <w:gridSpan w:val="6"/>
            <w:tcBorders>
              <w:top w:val="single" w:color="000000" w:sz="8" w:space="0"/>
              <w:left w:val="nil"/>
              <w:bottom w:val="nil"/>
              <w:right w:val="nil"/>
            </w:tcBorders>
            <w:vAlign w:val="center"/>
          </w:tcPr>
          <w:p w14:paraId="0727AE5F">
            <w:pPr>
              <w:jc w:val="center"/>
              <w:textAlignment w:val="center"/>
              <w:rPr>
                <w:rFonts w:ascii="Times New Roman" w:hAnsi="Times New Roman"/>
                <w:b/>
                <w:bCs/>
                <w:color w:val="000000"/>
                <w:sz w:val="20"/>
                <w:szCs w:val="20"/>
              </w:rPr>
            </w:pPr>
            <w:r>
              <w:rPr>
                <w:rFonts w:ascii="Times New Roman" w:hAnsi="Times New Roman"/>
                <w:b/>
                <w:bCs/>
                <w:color w:val="000000"/>
                <w:sz w:val="20"/>
                <w:szCs w:val="20"/>
                <w:lang w:bidi="ar"/>
              </w:rPr>
              <w:t>Features across sig-brains</w:t>
            </w:r>
          </w:p>
        </w:tc>
        <w:tc>
          <w:tcPr>
            <w:tcW w:w="1601" w:type="pct"/>
            <w:gridSpan w:val="6"/>
            <w:tcBorders>
              <w:top w:val="single" w:color="000000" w:sz="8" w:space="0"/>
              <w:left w:val="nil"/>
              <w:bottom w:val="nil"/>
              <w:right w:val="nil"/>
            </w:tcBorders>
            <w:vAlign w:val="center"/>
          </w:tcPr>
          <w:p w14:paraId="185916DB">
            <w:pPr>
              <w:jc w:val="center"/>
              <w:textAlignment w:val="center"/>
              <w:rPr>
                <w:rFonts w:ascii="Times New Roman" w:hAnsi="Times New Roman"/>
                <w:b/>
                <w:bCs/>
                <w:color w:val="000000"/>
                <w:sz w:val="20"/>
                <w:szCs w:val="20"/>
              </w:rPr>
            </w:pPr>
            <w:r>
              <w:rPr>
                <w:rFonts w:ascii="Times New Roman" w:hAnsi="Times New Roman"/>
                <w:b/>
                <w:bCs/>
                <w:color w:val="000000"/>
                <w:sz w:val="20"/>
                <w:szCs w:val="20"/>
                <w:lang w:bidi="ar"/>
              </w:rPr>
              <w:t>Features across FDR-brains</w:t>
            </w:r>
          </w:p>
        </w:tc>
      </w:tr>
      <w:tr w14:paraId="33EE4AC4">
        <w:trPr>
          <w:trHeight w:val="555" w:hRule="atLeast"/>
        </w:trPr>
        <w:tc>
          <w:tcPr>
            <w:tcW w:w="195" w:type="pct"/>
            <w:tcBorders>
              <w:top w:val="nil"/>
              <w:left w:val="nil"/>
              <w:bottom w:val="single" w:color="000000" w:sz="8" w:space="0"/>
              <w:right w:val="nil"/>
            </w:tcBorders>
            <w:vAlign w:val="center"/>
          </w:tcPr>
          <w:p w14:paraId="0A129B9C">
            <w:pPr>
              <w:jc w:val="center"/>
              <w:textAlignment w:val="center"/>
              <w:rPr>
                <w:rFonts w:ascii="Times New Roman" w:hAnsi="Times New Roman"/>
                <w:b/>
                <w:bCs/>
                <w:color w:val="000000"/>
                <w:sz w:val="20"/>
                <w:szCs w:val="20"/>
              </w:rPr>
            </w:pPr>
            <w:r>
              <w:rPr>
                <w:rFonts w:ascii="Times New Roman" w:hAnsi="Times New Roman"/>
                <w:b/>
                <w:bCs/>
                <w:color w:val="000000"/>
                <w:sz w:val="20"/>
                <w:szCs w:val="20"/>
                <w:lang w:bidi="ar"/>
              </w:rPr>
              <w:t>Site</w:t>
            </w:r>
          </w:p>
        </w:tc>
        <w:tc>
          <w:tcPr>
            <w:tcW w:w="247" w:type="pct"/>
            <w:tcBorders>
              <w:top w:val="nil"/>
              <w:left w:val="nil"/>
              <w:bottom w:val="single" w:color="000000" w:sz="8" w:space="0"/>
              <w:right w:val="nil"/>
            </w:tcBorders>
            <w:vAlign w:val="center"/>
          </w:tcPr>
          <w:p w14:paraId="06E85896">
            <w:pPr>
              <w:jc w:val="center"/>
              <w:textAlignment w:val="center"/>
              <w:rPr>
                <w:rFonts w:ascii="Times New Roman" w:hAnsi="Times New Roman"/>
                <w:b/>
                <w:bCs/>
                <w:color w:val="000000"/>
                <w:sz w:val="20"/>
                <w:szCs w:val="20"/>
              </w:rPr>
            </w:pPr>
            <w:r>
              <w:rPr>
                <w:rFonts w:ascii="Times New Roman" w:hAnsi="Times New Roman"/>
                <w:b/>
                <w:bCs/>
                <w:color w:val="000000"/>
                <w:sz w:val="20"/>
                <w:szCs w:val="20"/>
                <w:lang w:bidi="ar"/>
              </w:rPr>
              <w:t>ACC</w:t>
            </w:r>
          </w:p>
        </w:tc>
        <w:tc>
          <w:tcPr>
            <w:tcW w:w="247" w:type="pct"/>
            <w:tcBorders>
              <w:top w:val="nil"/>
              <w:left w:val="nil"/>
              <w:bottom w:val="single" w:color="000000" w:sz="8" w:space="0"/>
              <w:right w:val="nil"/>
            </w:tcBorders>
            <w:vAlign w:val="center"/>
          </w:tcPr>
          <w:p w14:paraId="1A9B2CB7">
            <w:pPr>
              <w:jc w:val="center"/>
              <w:textAlignment w:val="center"/>
              <w:rPr>
                <w:rFonts w:ascii="Times New Roman" w:hAnsi="Times New Roman"/>
                <w:b/>
                <w:bCs/>
                <w:color w:val="000000"/>
                <w:sz w:val="20"/>
                <w:szCs w:val="20"/>
              </w:rPr>
            </w:pPr>
            <w:r>
              <w:rPr>
                <w:rFonts w:ascii="Times New Roman" w:hAnsi="Times New Roman"/>
                <w:b/>
                <w:bCs/>
                <w:color w:val="000000"/>
                <w:sz w:val="20"/>
                <w:szCs w:val="20"/>
                <w:lang w:bidi="ar"/>
              </w:rPr>
              <w:t>AUC</w:t>
            </w:r>
          </w:p>
        </w:tc>
        <w:tc>
          <w:tcPr>
            <w:tcW w:w="247" w:type="pct"/>
            <w:tcBorders>
              <w:top w:val="nil"/>
              <w:left w:val="nil"/>
              <w:bottom w:val="single" w:color="000000" w:sz="8" w:space="0"/>
              <w:right w:val="nil"/>
            </w:tcBorders>
            <w:vAlign w:val="center"/>
          </w:tcPr>
          <w:p w14:paraId="4E0F2120">
            <w:pPr>
              <w:jc w:val="center"/>
              <w:textAlignment w:val="center"/>
              <w:rPr>
                <w:rFonts w:ascii="Times New Roman" w:hAnsi="Times New Roman"/>
                <w:b/>
                <w:bCs/>
                <w:color w:val="000000"/>
                <w:sz w:val="20"/>
                <w:szCs w:val="20"/>
              </w:rPr>
            </w:pPr>
            <w:r>
              <w:rPr>
                <w:rFonts w:ascii="Times New Roman" w:hAnsi="Times New Roman"/>
                <w:b/>
                <w:bCs/>
                <w:color w:val="000000"/>
                <w:sz w:val="20"/>
                <w:szCs w:val="20"/>
                <w:lang w:bidi="ar"/>
              </w:rPr>
              <w:t>F1 score</w:t>
            </w:r>
          </w:p>
        </w:tc>
        <w:tc>
          <w:tcPr>
            <w:tcW w:w="247" w:type="pct"/>
            <w:tcBorders>
              <w:top w:val="nil"/>
              <w:left w:val="nil"/>
              <w:bottom w:val="single" w:color="000000" w:sz="8" w:space="0"/>
              <w:right w:val="nil"/>
            </w:tcBorders>
            <w:vAlign w:val="center"/>
          </w:tcPr>
          <w:p w14:paraId="3576AEC1">
            <w:pPr>
              <w:jc w:val="center"/>
              <w:textAlignment w:val="center"/>
              <w:rPr>
                <w:rFonts w:ascii="Times New Roman" w:hAnsi="Times New Roman"/>
                <w:b/>
                <w:bCs/>
                <w:color w:val="000000"/>
                <w:sz w:val="20"/>
                <w:szCs w:val="20"/>
              </w:rPr>
            </w:pPr>
            <w:r>
              <w:rPr>
                <w:rFonts w:ascii="Times New Roman" w:hAnsi="Times New Roman"/>
                <w:b/>
                <w:bCs/>
                <w:color w:val="000000"/>
                <w:sz w:val="20"/>
                <w:szCs w:val="20"/>
                <w:lang w:bidi="ar"/>
              </w:rPr>
              <w:t>SPE</w:t>
            </w:r>
          </w:p>
        </w:tc>
        <w:tc>
          <w:tcPr>
            <w:tcW w:w="247" w:type="pct"/>
            <w:tcBorders>
              <w:top w:val="nil"/>
              <w:left w:val="nil"/>
              <w:bottom w:val="single" w:color="000000" w:sz="8" w:space="0"/>
              <w:right w:val="nil"/>
            </w:tcBorders>
            <w:vAlign w:val="center"/>
          </w:tcPr>
          <w:p w14:paraId="251AEBB2">
            <w:pPr>
              <w:jc w:val="center"/>
              <w:textAlignment w:val="center"/>
              <w:rPr>
                <w:rFonts w:ascii="Times New Roman" w:hAnsi="Times New Roman"/>
                <w:b/>
                <w:bCs/>
                <w:color w:val="000000"/>
                <w:sz w:val="20"/>
                <w:szCs w:val="20"/>
              </w:rPr>
            </w:pPr>
            <w:r>
              <w:rPr>
                <w:rFonts w:ascii="Times New Roman" w:hAnsi="Times New Roman"/>
                <w:b/>
                <w:bCs/>
                <w:color w:val="000000"/>
                <w:sz w:val="20"/>
                <w:szCs w:val="20"/>
                <w:lang w:bidi="ar"/>
              </w:rPr>
              <w:t>SEN</w:t>
            </w:r>
          </w:p>
        </w:tc>
        <w:tc>
          <w:tcPr>
            <w:tcW w:w="366" w:type="pct"/>
            <w:tcBorders>
              <w:top w:val="nil"/>
              <w:left w:val="nil"/>
              <w:bottom w:val="single" w:color="000000" w:sz="8" w:space="0"/>
              <w:right w:val="nil"/>
            </w:tcBorders>
            <w:vAlign w:val="center"/>
          </w:tcPr>
          <w:p w14:paraId="14D0CD61">
            <w:pPr>
              <w:jc w:val="center"/>
              <w:textAlignment w:val="center"/>
              <w:rPr>
                <w:rFonts w:ascii="Times New Roman" w:hAnsi="Times New Roman"/>
                <w:b/>
                <w:bCs/>
                <w:color w:val="000000"/>
                <w:sz w:val="20"/>
                <w:szCs w:val="20"/>
              </w:rPr>
            </w:pPr>
            <w:r>
              <w:rPr>
                <w:rFonts w:ascii="Times New Roman" w:hAnsi="Times New Roman"/>
                <w:b/>
                <w:bCs/>
                <w:color w:val="000000"/>
                <w:sz w:val="20"/>
                <w:szCs w:val="20"/>
                <w:lang w:bidi="ar"/>
              </w:rPr>
              <w:t>Balanced</w:t>
            </w:r>
            <w:r>
              <w:rPr>
                <w:rStyle w:val="65"/>
                <w:sz w:val="15"/>
                <w:szCs w:val="15"/>
                <w:lang w:bidi="ar"/>
              </w:rPr>
              <w:t xml:space="preserve"> </w:t>
            </w:r>
            <w:r>
              <w:rPr>
                <w:rStyle w:val="65"/>
                <w:b/>
                <w:bCs/>
                <w:sz w:val="15"/>
                <w:szCs w:val="15"/>
                <w:lang w:bidi="ar"/>
              </w:rPr>
              <w:t>ACC</w:t>
            </w:r>
          </w:p>
        </w:tc>
        <w:tc>
          <w:tcPr>
            <w:tcW w:w="247" w:type="pct"/>
            <w:tcBorders>
              <w:top w:val="nil"/>
              <w:left w:val="nil"/>
              <w:bottom w:val="single" w:color="000000" w:sz="8" w:space="0"/>
              <w:right w:val="nil"/>
            </w:tcBorders>
            <w:vAlign w:val="center"/>
          </w:tcPr>
          <w:p w14:paraId="2963C12E">
            <w:pPr>
              <w:jc w:val="center"/>
              <w:textAlignment w:val="center"/>
              <w:rPr>
                <w:rFonts w:ascii="Times New Roman" w:hAnsi="Times New Roman"/>
                <w:b/>
                <w:bCs/>
                <w:color w:val="000000"/>
                <w:sz w:val="20"/>
                <w:szCs w:val="20"/>
              </w:rPr>
            </w:pPr>
            <w:r>
              <w:rPr>
                <w:rFonts w:ascii="Times New Roman" w:hAnsi="Times New Roman"/>
                <w:b/>
                <w:bCs/>
                <w:color w:val="000000"/>
                <w:sz w:val="20"/>
                <w:szCs w:val="20"/>
                <w:lang w:bidi="ar"/>
              </w:rPr>
              <w:t>ACC</w:t>
            </w:r>
          </w:p>
        </w:tc>
        <w:tc>
          <w:tcPr>
            <w:tcW w:w="247" w:type="pct"/>
            <w:tcBorders>
              <w:top w:val="nil"/>
              <w:left w:val="nil"/>
              <w:bottom w:val="single" w:color="000000" w:sz="8" w:space="0"/>
              <w:right w:val="nil"/>
            </w:tcBorders>
            <w:vAlign w:val="center"/>
          </w:tcPr>
          <w:p w14:paraId="72F6CB5D">
            <w:pPr>
              <w:jc w:val="center"/>
              <w:textAlignment w:val="center"/>
              <w:rPr>
                <w:rFonts w:ascii="Times New Roman" w:hAnsi="Times New Roman"/>
                <w:b/>
                <w:bCs/>
                <w:color w:val="000000"/>
                <w:sz w:val="20"/>
                <w:szCs w:val="20"/>
              </w:rPr>
            </w:pPr>
            <w:r>
              <w:rPr>
                <w:rFonts w:ascii="Times New Roman" w:hAnsi="Times New Roman"/>
                <w:b/>
                <w:bCs/>
                <w:color w:val="000000"/>
                <w:sz w:val="20"/>
                <w:szCs w:val="20"/>
                <w:lang w:bidi="ar"/>
              </w:rPr>
              <w:t>AUC</w:t>
            </w:r>
          </w:p>
        </w:tc>
        <w:tc>
          <w:tcPr>
            <w:tcW w:w="247" w:type="pct"/>
            <w:tcBorders>
              <w:top w:val="nil"/>
              <w:left w:val="nil"/>
              <w:bottom w:val="single" w:color="000000" w:sz="8" w:space="0"/>
              <w:right w:val="nil"/>
            </w:tcBorders>
            <w:vAlign w:val="center"/>
          </w:tcPr>
          <w:p w14:paraId="00E49DD5">
            <w:pPr>
              <w:jc w:val="center"/>
              <w:textAlignment w:val="center"/>
              <w:rPr>
                <w:rFonts w:ascii="Times New Roman" w:hAnsi="Times New Roman"/>
                <w:b/>
                <w:bCs/>
                <w:color w:val="000000"/>
                <w:sz w:val="20"/>
                <w:szCs w:val="20"/>
              </w:rPr>
            </w:pPr>
            <w:r>
              <w:rPr>
                <w:rFonts w:ascii="Times New Roman" w:hAnsi="Times New Roman"/>
                <w:b/>
                <w:bCs/>
                <w:color w:val="000000"/>
                <w:sz w:val="20"/>
                <w:szCs w:val="20"/>
                <w:lang w:bidi="ar"/>
              </w:rPr>
              <w:t>F1 score</w:t>
            </w:r>
          </w:p>
        </w:tc>
        <w:tc>
          <w:tcPr>
            <w:tcW w:w="247" w:type="pct"/>
            <w:tcBorders>
              <w:top w:val="nil"/>
              <w:left w:val="nil"/>
              <w:bottom w:val="single" w:color="000000" w:sz="8" w:space="0"/>
              <w:right w:val="nil"/>
            </w:tcBorders>
            <w:vAlign w:val="center"/>
          </w:tcPr>
          <w:p w14:paraId="5D87AF59">
            <w:pPr>
              <w:jc w:val="center"/>
              <w:textAlignment w:val="center"/>
              <w:rPr>
                <w:rFonts w:ascii="Times New Roman" w:hAnsi="Times New Roman"/>
                <w:b/>
                <w:bCs/>
                <w:color w:val="000000"/>
                <w:sz w:val="20"/>
                <w:szCs w:val="20"/>
              </w:rPr>
            </w:pPr>
            <w:r>
              <w:rPr>
                <w:rFonts w:ascii="Times New Roman" w:hAnsi="Times New Roman"/>
                <w:b/>
                <w:bCs/>
                <w:color w:val="000000"/>
                <w:sz w:val="20"/>
                <w:szCs w:val="20"/>
                <w:lang w:bidi="ar"/>
              </w:rPr>
              <w:t>SPE</w:t>
            </w:r>
          </w:p>
        </w:tc>
        <w:tc>
          <w:tcPr>
            <w:tcW w:w="247" w:type="pct"/>
            <w:tcBorders>
              <w:top w:val="nil"/>
              <w:left w:val="nil"/>
              <w:bottom w:val="single" w:color="000000" w:sz="8" w:space="0"/>
              <w:right w:val="nil"/>
            </w:tcBorders>
            <w:vAlign w:val="center"/>
          </w:tcPr>
          <w:p w14:paraId="395EC14D">
            <w:pPr>
              <w:jc w:val="center"/>
              <w:textAlignment w:val="center"/>
              <w:rPr>
                <w:rFonts w:ascii="Times New Roman" w:hAnsi="Times New Roman"/>
                <w:b/>
                <w:bCs/>
                <w:color w:val="000000"/>
                <w:sz w:val="20"/>
                <w:szCs w:val="20"/>
              </w:rPr>
            </w:pPr>
            <w:r>
              <w:rPr>
                <w:rFonts w:ascii="Times New Roman" w:hAnsi="Times New Roman"/>
                <w:b/>
                <w:bCs/>
                <w:color w:val="000000"/>
                <w:sz w:val="20"/>
                <w:szCs w:val="20"/>
                <w:lang w:bidi="ar"/>
              </w:rPr>
              <w:t>SEN</w:t>
            </w:r>
          </w:p>
        </w:tc>
        <w:tc>
          <w:tcPr>
            <w:tcW w:w="366" w:type="pct"/>
            <w:tcBorders>
              <w:top w:val="nil"/>
              <w:left w:val="nil"/>
              <w:bottom w:val="single" w:color="000000" w:sz="8" w:space="0"/>
              <w:right w:val="nil"/>
            </w:tcBorders>
            <w:vAlign w:val="center"/>
          </w:tcPr>
          <w:p w14:paraId="032A6F5C">
            <w:pPr>
              <w:jc w:val="center"/>
              <w:textAlignment w:val="center"/>
              <w:rPr>
                <w:rFonts w:ascii="Times New Roman" w:hAnsi="Times New Roman"/>
                <w:b/>
                <w:bCs/>
                <w:color w:val="000000"/>
                <w:sz w:val="20"/>
                <w:szCs w:val="20"/>
              </w:rPr>
            </w:pPr>
            <w:r>
              <w:rPr>
                <w:rFonts w:ascii="Times New Roman" w:hAnsi="Times New Roman"/>
                <w:b/>
                <w:bCs/>
                <w:color w:val="000000"/>
                <w:sz w:val="20"/>
                <w:szCs w:val="20"/>
                <w:lang w:bidi="ar"/>
              </w:rPr>
              <w:t>Balanced</w:t>
            </w:r>
            <w:r>
              <w:rPr>
                <w:rStyle w:val="65"/>
                <w:sz w:val="15"/>
                <w:szCs w:val="15"/>
                <w:lang w:bidi="ar"/>
              </w:rPr>
              <w:t xml:space="preserve"> </w:t>
            </w:r>
            <w:r>
              <w:rPr>
                <w:rStyle w:val="65"/>
                <w:b/>
                <w:bCs/>
                <w:sz w:val="15"/>
                <w:szCs w:val="15"/>
                <w:lang w:bidi="ar"/>
              </w:rPr>
              <w:t>ACC</w:t>
            </w:r>
          </w:p>
        </w:tc>
        <w:tc>
          <w:tcPr>
            <w:tcW w:w="247" w:type="pct"/>
            <w:tcBorders>
              <w:top w:val="nil"/>
              <w:left w:val="nil"/>
              <w:bottom w:val="single" w:color="000000" w:sz="8" w:space="0"/>
              <w:right w:val="nil"/>
            </w:tcBorders>
            <w:vAlign w:val="center"/>
          </w:tcPr>
          <w:p w14:paraId="0DFEBB5F">
            <w:pPr>
              <w:jc w:val="center"/>
              <w:textAlignment w:val="center"/>
              <w:rPr>
                <w:rFonts w:ascii="Times New Roman" w:hAnsi="Times New Roman"/>
                <w:b/>
                <w:bCs/>
                <w:color w:val="000000"/>
                <w:sz w:val="20"/>
                <w:szCs w:val="20"/>
              </w:rPr>
            </w:pPr>
            <w:r>
              <w:rPr>
                <w:rFonts w:ascii="Times New Roman" w:hAnsi="Times New Roman"/>
                <w:b/>
                <w:bCs/>
                <w:color w:val="000000"/>
                <w:sz w:val="20"/>
                <w:szCs w:val="20"/>
                <w:lang w:bidi="ar"/>
              </w:rPr>
              <w:t>ACC</w:t>
            </w:r>
          </w:p>
        </w:tc>
        <w:tc>
          <w:tcPr>
            <w:tcW w:w="247" w:type="pct"/>
            <w:tcBorders>
              <w:top w:val="nil"/>
              <w:left w:val="nil"/>
              <w:bottom w:val="single" w:color="000000" w:sz="8" w:space="0"/>
              <w:right w:val="nil"/>
            </w:tcBorders>
            <w:vAlign w:val="center"/>
          </w:tcPr>
          <w:p w14:paraId="0066DFAB">
            <w:pPr>
              <w:jc w:val="center"/>
              <w:textAlignment w:val="center"/>
              <w:rPr>
                <w:rFonts w:ascii="Times New Roman" w:hAnsi="Times New Roman"/>
                <w:b/>
                <w:bCs/>
                <w:color w:val="000000"/>
                <w:sz w:val="20"/>
                <w:szCs w:val="20"/>
              </w:rPr>
            </w:pPr>
            <w:r>
              <w:rPr>
                <w:rFonts w:ascii="Times New Roman" w:hAnsi="Times New Roman"/>
                <w:b/>
                <w:bCs/>
                <w:color w:val="000000"/>
                <w:sz w:val="20"/>
                <w:szCs w:val="20"/>
                <w:lang w:bidi="ar"/>
              </w:rPr>
              <w:t>AUC</w:t>
            </w:r>
          </w:p>
        </w:tc>
        <w:tc>
          <w:tcPr>
            <w:tcW w:w="247" w:type="pct"/>
            <w:tcBorders>
              <w:top w:val="nil"/>
              <w:left w:val="nil"/>
              <w:bottom w:val="single" w:color="000000" w:sz="8" w:space="0"/>
              <w:right w:val="nil"/>
            </w:tcBorders>
            <w:vAlign w:val="center"/>
          </w:tcPr>
          <w:p w14:paraId="059F576D">
            <w:pPr>
              <w:jc w:val="center"/>
              <w:textAlignment w:val="center"/>
              <w:rPr>
                <w:rFonts w:ascii="Times New Roman" w:hAnsi="Times New Roman"/>
                <w:b/>
                <w:bCs/>
                <w:color w:val="000000"/>
                <w:sz w:val="20"/>
                <w:szCs w:val="20"/>
              </w:rPr>
            </w:pPr>
            <w:r>
              <w:rPr>
                <w:rFonts w:ascii="Times New Roman" w:hAnsi="Times New Roman"/>
                <w:b/>
                <w:bCs/>
                <w:color w:val="000000"/>
                <w:sz w:val="20"/>
                <w:szCs w:val="20"/>
                <w:lang w:bidi="ar"/>
              </w:rPr>
              <w:t>F1 score</w:t>
            </w:r>
          </w:p>
        </w:tc>
        <w:tc>
          <w:tcPr>
            <w:tcW w:w="247" w:type="pct"/>
            <w:tcBorders>
              <w:top w:val="nil"/>
              <w:left w:val="nil"/>
              <w:bottom w:val="single" w:color="000000" w:sz="8" w:space="0"/>
              <w:right w:val="nil"/>
            </w:tcBorders>
            <w:vAlign w:val="center"/>
          </w:tcPr>
          <w:p w14:paraId="4CE99BD5">
            <w:pPr>
              <w:jc w:val="center"/>
              <w:textAlignment w:val="center"/>
              <w:rPr>
                <w:rFonts w:ascii="Times New Roman" w:hAnsi="Times New Roman"/>
                <w:b/>
                <w:bCs/>
                <w:color w:val="000000"/>
                <w:sz w:val="20"/>
                <w:szCs w:val="20"/>
              </w:rPr>
            </w:pPr>
            <w:r>
              <w:rPr>
                <w:rFonts w:ascii="Times New Roman" w:hAnsi="Times New Roman"/>
                <w:b/>
                <w:bCs/>
                <w:color w:val="000000"/>
                <w:sz w:val="20"/>
                <w:szCs w:val="20"/>
                <w:lang w:bidi="ar"/>
              </w:rPr>
              <w:t>SPE</w:t>
            </w:r>
          </w:p>
        </w:tc>
        <w:tc>
          <w:tcPr>
            <w:tcW w:w="247" w:type="pct"/>
            <w:tcBorders>
              <w:top w:val="nil"/>
              <w:left w:val="nil"/>
              <w:bottom w:val="single" w:color="000000" w:sz="8" w:space="0"/>
              <w:right w:val="nil"/>
            </w:tcBorders>
            <w:vAlign w:val="center"/>
          </w:tcPr>
          <w:p w14:paraId="390C1B2C">
            <w:pPr>
              <w:jc w:val="center"/>
              <w:textAlignment w:val="center"/>
              <w:rPr>
                <w:rFonts w:ascii="Times New Roman" w:hAnsi="Times New Roman"/>
                <w:b/>
                <w:bCs/>
                <w:color w:val="000000"/>
                <w:sz w:val="20"/>
                <w:szCs w:val="20"/>
              </w:rPr>
            </w:pPr>
            <w:r>
              <w:rPr>
                <w:rFonts w:ascii="Times New Roman" w:hAnsi="Times New Roman"/>
                <w:b/>
                <w:bCs/>
                <w:color w:val="000000"/>
                <w:sz w:val="20"/>
                <w:szCs w:val="20"/>
                <w:lang w:bidi="ar"/>
              </w:rPr>
              <w:t>SEN</w:t>
            </w:r>
          </w:p>
        </w:tc>
        <w:tc>
          <w:tcPr>
            <w:tcW w:w="366" w:type="pct"/>
            <w:tcBorders>
              <w:top w:val="nil"/>
              <w:left w:val="nil"/>
              <w:bottom w:val="single" w:color="000000" w:sz="8" w:space="0"/>
              <w:right w:val="nil"/>
            </w:tcBorders>
            <w:vAlign w:val="center"/>
          </w:tcPr>
          <w:p w14:paraId="207B440C">
            <w:pPr>
              <w:jc w:val="center"/>
              <w:textAlignment w:val="center"/>
              <w:rPr>
                <w:rFonts w:ascii="Times New Roman" w:hAnsi="Times New Roman"/>
                <w:b/>
                <w:bCs/>
                <w:color w:val="000000"/>
                <w:sz w:val="20"/>
                <w:szCs w:val="20"/>
              </w:rPr>
            </w:pPr>
            <w:r>
              <w:rPr>
                <w:rFonts w:ascii="Times New Roman" w:hAnsi="Times New Roman"/>
                <w:b/>
                <w:bCs/>
                <w:color w:val="000000"/>
                <w:sz w:val="20"/>
                <w:szCs w:val="20"/>
                <w:lang w:bidi="ar"/>
              </w:rPr>
              <w:t>Balanced</w:t>
            </w:r>
            <w:r>
              <w:rPr>
                <w:rStyle w:val="65"/>
                <w:sz w:val="15"/>
                <w:szCs w:val="15"/>
                <w:lang w:bidi="ar"/>
              </w:rPr>
              <w:t xml:space="preserve"> </w:t>
            </w:r>
            <w:r>
              <w:rPr>
                <w:rStyle w:val="65"/>
                <w:b/>
                <w:bCs/>
                <w:sz w:val="15"/>
                <w:szCs w:val="15"/>
                <w:lang w:bidi="ar"/>
              </w:rPr>
              <w:t>ACC</w:t>
            </w:r>
          </w:p>
        </w:tc>
      </w:tr>
      <w:tr w14:paraId="18612B80">
        <w:trPr>
          <w:trHeight w:val="300" w:hRule="atLeast"/>
        </w:trPr>
        <w:tc>
          <w:tcPr>
            <w:tcW w:w="195" w:type="pct"/>
            <w:tcBorders>
              <w:top w:val="nil"/>
              <w:left w:val="nil"/>
              <w:bottom w:val="nil"/>
              <w:right w:val="nil"/>
            </w:tcBorders>
            <w:vAlign w:val="center"/>
          </w:tcPr>
          <w:p w14:paraId="57B702D7">
            <w:pPr>
              <w:jc w:val="center"/>
              <w:textAlignment w:val="center"/>
              <w:rPr>
                <w:rFonts w:ascii="Times New Roman" w:hAnsi="Times New Roman"/>
                <w:color w:val="000000"/>
                <w:sz w:val="21"/>
                <w:szCs w:val="21"/>
              </w:rPr>
            </w:pPr>
            <w:r>
              <w:rPr>
                <w:rFonts w:ascii="Times New Roman" w:hAnsi="Times New Roman"/>
                <w:color w:val="000000"/>
                <w:sz w:val="21"/>
                <w:szCs w:val="21"/>
                <w:lang w:bidi="ar"/>
              </w:rPr>
              <w:t>S01</w:t>
            </w:r>
          </w:p>
        </w:tc>
        <w:tc>
          <w:tcPr>
            <w:tcW w:w="247" w:type="pct"/>
            <w:tcBorders>
              <w:top w:val="single" w:color="000000" w:sz="8" w:space="0"/>
              <w:left w:val="nil"/>
              <w:bottom w:val="nil"/>
              <w:right w:val="nil"/>
            </w:tcBorders>
            <w:vAlign w:val="center"/>
          </w:tcPr>
          <w:p w14:paraId="22F4D071">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0.744</w:t>
            </w:r>
          </w:p>
        </w:tc>
        <w:tc>
          <w:tcPr>
            <w:tcW w:w="247" w:type="pct"/>
            <w:tcBorders>
              <w:top w:val="single" w:color="000000" w:sz="8" w:space="0"/>
              <w:left w:val="nil"/>
              <w:bottom w:val="nil"/>
              <w:right w:val="nil"/>
            </w:tcBorders>
            <w:vAlign w:val="center"/>
          </w:tcPr>
          <w:p w14:paraId="24ED4CD4">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0.797</w:t>
            </w:r>
          </w:p>
        </w:tc>
        <w:tc>
          <w:tcPr>
            <w:tcW w:w="247" w:type="pct"/>
            <w:tcBorders>
              <w:top w:val="single" w:color="000000" w:sz="8" w:space="0"/>
              <w:left w:val="nil"/>
              <w:bottom w:val="nil"/>
              <w:right w:val="nil"/>
            </w:tcBorders>
            <w:vAlign w:val="center"/>
          </w:tcPr>
          <w:p w14:paraId="3EA92952">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0.804</w:t>
            </w:r>
          </w:p>
        </w:tc>
        <w:tc>
          <w:tcPr>
            <w:tcW w:w="247" w:type="pct"/>
            <w:tcBorders>
              <w:top w:val="single" w:color="000000" w:sz="8" w:space="0"/>
              <w:left w:val="nil"/>
              <w:bottom w:val="nil"/>
              <w:right w:val="nil"/>
            </w:tcBorders>
            <w:vAlign w:val="center"/>
          </w:tcPr>
          <w:p w14:paraId="7AA3137D">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0.500</w:t>
            </w:r>
          </w:p>
        </w:tc>
        <w:tc>
          <w:tcPr>
            <w:tcW w:w="247" w:type="pct"/>
            <w:tcBorders>
              <w:top w:val="single" w:color="000000" w:sz="8" w:space="0"/>
              <w:left w:val="nil"/>
              <w:bottom w:val="nil"/>
              <w:right w:val="nil"/>
            </w:tcBorders>
            <w:vAlign w:val="center"/>
          </w:tcPr>
          <w:p w14:paraId="5D2FA768">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0.932</w:t>
            </w:r>
          </w:p>
        </w:tc>
        <w:tc>
          <w:tcPr>
            <w:tcW w:w="366" w:type="pct"/>
            <w:tcBorders>
              <w:top w:val="single" w:color="000000" w:sz="8" w:space="0"/>
              <w:left w:val="nil"/>
              <w:bottom w:val="nil"/>
              <w:right w:val="nil"/>
            </w:tcBorders>
            <w:vAlign w:val="center"/>
          </w:tcPr>
          <w:p w14:paraId="08362A82">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0.716</w:t>
            </w:r>
          </w:p>
        </w:tc>
        <w:tc>
          <w:tcPr>
            <w:tcW w:w="247" w:type="pct"/>
            <w:tcBorders>
              <w:top w:val="single" w:color="000000" w:sz="8" w:space="0"/>
              <w:left w:val="nil"/>
              <w:bottom w:val="nil"/>
              <w:right w:val="nil"/>
            </w:tcBorders>
            <w:vAlign w:val="center"/>
          </w:tcPr>
          <w:p w14:paraId="21097C05">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0.705</w:t>
            </w:r>
          </w:p>
        </w:tc>
        <w:tc>
          <w:tcPr>
            <w:tcW w:w="247" w:type="pct"/>
            <w:tcBorders>
              <w:top w:val="single" w:color="000000" w:sz="8" w:space="0"/>
              <w:left w:val="nil"/>
              <w:bottom w:val="nil"/>
              <w:right w:val="nil"/>
            </w:tcBorders>
            <w:vAlign w:val="center"/>
          </w:tcPr>
          <w:p w14:paraId="03E7878A">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0.756</w:t>
            </w:r>
          </w:p>
        </w:tc>
        <w:tc>
          <w:tcPr>
            <w:tcW w:w="247" w:type="pct"/>
            <w:tcBorders>
              <w:top w:val="single" w:color="000000" w:sz="8" w:space="0"/>
              <w:left w:val="nil"/>
              <w:bottom w:val="nil"/>
              <w:right w:val="nil"/>
            </w:tcBorders>
            <w:vAlign w:val="center"/>
          </w:tcPr>
          <w:p w14:paraId="644763B1">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0.777</w:t>
            </w:r>
          </w:p>
        </w:tc>
        <w:tc>
          <w:tcPr>
            <w:tcW w:w="247" w:type="pct"/>
            <w:tcBorders>
              <w:top w:val="single" w:color="000000" w:sz="8" w:space="0"/>
              <w:left w:val="nil"/>
              <w:bottom w:val="nil"/>
              <w:right w:val="nil"/>
            </w:tcBorders>
            <w:vAlign w:val="center"/>
          </w:tcPr>
          <w:p w14:paraId="21C85DBC">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0.441</w:t>
            </w:r>
          </w:p>
        </w:tc>
        <w:tc>
          <w:tcPr>
            <w:tcW w:w="247" w:type="pct"/>
            <w:tcBorders>
              <w:top w:val="single" w:color="000000" w:sz="8" w:space="0"/>
              <w:left w:val="nil"/>
              <w:bottom w:val="nil"/>
              <w:right w:val="nil"/>
            </w:tcBorders>
            <w:vAlign w:val="center"/>
          </w:tcPr>
          <w:p w14:paraId="1EC0C65F">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0.909</w:t>
            </w:r>
          </w:p>
        </w:tc>
        <w:tc>
          <w:tcPr>
            <w:tcW w:w="366" w:type="pct"/>
            <w:tcBorders>
              <w:top w:val="single" w:color="000000" w:sz="8" w:space="0"/>
              <w:left w:val="nil"/>
              <w:bottom w:val="nil"/>
              <w:right w:val="nil"/>
            </w:tcBorders>
            <w:vAlign w:val="center"/>
          </w:tcPr>
          <w:p w14:paraId="6486F284">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0.675</w:t>
            </w:r>
          </w:p>
        </w:tc>
        <w:tc>
          <w:tcPr>
            <w:tcW w:w="247" w:type="pct"/>
            <w:tcBorders>
              <w:top w:val="single" w:color="000000" w:sz="8" w:space="0"/>
              <w:left w:val="nil"/>
              <w:bottom w:val="nil"/>
              <w:right w:val="nil"/>
            </w:tcBorders>
            <w:vAlign w:val="center"/>
          </w:tcPr>
          <w:p w14:paraId="2812A126">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0.731</w:t>
            </w:r>
          </w:p>
        </w:tc>
        <w:tc>
          <w:tcPr>
            <w:tcW w:w="247" w:type="pct"/>
            <w:tcBorders>
              <w:top w:val="single" w:color="000000" w:sz="8" w:space="0"/>
              <w:left w:val="nil"/>
              <w:bottom w:val="nil"/>
              <w:right w:val="nil"/>
            </w:tcBorders>
            <w:vAlign w:val="center"/>
          </w:tcPr>
          <w:p w14:paraId="6DBCF78F">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0.736</w:t>
            </w:r>
          </w:p>
        </w:tc>
        <w:tc>
          <w:tcPr>
            <w:tcW w:w="247" w:type="pct"/>
            <w:tcBorders>
              <w:top w:val="single" w:color="000000" w:sz="8" w:space="0"/>
              <w:left w:val="nil"/>
              <w:bottom w:val="nil"/>
              <w:right w:val="nil"/>
            </w:tcBorders>
            <w:vAlign w:val="center"/>
          </w:tcPr>
          <w:p w14:paraId="0572111A">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0.774</w:t>
            </w:r>
          </w:p>
        </w:tc>
        <w:tc>
          <w:tcPr>
            <w:tcW w:w="247" w:type="pct"/>
            <w:tcBorders>
              <w:top w:val="single" w:color="000000" w:sz="8" w:space="0"/>
              <w:left w:val="nil"/>
              <w:bottom w:val="nil"/>
              <w:right w:val="nil"/>
            </w:tcBorders>
            <w:vAlign w:val="center"/>
          </w:tcPr>
          <w:p w14:paraId="0406D882">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0.618</w:t>
            </w:r>
          </w:p>
        </w:tc>
        <w:tc>
          <w:tcPr>
            <w:tcW w:w="247" w:type="pct"/>
            <w:tcBorders>
              <w:top w:val="single" w:color="000000" w:sz="8" w:space="0"/>
              <w:left w:val="nil"/>
              <w:bottom w:val="nil"/>
              <w:right w:val="nil"/>
            </w:tcBorders>
            <w:vAlign w:val="center"/>
          </w:tcPr>
          <w:p w14:paraId="15ACA056">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0.818</w:t>
            </w:r>
          </w:p>
        </w:tc>
        <w:tc>
          <w:tcPr>
            <w:tcW w:w="366" w:type="pct"/>
            <w:tcBorders>
              <w:top w:val="single" w:color="000000" w:sz="8" w:space="0"/>
              <w:left w:val="nil"/>
              <w:bottom w:val="nil"/>
              <w:right w:val="nil"/>
            </w:tcBorders>
            <w:vAlign w:val="center"/>
          </w:tcPr>
          <w:p w14:paraId="1A8FC40F">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0.718</w:t>
            </w:r>
          </w:p>
        </w:tc>
      </w:tr>
      <w:tr w14:paraId="77328A6C">
        <w:trPr>
          <w:trHeight w:val="300" w:hRule="atLeast"/>
        </w:trPr>
        <w:tc>
          <w:tcPr>
            <w:tcW w:w="195" w:type="pct"/>
            <w:tcBorders>
              <w:top w:val="nil"/>
              <w:left w:val="nil"/>
              <w:bottom w:val="nil"/>
              <w:right w:val="nil"/>
            </w:tcBorders>
            <w:vAlign w:val="center"/>
          </w:tcPr>
          <w:p w14:paraId="62CE7BE1">
            <w:pPr>
              <w:jc w:val="center"/>
              <w:textAlignment w:val="center"/>
              <w:rPr>
                <w:rFonts w:ascii="Times New Roman" w:hAnsi="Times New Roman"/>
                <w:color w:val="000000"/>
                <w:sz w:val="21"/>
                <w:szCs w:val="21"/>
              </w:rPr>
            </w:pPr>
            <w:r>
              <w:rPr>
                <w:rFonts w:ascii="Times New Roman" w:hAnsi="Times New Roman"/>
                <w:color w:val="000000"/>
                <w:sz w:val="21"/>
                <w:szCs w:val="21"/>
                <w:lang w:bidi="ar"/>
              </w:rPr>
              <w:t>S02</w:t>
            </w:r>
          </w:p>
        </w:tc>
        <w:tc>
          <w:tcPr>
            <w:tcW w:w="247" w:type="pct"/>
            <w:tcBorders>
              <w:top w:val="nil"/>
              <w:left w:val="nil"/>
              <w:bottom w:val="nil"/>
              <w:right w:val="nil"/>
            </w:tcBorders>
            <w:vAlign w:val="center"/>
          </w:tcPr>
          <w:p w14:paraId="2673514A">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0.682</w:t>
            </w:r>
          </w:p>
        </w:tc>
        <w:tc>
          <w:tcPr>
            <w:tcW w:w="247" w:type="pct"/>
            <w:tcBorders>
              <w:top w:val="nil"/>
              <w:left w:val="nil"/>
              <w:bottom w:val="nil"/>
              <w:right w:val="nil"/>
            </w:tcBorders>
            <w:vAlign w:val="center"/>
          </w:tcPr>
          <w:p w14:paraId="31024299">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0.677</w:t>
            </w:r>
          </w:p>
        </w:tc>
        <w:tc>
          <w:tcPr>
            <w:tcW w:w="247" w:type="pct"/>
            <w:tcBorders>
              <w:top w:val="nil"/>
              <w:left w:val="nil"/>
              <w:bottom w:val="nil"/>
              <w:right w:val="nil"/>
            </w:tcBorders>
            <w:vAlign w:val="center"/>
          </w:tcPr>
          <w:p w14:paraId="3EC1C2B2">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0.720</w:t>
            </w:r>
          </w:p>
        </w:tc>
        <w:tc>
          <w:tcPr>
            <w:tcW w:w="247" w:type="pct"/>
            <w:tcBorders>
              <w:top w:val="nil"/>
              <w:left w:val="nil"/>
              <w:bottom w:val="nil"/>
              <w:right w:val="nil"/>
            </w:tcBorders>
            <w:vAlign w:val="center"/>
          </w:tcPr>
          <w:p w14:paraId="2A56FBB6">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0.571</w:t>
            </w:r>
          </w:p>
        </w:tc>
        <w:tc>
          <w:tcPr>
            <w:tcW w:w="247" w:type="pct"/>
            <w:tcBorders>
              <w:top w:val="nil"/>
              <w:left w:val="nil"/>
              <w:bottom w:val="nil"/>
              <w:right w:val="nil"/>
            </w:tcBorders>
            <w:vAlign w:val="center"/>
          </w:tcPr>
          <w:p w14:paraId="66032ECF">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0.783</w:t>
            </w:r>
          </w:p>
        </w:tc>
        <w:tc>
          <w:tcPr>
            <w:tcW w:w="366" w:type="pct"/>
            <w:tcBorders>
              <w:top w:val="nil"/>
              <w:left w:val="nil"/>
              <w:bottom w:val="nil"/>
              <w:right w:val="nil"/>
            </w:tcBorders>
            <w:vAlign w:val="center"/>
          </w:tcPr>
          <w:p w14:paraId="2327B629">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0.677</w:t>
            </w:r>
          </w:p>
        </w:tc>
        <w:tc>
          <w:tcPr>
            <w:tcW w:w="247" w:type="pct"/>
            <w:tcBorders>
              <w:top w:val="nil"/>
              <w:left w:val="nil"/>
              <w:bottom w:val="nil"/>
              <w:right w:val="nil"/>
            </w:tcBorders>
            <w:vAlign w:val="center"/>
          </w:tcPr>
          <w:p w14:paraId="4583F925">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0.591</w:t>
            </w:r>
          </w:p>
        </w:tc>
        <w:tc>
          <w:tcPr>
            <w:tcW w:w="247" w:type="pct"/>
            <w:tcBorders>
              <w:top w:val="nil"/>
              <w:left w:val="nil"/>
              <w:bottom w:val="nil"/>
              <w:right w:val="nil"/>
            </w:tcBorders>
            <w:vAlign w:val="center"/>
          </w:tcPr>
          <w:p w14:paraId="72F9C765">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0.652</w:t>
            </w:r>
          </w:p>
        </w:tc>
        <w:tc>
          <w:tcPr>
            <w:tcW w:w="247" w:type="pct"/>
            <w:tcBorders>
              <w:top w:val="nil"/>
              <w:left w:val="nil"/>
              <w:bottom w:val="nil"/>
              <w:right w:val="nil"/>
            </w:tcBorders>
            <w:vAlign w:val="center"/>
          </w:tcPr>
          <w:p w14:paraId="73636E6A">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0.654</w:t>
            </w:r>
          </w:p>
        </w:tc>
        <w:tc>
          <w:tcPr>
            <w:tcW w:w="247" w:type="pct"/>
            <w:tcBorders>
              <w:top w:val="nil"/>
              <w:left w:val="nil"/>
              <w:bottom w:val="nil"/>
              <w:right w:val="nil"/>
            </w:tcBorders>
            <w:vAlign w:val="center"/>
          </w:tcPr>
          <w:p w14:paraId="488FDB1C">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0.429</w:t>
            </w:r>
          </w:p>
        </w:tc>
        <w:tc>
          <w:tcPr>
            <w:tcW w:w="247" w:type="pct"/>
            <w:tcBorders>
              <w:top w:val="nil"/>
              <w:left w:val="nil"/>
              <w:bottom w:val="nil"/>
              <w:right w:val="nil"/>
            </w:tcBorders>
            <w:vAlign w:val="center"/>
          </w:tcPr>
          <w:p w14:paraId="51D58BBA">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0.739</w:t>
            </w:r>
          </w:p>
        </w:tc>
        <w:tc>
          <w:tcPr>
            <w:tcW w:w="366" w:type="pct"/>
            <w:tcBorders>
              <w:top w:val="nil"/>
              <w:left w:val="nil"/>
              <w:bottom w:val="nil"/>
              <w:right w:val="nil"/>
            </w:tcBorders>
            <w:vAlign w:val="center"/>
          </w:tcPr>
          <w:p w14:paraId="085E2E26">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0.584</w:t>
            </w:r>
          </w:p>
        </w:tc>
        <w:tc>
          <w:tcPr>
            <w:tcW w:w="247" w:type="pct"/>
            <w:tcBorders>
              <w:top w:val="nil"/>
              <w:left w:val="nil"/>
              <w:bottom w:val="nil"/>
              <w:right w:val="nil"/>
            </w:tcBorders>
            <w:vAlign w:val="center"/>
          </w:tcPr>
          <w:p w14:paraId="201D1789">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0.591</w:t>
            </w:r>
          </w:p>
        </w:tc>
        <w:tc>
          <w:tcPr>
            <w:tcW w:w="247" w:type="pct"/>
            <w:tcBorders>
              <w:top w:val="nil"/>
              <w:left w:val="nil"/>
              <w:bottom w:val="nil"/>
              <w:right w:val="nil"/>
            </w:tcBorders>
            <w:vAlign w:val="center"/>
          </w:tcPr>
          <w:p w14:paraId="171CB14C">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0.700</w:t>
            </w:r>
          </w:p>
        </w:tc>
        <w:tc>
          <w:tcPr>
            <w:tcW w:w="247" w:type="pct"/>
            <w:tcBorders>
              <w:top w:val="nil"/>
              <w:left w:val="nil"/>
              <w:bottom w:val="nil"/>
              <w:right w:val="nil"/>
            </w:tcBorders>
            <w:vAlign w:val="center"/>
          </w:tcPr>
          <w:p w14:paraId="42CA71DF">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0.654</w:t>
            </w:r>
          </w:p>
        </w:tc>
        <w:tc>
          <w:tcPr>
            <w:tcW w:w="247" w:type="pct"/>
            <w:tcBorders>
              <w:top w:val="nil"/>
              <w:left w:val="nil"/>
              <w:bottom w:val="nil"/>
              <w:right w:val="nil"/>
            </w:tcBorders>
            <w:vAlign w:val="center"/>
          </w:tcPr>
          <w:p w14:paraId="6B7F59DE">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0.429</w:t>
            </w:r>
          </w:p>
        </w:tc>
        <w:tc>
          <w:tcPr>
            <w:tcW w:w="247" w:type="pct"/>
            <w:tcBorders>
              <w:top w:val="nil"/>
              <w:left w:val="nil"/>
              <w:bottom w:val="nil"/>
              <w:right w:val="nil"/>
            </w:tcBorders>
            <w:vAlign w:val="center"/>
          </w:tcPr>
          <w:p w14:paraId="0FA77C08">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0.739</w:t>
            </w:r>
          </w:p>
        </w:tc>
        <w:tc>
          <w:tcPr>
            <w:tcW w:w="366" w:type="pct"/>
            <w:tcBorders>
              <w:top w:val="nil"/>
              <w:left w:val="nil"/>
              <w:bottom w:val="nil"/>
              <w:right w:val="nil"/>
            </w:tcBorders>
            <w:vAlign w:val="center"/>
          </w:tcPr>
          <w:p w14:paraId="274E056A">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0.584</w:t>
            </w:r>
          </w:p>
        </w:tc>
      </w:tr>
      <w:tr w14:paraId="121A37C5">
        <w:trPr>
          <w:trHeight w:val="300" w:hRule="atLeast"/>
        </w:trPr>
        <w:tc>
          <w:tcPr>
            <w:tcW w:w="195" w:type="pct"/>
            <w:tcBorders>
              <w:top w:val="nil"/>
              <w:left w:val="nil"/>
              <w:bottom w:val="nil"/>
              <w:right w:val="nil"/>
            </w:tcBorders>
            <w:vAlign w:val="center"/>
          </w:tcPr>
          <w:p w14:paraId="68F5460C">
            <w:pPr>
              <w:jc w:val="center"/>
              <w:textAlignment w:val="center"/>
              <w:rPr>
                <w:rFonts w:ascii="Times New Roman" w:hAnsi="Times New Roman"/>
                <w:color w:val="000000"/>
                <w:sz w:val="21"/>
                <w:szCs w:val="21"/>
              </w:rPr>
            </w:pPr>
            <w:r>
              <w:rPr>
                <w:rFonts w:ascii="Times New Roman" w:hAnsi="Times New Roman"/>
                <w:color w:val="000000"/>
                <w:sz w:val="21"/>
                <w:szCs w:val="21"/>
                <w:lang w:bidi="ar"/>
              </w:rPr>
              <w:t>S03</w:t>
            </w:r>
          </w:p>
        </w:tc>
        <w:tc>
          <w:tcPr>
            <w:tcW w:w="247" w:type="pct"/>
            <w:tcBorders>
              <w:top w:val="nil"/>
              <w:left w:val="nil"/>
              <w:bottom w:val="nil"/>
              <w:right w:val="nil"/>
            </w:tcBorders>
            <w:vAlign w:val="center"/>
          </w:tcPr>
          <w:p w14:paraId="248D1B18">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0.507</w:t>
            </w:r>
          </w:p>
        </w:tc>
        <w:tc>
          <w:tcPr>
            <w:tcW w:w="247" w:type="pct"/>
            <w:tcBorders>
              <w:top w:val="nil"/>
              <w:left w:val="nil"/>
              <w:bottom w:val="nil"/>
              <w:right w:val="nil"/>
            </w:tcBorders>
            <w:vAlign w:val="center"/>
          </w:tcPr>
          <w:p w14:paraId="54552E4D">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0.62</w:t>
            </w:r>
          </w:p>
        </w:tc>
        <w:tc>
          <w:tcPr>
            <w:tcW w:w="247" w:type="pct"/>
            <w:tcBorders>
              <w:top w:val="nil"/>
              <w:left w:val="nil"/>
              <w:bottom w:val="nil"/>
              <w:right w:val="nil"/>
            </w:tcBorders>
            <w:vAlign w:val="center"/>
          </w:tcPr>
          <w:p w14:paraId="62DE1DDB">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0.575</w:t>
            </w:r>
          </w:p>
        </w:tc>
        <w:tc>
          <w:tcPr>
            <w:tcW w:w="247" w:type="pct"/>
            <w:tcBorders>
              <w:top w:val="nil"/>
              <w:left w:val="nil"/>
              <w:bottom w:val="nil"/>
              <w:right w:val="nil"/>
            </w:tcBorders>
            <w:vAlign w:val="center"/>
          </w:tcPr>
          <w:p w14:paraId="7E2C4B3F">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0.364</w:t>
            </w:r>
          </w:p>
        </w:tc>
        <w:tc>
          <w:tcPr>
            <w:tcW w:w="247" w:type="pct"/>
            <w:tcBorders>
              <w:top w:val="nil"/>
              <w:left w:val="nil"/>
              <w:bottom w:val="nil"/>
              <w:right w:val="nil"/>
            </w:tcBorders>
            <w:vAlign w:val="center"/>
          </w:tcPr>
          <w:p w14:paraId="044FB749">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0.639</w:t>
            </w:r>
          </w:p>
        </w:tc>
        <w:tc>
          <w:tcPr>
            <w:tcW w:w="366" w:type="pct"/>
            <w:tcBorders>
              <w:top w:val="nil"/>
              <w:left w:val="nil"/>
              <w:bottom w:val="nil"/>
              <w:right w:val="nil"/>
            </w:tcBorders>
            <w:vAlign w:val="center"/>
          </w:tcPr>
          <w:p w14:paraId="013727B1">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0.501</w:t>
            </w:r>
          </w:p>
        </w:tc>
        <w:tc>
          <w:tcPr>
            <w:tcW w:w="247" w:type="pct"/>
            <w:tcBorders>
              <w:top w:val="nil"/>
              <w:left w:val="nil"/>
              <w:bottom w:val="nil"/>
              <w:right w:val="nil"/>
            </w:tcBorders>
            <w:vAlign w:val="center"/>
          </w:tcPr>
          <w:p w14:paraId="3BFA5F4F">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0.536</w:t>
            </w:r>
          </w:p>
        </w:tc>
        <w:tc>
          <w:tcPr>
            <w:tcW w:w="247" w:type="pct"/>
            <w:tcBorders>
              <w:top w:val="nil"/>
              <w:left w:val="nil"/>
              <w:bottom w:val="nil"/>
              <w:right w:val="nil"/>
            </w:tcBorders>
            <w:vAlign w:val="center"/>
          </w:tcPr>
          <w:p w14:paraId="0F272169">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0.595</w:t>
            </w:r>
          </w:p>
        </w:tc>
        <w:tc>
          <w:tcPr>
            <w:tcW w:w="247" w:type="pct"/>
            <w:tcBorders>
              <w:top w:val="nil"/>
              <w:left w:val="nil"/>
              <w:bottom w:val="nil"/>
              <w:right w:val="nil"/>
            </w:tcBorders>
            <w:vAlign w:val="center"/>
          </w:tcPr>
          <w:p w14:paraId="6B397190">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0.636</w:t>
            </w:r>
          </w:p>
        </w:tc>
        <w:tc>
          <w:tcPr>
            <w:tcW w:w="247" w:type="pct"/>
            <w:tcBorders>
              <w:top w:val="nil"/>
              <w:left w:val="nil"/>
              <w:bottom w:val="nil"/>
              <w:right w:val="nil"/>
            </w:tcBorders>
            <w:vAlign w:val="center"/>
          </w:tcPr>
          <w:p w14:paraId="15C698E7">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0.273</w:t>
            </w:r>
          </w:p>
        </w:tc>
        <w:tc>
          <w:tcPr>
            <w:tcW w:w="247" w:type="pct"/>
            <w:tcBorders>
              <w:top w:val="nil"/>
              <w:left w:val="nil"/>
              <w:bottom w:val="nil"/>
              <w:right w:val="nil"/>
            </w:tcBorders>
            <w:vAlign w:val="center"/>
          </w:tcPr>
          <w:p w14:paraId="7EE4857E">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0.778</w:t>
            </w:r>
          </w:p>
        </w:tc>
        <w:tc>
          <w:tcPr>
            <w:tcW w:w="366" w:type="pct"/>
            <w:tcBorders>
              <w:top w:val="nil"/>
              <w:left w:val="nil"/>
              <w:bottom w:val="nil"/>
              <w:right w:val="nil"/>
            </w:tcBorders>
            <w:vAlign w:val="center"/>
          </w:tcPr>
          <w:p w14:paraId="1FE24017">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0.525</w:t>
            </w:r>
          </w:p>
        </w:tc>
        <w:tc>
          <w:tcPr>
            <w:tcW w:w="247" w:type="pct"/>
            <w:tcBorders>
              <w:top w:val="nil"/>
              <w:left w:val="nil"/>
              <w:bottom w:val="nil"/>
              <w:right w:val="nil"/>
            </w:tcBorders>
            <w:vAlign w:val="center"/>
          </w:tcPr>
          <w:p w14:paraId="45C17C03">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0.580</w:t>
            </w:r>
          </w:p>
        </w:tc>
        <w:tc>
          <w:tcPr>
            <w:tcW w:w="247" w:type="pct"/>
            <w:tcBorders>
              <w:top w:val="nil"/>
              <w:left w:val="nil"/>
              <w:bottom w:val="nil"/>
              <w:right w:val="nil"/>
            </w:tcBorders>
            <w:vAlign w:val="center"/>
          </w:tcPr>
          <w:p w14:paraId="2ABF47C6">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0.606</w:t>
            </w:r>
          </w:p>
        </w:tc>
        <w:tc>
          <w:tcPr>
            <w:tcW w:w="247" w:type="pct"/>
            <w:tcBorders>
              <w:top w:val="nil"/>
              <w:left w:val="nil"/>
              <w:bottom w:val="nil"/>
              <w:right w:val="nil"/>
            </w:tcBorders>
            <w:vAlign w:val="center"/>
          </w:tcPr>
          <w:p w14:paraId="073131C1">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0.667</w:t>
            </w:r>
          </w:p>
        </w:tc>
        <w:tc>
          <w:tcPr>
            <w:tcW w:w="247" w:type="pct"/>
            <w:tcBorders>
              <w:top w:val="nil"/>
              <w:left w:val="nil"/>
              <w:bottom w:val="nil"/>
              <w:right w:val="nil"/>
            </w:tcBorders>
            <w:vAlign w:val="center"/>
          </w:tcPr>
          <w:p w14:paraId="054E5CC8">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0.333</w:t>
            </w:r>
          </w:p>
        </w:tc>
        <w:tc>
          <w:tcPr>
            <w:tcW w:w="247" w:type="pct"/>
            <w:tcBorders>
              <w:top w:val="nil"/>
              <w:left w:val="nil"/>
              <w:bottom w:val="nil"/>
              <w:right w:val="nil"/>
            </w:tcBorders>
            <w:vAlign w:val="center"/>
          </w:tcPr>
          <w:p w14:paraId="2A4A29D1">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0.806</w:t>
            </w:r>
          </w:p>
        </w:tc>
        <w:tc>
          <w:tcPr>
            <w:tcW w:w="366" w:type="pct"/>
            <w:tcBorders>
              <w:top w:val="nil"/>
              <w:left w:val="nil"/>
              <w:bottom w:val="nil"/>
              <w:right w:val="nil"/>
            </w:tcBorders>
            <w:vAlign w:val="center"/>
          </w:tcPr>
          <w:p w14:paraId="7A330380">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0.569</w:t>
            </w:r>
          </w:p>
        </w:tc>
      </w:tr>
      <w:tr w14:paraId="6815C6F7">
        <w:trPr>
          <w:trHeight w:val="300" w:hRule="atLeast"/>
        </w:trPr>
        <w:tc>
          <w:tcPr>
            <w:tcW w:w="195" w:type="pct"/>
            <w:tcBorders>
              <w:top w:val="nil"/>
              <w:left w:val="nil"/>
              <w:bottom w:val="nil"/>
              <w:right w:val="nil"/>
            </w:tcBorders>
            <w:vAlign w:val="center"/>
          </w:tcPr>
          <w:p w14:paraId="12DA3432">
            <w:pPr>
              <w:jc w:val="center"/>
              <w:textAlignment w:val="center"/>
              <w:rPr>
                <w:rFonts w:ascii="Times New Roman" w:hAnsi="Times New Roman"/>
                <w:color w:val="000000"/>
                <w:sz w:val="21"/>
                <w:szCs w:val="21"/>
              </w:rPr>
            </w:pPr>
            <w:r>
              <w:rPr>
                <w:rFonts w:ascii="Times New Roman" w:hAnsi="Times New Roman"/>
                <w:color w:val="000000"/>
                <w:sz w:val="21"/>
                <w:szCs w:val="21"/>
                <w:lang w:bidi="ar"/>
              </w:rPr>
              <w:t>S04</w:t>
            </w:r>
          </w:p>
        </w:tc>
        <w:tc>
          <w:tcPr>
            <w:tcW w:w="247" w:type="pct"/>
            <w:tcBorders>
              <w:top w:val="nil"/>
              <w:left w:val="nil"/>
              <w:bottom w:val="nil"/>
              <w:right w:val="nil"/>
            </w:tcBorders>
            <w:vAlign w:val="center"/>
          </w:tcPr>
          <w:p w14:paraId="58111B68">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0.593</w:t>
            </w:r>
          </w:p>
        </w:tc>
        <w:tc>
          <w:tcPr>
            <w:tcW w:w="247" w:type="pct"/>
            <w:tcBorders>
              <w:top w:val="nil"/>
              <w:left w:val="nil"/>
              <w:bottom w:val="nil"/>
              <w:right w:val="nil"/>
            </w:tcBorders>
            <w:vAlign w:val="center"/>
          </w:tcPr>
          <w:p w14:paraId="23555C4B">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0.601</w:t>
            </w:r>
          </w:p>
        </w:tc>
        <w:tc>
          <w:tcPr>
            <w:tcW w:w="247" w:type="pct"/>
            <w:tcBorders>
              <w:top w:val="nil"/>
              <w:left w:val="nil"/>
              <w:bottom w:val="nil"/>
              <w:right w:val="nil"/>
            </w:tcBorders>
            <w:vAlign w:val="center"/>
          </w:tcPr>
          <w:p w14:paraId="1CC27839">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0.703</w:t>
            </w:r>
          </w:p>
        </w:tc>
        <w:tc>
          <w:tcPr>
            <w:tcW w:w="247" w:type="pct"/>
            <w:tcBorders>
              <w:top w:val="nil"/>
              <w:left w:val="nil"/>
              <w:bottom w:val="nil"/>
              <w:right w:val="nil"/>
            </w:tcBorders>
            <w:vAlign w:val="center"/>
          </w:tcPr>
          <w:p w14:paraId="6B8AE76A">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0.563</w:t>
            </w:r>
          </w:p>
        </w:tc>
        <w:tc>
          <w:tcPr>
            <w:tcW w:w="247" w:type="pct"/>
            <w:tcBorders>
              <w:top w:val="nil"/>
              <w:left w:val="nil"/>
              <w:bottom w:val="nil"/>
              <w:right w:val="nil"/>
            </w:tcBorders>
            <w:vAlign w:val="center"/>
          </w:tcPr>
          <w:p w14:paraId="4ADCBD00">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0.600</w:t>
            </w:r>
          </w:p>
        </w:tc>
        <w:tc>
          <w:tcPr>
            <w:tcW w:w="366" w:type="pct"/>
            <w:tcBorders>
              <w:top w:val="nil"/>
              <w:left w:val="nil"/>
              <w:bottom w:val="nil"/>
              <w:right w:val="nil"/>
            </w:tcBorders>
            <w:vAlign w:val="center"/>
          </w:tcPr>
          <w:p w14:paraId="114B8DA2">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0.581</w:t>
            </w:r>
          </w:p>
        </w:tc>
        <w:tc>
          <w:tcPr>
            <w:tcW w:w="247" w:type="pct"/>
            <w:tcBorders>
              <w:top w:val="nil"/>
              <w:left w:val="nil"/>
              <w:bottom w:val="nil"/>
              <w:right w:val="nil"/>
            </w:tcBorders>
            <w:vAlign w:val="center"/>
          </w:tcPr>
          <w:p w14:paraId="1A853128">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0.568</w:t>
            </w:r>
          </w:p>
        </w:tc>
        <w:tc>
          <w:tcPr>
            <w:tcW w:w="247" w:type="pct"/>
            <w:tcBorders>
              <w:top w:val="nil"/>
              <w:left w:val="nil"/>
              <w:bottom w:val="nil"/>
              <w:right w:val="nil"/>
            </w:tcBorders>
            <w:vAlign w:val="center"/>
          </w:tcPr>
          <w:p w14:paraId="02BB92F1">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0.638</w:t>
            </w:r>
          </w:p>
        </w:tc>
        <w:tc>
          <w:tcPr>
            <w:tcW w:w="247" w:type="pct"/>
            <w:tcBorders>
              <w:top w:val="nil"/>
              <w:left w:val="nil"/>
              <w:bottom w:val="nil"/>
              <w:right w:val="nil"/>
            </w:tcBorders>
            <w:vAlign w:val="center"/>
          </w:tcPr>
          <w:p w14:paraId="7100DEFF">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0.667</w:t>
            </w:r>
          </w:p>
        </w:tc>
        <w:tc>
          <w:tcPr>
            <w:tcW w:w="247" w:type="pct"/>
            <w:tcBorders>
              <w:top w:val="nil"/>
              <w:left w:val="nil"/>
              <w:bottom w:val="nil"/>
              <w:right w:val="nil"/>
            </w:tcBorders>
            <w:vAlign w:val="center"/>
          </w:tcPr>
          <w:p w14:paraId="4977C65D">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0.688</w:t>
            </w:r>
          </w:p>
        </w:tc>
        <w:tc>
          <w:tcPr>
            <w:tcW w:w="247" w:type="pct"/>
            <w:tcBorders>
              <w:top w:val="nil"/>
              <w:left w:val="nil"/>
              <w:bottom w:val="nil"/>
              <w:right w:val="nil"/>
            </w:tcBorders>
            <w:vAlign w:val="center"/>
          </w:tcPr>
          <w:p w14:paraId="1301B395">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0.538</w:t>
            </w:r>
          </w:p>
        </w:tc>
        <w:tc>
          <w:tcPr>
            <w:tcW w:w="366" w:type="pct"/>
            <w:tcBorders>
              <w:top w:val="nil"/>
              <w:left w:val="nil"/>
              <w:bottom w:val="nil"/>
              <w:right w:val="nil"/>
            </w:tcBorders>
            <w:vAlign w:val="center"/>
          </w:tcPr>
          <w:p w14:paraId="43530DC8">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0.613</w:t>
            </w:r>
          </w:p>
        </w:tc>
        <w:tc>
          <w:tcPr>
            <w:tcW w:w="247" w:type="pct"/>
            <w:tcBorders>
              <w:top w:val="nil"/>
              <w:left w:val="nil"/>
              <w:bottom w:val="nil"/>
              <w:right w:val="nil"/>
            </w:tcBorders>
            <w:vAlign w:val="center"/>
          </w:tcPr>
          <w:p w14:paraId="64448367">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0.481</w:t>
            </w:r>
          </w:p>
        </w:tc>
        <w:tc>
          <w:tcPr>
            <w:tcW w:w="247" w:type="pct"/>
            <w:tcBorders>
              <w:top w:val="nil"/>
              <w:left w:val="nil"/>
              <w:bottom w:val="nil"/>
              <w:right w:val="nil"/>
            </w:tcBorders>
            <w:vAlign w:val="center"/>
          </w:tcPr>
          <w:p w14:paraId="3371E6C7">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0.638</w:t>
            </w:r>
          </w:p>
        </w:tc>
        <w:tc>
          <w:tcPr>
            <w:tcW w:w="247" w:type="pct"/>
            <w:tcBorders>
              <w:top w:val="nil"/>
              <w:left w:val="nil"/>
              <w:bottom w:val="nil"/>
              <w:right w:val="nil"/>
            </w:tcBorders>
            <w:vAlign w:val="center"/>
          </w:tcPr>
          <w:p w14:paraId="33AF2A66">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0.580</w:t>
            </w:r>
          </w:p>
        </w:tc>
        <w:tc>
          <w:tcPr>
            <w:tcW w:w="247" w:type="pct"/>
            <w:tcBorders>
              <w:top w:val="nil"/>
              <w:left w:val="nil"/>
              <w:bottom w:val="nil"/>
              <w:right w:val="nil"/>
            </w:tcBorders>
            <w:vAlign w:val="center"/>
          </w:tcPr>
          <w:p w14:paraId="61FA572E">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0.625</w:t>
            </w:r>
          </w:p>
        </w:tc>
        <w:tc>
          <w:tcPr>
            <w:tcW w:w="247" w:type="pct"/>
            <w:tcBorders>
              <w:top w:val="nil"/>
              <w:left w:val="nil"/>
              <w:bottom w:val="nil"/>
              <w:right w:val="nil"/>
            </w:tcBorders>
            <w:vAlign w:val="center"/>
          </w:tcPr>
          <w:p w14:paraId="5BEF6E87">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0.446</w:t>
            </w:r>
          </w:p>
        </w:tc>
        <w:tc>
          <w:tcPr>
            <w:tcW w:w="366" w:type="pct"/>
            <w:tcBorders>
              <w:top w:val="nil"/>
              <w:left w:val="nil"/>
              <w:bottom w:val="nil"/>
              <w:right w:val="nil"/>
            </w:tcBorders>
            <w:vAlign w:val="center"/>
          </w:tcPr>
          <w:p w14:paraId="0B7023B0">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0.536</w:t>
            </w:r>
          </w:p>
        </w:tc>
      </w:tr>
      <w:tr w14:paraId="03747900">
        <w:trPr>
          <w:trHeight w:val="300" w:hRule="atLeast"/>
        </w:trPr>
        <w:tc>
          <w:tcPr>
            <w:tcW w:w="195" w:type="pct"/>
            <w:tcBorders>
              <w:top w:val="nil"/>
              <w:left w:val="nil"/>
              <w:bottom w:val="nil"/>
              <w:right w:val="nil"/>
            </w:tcBorders>
            <w:vAlign w:val="center"/>
          </w:tcPr>
          <w:p w14:paraId="267EDC21">
            <w:pPr>
              <w:jc w:val="center"/>
              <w:textAlignment w:val="center"/>
              <w:rPr>
                <w:rFonts w:ascii="Times New Roman" w:hAnsi="Times New Roman"/>
                <w:color w:val="000000"/>
                <w:sz w:val="21"/>
                <w:szCs w:val="21"/>
              </w:rPr>
            </w:pPr>
            <w:r>
              <w:rPr>
                <w:rFonts w:ascii="Times New Roman" w:hAnsi="Times New Roman"/>
                <w:color w:val="000000"/>
                <w:sz w:val="21"/>
                <w:szCs w:val="21"/>
                <w:lang w:bidi="ar"/>
              </w:rPr>
              <w:t>S05</w:t>
            </w:r>
          </w:p>
        </w:tc>
        <w:tc>
          <w:tcPr>
            <w:tcW w:w="247" w:type="pct"/>
            <w:tcBorders>
              <w:top w:val="nil"/>
              <w:left w:val="nil"/>
              <w:bottom w:val="nil"/>
              <w:right w:val="nil"/>
            </w:tcBorders>
            <w:vAlign w:val="center"/>
          </w:tcPr>
          <w:p w14:paraId="6BCFB521">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0.603</w:t>
            </w:r>
          </w:p>
        </w:tc>
        <w:tc>
          <w:tcPr>
            <w:tcW w:w="247" w:type="pct"/>
            <w:tcBorders>
              <w:top w:val="nil"/>
              <w:left w:val="nil"/>
              <w:bottom w:val="nil"/>
              <w:right w:val="nil"/>
            </w:tcBorders>
            <w:vAlign w:val="center"/>
          </w:tcPr>
          <w:p w14:paraId="1A649659">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0.746</w:t>
            </w:r>
          </w:p>
        </w:tc>
        <w:tc>
          <w:tcPr>
            <w:tcW w:w="247" w:type="pct"/>
            <w:tcBorders>
              <w:top w:val="nil"/>
              <w:left w:val="nil"/>
              <w:bottom w:val="nil"/>
              <w:right w:val="nil"/>
            </w:tcBorders>
            <w:vAlign w:val="center"/>
          </w:tcPr>
          <w:p w14:paraId="1FE8826A">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0.569</w:t>
            </w:r>
          </w:p>
        </w:tc>
        <w:tc>
          <w:tcPr>
            <w:tcW w:w="247" w:type="pct"/>
            <w:tcBorders>
              <w:top w:val="nil"/>
              <w:left w:val="nil"/>
              <w:bottom w:val="nil"/>
              <w:right w:val="nil"/>
            </w:tcBorders>
            <w:vAlign w:val="center"/>
          </w:tcPr>
          <w:p w14:paraId="35DFEB2F">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0.511</w:t>
            </w:r>
          </w:p>
        </w:tc>
        <w:tc>
          <w:tcPr>
            <w:tcW w:w="247" w:type="pct"/>
            <w:tcBorders>
              <w:top w:val="nil"/>
              <w:left w:val="nil"/>
              <w:bottom w:val="nil"/>
              <w:right w:val="nil"/>
            </w:tcBorders>
            <w:vAlign w:val="center"/>
          </w:tcPr>
          <w:p w14:paraId="6A4E3945">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0.787</w:t>
            </w:r>
          </w:p>
        </w:tc>
        <w:tc>
          <w:tcPr>
            <w:tcW w:w="366" w:type="pct"/>
            <w:tcBorders>
              <w:top w:val="nil"/>
              <w:left w:val="nil"/>
              <w:bottom w:val="nil"/>
              <w:right w:val="nil"/>
            </w:tcBorders>
            <w:vAlign w:val="center"/>
          </w:tcPr>
          <w:p w14:paraId="55F80C0B">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0.649</w:t>
            </w:r>
          </w:p>
        </w:tc>
        <w:tc>
          <w:tcPr>
            <w:tcW w:w="247" w:type="pct"/>
            <w:tcBorders>
              <w:top w:val="nil"/>
              <w:left w:val="nil"/>
              <w:bottom w:val="nil"/>
              <w:right w:val="nil"/>
            </w:tcBorders>
            <w:vAlign w:val="center"/>
          </w:tcPr>
          <w:p w14:paraId="27F2E521">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0.617</w:t>
            </w:r>
          </w:p>
        </w:tc>
        <w:tc>
          <w:tcPr>
            <w:tcW w:w="247" w:type="pct"/>
            <w:tcBorders>
              <w:top w:val="nil"/>
              <w:left w:val="nil"/>
              <w:bottom w:val="nil"/>
              <w:right w:val="nil"/>
            </w:tcBorders>
            <w:vAlign w:val="center"/>
          </w:tcPr>
          <w:p w14:paraId="2C4CE261">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0.726</w:t>
            </w:r>
          </w:p>
        </w:tc>
        <w:tc>
          <w:tcPr>
            <w:tcW w:w="247" w:type="pct"/>
            <w:tcBorders>
              <w:top w:val="nil"/>
              <w:left w:val="nil"/>
              <w:bottom w:val="nil"/>
              <w:right w:val="nil"/>
            </w:tcBorders>
            <w:vAlign w:val="center"/>
          </w:tcPr>
          <w:p w14:paraId="1C957058">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0.571</w:t>
            </w:r>
          </w:p>
        </w:tc>
        <w:tc>
          <w:tcPr>
            <w:tcW w:w="247" w:type="pct"/>
            <w:tcBorders>
              <w:top w:val="nil"/>
              <w:left w:val="nil"/>
              <w:bottom w:val="nil"/>
              <w:right w:val="nil"/>
            </w:tcBorders>
            <w:vAlign w:val="center"/>
          </w:tcPr>
          <w:p w14:paraId="2C038FED">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0.543</w:t>
            </w:r>
          </w:p>
        </w:tc>
        <w:tc>
          <w:tcPr>
            <w:tcW w:w="247" w:type="pct"/>
            <w:tcBorders>
              <w:top w:val="nil"/>
              <w:left w:val="nil"/>
              <w:bottom w:val="nil"/>
              <w:right w:val="nil"/>
            </w:tcBorders>
            <w:vAlign w:val="center"/>
          </w:tcPr>
          <w:p w14:paraId="1FB5342B">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0.766</w:t>
            </w:r>
          </w:p>
        </w:tc>
        <w:tc>
          <w:tcPr>
            <w:tcW w:w="366" w:type="pct"/>
            <w:tcBorders>
              <w:top w:val="nil"/>
              <w:left w:val="nil"/>
              <w:bottom w:val="nil"/>
              <w:right w:val="nil"/>
            </w:tcBorders>
            <w:vAlign w:val="center"/>
          </w:tcPr>
          <w:p w14:paraId="059F0A86">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0.654</w:t>
            </w:r>
          </w:p>
        </w:tc>
        <w:tc>
          <w:tcPr>
            <w:tcW w:w="247" w:type="pct"/>
            <w:tcBorders>
              <w:top w:val="nil"/>
              <w:left w:val="nil"/>
              <w:bottom w:val="nil"/>
              <w:right w:val="nil"/>
            </w:tcBorders>
            <w:vAlign w:val="center"/>
          </w:tcPr>
          <w:p w14:paraId="4163734C">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0.589</w:t>
            </w:r>
          </w:p>
        </w:tc>
        <w:tc>
          <w:tcPr>
            <w:tcW w:w="247" w:type="pct"/>
            <w:tcBorders>
              <w:top w:val="nil"/>
              <w:left w:val="nil"/>
              <w:bottom w:val="nil"/>
              <w:right w:val="nil"/>
            </w:tcBorders>
            <w:vAlign w:val="center"/>
          </w:tcPr>
          <w:p w14:paraId="1F4B026D">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0.684</w:t>
            </w:r>
          </w:p>
        </w:tc>
        <w:tc>
          <w:tcPr>
            <w:tcW w:w="247" w:type="pct"/>
            <w:tcBorders>
              <w:top w:val="nil"/>
              <w:left w:val="nil"/>
              <w:bottom w:val="nil"/>
              <w:right w:val="nil"/>
            </w:tcBorders>
            <w:vAlign w:val="center"/>
          </w:tcPr>
          <w:p w14:paraId="1BA8E4F2">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0.561</w:t>
            </w:r>
          </w:p>
        </w:tc>
        <w:tc>
          <w:tcPr>
            <w:tcW w:w="247" w:type="pct"/>
            <w:tcBorders>
              <w:top w:val="nil"/>
              <w:left w:val="nil"/>
              <w:bottom w:val="nil"/>
              <w:right w:val="nil"/>
            </w:tcBorders>
            <w:vAlign w:val="center"/>
          </w:tcPr>
          <w:p w14:paraId="3963C71F">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0.489</w:t>
            </w:r>
          </w:p>
        </w:tc>
        <w:tc>
          <w:tcPr>
            <w:tcW w:w="247" w:type="pct"/>
            <w:tcBorders>
              <w:top w:val="nil"/>
              <w:left w:val="nil"/>
              <w:bottom w:val="nil"/>
              <w:right w:val="nil"/>
            </w:tcBorders>
            <w:vAlign w:val="center"/>
          </w:tcPr>
          <w:p w14:paraId="43DAB45F">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0.787</w:t>
            </w:r>
          </w:p>
        </w:tc>
        <w:tc>
          <w:tcPr>
            <w:tcW w:w="366" w:type="pct"/>
            <w:tcBorders>
              <w:top w:val="nil"/>
              <w:left w:val="nil"/>
              <w:bottom w:val="nil"/>
              <w:right w:val="nil"/>
            </w:tcBorders>
            <w:vAlign w:val="center"/>
          </w:tcPr>
          <w:p w14:paraId="38467E9F">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0.638</w:t>
            </w:r>
          </w:p>
        </w:tc>
      </w:tr>
      <w:tr w14:paraId="50B41141">
        <w:trPr>
          <w:trHeight w:val="300" w:hRule="atLeast"/>
        </w:trPr>
        <w:tc>
          <w:tcPr>
            <w:tcW w:w="195" w:type="pct"/>
            <w:tcBorders>
              <w:top w:val="nil"/>
              <w:left w:val="nil"/>
              <w:bottom w:val="nil"/>
              <w:right w:val="nil"/>
            </w:tcBorders>
            <w:vAlign w:val="center"/>
          </w:tcPr>
          <w:p w14:paraId="2652A34F">
            <w:pPr>
              <w:jc w:val="center"/>
              <w:textAlignment w:val="center"/>
              <w:rPr>
                <w:rFonts w:ascii="Times New Roman" w:hAnsi="Times New Roman"/>
                <w:color w:val="000000"/>
                <w:sz w:val="21"/>
                <w:szCs w:val="21"/>
              </w:rPr>
            </w:pPr>
            <w:r>
              <w:rPr>
                <w:rFonts w:ascii="Times New Roman" w:hAnsi="Times New Roman"/>
                <w:color w:val="000000"/>
                <w:sz w:val="21"/>
                <w:szCs w:val="21"/>
                <w:lang w:bidi="ar"/>
              </w:rPr>
              <w:t>S06</w:t>
            </w:r>
          </w:p>
        </w:tc>
        <w:tc>
          <w:tcPr>
            <w:tcW w:w="247" w:type="pct"/>
            <w:tcBorders>
              <w:top w:val="nil"/>
              <w:left w:val="nil"/>
              <w:bottom w:val="nil"/>
              <w:right w:val="nil"/>
            </w:tcBorders>
            <w:vAlign w:val="center"/>
          </w:tcPr>
          <w:p w14:paraId="4B4FCAEA">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0.800</w:t>
            </w:r>
          </w:p>
        </w:tc>
        <w:tc>
          <w:tcPr>
            <w:tcW w:w="247" w:type="pct"/>
            <w:tcBorders>
              <w:top w:val="nil"/>
              <w:left w:val="nil"/>
              <w:bottom w:val="nil"/>
              <w:right w:val="nil"/>
            </w:tcBorders>
            <w:vAlign w:val="center"/>
          </w:tcPr>
          <w:p w14:paraId="4F285C35">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0.819</w:t>
            </w:r>
          </w:p>
        </w:tc>
        <w:tc>
          <w:tcPr>
            <w:tcW w:w="247" w:type="pct"/>
            <w:tcBorders>
              <w:top w:val="nil"/>
              <w:left w:val="nil"/>
              <w:bottom w:val="nil"/>
              <w:right w:val="nil"/>
            </w:tcBorders>
            <w:vAlign w:val="center"/>
          </w:tcPr>
          <w:p w14:paraId="5A6637FE">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0.833</w:t>
            </w:r>
          </w:p>
        </w:tc>
        <w:tc>
          <w:tcPr>
            <w:tcW w:w="247" w:type="pct"/>
            <w:tcBorders>
              <w:top w:val="nil"/>
              <w:left w:val="nil"/>
              <w:bottom w:val="nil"/>
              <w:right w:val="nil"/>
            </w:tcBorders>
            <w:vAlign w:val="center"/>
          </w:tcPr>
          <w:p w14:paraId="1E7EE3D7">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0.833</w:t>
            </w:r>
          </w:p>
        </w:tc>
        <w:tc>
          <w:tcPr>
            <w:tcW w:w="247" w:type="pct"/>
            <w:tcBorders>
              <w:top w:val="nil"/>
              <w:left w:val="nil"/>
              <w:bottom w:val="nil"/>
              <w:right w:val="nil"/>
            </w:tcBorders>
            <w:vAlign w:val="center"/>
          </w:tcPr>
          <w:p w14:paraId="04F77D69">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0.781</w:t>
            </w:r>
          </w:p>
        </w:tc>
        <w:tc>
          <w:tcPr>
            <w:tcW w:w="366" w:type="pct"/>
            <w:tcBorders>
              <w:top w:val="nil"/>
              <w:left w:val="nil"/>
              <w:bottom w:val="nil"/>
              <w:right w:val="nil"/>
            </w:tcBorders>
            <w:vAlign w:val="center"/>
          </w:tcPr>
          <w:p w14:paraId="2592D181">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0.807</w:t>
            </w:r>
          </w:p>
        </w:tc>
        <w:tc>
          <w:tcPr>
            <w:tcW w:w="247" w:type="pct"/>
            <w:tcBorders>
              <w:top w:val="nil"/>
              <w:left w:val="nil"/>
              <w:bottom w:val="nil"/>
              <w:right w:val="nil"/>
            </w:tcBorders>
            <w:vAlign w:val="center"/>
          </w:tcPr>
          <w:p w14:paraId="0C7C09B9">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0.700</w:t>
            </w:r>
          </w:p>
        </w:tc>
        <w:tc>
          <w:tcPr>
            <w:tcW w:w="247" w:type="pct"/>
            <w:tcBorders>
              <w:top w:val="nil"/>
              <w:left w:val="nil"/>
              <w:bottom w:val="nil"/>
              <w:right w:val="nil"/>
            </w:tcBorders>
            <w:vAlign w:val="center"/>
          </w:tcPr>
          <w:p w14:paraId="0D8DB91B">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0.769</w:t>
            </w:r>
          </w:p>
        </w:tc>
        <w:tc>
          <w:tcPr>
            <w:tcW w:w="247" w:type="pct"/>
            <w:tcBorders>
              <w:top w:val="nil"/>
              <w:left w:val="nil"/>
              <w:bottom w:val="nil"/>
              <w:right w:val="nil"/>
            </w:tcBorders>
            <w:vAlign w:val="center"/>
          </w:tcPr>
          <w:p w14:paraId="1102EB72">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0.762</w:t>
            </w:r>
          </w:p>
        </w:tc>
        <w:tc>
          <w:tcPr>
            <w:tcW w:w="247" w:type="pct"/>
            <w:tcBorders>
              <w:top w:val="nil"/>
              <w:left w:val="nil"/>
              <w:bottom w:val="nil"/>
              <w:right w:val="nil"/>
            </w:tcBorders>
            <w:vAlign w:val="center"/>
          </w:tcPr>
          <w:p w14:paraId="380F3574">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0.611</w:t>
            </w:r>
          </w:p>
        </w:tc>
        <w:tc>
          <w:tcPr>
            <w:tcW w:w="247" w:type="pct"/>
            <w:tcBorders>
              <w:top w:val="nil"/>
              <w:left w:val="nil"/>
              <w:bottom w:val="nil"/>
              <w:right w:val="nil"/>
            </w:tcBorders>
            <w:vAlign w:val="center"/>
          </w:tcPr>
          <w:p w14:paraId="3A827018">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0.750</w:t>
            </w:r>
          </w:p>
        </w:tc>
        <w:tc>
          <w:tcPr>
            <w:tcW w:w="366" w:type="pct"/>
            <w:tcBorders>
              <w:top w:val="nil"/>
              <w:left w:val="nil"/>
              <w:bottom w:val="nil"/>
              <w:right w:val="nil"/>
            </w:tcBorders>
            <w:vAlign w:val="center"/>
          </w:tcPr>
          <w:p w14:paraId="3913111A">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0.681</w:t>
            </w:r>
          </w:p>
        </w:tc>
        <w:tc>
          <w:tcPr>
            <w:tcW w:w="247" w:type="pct"/>
            <w:tcBorders>
              <w:top w:val="nil"/>
              <w:left w:val="nil"/>
              <w:bottom w:val="nil"/>
              <w:right w:val="nil"/>
            </w:tcBorders>
            <w:vAlign w:val="center"/>
          </w:tcPr>
          <w:p w14:paraId="2B83D7C1">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0.740</w:t>
            </w:r>
          </w:p>
        </w:tc>
        <w:tc>
          <w:tcPr>
            <w:tcW w:w="247" w:type="pct"/>
            <w:tcBorders>
              <w:top w:val="nil"/>
              <w:left w:val="nil"/>
              <w:bottom w:val="nil"/>
              <w:right w:val="nil"/>
            </w:tcBorders>
            <w:vAlign w:val="center"/>
          </w:tcPr>
          <w:p w14:paraId="7BF8E1A0">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0.731</w:t>
            </w:r>
          </w:p>
        </w:tc>
        <w:tc>
          <w:tcPr>
            <w:tcW w:w="247" w:type="pct"/>
            <w:tcBorders>
              <w:top w:val="nil"/>
              <w:left w:val="nil"/>
              <w:bottom w:val="nil"/>
              <w:right w:val="nil"/>
            </w:tcBorders>
            <w:vAlign w:val="center"/>
          </w:tcPr>
          <w:p w14:paraId="15F4A127">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0.794</w:t>
            </w:r>
          </w:p>
        </w:tc>
        <w:tc>
          <w:tcPr>
            <w:tcW w:w="247" w:type="pct"/>
            <w:tcBorders>
              <w:top w:val="nil"/>
              <w:left w:val="nil"/>
              <w:bottom w:val="nil"/>
              <w:right w:val="nil"/>
            </w:tcBorders>
            <w:vAlign w:val="center"/>
          </w:tcPr>
          <w:p w14:paraId="64D7098A">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0.667</w:t>
            </w:r>
          </w:p>
        </w:tc>
        <w:tc>
          <w:tcPr>
            <w:tcW w:w="247" w:type="pct"/>
            <w:tcBorders>
              <w:top w:val="nil"/>
              <w:left w:val="nil"/>
              <w:bottom w:val="nil"/>
              <w:right w:val="nil"/>
            </w:tcBorders>
            <w:vAlign w:val="center"/>
          </w:tcPr>
          <w:p w14:paraId="2895F210">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0.781</w:t>
            </w:r>
          </w:p>
        </w:tc>
        <w:tc>
          <w:tcPr>
            <w:tcW w:w="366" w:type="pct"/>
            <w:tcBorders>
              <w:top w:val="nil"/>
              <w:left w:val="nil"/>
              <w:bottom w:val="nil"/>
              <w:right w:val="nil"/>
            </w:tcBorders>
            <w:vAlign w:val="center"/>
          </w:tcPr>
          <w:p w14:paraId="1B741E1D">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0.724</w:t>
            </w:r>
          </w:p>
        </w:tc>
      </w:tr>
      <w:tr w14:paraId="398E37AA">
        <w:trPr>
          <w:trHeight w:val="315" w:hRule="atLeast"/>
        </w:trPr>
        <w:tc>
          <w:tcPr>
            <w:tcW w:w="195" w:type="pct"/>
            <w:tcBorders>
              <w:top w:val="nil"/>
              <w:left w:val="nil"/>
              <w:bottom w:val="single" w:color="000000" w:sz="8" w:space="0"/>
              <w:right w:val="nil"/>
            </w:tcBorders>
            <w:vAlign w:val="center"/>
          </w:tcPr>
          <w:p w14:paraId="2706D8D6">
            <w:pPr>
              <w:jc w:val="center"/>
              <w:textAlignment w:val="center"/>
              <w:rPr>
                <w:rFonts w:ascii="Times New Roman" w:hAnsi="Times New Roman"/>
                <w:color w:val="000000"/>
                <w:sz w:val="21"/>
                <w:szCs w:val="21"/>
              </w:rPr>
            </w:pPr>
            <w:r>
              <w:rPr>
                <w:rFonts w:ascii="Times New Roman" w:hAnsi="Times New Roman"/>
                <w:color w:val="000000"/>
                <w:sz w:val="21"/>
                <w:szCs w:val="21"/>
                <w:lang w:bidi="ar"/>
              </w:rPr>
              <w:t>S07</w:t>
            </w:r>
          </w:p>
        </w:tc>
        <w:tc>
          <w:tcPr>
            <w:tcW w:w="247" w:type="pct"/>
            <w:tcBorders>
              <w:top w:val="nil"/>
              <w:left w:val="nil"/>
              <w:bottom w:val="single" w:color="000000" w:sz="8" w:space="0"/>
              <w:right w:val="nil"/>
            </w:tcBorders>
            <w:vAlign w:val="center"/>
          </w:tcPr>
          <w:p w14:paraId="4CB944A3">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0.646</w:t>
            </w:r>
          </w:p>
        </w:tc>
        <w:tc>
          <w:tcPr>
            <w:tcW w:w="247" w:type="pct"/>
            <w:tcBorders>
              <w:top w:val="nil"/>
              <w:left w:val="nil"/>
              <w:bottom w:val="single" w:color="000000" w:sz="8" w:space="0"/>
              <w:right w:val="nil"/>
            </w:tcBorders>
            <w:vAlign w:val="center"/>
          </w:tcPr>
          <w:p w14:paraId="7A8AF236">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0.743</w:t>
            </w:r>
          </w:p>
        </w:tc>
        <w:tc>
          <w:tcPr>
            <w:tcW w:w="247" w:type="pct"/>
            <w:tcBorders>
              <w:top w:val="nil"/>
              <w:left w:val="nil"/>
              <w:bottom w:val="single" w:color="000000" w:sz="8" w:space="0"/>
              <w:right w:val="nil"/>
            </w:tcBorders>
            <w:vAlign w:val="center"/>
          </w:tcPr>
          <w:p w14:paraId="3F7AE905">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0.702</w:t>
            </w:r>
          </w:p>
        </w:tc>
        <w:tc>
          <w:tcPr>
            <w:tcW w:w="247" w:type="pct"/>
            <w:tcBorders>
              <w:top w:val="nil"/>
              <w:left w:val="nil"/>
              <w:bottom w:val="single" w:color="000000" w:sz="8" w:space="0"/>
              <w:right w:val="nil"/>
            </w:tcBorders>
            <w:vAlign w:val="center"/>
          </w:tcPr>
          <w:p w14:paraId="694A31C4">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0.486</w:t>
            </w:r>
          </w:p>
        </w:tc>
        <w:tc>
          <w:tcPr>
            <w:tcW w:w="247" w:type="pct"/>
            <w:tcBorders>
              <w:top w:val="nil"/>
              <w:left w:val="nil"/>
              <w:bottom w:val="single" w:color="000000" w:sz="8" w:space="0"/>
              <w:right w:val="nil"/>
            </w:tcBorders>
            <w:vAlign w:val="center"/>
          </w:tcPr>
          <w:p w14:paraId="5E641AF2">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0.786</w:t>
            </w:r>
          </w:p>
        </w:tc>
        <w:tc>
          <w:tcPr>
            <w:tcW w:w="366" w:type="pct"/>
            <w:tcBorders>
              <w:top w:val="nil"/>
              <w:left w:val="nil"/>
              <w:bottom w:val="single" w:color="000000" w:sz="8" w:space="0"/>
              <w:right w:val="nil"/>
            </w:tcBorders>
            <w:vAlign w:val="center"/>
          </w:tcPr>
          <w:p w14:paraId="416AA196">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0.636</w:t>
            </w:r>
          </w:p>
        </w:tc>
        <w:tc>
          <w:tcPr>
            <w:tcW w:w="247" w:type="pct"/>
            <w:tcBorders>
              <w:top w:val="nil"/>
              <w:left w:val="nil"/>
              <w:bottom w:val="single" w:color="000000" w:sz="8" w:space="0"/>
              <w:right w:val="nil"/>
            </w:tcBorders>
            <w:vAlign w:val="center"/>
          </w:tcPr>
          <w:p w14:paraId="32C5D202">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0.633</w:t>
            </w:r>
          </w:p>
        </w:tc>
        <w:tc>
          <w:tcPr>
            <w:tcW w:w="247" w:type="pct"/>
            <w:tcBorders>
              <w:top w:val="nil"/>
              <w:left w:val="nil"/>
              <w:bottom w:val="single" w:color="000000" w:sz="8" w:space="0"/>
              <w:right w:val="nil"/>
            </w:tcBorders>
            <w:vAlign w:val="center"/>
          </w:tcPr>
          <w:p w14:paraId="6A165A62">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0.741</w:t>
            </w:r>
          </w:p>
        </w:tc>
        <w:tc>
          <w:tcPr>
            <w:tcW w:w="247" w:type="pct"/>
            <w:tcBorders>
              <w:top w:val="nil"/>
              <w:left w:val="nil"/>
              <w:bottom w:val="single" w:color="000000" w:sz="8" w:space="0"/>
              <w:right w:val="nil"/>
            </w:tcBorders>
            <w:vAlign w:val="center"/>
          </w:tcPr>
          <w:p w14:paraId="769662A0">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0.633</w:t>
            </w:r>
          </w:p>
        </w:tc>
        <w:tc>
          <w:tcPr>
            <w:tcW w:w="247" w:type="pct"/>
            <w:tcBorders>
              <w:top w:val="nil"/>
              <w:left w:val="nil"/>
              <w:bottom w:val="single" w:color="000000" w:sz="8" w:space="0"/>
              <w:right w:val="nil"/>
            </w:tcBorders>
            <w:vAlign w:val="center"/>
          </w:tcPr>
          <w:p w14:paraId="02528C17">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0.676</w:t>
            </w:r>
          </w:p>
        </w:tc>
        <w:tc>
          <w:tcPr>
            <w:tcW w:w="247" w:type="pct"/>
            <w:tcBorders>
              <w:top w:val="nil"/>
              <w:left w:val="nil"/>
              <w:bottom w:val="single" w:color="000000" w:sz="8" w:space="0"/>
              <w:right w:val="nil"/>
            </w:tcBorders>
            <w:vAlign w:val="center"/>
          </w:tcPr>
          <w:p w14:paraId="33D4FA7D">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0.595</w:t>
            </w:r>
          </w:p>
        </w:tc>
        <w:tc>
          <w:tcPr>
            <w:tcW w:w="366" w:type="pct"/>
            <w:tcBorders>
              <w:top w:val="nil"/>
              <w:left w:val="nil"/>
              <w:bottom w:val="single" w:color="000000" w:sz="8" w:space="0"/>
              <w:right w:val="nil"/>
            </w:tcBorders>
            <w:vAlign w:val="center"/>
          </w:tcPr>
          <w:p w14:paraId="0C9A66BB">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0.635</w:t>
            </w:r>
          </w:p>
        </w:tc>
        <w:tc>
          <w:tcPr>
            <w:tcW w:w="247" w:type="pct"/>
            <w:tcBorders>
              <w:top w:val="nil"/>
              <w:left w:val="nil"/>
              <w:bottom w:val="single" w:color="000000" w:sz="8" w:space="0"/>
              <w:right w:val="nil"/>
            </w:tcBorders>
            <w:vAlign w:val="center"/>
          </w:tcPr>
          <w:p w14:paraId="1A63CBD5">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0.582</w:t>
            </w:r>
          </w:p>
        </w:tc>
        <w:tc>
          <w:tcPr>
            <w:tcW w:w="247" w:type="pct"/>
            <w:tcBorders>
              <w:top w:val="nil"/>
              <w:left w:val="nil"/>
              <w:bottom w:val="single" w:color="000000" w:sz="8" w:space="0"/>
              <w:right w:val="nil"/>
            </w:tcBorders>
            <w:vAlign w:val="center"/>
          </w:tcPr>
          <w:p w14:paraId="018F7131">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0.638</w:t>
            </w:r>
          </w:p>
        </w:tc>
        <w:tc>
          <w:tcPr>
            <w:tcW w:w="247" w:type="pct"/>
            <w:tcBorders>
              <w:top w:val="nil"/>
              <w:left w:val="nil"/>
              <w:bottom w:val="single" w:color="000000" w:sz="8" w:space="0"/>
              <w:right w:val="nil"/>
            </w:tcBorders>
            <w:vAlign w:val="center"/>
          </w:tcPr>
          <w:p w14:paraId="76F60ADD">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0.629</w:t>
            </w:r>
          </w:p>
        </w:tc>
        <w:tc>
          <w:tcPr>
            <w:tcW w:w="247" w:type="pct"/>
            <w:tcBorders>
              <w:top w:val="nil"/>
              <w:left w:val="nil"/>
              <w:bottom w:val="single" w:color="000000" w:sz="8" w:space="0"/>
              <w:right w:val="nil"/>
            </w:tcBorders>
            <w:vAlign w:val="center"/>
          </w:tcPr>
          <w:p w14:paraId="580BA49D">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0.486</w:t>
            </w:r>
          </w:p>
        </w:tc>
        <w:tc>
          <w:tcPr>
            <w:tcW w:w="247" w:type="pct"/>
            <w:tcBorders>
              <w:top w:val="nil"/>
              <w:left w:val="nil"/>
              <w:bottom w:val="single" w:color="000000" w:sz="8" w:space="0"/>
              <w:right w:val="nil"/>
            </w:tcBorders>
            <w:vAlign w:val="center"/>
          </w:tcPr>
          <w:p w14:paraId="51B708CE">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0.667</w:t>
            </w:r>
          </w:p>
        </w:tc>
        <w:tc>
          <w:tcPr>
            <w:tcW w:w="366" w:type="pct"/>
            <w:tcBorders>
              <w:top w:val="nil"/>
              <w:left w:val="nil"/>
              <w:bottom w:val="single" w:color="000000" w:sz="8" w:space="0"/>
              <w:right w:val="nil"/>
            </w:tcBorders>
            <w:vAlign w:val="center"/>
          </w:tcPr>
          <w:p w14:paraId="75D9A4A5">
            <w:pPr>
              <w:jc w:val="center"/>
              <w:textAlignment w:val="center"/>
              <w:rPr>
                <w:rFonts w:ascii="Times New Roman" w:hAnsi="Times New Roman"/>
                <w:color w:val="000000"/>
                <w:sz w:val="20"/>
                <w:szCs w:val="20"/>
              </w:rPr>
            </w:pPr>
            <w:r>
              <w:rPr>
                <w:rFonts w:ascii="Times New Roman" w:hAnsi="Times New Roman"/>
                <w:color w:val="000000"/>
                <w:sz w:val="20"/>
                <w:szCs w:val="20"/>
                <w:lang w:bidi="ar"/>
              </w:rPr>
              <w:t>0.577</w:t>
            </w:r>
          </w:p>
        </w:tc>
      </w:tr>
    </w:tbl>
    <w:p w14:paraId="1FFA59FD">
      <w:pPr>
        <w:rPr>
          <w:rStyle w:val="60"/>
          <w:b/>
          <w:bCs/>
        </w:rPr>
      </w:pPr>
      <w:r>
        <w:rPr>
          <w:rStyle w:val="60"/>
          <w:b/>
          <w:bCs/>
        </w:rPr>
        <w:t xml:space="preserve"> </w:t>
      </w:r>
    </w:p>
    <w:p w14:paraId="625B0198">
      <w:pPr>
        <w:rPr>
          <w:rStyle w:val="60"/>
          <w:b/>
          <w:bCs/>
        </w:rPr>
      </w:pPr>
      <w:r>
        <w:rPr>
          <w:rStyle w:val="34"/>
          <w:rFonts w:ascii="Times New Roman" w:hAnsi="Times New Roman"/>
          <w:b/>
          <w:bCs/>
        </w:rPr>
        <w:t>Table</w:t>
      </w:r>
      <w:r>
        <w:rPr>
          <w:rStyle w:val="60"/>
          <w:b/>
          <w:bCs/>
        </w:rPr>
        <w:t xml:space="preserve"> S10. Bootstrap analysis of performance improvement by adding HFC features to structural asymmetry metrics between AD and NC.</w:t>
      </w:r>
    </w:p>
    <w:p w14:paraId="58591762">
      <w:pPr>
        <w:rPr>
          <w:rStyle w:val="60"/>
          <w:b/>
          <w:bCs/>
        </w:rPr>
      </w:pPr>
    </w:p>
    <w:tbl>
      <w:tblPr>
        <w:tblStyle w:val="28"/>
        <w:tblW w:w="4998" w:type="pct"/>
        <w:tblInd w:w="0" w:type="dxa"/>
        <w:tblLayout w:type="autofit"/>
        <w:tblCellMar>
          <w:top w:w="0" w:type="dxa"/>
          <w:left w:w="108" w:type="dxa"/>
          <w:bottom w:w="0" w:type="dxa"/>
          <w:right w:w="108" w:type="dxa"/>
        </w:tblCellMar>
      </w:tblPr>
      <w:tblGrid>
        <w:gridCol w:w="2517"/>
        <w:gridCol w:w="3314"/>
        <w:gridCol w:w="1518"/>
        <w:gridCol w:w="1682"/>
        <w:gridCol w:w="2797"/>
        <w:gridCol w:w="1623"/>
      </w:tblGrid>
      <w:tr w14:paraId="1F76D883">
        <w:trPr>
          <w:trHeight w:val="320" w:hRule="atLeast"/>
        </w:trPr>
        <w:tc>
          <w:tcPr>
            <w:tcW w:w="935" w:type="pct"/>
            <w:tcBorders>
              <w:top w:val="single" w:color="000000" w:sz="4" w:space="0"/>
              <w:left w:val="nil"/>
              <w:bottom w:val="single" w:color="000000" w:sz="4" w:space="0"/>
              <w:right w:val="nil"/>
            </w:tcBorders>
            <w:noWrap/>
            <w:vAlign w:val="center"/>
          </w:tcPr>
          <w:p w14:paraId="6CE2EB68">
            <w:pPr>
              <w:widowControl w:val="0"/>
              <w:jc w:val="center"/>
              <w:textAlignment w:val="center"/>
              <w:rPr>
                <w:rFonts w:ascii="Times New Roman" w:hAnsi="Times New Roman"/>
                <w:b/>
                <w:bCs/>
                <w:color w:val="000000"/>
                <w:sz w:val="20"/>
                <w:szCs w:val="20"/>
              </w:rPr>
            </w:pPr>
            <w:r>
              <w:rPr>
                <w:rFonts w:ascii="Times New Roman" w:hAnsi="Times New Roman"/>
                <w:b/>
                <w:bCs/>
                <w:color w:val="000000"/>
                <w:sz w:val="20"/>
                <w:szCs w:val="20"/>
              </w:rPr>
              <w:t>Task</w:t>
            </w:r>
          </w:p>
        </w:tc>
        <w:tc>
          <w:tcPr>
            <w:tcW w:w="1231" w:type="pct"/>
            <w:tcBorders>
              <w:top w:val="single" w:color="000000" w:sz="4" w:space="0"/>
              <w:left w:val="nil"/>
              <w:bottom w:val="single" w:color="000000" w:sz="4" w:space="0"/>
              <w:right w:val="nil"/>
            </w:tcBorders>
            <w:noWrap/>
            <w:vAlign w:val="center"/>
          </w:tcPr>
          <w:p w14:paraId="586DE8B2">
            <w:pPr>
              <w:widowControl w:val="0"/>
              <w:jc w:val="center"/>
              <w:textAlignment w:val="center"/>
              <w:rPr>
                <w:rFonts w:ascii="Times New Roman" w:hAnsi="Times New Roman"/>
                <w:b/>
                <w:bCs/>
                <w:color w:val="000000"/>
                <w:sz w:val="20"/>
                <w:szCs w:val="20"/>
              </w:rPr>
            </w:pPr>
            <w:r>
              <w:rPr>
                <w:rFonts w:ascii="Times New Roman" w:hAnsi="Times New Roman"/>
                <w:b/>
                <w:bCs/>
                <w:color w:val="000000"/>
                <w:sz w:val="20"/>
                <w:szCs w:val="20"/>
              </w:rPr>
              <w:t>Structural Metric</w:t>
            </w:r>
          </w:p>
        </w:tc>
        <w:tc>
          <w:tcPr>
            <w:tcW w:w="564" w:type="pct"/>
            <w:tcBorders>
              <w:top w:val="single" w:color="000000" w:sz="4" w:space="0"/>
              <w:left w:val="nil"/>
              <w:bottom w:val="single" w:color="000000" w:sz="4" w:space="0"/>
              <w:right w:val="nil"/>
            </w:tcBorders>
            <w:noWrap/>
            <w:vAlign w:val="center"/>
          </w:tcPr>
          <w:p w14:paraId="0B84CE82">
            <w:pPr>
              <w:widowControl w:val="0"/>
              <w:jc w:val="center"/>
              <w:textAlignment w:val="center"/>
              <w:rPr>
                <w:rFonts w:ascii="Times New Roman" w:hAnsi="Times New Roman"/>
                <w:b/>
                <w:bCs/>
                <w:color w:val="000000"/>
                <w:sz w:val="20"/>
                <w:szCs w:val="20"/>
              </w:rPr>
            </w:pPr>
            <w:r>
              <w:rPr>
                <w:rFonts w:ascii="Times New Roman" w:hAnsi="Times New Roman"/>
                <w:b/>
                <w:bCs/>
                <w:color w:val="000000"/>
                <w:sz w:val="20"/>
                <w:szCs w:val="20"/>
              </w:rPr>
              <w:t>Metric</w:t>
            </w:r>
          </w:p>
        </w:tc>
        <w:tc>
          <w:tcPr>
            <w:tcW w:w="625" w:type="pct"/>
            <w:tcBorders>
              <w:top w:val="single" w:color="000000" w:sz="4" w:space="0"/>
              <w:left w:val="nil"/>
              <w:bottom w:val="single" w:color="000000" w:sz="4" w:space="0"/>
              <w:right w:val="nil"/>
            </w:tcBorders>
            <w:noWrap/>
            <w:vAlign w:val="center"/>
          </w:tcPr>
          <w:p w14:paraId="00F2FC8A">
            <w:pPr>
              <w:widowControl w:val="0"/>
              <w:jc w:val="center"/>
              <w:textAlignment w:val="center"/>
              <w:rPr>
                <w:rFonts w:ascii="Times New Roman" w:hAnsi="Times New Roman"/>
                <w:b/>
                <w:bCs/>
                <w:color w:val="000000"/>
                <w:sz w:val="20"/>
                <w:szCs w:val="20"/>
              </w:rPr>
            </w:pPr>
            <w:r>
              <w:rPr>
                <w:rFonts w:ascii="Times New Roman" w:hAnsi="Times New Roman"/>
                <w:b/>
                <w:bCs/>
                <w:color w:val="000000"/>
                <w:sz w:val="20"/>
                <w:szCs w:val="20"/>
              </w:rPr>
              <w:t>Mean Δ</w:t>
            </w:r>
          </w:p>
        </w:tc>
        <w:tc>
          <w:tcPr>
            <w:tcW w:w="1039" w:type="pct"/>
            <w:tcBorders>
              <w:top w:val="single" w:color="000000" w:sz="4" w:space="0"/>
              <w:left w:val="nil"/>
              <w:bottom w:val="single" w:color="000000" w:sz="4" w:space="0"/>
              <w:right w:val="nil"/>
            </w:tcBorders>
            <w:noWrap/>
            <w:vAlign w:val="center"/>
          </w:tcPr>
          <w:p w14:paraId="04CEED2A">
            <w:pPr>
              <w:widowControl w:val="0"/>
              <w:jc w:val="center"/>
              <w:textAlignment w:val="center"/>
              <w:rPr>
                <w:rFonts w:ascii="Times New Roman" w:hAnsi="Times New Roman"/>
                <w:b/>
                <w:bCs/>
                <w:color w:val="000000"/>
                <w:sz w:val="20"/>
                <w:szCs w:val="20"/>
              </w:rPr>
            </w:pPr>
            <w:r>
              <w:rPr>
                <w:rFonts w:ascii="Times New Roman" w:hAnsi="Times New Roman"/>
                <w:b/>
                <w:bCs/>
                <w:color w:val="000000"/>
                <w:sz w:val="20"/>
                <w:szCs w:val="20"/>
              </w:rPr>
              <w:t>95% CI</w:t>
            </w:r>
          </w:p>
        </w:tc>
        <w:tc>
          <w:tcPr>
            <w:tcW w:w="603" w:type="pct"/>
            <w:tcBorders>
              <w:top w:val="single" w:color="000000" w:sz="4" w:space="0"/>
              <w:left w:val="nil"/>
              <w:bottom w:val="single" w:color="000000" w:sz="4" w:space="0"/>
              <w:right w:val="nil"/>
            </w:tcBorders>
            <w:noWrap/>
            <w:vAlign w:val="center"/>
          </w:tcPr>
          <w:p w14:paraId="116D0C20">
            <w:pPr>
              <w:widowControl w:val="0"/>
              <w:jc w:val="center"/>
              <w:textAlignment w:val="center"/>
              <w:rPr>
                <w:rFonts w:ascii="Times New Roman" w:hAnsi="Times New Roman"/>
                <w:b/>
                <w:bCs/>
                <w:color w:val="000000"/>
                <w:sz w:val="20"/>
                <w:szCs w:val="20"/>
              </w:rPr>
            </w:pPr>
            <w:r>
              <w:rPr>
                <w:rFonts w:ascii="Times New Roman" w:hAnsi="Times New Roman"/>
                <w:b/>
                <w:bCs/>
                <w:color w:val="000000"/>
                <w:sz w:val="20"/>
                <w:szCs w:val="20"/>
              </w:rPr>
              <w:t>p-value</w:t>
            </w:r>
          </w:p>
        </w:tc>
      </w:tr>
      <w:tr w14:paraId="32CD207E">
        <w:trPr>
          <w:trHeight w:val="320" w:hRule="atLeast"/>
        </w:trPr>
        <w:tc>
          <w:tcPr>
            <w:tcW w:w="935" w:type="pct"/>
            <w:vMerge w:val="restart"/>
            <w:tcBorders>
              <w:top w:val="nil"/>
              <w:left w:val="nil"/>
              <w:bottom w:val="nil"/>
              <w:right w:val="nil"/>
            </w:tcBorders>
            <w:noWrap/>
            <w:vAlign w:val="center"/>
          </w:tcPr>
          <w:p w14:paraId="2D5CEC98">
            <w:pPr>
              <w:widowControl w:val="0"/>
              <w:jc w:val="center"/>
              <w:textAlignment w:val="center"/>
              <w:rPr>
                <w:rFonts w:ascii="Times New Roman" w:hAnsi="Times New Roman"/>
                <w:color w:val="000000"/>
                <w:sz w:val="20"/>
                <w:szCs w:val="20"/>
              </w:rPr>
            </w:pPr>
            <w:r>
              <w:rPr>
                <w:rFonts w:ascii="Times New Roman" w:hAnsi="Times New Roman"/>
                <w:color w:val="000000"/>
                <w:sz w:val="20"/>
                <w:szCs w:val="20"/>
              </w:rPr>
              <w:t>Classification</w:t>
            </w:r>
          </w:p>
        </w:tc>
        <w:tc>
          <w:tcPr>
            <w:tcW w:w="1231" w:type="pct"/>
            <w:tcBorders>
              <w:top w:val="single" w:color="000000" w:sz="4" w:space="0"/>
              <w:left w:val="nil"/>
              <w:bottom w:val="nil"/>
              <w:right w:val="nil"/>
            </w:tcBorders>
            <w:noWrap/>
            <w:vAlign w:val="center"/>
          </w:tcPr>
          <w:p w14:paraId="60ED4873">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GMV</w:t>
            </w:r>
          </w:p>
        </w:tc>
        <w:tc>
          <w:tcPr>
            <w:tcW w:w="564" w:type="pct"/>
            <w:tcBorders>
              <w:top w:val="single" w:color="000000" w:sz="4" w:space="0"/>
              <w:left w:val="nil"/>
              <w:bottom w:val="nil"/>
              <w:right w:val="nil"/>
            </w:tcBorders>
            <w:noWrap/>
            <w:vAlign w:val="center"/>
          </w:tcPr>
          <w:p w14:paraId="0A015DB0">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ACC</w:t>
            </w:r>
          </w:p>
        </w:tc>
        <w:tc>
          <w:tcPr>
            <w:tcW w:w="625" w:type="pct"/>
            <w:tcBorders>
              <w:top w:val="single" w:color="000000" w:sz="4" w:space="0"/>
              <w:left w:val="nil"/>
              <w:bottom w:val="nil"/>
              <w:right w:val="nil"/>
            </w:tcBorders>
            <w:noWrap/>
            <w:vAlign w:val="center"/>
          </w:tcPr>
          <w:p w14:paraId="7173F0B7">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0.011</w:t>
            </w:r>
          </w:p>
        </w:tc>
        <w:tc>
          <w:tcPr>
            <w:tcW w:w="1039" w:type="pct"/>
            <w:tcBorders>
              <w:top w:val="single" w:color="000000" w:sz="4" w:space="0"/>
              <w:left w:val="nil"/>
              <w:bottom w:val="nil"/>
              <w:right w:val="nil"/>
            </w:tcBorders>
            <w:noWrap/>
            <w:vAlign w:val="center"/>
          </w:tcPr>
          <w:p w14:paraId="07E69D23">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[−0.042, 0.069]</w:t>
            </w:r>
          </w:p>
        </w:tc>
        <w:tc>
          <w:tcPr>
            <w:tcW w:w="603" w:type="pct"/>
            <w:tcBorders>
              <w:top w:val="single" w:color="000000" w:sz="4" w:space="0"/>
              <w:left w:val="nil"/>
              <w:bottom w:val="nil"/>
              <w:right w:val="nil"/>
            </w:tcBorders>
            <w:noWrap/>
            <w:vAlign w:val="center"/>
          </w:tcPr>
          <w:p w14:paraId="3526F68C">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0.351</w:t>
            </w:r>
          </w:p>
        </w:tc>
      </w:tr>
      <w:tr w14:paraId="108D9D07">
        <w:trPr>
          <w:trHeight w:val="320" w:hRule="atLeast"/>
        </w:trPr>
        <w:tc>
          <w:tcPr>
            <w:tcW w:w="935" w:type="pct"/>
            <w:vMerge w:val="continue"/>
            <w:tcBorders>
              <w:top w:val="nil"/>
              <w:left w:val="nil"/>
              <w:bottom w:val="nil"/>
              <w:right w:val="nil"/>
            </w:tcBorders>
            <w:noWrap/>
            <w:vAlign w:val="center"/>
          </w:tcPr>
          <w:p w14:paraId="02644E21">
            <w:pPr>
              <w:widowControl w:val="0"/>
              <w:jc w:val="center"/>
              <w:textAlignment w:val="center"/>
              <w:rPr>
                <w:rFonts w:ascii="Times New Roman" w:hAnsi="Times New Roman"/>
                <w:color w:val="000000"/>
                <w:sz w:val="20"/>
                <w:szCs w:val="20"/>
              </w:rPr>
            </w:pPr>
          </w:p>
        </w:tc>
        <w:tc>
          <w:tcPr>
            <w:tcW w:w="1231" w:type="pct"/>
            <w:tcBorders>
              <w:top w:val="nil"/>
              <w:left w:val="nil"/>
              <w:bottom w:val="nil"/>
              <w:right w:val="nil"/>
            </w:tcBorders>
            <w:noWrap/>
            <w:vAlign w:val="center"/>
          </w:tcPr>
          <w:p w14:paraId="5D15FEFC">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CT</w:t>
            </w:r>
          </w:p>
        </w:tc>
        <w:tc>
          <w:tcPr>
            <w:tcW w:w="564" w:type="pct"/>
            <w:tcBorders>
              <w:top w:val="nil"/>
              <w:left w:val="nil"/>
              <w:bottom w:val="nil"/>
              <w:right w:val="nil"/>
            </w:tcBorders>
            <w:noWrap/>
            <w:vAlign w:val="center"/>
          </w:tcPr>
          <w:p w14:paraId="2FE3EFD4">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ACC</w:t>
            </w:r>
          </w:p>
        </w:tc>
        <w:tc>
          <w:tcPr>
            <w:tcW w:w="625" w:type="pct"/>
            <w:tcBorders>
              <w:top w:val="nil"/>
              <w:left w:val="nil"/>
              <w:bottom w:val="nil"/>
              <w:right w:val="nil"/>
            </w:tcBorders>
            <w:noWrap/>
            <w:vAlign w:val="center"/>
          </w:tcPr>
          <w:p w14:paraId="5674602C">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0.092</w:t>
            </w:r>
          </w:p>
        </w:tc>
        <w:tc>
          <w:tcPr>
            <w:tcW w:w="1039" w:type="pct"/>
            <w:tcBorders>
              <w:top w:val="nil"/>
              <w:left w:val="nil"/>
              <w:bottom w:val="nil"/>
              <w:right w:val="nil"/>
            </w:tcBorders>
            <w:noWrap/>
            <w:vAlign w:val="center"/>
          </w:tcPr>
          <w:p w14:paraId="499A4EC0">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[0.060, 0.134]</w:t>
            </w:r>
          </w:p>
        </w:tc>
        <w:tc>
          <w:tcPr>
            <w:tcW w:w="603" w:type="pct"/>
            <w:tcBorders>
              <w:top w:val="nil"/>
              <w:left w:val="nil"/>
              <w:bottom w:val="nil"/>
              <w:right w:val="nil"/>
            </w:tcBorders>
            <w:noWrap/>
            <w:vAlign w:val="center"/>
          </w:tcPr>
          <w:p w14:paraId="3FCC02A0">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&lt;0.001</w:t>
            </w:r>
          </w:p>
        </w:tc>
      </w:tr>
      <w:tr w14:paraId="5E2AD136">
        <w:trPr>
          <w:trHeight w:val="320" w:hRule="atLeast"/>
        </w:trPr>
        <w:tc>
          <w:tcPr>
            <w:tcW w:w="935" w:type="pct"/>
            <w:vMerge w:val="continue"/>
            <w:tcBorders>
              <w:top w:val="nil"/>
              <w:left w:val="nil"/>
              <w:bottom w:val="nil"/>
              <w:right w:val="nil"/>
            </w:tcBorders>
            <w:noWrap/>
            <w:vAlign w:val="center"/>
          </w:tcPr>
          <w:p w14:paraId="23CDD469">
            <w:pPr>
              <w:widowControl w:val="0"/>
              <w:jc w:val="center"/>
              <w:textAlignment w:val="center"/>
              <w:rPr>
                <w:rFonts w:ascii="Times New Roman" w:hAnsi="Times New Roman"/>
                <w:color w:val="000000"/>
                <w:sz w:val="20"/>
                <w:szCs w:val="20"/>
              </w:rPr>
            </w:pPr>
          </w:p>
        </w:tc>
        <w:tc>
          <w:tcPr>
            <w:tcW w:w="1231" w:type="pct"/>
            <w:tcBorders>
              <w:top w:val="nil"/>
              <w:left w:val="nil"/>
              <w:bottom w:val="nil"/>
              <w:right w:val="nil"/>
            </w:tcBorders>
            <w:noWrap/>
            <w:vAlign w:val="center"/>
          </w:tcPr>
          <w:p w14:paraId="2A5A82D5">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FD</w:t>
            </w:r>
          </w:p>
        </w:tc>
        <w:tc>
          <w:tcPr>
            <w:tcW w:w="564" w:type="pct"/>
            <w:tcBorders>
              <w:top w:val="nil"/>
              <w:left w:val="nil"/>
              <w:bottom w:val="nil"/>
              <w:right w:val="nil"/>
            </w:tcBorders>
            <w:noWrap/>
            <w:vAlign w:val="center"/>
          </w:tcPr>
          <w:p w14:paraId="6D59F22E">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ACC</w:t>
            </w:r>
          </w:p>
        </w:tc>
        <w:tc>
          <w:tcPr>
            <w:tcW w:w="625" w:type="pct"/>
            <w:tcBorders>
              <w:top w:val="nil"/>
              <w:left w:val="nil"/>
              <w:bottom w:val="nil"/>
              <w:right w:val="nil"/>
            </w:tcBorders>
            <w:noWrap/>
            <w:vAlign w:val="center"/>
          </w:tcPr>
          <w:p w14:paraId="2EACAF85">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0.120</w:t>
            </w:r>
          </w:p>
        </w:tc>
        <w:tc>
          <w:tcPr>
            <w:tcW w:w="1039" w:type="pct"/>
            <w:tcBorders>
              <w:top w:val="nil"/>
              <w:left w:val="nil"/>
              <w:bottom w:val="nil"/>
              <w:right w:val="nil"/>
            </w:tcBorders>
            <w:noWrap/>
            <w:vAlign w:val="center"/>
          </w:tcPr>
          <w:p w14:paraId="31D64EDE">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[0.062, 0.182]</w:t>
            </w:r>
          </w:p>
        </w:tc>
        <w:tc>
          <w:tcPr>
            <w:tcW w:w="603" w:type="pct"/>
            <w:tcBorders>
              <w:top w:val="nil"/>
              <w:left w:val="nil"/>
              <w:bottom w:val="nil"/>
              <w:right w:val="nil"/>
            </w:tcBorders>
            <w:noWrap/>
            <w:vAlign w:val="center"/>
          </w:tcPr>
          <w:p w14:paraId="059C746B">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&lt;0.001</w:t>
            </w:r>
          </w:p>
        </w:tc>
      </w:tr>
      <w:tr w14:paraId="01D19952">
        <w:trPr>
          <w:trHeight w:val="320" w:hRule="atLeast"/>
        </w:trPr>
        <w:tc>
          <w:tcPr>
            <w:tcW w:w="935" w:type="pct"/>
            <w:vMerge w:val="continue"/>
            <w:tcBorders>
              <w:top w:val="nil"/>
              <w:left w:val="nil"/>
              <w:bottom w:val="nil"/>
              <w:right w:val="nil"/>
            </w:tcBorders>
            <w:noWrap/>
            <w:vAlign w:val="center"/>
          </w:tcPr>
          <w:p w14:paraId="2BA8E221">
            <w:pPr>
              <w:widowControl w:val="0"/>
              <w:jc w:val="center"/>
              <w:textAlignment w:val="center"/>
              <w:rPr>
                <w:rFonts w:ascii="Times New Roman" w:hAnsi="Times New Roman"/>
                <w:color w:val="000000"/>
                <w:sz w:val="20"/>
                <w:szCs w:val="20"/>
              </w:rPr>
            </w:pPr>
          </w:p>
        </w:tc>
        <w:tc>
          <w:tcPr>
            <w:tcW w:w="1231" w:type="pct"/>
            <w:tcBorders>
              <w:top w:val="nil"/>
              <w:left w:val="nil"/>
              <w:bottom w:val="nil"/>
              <w:right w:val="nil"/>
            </w:tcBorders>
            <w:noWrap/>
            <w:vAlign w:val="center"/>
          </w:tcPr>
          <w:p w14:paraId="08F7D9D8">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GI</w:t>
            </w:r>
          </w:p>
        </w:tc>
        <w:tc>
          <w:tcPr>
            <w:tcW w:w="564" w:type="pct"/>
            <w:tcBorders>
              <w:top w:val="nil"/>
              <w:left w:val="nil"/>
              <w:bottom w:val="nil"/>
              <w:right w:val="nil"/>
            </w:tcBorders>
            <w:noWrap/>
            <w:vAlign w:val="center"/>
          </w:tcPr>
          <w:p w14:paraId="276CDC62">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ACC</w:t>
            </w:r>
          </w:p>
        </w:tc>
        <w:tc>
          <w:tcPr>
            <w:tcW w:w="625" w:type="pct"/>
            <w:tcBorders>
              <w:top w:val="nil"/>
              <w:left w:val="nil"/>
              <w:bottom w:val="nil"/>
              <w:right w:val="nil"/>
            </w:tcBorders>
            <w:noWrap/>
            <w:vAlign w:val="center"/>
          </w:tcPr>
          <w:p w14:paraId="164F55D3">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0.129</w:t>
            </w:r>
          </w:p>
        </w:tc>
        <w:tc>
          <w:tcPr>
            <w:tcW w:w="1039" w:type="pct"/>
            <w:tcBorders>
              <w:top w:val="nil"/>
              <w:left w:val="nil"/>
              <w:bottom w:val="nil"/>
              <w:right w:val="nil"/>
            </w:tcBorders>
            <w:noWrap/>
            <w:vAlign w:val="center"/>
          </w:tcPr>
          <w:p w14:paraId="7C9C384B">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[0.069, 0.191]</w:t>
            </w:r>
          </w:p>
        </w:tc>
        <w:tc>
          <w:tcPr>
            <w:tcW w:w="603" w:type="pct"/>
            <w:tcBorders>
              <w:top w:val="nil"/>
              <w:left w:val="nil"/>
              <w:bottom w:val="nil"/>
              <w:right w:val="nil"/>
            </w:tcBorders>
            <w:noWrap/>
            <w:vAlign w:val="center"/>
          </w:tcPr>
          <w:p w14:paraId="1028A1BD">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&lt;0.001</w:t>
            </w:r>
          </w:p>
        </w:tc>
      </w:tr>
      <w:tr w14:paraId="14664401">
        <w:trPr>
          <w:trHeight w:val="320" w:hRule="atLeast"/>
        </w:trPr>
        <w:tc>
          <w:tcPr>
            <w:tcW w:w="935" w:type="pct"/>
            <w:vMerge w:val="continue"/>
            <w:tcBorders>
              <w:top w:val="nil"/>
              <w:left w:val="nil"/>
              <w:bottom w:val="single" w:color="auto" w:sz="4" w:space="0"/>
              <w:right w:val="nil"/>
            </w:tcBorders>
            <w:noWrap/>
            <w:vAlign w:val="center"/>
          </w:tcPr>
          <w:p w14:paraId="60F3811B">
            <w:pPr>
              <w:widowControl w:val="0"/>
              <w:jc w:val="center"/>
              <w:textAlignment w:val="center"/>
              <w:rPr>
                <w:rFonts w:ascii="Times New Roman" w:hAnsi="Times New Roman"/>
                <w:color w:val="000000"/>
                <w:sz w:val="20"/>
                <w:szCs w:val="20"/>
              </w:rPr>
            </w:pPr>
          </w:p>
        </w:tc>
        <w:tc>
          <w:tcPr>
            <w:tcW w:w="1231" w:type="pct"/>
            <w:tcBorders>
              <w:top w:val="nil"/>
              <w:left w:val="nil"/>
              <w:bottom w:val="single" w:color="auto" w:sz="4" w:space="0"/>
              <w:right w:val="nil"/>
            </w:tcBorders>
            <w:noWrap/>
            <w:vAlign w:val="center"/>
          </w:tcPr>
          <w:p w14:paraId="78ACC9FD">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SD</w:t>
            </w:r>
          </w:p>
        </w:tc>
        <w:tc>
          <w:tcPr>
            <w:tcW w:w="564" w:type="pct"/>
            <w:tcBorders>
              <w:top w:val="nil"/>
              <w:left w:val="nil"/>
              <w:bottom w:val="single" w:color="000000" w:sz="4" w:space="0"/>
              <w:right w:val="nil"/>
            </w:tcBorders>
            <w:noWrap/>
            <w:vAlign w:val="center"/>
          </w:tcPr>
          <w:p w14:paraId="17CDF64F">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ACC</w:t>
            </w:r>
          </w:p>
        </w:tc>
        <w:tc>
          <w:tcPr>
            <w:tcW w:w="625" w:type="pct"/>
            <w:tcBorders>
              <w:top w:val="nil"/>
              <w:left w:val="nil"/>
              <w:bottom w:val="single" w:color="000000" w:sz="4" w:space="0"/>
              <w:right w:val="nil"/>
            </w:tcBorders>
            <w:noWrap/>
            <w:vAlign w:val="center"/>
          </w:tcPr>
          <w:p w14:paraId="536EF0DE">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0.116</w:t>
            </w:r>
          </w:p>
        </w:tc>
        <w:tc>
          <w:tcPr>
            <w:tcW w:w="1039" w:type="pct"/>
            <w:tcBorders>
              <w:top w:val="nil"/>
              <w:left w:val="nil"/>
              <w:bottom w:val="single" w:color="000000" w:sz="4" w:space="0"/>
              <w:right w:val="nil"/>
            </w:tcBorders>
            <w:noWrap/>
            <w:vAlign w:val="center"/>
          </w:tcPr>
          <w:p w14:paraId="621B4904">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[0.075, 0.177]</w:t>
            </w:r>
          </w:p>
        </w:tc>
        <w:tc>
          <w:tcPr>
            <w:tcW w:w="603" w:type="pct"/>
            <w:tcBorders>
              <w:top w:val="nil"/>
              <w:left w:val="nil"/>
              <w:bottom w:val="single" w:color="000000" w:sz="4" w:space="0"/>
              <w:right w:val="nil"/>
            </w:tcBorders>
            <w:noWrap/>
            <w:vAlign w:val="center"/>
          </w:tcPr>
          <w:p w14:paraId="4BCD0C86">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&lt;0.001</w:t>
            </w:r>
          </w:p>
        </w:tc>
      </w:tr>
      <w:tr w14:paraId="247F9102">
        <w:trPr>
          <w:trHeight w:val="320" w:hRule="atLeast"/>
        </w:trPr>
        <w:tc>
          <w:tcPr>
            <w:tcW w:w="935" w:type="pct"/>
            <w:vMerge w:val="restart"/>
            <w:tcBorders>
              <w:top w:val="single" w:color="auto" w:sz="4" w:space="0"/>
              <w:left w:val="nil"/>
              <w:bottom w:val="nil"/>
              <w:right w:val="nil"/>
            </w:tcBorders>
            <w:noWrap/>
            <w:vAlign w:val="center"/>
          </w:tcPr>
          <w:p w14:paraId="324B8D3E">
            <w:pPr>
              <w:widowControl w:val="0"/>
              <w:jc w:val="center"/>
              <w:textAlignment w:val="center"/>
              <w:rPr>
                <w:rFonts w:ascii="Times New Roman" w:hAnsi="Times New Roman"/>
                <w:color w:val="000000"/>
                <w:sz w:val="20"/>
                <w:szCs w:val="20"/>
              </w:rPr>
            </w:pPr>
            <w:r>
              <w:rPr>
                <w:rFonts w:ascii="Times New Roman" w:hAnsi="Times New Roman"/>
                <w:color w:val="000000"/>
                <w:sz w:val="20"/>
                <w:szCs w:val="20"/>
              </w:rPr>
              <w:t>Prediction</w:t>
            </w:r>
          </w:p>
        </w:tc>
        <w:tc>
          <w:tcPr>
            <w:tcW w:w="1231" w:type="pct"/>
            <w:tcBorders>
              <w:top w:val="single" w:color="auto" w:sz="4" w:space="0"/>
              <w:left w:val="nil"/>
              <w:bottom w:val="nil"/>
              <w:right w:val="nil"/>
            </w:tcBorders>
            <w:noWrap/>
            <w:vAlign w:val="center"/>
          </w:tcPr>
          <w:p w14:paraId="177643D1">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GMV</w:t>
            </w:r>
          </w:p>
        </w:tc>
        <w:tc>
          <w:tcPr>
            <w:tcW w:w="564" w:type="pct"/>
            <w:tcBorders>
              <w:top w:val="single" w:color="000000" w:sz="4" w:space="0"/>
              <w:left w:val="nil"/>
              <w:bottom w:val="nil"/>
              <w:right w:val="nil"/>
            </w:tcBorders>
            <w:noWrap/>
            <w:vAlign w:val="center"/>
          </w:tcPr>
          <w:p w14:paraId="2F14568F">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r</w:t>
            </w:r>
          </w:p>
        </w:tc>
        <w:tc>
          <w:tcPr>
            <w:tcW w:w="625" w:type="pct"/>
            <w:tcBorders>
              <w:top w:val="single" w:color="000000" w:sz="4" w:space="0"/>
              <w:left w:val="nil"/>
              <w:bottom w:val="nil"/>
              <w:right w:val="nil"/>
            </w:tcBorders>
            <w:noWrap/>
            <w:vAlign w:val="center"/>
          </w:tcPr>
          <w:p w14:paraId="3A49772E">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0.003</w:t>
            </w:r>
          </w:p>
        </w:tc>
        <w:tc>
          <w:tcPr>
            <w:tcW w:w="1039" w:type="pct"/>
            <w:tcBorders>
              <w:top w:val="single" w:color="000000" w:sz="4" w:space="0"/>
              <w:left w:val="nil"/>
              <w:bottom w:val="nil"/>
              <w:right w:val="nil"/>
            </w:tcBorders>
            <w:noWrap/>
            <w:vAlign w:val="center"/>
          </w:tcPr>
          <w:p w14:paraId="2F6DE146">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[0.000, 0.009]</w:t>
            </w:r>
          </w:p>
        </w:tc>
        <w:tc>
          <w:tcPr>
            <w:tcW w:w="603" w:type="pct"/>
            <w:tcBorders>
              <w:top w:val="single" w:color="000000" w:sz="4" w:space="0"/>
              <w:left w:val="nil"/>
              <w:bottom w:val="nil"/>
              <w:right w:val="nil"/>
            </w:tcBorders>
            <w:noWrap/>
            <w:vAlign w:val="center"/>
          </w:tcPr>
          <w:p w14:paraId="256811CC">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0.097</w:t>
            </w:r>
          </w:p>
        </w:tc>
      </w:tr>
      <w:tr w14:paraId="089D1C7F">
        <w:trPr>
          <w:trHeight w:val="320" w:hRule="atLeast"/>
        </w:trPr>
        <w:tc>
          <w:tcPr>
            <w:tcW w:w="935" w:type="pct"/>
            <w:vMerge w:val="continue"/>
            <w:tcBorders>
              <w:top w:val="nil"/>
              <w:left w:val="nil"/>
              <w:bottom w:val="nil"/>
              <w:right w:val="nil"/>
            </w:tcBorders>
            <w:noWrap/>
            <w:vAlign w:val="center"/>
          </w:tcPr>
          <w:p w14:paraId="4CEAC1A8">
            <w:pPr>
              <w:widowControl w:val="0"/>
              <w:jc w:val="center"/>
              <w:textAlignment w:val="center"/>
              <w:rPr>
                <w:rFonts w:ascii="Times New Roman" w:hAnsi="Times New Roman"/>
                <w:color w:val="000000"/>
                <w:sz w:val="22"/>
                <w:szCs w:val="22"/>
              </w:rPr>
            </w:pPr>
          </w:p>
        </w:tc>
        <w:tc>
          <w:tcPr>
            <w:tcW w:w="1231" w:type="pct"/>
            <w:tcBorders>
              <w:top w:val="nil"/>
              <w:left w:val="nil"/>
              <w:bottom w:val="nil"/>
              <w:right w:val="nil"/>
            </w:tcBorders>
            <w:noWrap/>
            <w:vAlign w:val="center"/>
          </w:tcPr>
          <w:p w14:paraId="65143241">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CT</w:t>
            </w:r>
          </w:p>
        </w:tc>
        <w:tc>
          <w:tcPr>
            <w:tcW w:w="564" w:type="pct"/>
            <w:tcBorders>
              <w:top w:val="nil"/>
              <w:left w:val="nil"/>
              <w:bottom w:val="nil"/>
              <w:right w:val="nil"/>
            </w:tcBorders>
            <w:noWrap/>
            <w:vAlign w:val="center"/>
          </w:tcPr>
          <w:p w14:paraId="52D8DADA">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r</w:t>
            </w:r>
          </w:p>
        </w:tc>
        <w:tc>
          <w:tcPr>
            <w:tcW w:w="625" w:type="pct"/>
            <w:tcBorders>
              <w:top w:val="nil"/>
              <w:left w:val="nil"/>
              <w:bottom w:val="nil"/>
              <w:right w:val="nil"/>
            </w:tcBorders>
            <w:noWrap/>
            <w:vAlign w:val="center"/>
          </w:tcPr>
          <w:p w14:paraId="6450C4F8">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0.014</w:t>
            </w:r>
          </w:p>
        </w:tc>
        <w:tc>
          <w:tcPr>
            <w:tcW w:w="1039" w:type="pct"/>
            <w:tcBorders>
              <w:top w:val="nil"/>
              <w:left w:val="nil"/>
              <w:bottom w:val="nil"/>
              <w:right w:val="nil"/>
            </w:tcBorders>
            <w:noWrap/>
            <w:vAlign w:val="center"/>
          </w:tcPr>
          <w:p w14:paraId="09A14DE4">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[0.042, 0.103]</w:t>
            </w:r>
          </w:p>
        </w:tc>
        <w:tc>
          <w:tcPr>
            <w:tcW w:w="603" w:type="pct"/>
            <w:tcBorders>
              <w:top w:val="nil"/>
              <w:left w:val="nil"/>
              <w:bottom w:val="nil"/>
              <w:right w:val="nil"/>
            </w:tcBorders>
            <w:noWrap/>
            <w:vAlign w:val="center"/>
          </w:tcPr>
          <w:p w14:paraId="0C35D79B">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0.031</w:t>
            </w:r>
          </w:p>
        </w:tc>
      </w:tr>
      <w:tr w14:paraId="3725738B">
        <w:trPr>
          <w:trHeight w:val="320" w:hRule="atLeast"/>
        </w:trPr>
        <w:tc>
          <w:tcPr>
            <w:tcW w:w="935" w:type="pct"/>
            <w:vMerge w:val="continue"/>
            <w:tcBorders>
              <w:top w:val="nil"/>
              <w:left w:val="nil"/>
              <w:bottom w:val="nil"/>
              <w:right w:val="nil"/>
            </w:tcBorders>
            <w:noWrap/>
            <w:vAlign w:val="center"/>
          </w:tcPr>
          <w:p w14:paraId="0E5AD6AF">
            <w:pPr>
              <w:widowControl w:val="0"/>
              <w:jc w:val="center"/>
              <w:textAlignment w:val="center"/>
              <w:rPr>
                <w:rFonts w:ascii="Times New Roman" w:hAnsi="Times New Roman"/>
                <w:color w:val="000000"/>
                <w:sz w:val="22"/>
                <w:szCs w:val="22"/>
              </w:rPr>
            </w:pPr>
          </w:p>
        </w:tc>
        <w:tc>
          <w:tcPr>
            <w:tcW w:w="1231" w:type="pct"/>
            <w:tcBorders>
              <w:top w:val="nil"/>
              <w:left w:val="nil"/>
              <w:bottom w:val="nil"/>
              <w:right w:val="nil"/>
            </w:tcBorders>
            <w:noWrap/>
            <w:vAlign w:val="center"/>
          </w:tcPr>
          <w:p w14:paraId="4DEAA0EF">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FD</w:t>
            </w:r>
          </w:p>
        </w:tc>
        <w:tc>
          <w:tcPr>
            <w:tcW w:w="564" w:type="pct"/>
            <w:tcBorders>
              <w:top w:val="nil"/>
              <w:left w:val="nil"/>
              <w:bottom w:val="nil"/>
              <w:right w:val="nil"/>
            </w:tcBorders>
            <w:noWrap/>
            <w:vAlign w:val="center"/>
          </w:tcPr>
          <w:p w14:paraId="3D2CD4DB">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r</w:t>
            </w:r>
          </w:p>
        </w:tc>
        <w:tc>
          <w:tcPr>
            <w:tcW w:w="625" w:type="pct"/>
            <w:tcBorders>
              <w:top w:val="nil"/>
              <w:left w:val="nil"/>
              <w:bottom w:val="nil"/>
              <w:right w:val="nil"/>
            </w:tcBorders>
            <w:noWrap/>
            <w:vAlign w:val="center"/>
          </w:tcPr>
          <w:p w14:paraId="7BEE9BD7">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0.206</w:t>
            </w:r>
          </w:p>
        </w:tc>
        <w:tc>
          <w:tcPr>
            <w:tcW w:w="1039" w:type="pct"/>
            <w:tcBorders>
              <w:top w:val="nil"/>
              <w:left w:val="nil"/>
              <w:bottom w:val="nil"/>
              <w:right w:val="nil"/>
            </w:tcBorders>
            <w:noWrap/>
            <w:vAlign w:val="center"/>
          </w:tcPr>
          <w:p w14:paraId="0BDD6F7C">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[0.139, 0.267]</w:t>
            </w:r>
          </w:p>
        </w:tc>
        <w:tc>
          <w:tcPr>
            <w:tcW w:w="603" w:type="pct"/>
            <w:tcBorders>
              <w:top w:val="nil"/>
              <w:left w:val="nil"/>
              <w:bottom w:val="nil"/>
              <w:right w:val="nil"/>
            </w:tcBorders>
            <w:noWrap/>
            <w:vAlign w:val="center"/>
          </w:tcPr>
          <w:p w14:paraId="490A9C92">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&lt;0.001</w:t>
            </w:r>
          </w:p>
        </w:tc>
      </w:tr>
      <w:tr w14:paraId="719D14BC">
        <w:trPr>
          <w:trHeight w:val="320" w:hRule="atLeast"/>
        </w:trPr>
        <w:tc>
          <w:tcPr>
            <w:tcW w:w="935" w:type="pct"/>
            <w:vMerge w:val="continue"/>
            <w:tcBorders>
              <w:top w:val="nil"/>
              <w:left w:val="nil"/>
              <w:bottom w:val="nil"/>
              <w:right w:val="nil"/>
            </w:tcBorders>
            <w:noWrap/>
            <w:vAlign w:val="center"/>
          </w:tcPr>
          <w:p w14:paraId="32CE618E">
            <w:pPr>
              <w:widowControl w:val="0"/>
              <w:jc w:val="center"/>
              <w:textAlignment w:val="center"/>
              <w:rPr>
                <w:rFonts w:ascii="Times New Roman" w:hAnsi="Times New Roman"/>
                <w:color w:val="000000"/>
                <w:sz w:val="22"/>
                <w:szCs w:val="22"/>
              </w:rPr>
            </w:pPr>
          </w:p>
        </w:tc>
        <w:tc>
          <w:tcPr>
            <w:tcW w:w="1231" w:type="pct"/>
            <w:tcBorders>
              <w:top w:val="nil"/>
              <w:left w:val="nil"/>
              <w:bottom w:val="nil"/>
              <w:right w:val="nil"/>
            </w:tcBorders>
            <w:noWrap/>
            <w:vAlign w:val="center"/>
          </w:tcPr>
          <w:p w14:paraId="3281580F">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GI</w:t>
            </w:r>
          </w:p>
        </w:tc>
        <w:tc>
          <w:tcPr>
            <w:tcW w:w="564" w:type="pct"/>
            <w:tcBorders>
              <w:top w:val="nil"/>
              <w:left w:val="nil"/>
              <w:bottom w:val="nil"/>
              <w:right w:val="nil"/>
            </w:tcBorders>
            <w:noWrap/>
            <w:vAlign w:val="center"/>
          </w:tcPr>
          <w:p w14:paraId="271BF844">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r</w:t>
            </w:r>
          </w:p>
        </w:tc>
        <w:tc>
          <w:tcPr>
            <w:tcW w:w="625" w:type="pct"/>
            <w:tcBorders>
              <w:top w:val="nil"/>
              <w:left w:val="nil"/>
              <w:bottom w:val="nil"/>
              <w:right w:val="nil"/>
            </w:tcBorders>
            <w:noWrap/>
            <w:vAlign w:val="center"/>
          </w:tcPr>
          <w:p w14:paraId="771000BF">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0.163</w:t>
            </w:r>
          </w:p>
        </w:tc>
        <w:tc>
          <w:tcPr>
            <w:tcW w:w="1039" w:type="pct"/>
            <w:tcBorders>
              <w:top w:val="nil"/>
              <w:left w:val="nil"/>
              <w:bottom w:val="nil"/>
              <w:right w:val="nil"/>
            </w:tcBorders>
            <w:noWrap/>
            <w:vAlign w:val="center"/>
          </w:tcPr>
          <w:p w14:paraId="3BF99A7F">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[0.093, 0.232]</w:t>
            </w:r>
          </w:p>
        </w:tc>
        <w:tc>
          <w:tcPr>
            <w:tcW w:w="603" w:type="pct"/>
            <w:tcBorders>
              <w:top w:val="nil"/>
              <w:left w:val="nil"/>
              <w:bottom w:val="nil"/>
              <w:right w:val="nil"/>
            </w:tcBorders>
            <w:noWrap/>
            <w:vAlign w:val="center"/>
          </w:tcPr>
          <w:p w14:paraId="71A8BE65">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&lt;0.001</w:t>
            </w:r>
          </w:p>
        </w:tc>
      </w:tr>
      <w:tr w14:paraId="2A0A4218">
        <w:trPr>
          <w:trHeight w:val="320" w:hRule="atLeast"/>
        </w:trPr>
        <w:tc>
          <w:tcPr>
            <w:tcW w:w="935" w:type="pct"/>
            <w:vMerge w:val="continue"/>
            <w:tcBorders>
              <w:top w:val="nil"/>
              <w:left w:val="nil"/>
              <w:bottom w:val="single" w:color="auto" w:sz="4" w:space="0"/>
              <w:right w:val="nil"/>
            </w:tcBorders>
            <w:noWrap/>
            <w:vAlign w:val="center"/>
          </w:tcPr>
          <w:p w14:paraId="32316DCE">
            <w:pPr>
              <w:widowControl w:val="0"/>
              <w:jc w:val="center"/>
              <w:textAlignment w:val="center"/>
              <w:rPr>
                <w:rFonts w:ascii="Times New Roman" w:hAnsi="Times New Roman"/>
                <w:color w:val="000000"/>
                <w:sz w:val="22"/>
                <w:szCs w:val="22"/>
              </w:rPr>
            </w:pPr>
          </w:p>
        </w:tc>
        <w:tc>
          <w:tcPr>
            <w:tcW w:w="1231" w:type="pct"/>
            <w:tcBorders>
              <w:top w:val="nil"/>
              <w:left w:val="nil"/>
              <w:bottom w:val="single" w:color="auto" w:sz="4" w:space="0"/>
              <w:right w:val="nil"/>
            </w:tcBorders>
            <w:noWrap/>
            <w:vAlign w:val="center"/>
          </w:tcPr>
          <w:p w14:paraId="2D4E34E7">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SD</w:t>
            </w:r>
          </w:p>
        </w:tc>
        <w:tc>
          <w:tcPr>
            <w:tcW w:w="564" w:type="pct"/>
            <w:tcBorders>
              <w:top w:val="nil"/>
              <w:left w:val="nil"/>
              <w:bottom w:val="single" w:color="000000" w:sz="4" w:space="0"/>
              <w:right w:val="nil"/>
            </w:tcBorders>
            <w:noWrap/>
            <w:vAlign w:val="center"/>
          </w:tcPr>
          <w:p w14:paraId="2C505D2F">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r</w:t>
            </w:r>
          </w:p>
        </w:tc>
        <w:tc>
          <w:tcPr>
            <w:tcW w:w="625" w:type="pct"/>
            <w:tcBorders>
              <w:top w:val="nil"/>
              <w:left w:val="nil"/>
              <w:bottom w:val="single" w:color="000000" w:sz="4" w:space="0"/>
              <w:right w:val="nil"/>
            </w:tcBorders>
            <w:noWrap/>
            <w:vAlign w:val="center"/>
          </w:tcPr>
          <w:p w14:paraId="221390B2">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0.134</w:t>
            </w:r>
          </w:p>
        </w:tc>
        <w:tc>
          <w:tcPr>
            <w:tcW w:w="1039" w:type="pct"/>
            <w:tcBorders>
              <w:top w:val="nil"/>
              <w:left w:val="nil"/>
              <w:bottom w:val="single" w:color="000000" w:sz="4" w:space="0"/>
              <w:right w:val="nil"/>
            </w:tcBorders>
            <w:noWrap/>
            <w:vAlign w:val="center"/>
          </w:tcPr>
          <w:p w14:paraId="63A2AE1D">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[0.075, 0.193]</w:t>
            </w:r>
          </w:p>
        </w:tc>
        <w:tc>
          <w:tcPr>
            <w:tcW w:w="603" w:type="pct"/>
            <w:tcBorders>
              <w:top w:val="nil"/>
              <w:left w:val="nil"/>
              <w:bottom w:val="single" w:color="000000" w:sz="4" w:space="0"/>
              <w:right w:val="nil"/>
            </w:tcBorders>
            <w:noWrap/>
            <w:vAlign w:val="center"/>
          </w:tcPr>
          <w:p w14:paraId="72FE8A3D">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&lt;0.001</w:t>
            </w:r>
          </w:p>
        </w:tc>
      </w:tr>
    </w:tbl>
    <w:p w14:paraId="669656FA">
      <w:pPr>
        <w:rPr>
          <w:rStyle w:val="60"/>
          <w:b/>
          <w:bCs/>
        </w:rPr>
      </w:pPr>
      <w:r>
        <w:rPr>
          <w:rStyle w:val="34"/>
          <w:rFonts w:ascii="Times New Roman" w:hAnsi="Times New Roman"/>
          <w:b/>
          <w:bCs/>
        </w:rPr>
        <w:t>Table</w:t>
      </w:r>
      <w:r>
        <w:rPr>
          <w:rStyle w:val="60"/>
          <w:b/>
          <w:bCs/>
        </w:rPr>
        <w:t xml:space="preserve"> S11. Bootstrap analysis of performance improvement by adding HFC features to structural asymmetry metrics between AD and MCI.</w:t>
      </w:r>
    </w:p>
    <w:p w14:paraId="3093A0DE">
      <w:pPr>
        <w:rPr>
          <w:rStyle w:val="60"/>
          <w:b/>
          <w:bCs/>
        </w:rPr>
      </w:pPr>
    </w:p>
    <w:tbl>
      <w:tblPr>
        <w:tblStyle w:val="28"/>
        <w:tblW w:w="4998" w:type="pct"/>
        <w:tblInd w:w="0" w:type="dxa"/>
        <w:tblLayout w:type="autofit"/>
        <w:tblCellMar>
          <w:top w:w="0" w:type="dxa"/>
          <w:left w:w="108" w:type="dxa"/>
          <w:bottom w:w="0" w:type="dxa"/>
          <w:right w:w="108" w:type="dxa"/>
        </w:tblCellMar>
      </w:tblPr>
      <w:tblGrid>
        <w:gridCol w:w="2483"/>
        <w:gridCol w:w="3361"/>
        <w:gridCol w:w="1465"/>
        <w:gridCol w:w="1681"/>
        <w:gridCol w:w="2847"/>
        <w:gridCol w:w="1614"/>
      </w:tblGrid>
      <w:tr w14:paraId="04750C75">
        <w:trPr>
          <w:trHeight w:val="320" w:hRule="atLeast"/>
        </w:trPr>
        <w:tc>
          <w:tcPr>
            <w:tcW w:w="922" w:type="pct"/>
            <w:tcBorders>
              <w:top w:val="single" w:color="000000" w:sz="4" w:space="0"/>
              <w:left w:val="nil"/>
              <w:bottom w:val="single" w:color="000000" w:sz="4" w:space="0"/>
              <w:right w:val="nil"/>
            </w:tcBorders>
            <w:noWrap/>
            <w:vAlign w:val="center"/>
          </w:tcPr>
          <w:p w14:paraId="2A8F3BA4">
            <w:pPr>
              <w:widowControl w:val="0"/>
              <w:jc w:val="center"/>
              <w:textAlignment w:val="center"/>
              <w:rPr>
                <w:rFonts w:ascii="Times New Roman" w:hAnsi="Times New Roman"/>
                <w:b/>
                <w:bCs/>
                <w:color w:val="000000"/>
                <w:sz w:val="20"/>
                <w:szCs w:val="20"/>
              </w:rPr>
            </w:pPr>
            <w:r>
              <w:rPr>
                <w:rFonts w:ascii="Times New Roman" w:hAnsi="Times New Roman"/>
                <w:b/>
                <w:bCs/>
                <w:color w:val="000000"/>
                <w:sz w:val="20"/>
                <w:szCs w:val="20"/>
              </w:rPr>
              <w:t>Task</w:t>
            </w:r>
          </w:p>
        </w:tc>
        <w:tc>
          <w:tcPr>
            <w:tcW w:w="1248" w:type="pct"/>
            <w:tcBorders>
              <w:top w:val="single" w:color="000000" w:sz="4" w:space="0"/>
              <w:left w:val="nil"/>
              <w:bottom w:val="single" w:color="000000" w:sz="4" w:space="0"/>
              <w:right w:val="nil"/>
            </w:tcBorders>
            <w:noWrap/>
            <w:vAlign w:val="center"/>
          </w:tcPr>
          <w:p w14:paraId="53EFD7FF">
            <w:pPr>
              <w:widowControl w:val="0"/>
              <w:jc w:val="center"/>
              <w:textAlignment w:val="center"/>
              <w:rPr>
                <w:rFonts w:ascii="Times New Roman" w:hAnsi="Times New Roman"/>
                <w:b/>
                <w:bCs/>
                <w:color w:val="000000"/>
                <w:sz w:val="20"/>
                <w:szCs w:val="20"/>
              </w:rPr>
            </w:pPr>
            <w:r>
              <w:rPr>
                <w:rFonts w:ascii="Times New Roman" w:hAnsi="Times New Roman"/>
                <w:b/>
                <w:bCs/>
                <w:color w:val="000000"/>
                <w:sz w:val="20"/>
                <w:szCs w:val="20"/>
              </w:rPr>
              <w:t>Structural Metric</w:t>
            </w:r>
          </w:p>
        </w:tc>
        <w:tc>
          <w:tcPr>
            <w:tcW w:w="544" w:type="pct"/>
            <w:tcBorders>
              <w:top w:val="single" w:color="000000" w:sz="4" w:space="0"/>
              <w:left w:val="nil"/>
              <w:bottom w:val="single" w:color="000000" w:sz="4" w:space="0"/>
              <w:right w:val="nil"/>
            </w:tcBorders>
            <w:noWrap/>
            <w:vAlign w:val="center"/>
          </w:tcPr>
          <w:p w14:paraId="333E2E2D">
            <w:pPr>
              <w:widowControl w:val="0"/>
              <w:jc w:val="center"/>
              <w:textAlignment w:val="center"/>
              <w:rPr>
                <w:rFonts w:ascii="Times New Roman" w:hAnsi="Times New Roman"/>
                <w:b/>
                <w:bCs/>
                <w:color w:val="000000"/>
                <w:sz w:val="20"/>
                <w:szCs w:val="20"/>
              </w:rPr>
            </w:pPr>
            <w:r>
              <w:rPr>
                <w:rFonts w:ascii="Times New Roman" w:hAnsi="Times New Roman"/>
                <w:b/>
                <w:bCs/>
                <w:color w:val="000000"/>
                <w:sz w:val="20"/>
                <w:szCs w:val="20"/>
              </w:rPr>
              <w:t>Metric</w:t>
            </w:r>
          </w:p>
        </w:tc>
        <w:tc>
          <w:tcPr>
            <w:tcW w:w="624" w:type="pct"/>
            <w:tcBorders>
              <w:top w:val="single" w:color="000000" w:sz="4" w:space="0"/>
              <w:left w:val="nil"/>
              <w:bottom w:val="single" w:color="000000" w:sz="4" w:space="0"/>
              <w:right w:val="nil"/>
            </w:tcBorders>
            <w:noWrap/>
            <w:vAlign w:val="center"/>
          </w:tcPr>
          <w:p w14:paraId="737E3455">
            <w:pPr>
              <w:widowControl w:val="0"/>
              <w:jc w:val="center"/>
              <w:textAlignment w:val="center"/>
              <w:rPr>
                <w:rFonts w:ascii="Times New Roman" w:hAnsi="Times New Roman"/>
                <w:b/>
                <w:bCs/>
                <w:color w:val="000000"/>
                <w:sz w:val="20"/>
                <w:szCs w:val="20"/>
              </w:rPr>
            </w:pPr>
            <w:r>
              <w:rPr>
                <w:rFonts w:ascii="Times New Roman" w:hAnsi="Times New Roman"/>
                <w:b/>
                <w:bCs/>
                <w:color w:val="000000"/>
                <w:sz w:val="20"/>
                <w:szCs w:val="20"/>
              </w:rPr>
              <w:t>Mean Δ</w:t>
            </w:r>
          </w:p>
        </w:tc>
        <w:tc>
          <w:tcPr>
            <w:tcW w:w="1057" w:type="pct"/>
            <w:tcBorders>
              <w:top w:val="single" w:color="000000" w:sz="4" w:space="0"/>
              <w:left w:val="nil"/>
              <w:bottom w:val="single" w:color="000000" w:sz="4" w:space="0"/>
              <w:right w:val="nil"/>
            </w:tcBorders>
            <w:noWrap/>
            <w:vAlign w:val="center"/>
          </w:tcPr>
          <w:p w14:paraId="4BAAA5BA">
            <w:pPr>
              <w:widowControl w:val="0"/>
              <w:jc w:val="center"/>
              <w:textAlignment w:val="center"/>
              <w:rPr>
                <w:rFonts w:ascii="Times New Roman" w:hAnsi="Times New Roman"/>
                <w:b/>
                <w:bCs/>
                <w:color w:val="000000"/>
                <w:sz w:val="20"/>
                <w:szCs w:val="20"/>
              </w:rPr>
            </w:pPr>
            <w:r>
              <w:rPr>
                <w:rFonts w:ascii="Times New Roman" w:hAnsi="Times New Roman"/>
                <w:b/>
                <w:bCs/>
                <w:color w:val="000000"/>
                <w:sz w:val="20"/>
                <w:szCs w:val="20"/>
              </w:rPr>
              <w:t>95% CI</w:t>
            </w:r>
          </w:p>
        </w:tc>
        <w:tc>
          <w:tcPr>
            <w:tcW w:w="599" w:type="pct"/>
            <w:tcBorders>
              <w:top w:val="single" w:color="000000" w:sz="4" w:space="0"/>
              <w:left w:val="nil"/>
              <w:bottom w:val="single" w:color="000000" w:sz="4" w:space="0"/>
              <w:right w:val="nil"/>
            </w:tcBorders>
            <w:noWrap/>
            <w:vAlign w:val="center"/>
          </w:tcPr>
          <w:p w14:paraId="6CA4AC5B">
            <w:pPr>
              <w:widowControl w:val="0"/>
              <w:jc w:val="center"/>
              <w:textAlignment w:val="center"/>
              <w:rPr>
                <w:rFonts w:ascii="Times New Roman" w:hAnsi="Times New Roman"/>
                <w:b/>
                <w:bCs/>
                <w:color w:val="000000"/>
                <w:sz w:val="20"/>
                <w:szCs w:val="20"/>
              </w:rPr>
            </w:pPr>
            <w:r>
              <w:rPr>
                <w:rFonts w:ascii="Times New Roman" w:hAnsi="Times New Roman"/>
                <w:b/>
                <w:bCs/>
                <w:color w:val="000000"/>
                <w:sz w:val="20"/>
                <w:szCs w:val="20"/>
              </w:rPr>
              <w:t>p-value</w:t>
            </w:r>
          </w:p>
        </w:tc>
      </w:tr>
      <w:tr w14:paraId="2052DF35">
        <w:trPr>
          <w:trHeight w:val="320" w:hRule="atLeast"/>
        </w:trPr>
        <w:tc>
          <w:tcPr>
            <w:tcW w:w="922" w:type="pct"/>
            <w:vMerge w:val="restart"/>
            <w:tcBorders>
              <w:top w:val="nil"/>
              <w:left w:val="nil"/>
              <w:bottom w:val="nil"/>
              <w:right w:val="nil"/>
            </w:tcBorders>
            <w:noWrap/>
            <w:vAlign w:val="center"/>
          </w:tcPr>
          <w:p w14:paraId="196B9F7A">
            <w:pPr>
              <w:widowControl w:val="0"/>
              <w:jc w:val="center"/>
              <w:textAlignment w:val="center"/>
              <w:rPr>
                <w:rFonts w:ascii="Times New Roman" w:hAnsi="Times New Roman"/>
                <w:color w:val="000000"/>
                <w:sz w:val="20"/>
                <w:szCs w:val="20"/>
              </w:rPr>
            </w:pPr>
            <w:r>
              <w:rPr>
                <w:rFonts w:ascii="Times New Roman" w:hAnsi="Times New Roman"/>
                <w:color w:val="000000"/>
                <w:sz w:val="20"/>
                <w:szCs w:val="20"/>
              </w:rPr>
              <w:t>Classification</w:t>
            </w:r>
          </w:p>
        </w:tc>
        <w:tc>
          <w:tcPr>
            <w:tcW w:w="1248" w:type="pct"/>
            <w:tcBorders>
              <w:top w:val="single" w:color="000000" w:sz="4" w:space="0"/>
              <w:left w:val="nil"/>
              <w:bottom w:val="nil"/>
              <w:right w:val="nil"/>
            </w:tcBorders>
            <w:noWrap/>
            <w:vAlign w:val="center"/>
          </w:tcPr>
          <w:p w14:paraId="50D1BCEC">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GMV</w:t>
            </w:r>
          </w:p>
        </w:tc>
        <w:tc>
          <w:tcPr>
            <w:tcW w:w="544" w:type="pct"/>
            <w:tcBorders>
              <w:top w:val="single" w:color="000000" w:sz="4" w:space="0"/>
              <w:left w:val="nil"/>
              <w:bottom w:val="nil"/>
              <w:right w:val="nil"/>
            </w:tcBorders>
            <w:noWrap/>
            <w:vAlign w:val="center"/>
          </w:tcPr>
          <w:p w14:paraId="19498D04">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ACC</w:t>
            </w:r>
          </w:p>
        </w:tc>
        <w:tc>
          <w:tcPr>
            <w:tcW w:w="624" w:type="pct"/>
            <w:tcBorders>
              <w:top w:val="single" w:color="000000" w:sz="4" w:space="0"/>
              <w:left w:val="nil"/>
              <w:bottom w:val="nil"/>
              <w:right w:val="nil"/>
            </w:tcBorders>
            <w:noWrap/>
            <w:vAlign w:val="center"/>
          </w:tcPr>
          <w:p w14:paraId="35B39FC8">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0.019</w:t>
            </w:r>
          </w:p>
        </w:tc>
        <w:tc>
          <w:tcPr>
            <w:tcW w:w="1057" w:type="pct"/>
            <w:tcBorders>
              <w:top w:val="single" w:color="000000" w:sz="4" w:space="0"/>
              <w:left w:val="nil"/>
              <w:bottom w:val="nil"/>
              <w:right w:val="nil"/>
            </w:tcBorders>
            <w:noWrap/>
            <w:vAlign w:val="center"/>
          </w:tcPr>
          <w:p w14:paraId="47058084">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[−0.047, 0.086]</w:t>
            </w:r>
          </w:p>
        </w:tc>
        <w:tc>
          <w:tcPr>
            <w:tcW w:w="599" w:type="pct"/>
            <w:tcBorders>
              <w:top w:val="single" w:color="000000" w:sz="4" w:space="0"/>
              <w:left w:val="nil"/>
              <w:bottom w:val="nil"/>
              <w:right w:val="nil"/>
            </w:tcBorders>
            <w:noWrap/>
            <w:vAlign w:val="center"/>
          </w:tcPr>
          <w:p w14:paraId="39201F05">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0.278</w:t>
            </w:r>
          </w:p>
        </w:tc>
      </w:tr>
      <w:tr w14:paraId="4D81B6FA">
        <w:trPr>
          <w:trHeight w:val="320" w:hRule="atLeast"/>
        </w:trPr>
        <w:tc>
          <w:tcPr>
            <w:tcW w:w="922" w:type="pct"/>
            <w:vMerge w:val="continue"/>
            <w:tcBorders>
              <w:top w:val="nil"/>
              <w:left w:val="nil"/>
              <w:bottom w:val="nil"/>
              <w:right w:val="nil"/>
            </w:tcBorders>
            <w:noWrap/>
            <w:vAlign w:val="center"/>
          </w:tcPr>
          <w:p w14:paraId="2649A64F">
            <w:pPr>
              <w:widowControl w:val="0"/>
              <w:jc w:val="center"/>
              <w:textAlignment w:val="center"/>
              <w:rPr>
                <w:rFonts w:ascii="Times New Roman" w:hAnsi="Times New Roman"/>
                <w:color w:val="000000"/>
                <w:sz w:val="20"/>
                <w:szCs w:val="20"/>
              </w:rPr>
            </w:pPr>
          </w:p>
        </w:tc>
        <w:tc>
          <w:tcPr>
            <w:tcW w:w="1248" w:type="pct"/>
            <w:tcBorders>
              <w:top w:val="nil"/>
              <w:left w:val="nil"/>
              <w:bottom w:val="nil"/>
              <w:right w:val="nil"/>
            </w:tcBorders>
            <w:noWrap/>
            <w:vAlign w:val="center"/>
          </w:tcPr>
          <w:p w14:paraId="727DE50F">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CT</w:t>
            </w:r>
          </w:p>
        </w:tc>
        <w:tc>
          <w:tcPr>
            <w:tcW w:w="544" w:type="pct"/>
            <w:tcBorders>
              <w:top w:val="nil"/>
              <w:left w:val="nil"/>
              <w:bottom w:val="nil"/>
              <w:right w:val="nil"/>
            </w:tcBorders>
            <w:noWrap/>
            <w:vAlign w:val="center"/>
          </w:tcPr>
          <w:p w14:paraId="62C971C6">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ACC</w:t>
            </w:r>
          </w:p>
        </w:tc>
        <w:tc>
          <w:tcPr>
            <w:tcW w:w="624" w:type="pct"/>
            <w:tcBorders>
              <w:top w:val="nil"/>
              <w:left w:val="nil"/>
              <w:bottom w:val="nil"/>
              <w:right w:val="nil"/>
            </w:tcBorders>
            <w:noWrap/>
            <w:vAlign w:val="center"/>
          </w:tcPr>
          <w:p w14:paraId="651EA68C">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0.058</w:t>
            </w:r>
          </w:p>
        </w:tc>
        <w:tc>
          <w:tcPr>
            <w:tcW w:w="1057" w:type="pct"/>
            <w:tcBorders>
              <w:top w:val="nil"/>
              <w:left w:val="nil"/>
              <w:bottom w:val="nil"/>
              <w:right w:val="nil"/>
            </w:tcBorders>
            <w:noWrap/>
            <w:vAlign w:val="center"/>
          </w:tcPr>
          <w:p w14:paraId="63E83F18">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[0.032, 0.083]</w:t>
            </w:r>
          </w:p>
        </w:tc>
        <w:tc>
          <w:tcPr>
            <w:tcW w:w="599" w:type="pct"/>
            <w:tcBorders>
              <w:top w:val="nil"/>
              <w:left w:val="nil"/>
              <w:bottom w:val="nil"/>
              <w:right w:val="nil"/>
            </w:tcBorders>
            <w:noWrap/>
            <w:vAlign w:val="center"/>
          </w:tcPr>
          <w:p w14:paraId="5FC96DAF">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0.030</w:t>
            </w:r>
          </w:p>
        </w:tc>
      </w:tr>
      <w:tr w14:paraId="406D2621">
        <w:trPr>
          <w:trHeight w:val="320" w:hRule="atLeast"/>
        </w:trPr>
        <w:tc>
          <w:tcPr>
            <w:tcW w:w="922" w:type="pct"/>
            <w:vMerge w:val="continue"/>
            <w:tcBorders>
              <w:top w:val="nil"/>
              <w:left w:val="nil"/>
              <w:bottom w:val="nil"/>
              <w:right w:val="nil"/>
            </w:tcBorders>
            <w:noWrap/>
            <w:vAlign w:val="center"/>
          </w:tcPr>
          <w:p w14:paraId="04557DF3">
            <w:pPr>
              <w:widowControl w:val="0"/>
              <w:jc w:val="center"/>
              <w:textAlignment w:val="center"/>
              <w:rPr>
                <w:rFonts w:ascii="Times New Roman" w:hAnsi="Times New Roman"/>
                <w:color w:val="000000"/>
                <w:sz w:val="20"/>
                <w:szCs w:val="20"/>
              </w:rPr>
            </w:pPr>
          </w:p>
        </w:tc>
        <w:tc>
          <w:tcPr>
            <w:tcW w:w="1248" w:type="pct"/>
            <w:tcBorders>
              <w:top w:val="nil"/>
              <w:left w:val="nil"/>
              <w:bottom w:val="nil"/>
              <w:right w:val="nil"/>
            </w:tcBorders>
            <w:noWrap/>
            <w:vAlign w:val="center"/>
          </w:tcPr>
          <w:p w14:paraId="5ECD80AF">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FD</w:t>
            </w:r>
          </w:p>
        </w:tc>
        <w:tc>
          <w:tcPr>
            <w:tcW w:w="544" w:type="pct"/>
            <w:tcBorders>
              <w:top w:val="nil"/>
              <w:left w:val="nil"/>
              <w:bottom w:val="nil"/>
              <w:right w:val="nil"/>
            </w:tcBorders>
            <w:noWrap/>
            <w:vAlign w:val="center"/>
          </w:tcPr>
          <w:p w14:paraId="0CCE9644">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ACC</w:t>
            </w:r>
          </w:p>
        </w:tc>
        <w:tc>
          <w:tcPr>
            <w:tcW w:w="624" w:type="pct"/>
            <w:tcBorders>
              <w:top w:val="nil"/>
              <w:left w:val="nil"/>
              <w:bottom w:val="nil"/>
              <w:right w:val="nil"/>
            </w:tcBorders>
            <w:noWrap/>
            <w:vAlign w:val="center"/>
          </w:tcPr>
          <w:p w14:paraId="6C675643">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0.073</w:t>
            </w:r>
          </w:p>
        </w:tc>
        <w:tc>
          <w:tcPr>
            <w:tcW w:w="1057" w:type="pct"/>
            <w:tcBorders>
              <w:top w:val="nil"/>
              <w:left w:val="nil"/>
              <w:bottom w:val="nil"/>
              <w:right w:val="nil"/>
            </w:tcBorders>
            <w:noWrap/>
            <w:vAlign w:val="center"/>
          </w:tcPr>
          <w:p w14:paraId="536544F2">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[0.002, 0.144]</w:t>
            </w:r>
          </w:p>
        </w:tc>
        <w:tc>
          <w:tcPr>
            <w:tcW w:w="599" w:type="pct"/>
            <w:tcBorders>
              <w:top w:val="nil"/>
              <w:left w:val="nil"/>
              <w:bottom w:val="nil"/>
              <w:right w:val="nil"/>
            </w:tcBorders>
            <w:noWrap/>
            <w:vAlign w:val="center"/>
          </w:tcPr>
          <w:p w14:paraId="6F12D473">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0.008</w:t>
            </w:r>
          </w:p>
        </w:tc>
      </w:tr>
      <w:tr w14:paraId="582E57FC">
        <w:trPr>
          <w:trHeight w:val="320" w:hRule="atLeast"/>
        </w:trPr>
        <w:tc>
          <w:tcPr>
            <w:tcW w:w="922" w:type="pct"/>
            <w:vMerge w:val="continue"/>
            <w:tcBorders>
              <w:top w:val="nil"/>
              <w:left w:val="nil"/>
              <w:bottom w:val="nil"/>
              <w:right w:val="nil"/>
            </w:tcBorders>
            <w:noWrap/>
            <w:vAlign w:val="center"/>
          </w:tcPr>
          <w:p w14:paraId="365C9EA0">
            <w:pPr>
              <w:widowControl w:val="0"/>
              <w:jc w:val="center"/>
              <w:textAlignment w:val="center"/>
              <w:rPr>
                <w:rFonts w:ascii="Times New Roman" w:hAnsi="Times New Roman"/>
                <w:color w:val="000000"/>
                <w:sz w:val="20"/>
                <w:szCs w:val="20"/>
              </w:rPr>
            </w:pPr>
          </w:p>
        </w:tc>
        <w:tc>
          <w:tcPr>
            <w:tcW w:w="1248" w:type="pct"/>
            <w:tcBorders>
              <w:top w:val="nil"/>
              <w:left w:val="nil"/>
              <w:bottom w:val="nil"/>
              <w:right w:val="nil"/>
            </w:tcBorders>
            <w:noWrap/>
            <w:vAlign w:val="center"/>
          </w:tcPr>
          <w:p w14:paraId="1A3E236A">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GI</w:t>
            </w:r>
          </w:p>
        </w:tc>
        <w:tc>
          <w:tcPr>
            <w:tcW w:w="544" w:type="pct"/>
            <w:tcBorders>
              <w:top w:val="nil"/>
              <w:left w:val="nil"/>
              <w:bottom w:val="nil"/>
              <w:right w:val="nil"/>
            </w:tcBorders>
            <w:noWrap/>
            <w:vAlign w:val="center"/>
          </w:tcPr>
          <w:p w14:paraId="5CE15154">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ACC</w:t>
            </w:r>
          </w:p>
        </w:tc>
        <w:tc>
          <w:tcPr>
            <w:tcW w:w="624" w:type="pct"/>
            <w:tcBorders>
              <w:top w:val="nil"/>
              <w:left w:val="nil"/>
              <w:bottom w:val="nil"/>
              <w:right w:val="nil"/>
            </w:tcBorders>
            <w:noWrap/>
            <w:vAlign w:val="center"/>
          </w:tcPr>
          <w:p w14:paraId="4AF9E9B8">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0.097</w:t>
            </w:r>
          </w:p>
        </w:tc>
        <w:tc>
          <w:tcPr>
            <w:tcW w:w="1057" w:type="pct"/>
            <w:tcBorders>
              <w:top w:val="nil"/>
              <w:left w:val="nil"/>
              <w:bottom w:val="nil"/>
              <w:right w:val="nil"/>
            </w:tcBorders>
            <w:noWrap/>
            <w:vAlign w:val="center"/>
          </w:tcPr>
          <w:p w14:paraId="70880864">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[0.020, 0.151]</w:t>
            </w:r>
          </w:p>
        </w:tc>
        <w:tc>
          <w:tcPr>
            <w:tcW w:w="599" w:type="pct"/>
            <w:tcBorders>
              <w:top w:val="nil"/>
              <w:left w:val="nil"/>
              <w:bottom w:val="nil"/>
              <w:right w:val="nil"/>
            </w:tcBorders>
            <w:noWrap/>
            <w:vAlign w:val="center"/>
          </w:tcPr>
          <w:p w14:paraId="2DB6C849">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&lt;0.001</w:t>
            </w:r>
          </w:p>
        </w:tc>
      </w:tr>
      <w:tr w14:paraId="1F7C2E06">
        <w:trPr>
          <w:trHeight w:val="320" w:hRule="atLeast"/>
        </w:trPr>
        <w:tc>
          <w:tcPr>
            <w:tcW w:w="922" w:type="pct"/>
            <w:vMerge w:val="continue"/>
            <w:tcBorders>
              <w:top w:val="nil"/>
              <w:left w:val="nil"/>
              <w:bottom w:val="single" w:color="auto" w:sz="4" w:space="0"/>
              <w:right w:val="nil"/>
            </w:tcBorders>
            <w:noWrap/>
            <w:vAlign w:val="center"/>
          </w:tcPr>
          <w:p w14:paraId="04F2329F">
            <w:pPr>
              <w:widowControl w:val="0"/>
              <w:jc w:val="center"/>
              <w:textAlignment w:val="center"/>
              <w:rPr>
                <w:rFonts w:ascii="Times New Roman" w:hAnsi="Times New Roman"/>
                <w:color w:val="000000"/>
                <w:sz w:val="20"/>
                <w:szCs w:val="20"/>
              </w:rPr>
            </w:pPr>
          </w:p>
        </w:tc>
        <w:tc>
          <w:tcPr>
            <w:tcW w:w="1248" w:type="pct"/>
            <w:tcBorders>
              <w:top w:val="nil"/>
              <w:left w:val="nil"/>
              <w:bottom w:val="single" w:color="auto" w:sz="4" w:space="0"/>
              <w:right w:val="nil"/>
            </w:tcBorders>
            <w:noWrap/>
            <w:vAlign w:val="center"/>
          </w:tcPr>
          <w:p w14:paraId="5A8CA998">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SD</w:t>
            </w:r>
          </w:p>
        </w:tc>
        <w:tc>
          <w:tcPr>
            <w:tcW w:w="544" w:type="pct"/>
            <w:tcBorders>
              <w:top w:val="nil"/>
              <w:left w:val="nil"/>
              <w:bottom w:val="single" w:color="000000" w:sz="4" w:space="0"/>
              <w:right w:val="nil"/>
            </w:tcBorders>
            <w:noWrap/>
            <w:vAlign w:val="center"/>
          </w:tcPr>
          <w:p w14:paraId="61531006">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ACC</w:t>
            </w:r>
          </w:p>
        </w:tc>
        <w:tc>
          <w:tcPr>
            <w:tcW w:w="624" w:type="pct"/>
            <w:tcBorders>
              <w:top w:val="nil"/>
              <w:left w:val="nil"/>
              <w:bottom w:val="single" w:color="000000" w:sz="4" w:space="0"/>
              <w:right w:val="nil"/>
            </w:tcBorders>
            <w:noWrap/>
            <w:vAlign w:val="center"/>
          </w:tcPr>
          <w:p w14:paraId="4A9A8DEC">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0.086</w:t>
            </w:r>
          </w:p>
        </w:tc>
        <w:tc>
          <w:tcPr>
            <w:tcW w:w="1057" w:type="pct"/>
            <w:tcBorders>
              <w:top w:val="nil"/>
              <w:left w:val="nil"/>
              <w:bottom w:val="single" w:color="000000" w:sz="4" w:space="0"/>
              <w:right w:val="nil"/>
            </w:tcBorders>
            <w:noWrap/>
            <w:vAlign w:val="center"/>
          </w:tcPr>
          <w:p w14:paraId="2643651C">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[0.047, 0.127]</w:t>
            </w:r>
          </w:p>
        </w:tc>
        <w:tc>
          <w:tcPr>
            <w:tcW w:w="599" w:type="pct"/>
            <w:tcBorders>
              <w:top w:val="nil"/>
              <w:left w:val="nil"/>
              <w:bottom w:val="single" w:color="000000" w:sz="4" w:space="0"/>
              <w:right w:val="nil"/>
            </w:tcBorders>
            <w:noWrap/>
            <w:vAlign w:val="center"/>
          </w:tcPr>
          <w:p w14:paraId="028ABCDD">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&lt;0.001</w:t>
            </w:r>
          </w:p>
        </w:tc>
      </w:tr>
      <w:tr w14:paraId="525A8A5D">
        <w:trPr>
          <w:trHeight w:val="320" w:hRule="atLeast"/>
        </w:trPr>
        <w:tc>
          <w:tcPr>
            <w:tcW w:w="922" w:type="pct"/>
            <w:vMerge w:val="restart"/>
            <w:tcBorders>
              <w:top w:val="single" w:color="auto" w:sz="4" w:space="0"/>
              <w:left w:val="nil"/>
              <w:bottom w:val="nil"/>
              <w:right w:val="nil"/>
            </w:tcBorders>
            <w:noWrap/>
            <w:vAlign w:val="center"/>
          </w:tcPr>
          <w:p w14:paraId="79FE5772">
            <w:pPr>
              <w:widowControl w:val="0"/>
              <w:jc w:val="center"/>
              <w:textAlignment w:val="center"/>
              <w:rPr>
                <w:rFonts w:ascii="Times New Roman" w:hAnsi="Times New Roman"/>
                <w:color w:val="000000"/>
                <w:sz w:val="20"/>
                <w:szCs w:val="20"/>
              </w:rPr>
            </w:pPr>
            <w:r>
              <w:rPr>
                <w:rFonts w:ascii="Times New Roman" w:hAnsi="Times New Roman"/>
                <w:color w:val="000000"/>
                <w:sz w:val="20"/>
                <w:szCs w:val="20"/>
              </w:rPr>
              <w:t>Prediction</w:t>
            </w:r>
          </w:p>
        </w:tc>
        <w:tc>
          <w:tcPr>
            <w:tcW w:w="1248" w:type="pct"/>
            <w:tcBorders>
              <w:top w:val="single" w:color="auto" w:sz="4" w:space="0"/>
              <w:left w:val="nil"/>
              <w:bottom w:val="nil"/>
              <w:right w:val="nil"/>
            </w:tcBorders>
            <w:noWrap/>
            <w:vAlign w:val="center"/>
          </w:tcPr>
          <w:p w14:paraId="2D6DBB42">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GMV</w:t>
            </w:r>
          </w:p>
        </w:tc>
        <w:tc>
          <w:tcPr>
            <w:tcW w:w="544" w:type="pct"/>
            <w:tcBorders>
              <w:top w:val="single" w:color="000000" w:sz="4" w:space="0"/>
              <w:left w:val="nil"/>
              <w:bottom w:val="nil"/>
              <w:right w:val="nil"/>
            </w:tcBorders>
            <w:noWrap/>
            <w:vAlign w:val="center"/>
          </w:tcPr>
          <w:p w14:paraId="65B59CC7">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r</w:t>
            </w:r>
          </w:p>
        </w:tc>
        <w:tc>
          <w:tcPr>
            <w:tcW w:w="624" w:type="pct"/>
            <w:tcBorders>
              <w:top w:val="single" w:color="000000" w:sz="4" w:space="0"/>
              <w:left w:val="nil"/>
              <w:bottom w:val="nil"/>
              <w:right w:val="nil"/>
            </w:tcBorders>
            <w:noWrap/>
            <w:vAlign w:val="center"/>
          </w:tcPr>
          <w:p w14:paraId="034C7B47">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0.017</w:t>
            </w:r>
          </w:p>
        </w:tc>
        <w:tc>
          <w:tcPr>
            <w:tcW w:w="1057" w:type="pct"/>
            <w:tcBorders>
              <w:top w:val="single" w:color="000000" w:sz="4" w:space="0"/>
              <w:left w:val="nil"/>
              <w:bottom w:val="nil"/>
              <w:right w:val="nil"/>
            </w:tcBorders>
            <w:noWrap/>
            <w:vAlign w:val="center"/>
          </w:tcPr>
          <w:p w14:paraId="2822055F">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[-0.067, 0.022]</w:t>
            </w:r>
          </w:p>
        </w:tc>
        <w:tc>
          <w:tcPr>
            <w:tcW w:w="599" w:type="pct"/>
            <w:tcBorders>
              <w:top w:val="single" w:color="000000" w:sz="4" w:space="0"/>
              <w:left w:val="nil"/>
              <w:bottom w:val="nil"/>
              <w:right w:val="nil"/>
            </w:tcBorders>
            <w:noWrap/>
            <w:vAlign w:val="center"/>
          </w:tcPr>
          <w:p w14:paraId="3C34D84B">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0.241</w:t>
            </w:r>
          </w:p>
        </w:tc>
      </w:tr>
      <w:tr w14:paraId="32EBD4CB">
        <w:trPr>
          <w:trHeight w:val="320" w:hRule="atLeast"/>
        </w:trPr>
        <w:tc>
          <w:tcPr>
            <w:tcW w:w="922" w:type="pct"/>
            <w:vMerge w:val="continue"/>
            <w:tcBorders>
              <w:top w:val="nil"/>
              <w:left w:val="nil"/>
              <w:bottom w:val="nil"/>
              <w:right w:val="nil"/>
            </w:tcBorders>
            <w:noWrap/>
            <w:vAlign w:val="center"/>
          </w:tcPr>
          <w:p w14:paraId="767AF8CF">
            <w:pPr>
              <w:widowControl w:val="0"/>
              <w:jc w:val="center"/>
              <w:textAlignment w:val="center"/>
              <w:rPr>
                <w:rFonts w:ascii="Times New Roman" w:hAnsi="Times New Roman"/>
                <w:b/>
                <w:bCs/>
                <w:color w:val="000000"/>
                <w:sz w:val="20"/>
                <w:szCs w:val="20"/>
              </w:rPr>
            </w:pPr>
          </w:p>
        </w:tc>
        <w:tc>
          <w:tcPr>
            <w:tcW w:w="1248" w:type="pct"/>
            <w:tcBorders>
              <w:top w:val="nil"/>
              <w:left w:val="nil"/>
              <w:bottom w:val="nil"/>
              <w:right w:val="nil"/>
            </w:tcBorders>
            <w:noWrap/>
            <w:vAlign w:val="center"/>
          </w:tcPr>
          <w:p w14:paraId="66A81409">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CT</w:t>
            </w:r>
          </w:p>
        </w:tc>
        <w:tc>
          <w:tcPr>
            <w:tcW w:w="544" w:type="pct"/>
            <w:tcBorders>
              <w:top w:val="nil"/>
              <w:left w:val="nil"/>
              <w:bottom w:val="nil"/>
              <w:right w:val="nil"/>
            </w:tcBorders>
            <w:noWrap/>
            <w:vAlign w:val="center"/>
          </w:tcPr>
          <w:p w14:paraId="59157A67">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r</w:t>
            </w:r>
          </w:p>
        </w:tc>
        <w:tc>
          <w:tcPr>
            <w:tcW w:w="624" w:type="pct"/>
            <w:tcBorders>
              <w:top w:val="nil"/>
              <w:left w:val="nil"/>
              <w:bottom w:val="nil"/>
              <w:right w:val="nil"/>
            </w:tcBorders>
            <w:noWrap/>
            <w:vAlign w:val="center"/>
          </w:tcPr>
          <w:p w14:paraId="2805B928">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0.097</w:t>
            </w:r>
          </w:p>
        </w:tc>
        <w:tc>
          <w:tcPr>
            <w:tcW w:w="1057" w:type="pct"/>
            <w:tcBorders>
              <w:top w:val="nil"/>
              <w:left w:val="nil"/>
              <w:bottom w:val="nil"/>
              <w:right w:val="nil"/>
            </w:tcBorders>
            <w:noWrap/>
            <w:vAlign w:val="center"/>
          </w:tcPr>
          <w:p w14:paraId="7E9CF10B">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[0.031, 0.161]</w:t>
            </w:r>
          </w:p>
        </w:tc>
        <w:tc>
          <w:tcPr>
            <w:tcW w:w="599" w:type="pct"/>
            <w:tcBorders>
              <w:top w:val="nil"/>
              <w:left w:val="nil"/>
              <w:bottom w:val="nil"/>
              <w:right w:val="nil"/>
            </w:tcBorders>
            <w:noWrap/>
            <w:vAlign w:val="center"/>
          </w:tcPr>
          <w:p w14:paraId="65D83811">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0.003</w:t>
            </w:r>
          </w:p>
        </w:tc>
      </w:tr>
      <w:tr w14:paraId="0F87585C">
        <w:trPr>
          <w:trHeight w:val="320" w:hRule="atLeast"/>
        </w:trPr>
        <w:tc>
          <w:tcPr>
            <w:tcW w:w="922" w:type="pct"/>
            <w:vMerge w:val="continue"/>
            <w:tcBorders>
              <w:top w:val="nil"/>
              <w:left w:val="nil"/>
              <w:bottom w:val="nil"/>
              <w:right w:val="nil"/>
            </w:tcBorders>
            <w:noWrap/>
            <w:vAlign w:val="center"/>
          </w:tcPr>
          <w:p w14:paraId="1C4F49D0">
            <w:pPr>
              <w:widowControl w:val="0"/>
              <w:jc w:val="center"/>
              <w:textAlignment w:val="center"/>
              <w:rPr>
                <w:rFonts w:ascii="Times New Roman" w:hAnsi="Times New Roman"/>
                <w:b/>
                <w:bCs/>
                <w:color w:val="000000"/>
                <w:sz w:val="20"/>
                <w:szCs w:val="20"/>
              </w:rPr>
            </w:pPr>
          </w:p>
        </w:tc>
        <w:tc>
          <w:tcPr>
            <w:tcW w:w="1248" w:type="pct"/>
            <w:tcBorders>
              <w:top w:val="nil"/>
              <w:left w:val="nil"/>
              <w:bottom w:val="nil"/>
              <w:right w:val="nil"/>
            </w:tcBorders>
            <w:noWrap/>
            <w:vAlign w:val="center"/>
          </w:tcPr>
          <w:p w14:paraId="28CF70C7">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FD</w:t>
            </w:r>
          </w:p>
        </w:tc>
        <w:tc>
          <w:tcPr>
            <w:tcW w:w="544" w:type="pct"/>
            <w:tcBorders>
              <w:top w:val="nil"/>
              <w:left w:val="nil"/>
              <w:bottom w:val="nil"/>
              <w:right w:val="nil"/>
            </w:tcBorders>
            <w:noWrap/>
            <w:vAlign w:val="center"/>
          </w:tcPr>
          <w:p w14:paraId="39264F52">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r</w:t>
            </w:r>
          </w:p>
        </w:tc>
        <w:tc>
          <w:tcPr>
            <w:tcW w:w="624" w:type="pct"/>
            <w:tcBorders>
              <w:top w:val="nil"/>
              <w:left w:val="nil"/>
              <w:bottom w:val="nil"/>
              <w:right w:val="nil"/>
            </w:tcBorders>
            <w:noWrap/>
            <w:vAlign w:val="center"/>
          </w:tcPr>
          <w:p w14:paraId="0DBDCC24">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0.079</w:t>
            </w:r>
          </w:p>
        </w:tc>
        <w:tc>
          <w:tcPr>
            <w:tcW w:w="1057" w:type="pct"/>
            <w:tcBorders>
              <w:top w:val="nil"/>
              <w:left w:val="nil"/>
              <w:bottom w:val="nil"/>
              <w:right w:val="nil"/>
            </w:tcBorders>
            <w:noWrap/>
            <w:vAlign w:val="center"/>
          </w:tcPr>
          <w:p w14:paraId="454D4244">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[0.019, 0.137]</w:t>
            </w:r>
          </w:p>
        </w:tc>
        <w:tc>
          <w:tcPr>
            <w:tcW w:w="599" w:type="pct"/>
            <w:tcBorders>
              <w:top w:val="nil"/>
              <w:left w:val="nil"/>
              <w:bottom w:val="nil"/>
              <w:right w:val="nil"/>
            </w:tcBorders>
            <w:noWrap/>
            <w:vAlign w:val="center"/>
          </w:tcPr>
          <w:p w14:paraId="3FF40597">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0.006</w:t>
            </w:r>
          </w:p>
        </w:tc>
      </w:tr>
      <w:tr w14:paraId="48BE7903">
        <w:trPr>
          <w:trHeight w:val="320" w:hRule="atLeast"/>
        </w:trPr>
        <w:tc>
          <w:tcPr>
            <w:tcW w:w="922" w:type="pct"/>
            <w:vMerge w:val="continue"/>
            <w:tcBorders>
              <w:top w:val="nil"/>
              <w:left w:val="nil"/>
              <w:bottom w:val="nil"/>
              <w:right w:val="nil"/>
            </w:tcBorders>
            <w:noWrap/>
            <w:vAlign w:val="center"/>
          </w:tcPr>
          <w:p w14:paraId="5655877B">
            <w:pPr>
              <w:widowControl w:val="0"/>
              <w:jc w:val="center"/>
              <w:textAlignment w:val="center"/>
              <w:rPr>
                <w:rFonts w:ascii="Times New Roman" w:hAnsi="Times New Roman"/>
                <w:b/>
                <w:bCs/>
                <w:color w:val="000000"/>
                <w:sz w:val="20"/>
                <w:szCs w:val="20"/>
              </w:rPr>
            </w:pPr>
          </w:p>
        </w:tc>
        <w:tc>
          <w:tcPr>
            <w:tcW w:w="1248" w:type="pct"/>
            <w:tcBorders>
              <w:top w:val="nil"/>
              <w:left w:val="nil"/>
              <w:bottom w:val="nil"/>
              <w:right w:val="nil"/>
            </w:tcBorders>
            <w:noWrap/>
            <w:vAlign w:val="center"/>
          </w:tcPr>
          <w:p w14:paraId="2A3B4D28">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GI</w:t>
            </w:r>
          </w:p>
        </w:tc>
        <w:tc>
          <w:tcPr>
            <w:tcW w:w="544" w:type="pct"/>
            <w:tcBorders>
              <w:top w:val="nil"/>
              <w:left w:val="nil"/>
              <w:bottom w:val="nil"/>
              <w:right w:val="nil"/>
            </w:tcBorders>
            <w:noWrap/>
            <w:vAlign w:val="center"/>
          </w:tcPr>
          <w:p w14:paraId="400BB858">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r</w:t>
            </w:r>
          </w:p>
        </w:tc>
        <w:tc>
          <w:tcPr>
            <w:tcW w:w="624" w:type="pct"/>
            <w:tcBorders>
              <w:top w:val="nil"/>
              <w:left w:val="nil"/>
              <w:bottom w:val="nil"/>
              <w:right w:val="nil"/>
            </w:tcBorders>
            <w:noWrap/>
            <w:vAlign w:val="center"/>
          </w:tcPr>
          <w:p w14:paraId="1CABE662">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0.158</w:t>
            </w:r>
          </w:p>
        </w:tc>
        <w:tc>
          <w:tcPr>
            <w:tcW w:w="1057" w:type="pct"/>
            <w:tcBorders>
              <w:top w:val="nil"/>
              <w:left w:val="nil"/>
              <w:bottom w:val="nil"/>
              <w:right w:val="nil"/>
            </w:tcBorders>
            <w:noWrap/>
            <w:vAlign w:val="center"/>
          </w:tcPr>
          <w:p w14:paraId="09B1EBFC">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[0.068, 0.241]</w:t>
            </w:r>
          </w:p>
        </w:tc>
        <w:tc>
          <w:tcPr>
            <w:tcW w:w="599" w:type="pct"/>
            <w:tcBorders>
              <w:top w:val="nil"/>
              <w:left w:val="nil"/>
              <w:bottom w:val="nil"/>
              <w:right w:val="nil"/>
            </w:tcBorders>
            <w:noWrap/>
            <w:vAlign w:val="center"/>
          </w:tcPr>
          <w:p w14:paraId="09B6E6BC">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&lt;0.001</w:t>
            </w:r>
          </w:p>
        </w:tc>
      </w:tr>
      <w:tr w14:paraId="30373B85">
        <w:trPr>
          <w:trHeight w:val="320" w:hRule="atLeast"/>
        </w:trPr>
        <w:tc>
          <w:tcPr>
            <w:tcW w:w="922" w:type="pct"/>
            <w:vMerge w:val="continue"/>
            <w:tcBorders>
              <w:top w:val="nil"/>
              <w:left w:val="nil"/>
              <w:bottom w:val="single" w:color="auto" w:sz="4" w:space="0"/>
              <w:right w:val="nil"/>
            </w:tcBorders>
            <w:noWrap/>
            <w:vAlign w:val="center"/>
          </w:tcPr>
          <w:p w14:paraId="4E354334">
            <w:pPr>
              <w:widowControl w:val="0"/>
              <w:jc w:val="center"/>
              <w:textAlignment w:val="center"/>
              <w:rPr>
                <w:rFonts w:ascii="Times New Roman" w:hAnsi="Times New Roman"/>
                <w:b/>
                <w:bCs/>
                <w:color w:val="000000"/>
                <w:sz w:val="20"/>
                <w:szCs w:val="20"/>
              </w:rPr>
            </w:pPr>
          </w:p>
        </w:tc>
        <w:tc>
          <w:tcPr>
            <w:tcW w:w="1248" w:type="pct"/>
            <w:tcBorders>
              <w:top w:val="nil"/>
              <w:left w:val="nil"/>
              <w:bottom w:val="single" w:color="auto" w:sz="4" w:space="0"/>
              <w:right w:val="nil"/>
            </w:tcBorders>
            <w:noWrap/>
            <w:vAlign w:val="center"/>
          </w:tcPr>
          <w:p w14:paraId="6C5FF6EF">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SD</w:t>
            </w:r>
          </w:p>
        </w:tc>
        <w:tc>
          <w:tcPr>
            <w:tcW w:w="544" w:type="pct"/>
            <w:tcBorders>
              <w:top w:val="nil"/>
              <w:left w:val="nil"/>
              <w:bottom w:val="single" w:color="000000" w:sz="4" w:space="0"/>
              <w:right w:val="nil"/>
            </w:tcBorders>
            <w:noWrap/>
            <w:vAlign w:val="center"/>
          </w:tcPr>
          <w:p w14:paraId="38910EE2">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r</w:t>
            </w:r>
          </w:p>
        </w:tc>
        <w:tc>
          <w:tcPr>
            <w:tcW w:w="624" w:type="pct"/>
            <w:tcBorders>
              <w:top w:val="nil"/>
              <w:left w:val="nil"/>
              <w:bottom w:val="single" w:color="000000" w:sz="4" w:space="0"/>
              <w:right w:val="nil"/>
            </w:tcBorders>
            <w:noWrap/>
            <w:vAlign w:val="center"/>
          </w:tcPr>
          <w:p w14:paraId="2FF4C8D9">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0.199</w:t>
            </w:r>
          </w:p>
        </w:tc>
        <w:tc>
          <w:tcPr>
            <w:tcW w:w="1057" w:type="pct"/>
            <w:tcBorders>
              <w:top w:val="nil"/>
              <w:left w:val="nil"/>
              <w:bottom w:val="single" w:color="000000" w:sz="4" w:space="0"/>
              <w:right w:val="nil"/>
            </w:tcBorders>
            <w:noWrap/>
            <w:vAlign w:val="center"/>
          </w:tcPr>
          <w:p w14:paraId="5CC9F104">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[0.069, 0.348]</w:t>
            </w:r>
          </w:p>
        </w:tc>
        <w:tc>
          <w:tcPr>
            <w:tcW w:w="599" w:type="pct"/>
            <w:tcBorders>
              <w:top w:val="nil"/>
              <w:left w:val="nil"/>
              <w:bottom w:val="single" w:color="000000" w:sz="4" w:space="0"/>
              <w:right w:val="nil"/>
            </w:tcBorders>
            <w:noWrap/>
            <w:vAlign w:val="center"/>
          </w:tcPr>
          <w:p w14:paraId="4A300B88">
            <w:pPr>
              <w:widowControl w:val="0"/>
              <w:jc w:val="center"/>
              <w:textAlignment w:val="center"/>
              <w:rPr>
                <w:rFonts w:ascii="Times New Roman" w:hAnsi="Times New Roman"/>
                <w:color w:val="000000"/>
                <w:sz w:val="21"/>
                <w:szCs w:val="21"/>
              </w:rPr>
            </w:pPr>
            <w:r>
              <w:rPr>
                <w:rFonts w:ascii="Times New Roman" w:hAnsi="Times New Roman"/>
                <w:color w:val="000000"/>
                <w:sz w:val="21"/>
                <w:szCs w:val="21"/>
              </w:rPr>
              <w:t>&lt;0.001</w:t>
            </w:r>
          </w:p>
        </w:tc>
      </w:tr>
    </w:tbl>
    <w:p w14:paraId="51F3325C">
      <w:pPr>
        <w:rPr>
          <w:rStyle w:val="34"/>
          <w:rFonts w:ascii="Times New Roman" w:hAnsi="Times New Roman"/>
        </w:rPr>
      </w:pPr>
      <w:r>
        <w:rPr>
          <w:rStyle w:val="34"/>
          <w:rFonts w:ascii="Times New Roman" w:hAnsi="Times New Roman"/>
        </w:rPr>
        <w:t>Mean Δ = performance (HFC + structural) − performance (structural alone). 95% CI and p-values derived from bootstrap resampling (10,000 iterations).</w:t>
      </w:r>
    </w:p>
    <w:p w14:paraId="5FAB5AF5">
      <w:pPr>
        <w:rPr>
          <w:rStyle w:val="34"/>
          <w:rFonts w:ascii="Times New Roman" w:hAnsi="Times New Roman"/>
        </w:rPr>
      </w:pPr>
    </w:p>
    <w:p w14:paraId="5D64E04C">
      <w:pPr>
        <w:rPr>
          <w:rStyle w:val="34"/>
          <w:rFonts w:ascii="Times New Roman" w:hAnsi="Times New Roman"/>
          <w:b/>
          <w:bCs/>
          <w:sz w:val="22"/>
          <w:szCs w:val="22"/>
        </w:rPr>
      </w:pPr>
      <w:r>
        <w:rPr>
          <w:rStyle w:val="34"/>
          <w:rFonts w:ascii="Times New Roman" w:hAnsi="Times New Roman"/>
          <w:b/>
          <w:bCs/>
        </w:rPr>
        <w:t>Table S1</w:t>
      </w:r>
      <w:r>
        <w:rPr>
          <w:rStyle w:val="34"/>
          <w:rFonts w:hint="eastAsia" w:ascii="Times New Roman" w:hAnsi="Times New Roman"/>
          <w:b/>
          <w:bCs/>
          <w:lang w:val="en-US"/>
        </w:rPr>
        <w:t>2</w:t>
      </w:r>
      <w:r>
        <w:rPr>
          <w:rStyle w:val="34"/>
          <w:rFonts w:ascii="Times New Roman" w:hAnsi="Times New Roman"/>
          <w:b/>
          <w:bCs/>
        </w:rPr>
        <w:t>. The statistical results of the prediction between AD and MCI for each site.</w:t>
      </w:r>
    </w:p>
    <w:tbl>
      <w:tblPr>
        <w:tblStyle w:val="29"/>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9"/>
        <w:gridCol w:w="955"/>
        <w:gridCol w:w="957"/>
        <w:gridCol w:w="957"/>
        <w:gridCol w:w="1391"/>
        <w:gridCol w:w="957"/>
        <w:gridCol w:w="957"/>
        <w:gridCol w:w="957"/>
        <w:gridCol w:w="1374"/>
        <w:gridCol w:w="958"/>
        <w:gridCol w:w="958"/>
        <w:gridCol w:w="958"/>
        <w:gridCol w:w="1370"/>
      </w:tblGrid>
      <w:tr w14:paraId="5EC56FF4">
        <w:tc>
          <w:tcPr>
            <w:tcW w:w="260" w:type="pct"/>
            <w:tcBorders>
              <w:top w:val="single" w:color="auto" w:sz="4" w:space="0"/>
              <w:left w:val="nil"/>
              <w:bottom w:val="nil"/>
              <w:right w:val="nil"/>
            </w:tcBorders>
            <w:vAlign w:val="center"/>
          </w:tcPr>
          <w:p w14:paraId="247DE1A0">
            <w:pPr>
              <w:widowControl/>
              <w:jc w:val="center"/>
              <w:textAlignment w:val="center"/>
              <w:rPr>
                <w:rFonts w:ascii="Times New Roman" w:hAnsi="Times New Roman"/>
                <w:b/>
                <w:bCs/>
                <w:color w:val="000000"/>
                <w:sz w:val="22"/>
                <w:szCs w:val="22"/>
                <w:lang w:bidi="ar"/>
              </w:rPr>
            </w:pPr>
          </w:p>
        </w:tc>
        <w:tc>
          <w:tcPr>
            <w:tcW w:w="1584" w:type="pct"/>
            <w:gridSpan w:val="4"/>
            <w:tcBorders>
              <w:top w:val="single" w:color="auto" w:sz="4" w:space="0"/>
              <w:left w:val="nil"/>
              <w:bottom w:val="nil"/>
              <w:right w:val="nil"/>
            </w:tcBorders>
            <w:vAlign w:val="center"/>
          </w:tcPr>
          <w:p w14:paraId="3A378438">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Features across all-brains</w:t>
            </w:r>
          </w:p>
        </w:tc>
        <w:tc>
          <w:tcPr>
            <w:tcW w:w="1579" w:type="pct"/>
            <w:gridSpan w:val="4"/>
            <w:tcBorders>
              <w:top w:val="single" w:color="auto" w:sz="4" w:space="0"/>
              <w:left w:val="nil"/>
              <w:bottom w:val="nil"/>
              <w:right w:val="nil"/>
            </w:tcBorders>
            <w:vAlign w:val="center"/>
          </w:tcPr>
          <w:p w14:paraId="18E79843">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Features across sig-brains</w:t>
            </w:r>
          </w:p>
        </w:tc>
        <w:tc>
          <w:tcPr>
            <w:tcW w:w="1577" w:type="pct"/>
            <w:gridSpan w:val="4"/>
            <w:tcBorders>
              <w:top w:val="single" w:color="auto" w:sz="4" w:space="0"/>
              <w:left w:val="nil"/>
              <w:bottom w:val="nil"/>
              <w:right w:val="nil"/>
            </w:tcBorders>
            <w:vAlign w:val="center"/>
          </w:tcPr>
          <w:p w14:paraId="5F3B36A6">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 xml:space="preserve">Features across </w:t>
            </w:r>
            <w:r>
              <w:rPr>
                <w:rFonts w:ascii="Times New Roman" w:hAnsi="Times New Roman"/>
                <w:b/>
                <w:bCs/>
                <w:color w:val="000000"/>
                <w:sz w:val="22"/>
                <w:szCs w:val="22"/>
                <w:lang w:eastAsia="zh" w:bidi="ar"/>
              </w:rPr>
              <w:t>FDR</w:t>
            </w:r>
            <w:r>
              <w:rPr>
                <w:rFonts w:ascii="Times New Roman" w:hAnsi="Times New Roman"/>
                <w:b/>
                <w:bCs/>
                <w:color w:val="000000"/>
                <w:sz w:val="22"/>
                <w:szCs w:val="22"/>
                <w:lang w:bidi="ar"/>
              </w:rPr>
              <w:t>-brains</w:t>
            </w:r>
          </w:p>
        </w:tc>
      </w:tr>
      <w:tr w14:paraId="55009212">
        <w:tc>
          <w:tcPr>
            <w:tcW w:w="260" w:type="pct"/>
            <w:tcBorders>
              <w:top w:val="nil"/>
              <w:left w:val="nil"/>
              <w:bottom w:val="single" w:color="auto" w:sz="4" w:space="0"/>
              <w:right w:val="nil"/>
            </w:tcBorders>
            <w:vAlign w:val="center"/>
          </w:tcPr>
          <w:p w14:paraId="69C45AFA">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Site</w:t>
            </w:r>
          </w:p>
        </w:tc>
        <w:tc>
          <w:tcPr>
            <w:tcW w:w="355" w:type="pct"/>
            <w:tcBorders>
              <w:top w:val="nil"/>
              <w:left w:val="nil"/>
              <w:bottom w:val="single" w:color="auto" w:sz="4" w:space="0"/>
              <w:right w:val="nil"/>
            </w:tcBorders>
            <w:vAlign w:val="center"/>
          </w:tcPr>
          <w:p w14:paraId="56C59947">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MAE</w:t>
            </w:r>
          </w:p>
        </w:tc>
        <w:tc>
          <w:tcPr>
            <w:tcW w:w="356" w:type="pct"/>
            <w:tcBorders>
              <w:top w:val="nil"/>
              <w:left w:val="nil"/>
              <w:bottom w:val="single" w:color="auto" w:sz="4" w:space="0"/>
              <w:right w:val="nil"/>
            </w:tcBorders>
            <w:vAlign w:val="center"/>
          </w:tcPr>
          <w:p w14:paraId="3EE93597">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RMSE</w:t>
            </w:r>
          </w:p>
        </w:tc>
        <w:tc>
          <w:tcPr>
            <w:tcW w:w="356" w:type="pct"/>
            <w:tcBorders>
              <w:top w:val="nil"/>
              <w:left w:val="nil"/>
              <w:bottom w:val="single" w:color="auto" w:sz="4" w:space="0"/>
              <w:right w:val="nil"/>
            </w:tcBorders>
            <w:vAlign w:val="center"/>
          </w:tcPr>
          <w:p w14:paraId="1C609E2B">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r</w:t>
            </w:r>
          </w:p>
        </w:tc>
        <w:tc>
          <w:tcPr>
            <w:tcW w:w="517" w:type="pct"/>
            <w:tcBorders>
              <w:top w:val="nil"/>
              <w:left w:val="nil"/>
              <w:bottom w:val="single" w:color="auto" w:sz="4" w:space="0"/>
              <w:right w:val="nil"/>
            </w:tcBorders>
            <w:vAlign w:val="center"/>
          </w:tcPr>
          <w:p w14:paraId="41FC54A6">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p</w:t>
            </w:r>
          </w:p>
        </w:tc>
        <w:tc>
          <w:tcPr>
            <w:tcW w:w="356" w:type="pct"/>
            <w:tcBorders>
              <w:top w:val="nil"/>
              <w:left w:val="nil"/>
              <w:bottom w:val="single" w:color="auto" w:sz="4" w:space="0"/>
              <w:right w:val="nil"/>
            </w:tcBorders>
            <w:vAlign w:val="center"/>
          </w:tcPr>
          <w:p w14:paraId="1597D59E">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MAE</w:t>
            </w:r>
          </w:p>
        </w:tc>
        <w:tc>
          <w:tcPr>
            <w:tcW w:w="356" w:type="pct"/>
            <w:tcBorders>
              <w:top w:val="nil"/>
              <w:left w:val="nil"/>
              <w:bottom w:val="single" w:color="auto" w:sz="4" w:space="0"/>
              <w:right w:val="nil"/>
            </w:tcBorders>
            <w:vAlign w:val="center"/>
          </w:tcPr>
          <w:p w14:paraId="6375DD4D">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RMSE</w:t>
            </w:r>
          </w:p>
        </w:tc>
        <w:tc>
          <w:tcPr>
            <w:tcW w:w="356" w:type="pct"/>
            <w:tcBorders>
              <w:top w:val="nil"/>
              <w:left w:val="nil"/>
              <w:bottom w:val="single" w:color="auto" w:sz="4" w:space="0"/>
              <w:right w:val="nil"/>
            </w:tcBorders>
            <w:vAlign w:val="center"/>
          </w:tcPr>
          <w:p w14:paraId="2FF4C2C6">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r</w:t>
            </w:r>
          </w:p>
        </w:tc>
        <w:tc>
          <w:tcPr>
            <w:tcW w:w="511" w:type="pct"/>
            <w:tcBorders>
              <w:top w:val="nil"/>
              <w:left w:val="nil"/>
              <w:bottom w:val="single" w:color="auto" w:sz="4" w:space="0"/>
              <w:right w:val="nil"/>
            </w:tcBorders>
            <w:vAlign w:val="center"/>
          </w:tcPr>
          <w:p w14:paraId="4537BB90">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p</w:t>
            </w:r>
          </w:p>
        </w:tc>
        <w:tc>
          <w:tcPr>
            <w:tcW w:w="356" w:type="pct"/>
            <w:tcBorders>
              <w:top w:val="nil"/>
              <w:left w:val="nil"/>
              <w:bottom w:val="single" w:color="auto" w:sz="4" w:space="0"/>
              <w:right w:val="nil"/>
            </w:tcBorders>
            <w:vAlign w:val="center"/>
          </w:tcPr>
          <w:p w14:paraId="76A3D5A9">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MAE</w:t>
            </w:r>
          </w:p>
        </w:tc>
        <w:tc>
          <w:tcPr>
            <w:tcW w:w="356" w:type="pct"/>
            <w:tcBorders>
              <w:top w:val="nil"/>
              <w:left w:val="nil"/>
              <w:bottom w:val="single" w:color="auto" w:sz="4" w:space="0"/>
              <w:right w:val="nil"/>
            </w:tcBorders>
            <w:vAlign w:val="center"/>
          </w:tcPr>
          <w:p w14:paraId="1066BF9F">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RMSE</w:t>
            </w:r>
          </w:p>
        </w:tc>
        <w:tc>
          <w:tcPr>
            <w:tcW w:w="356" w:type="pct"/>
            <w:tcBorders>
              <w:top w:val="nil"/>
              <w:left w:val="nil"/>
              <w:bottom w:val="single" w:color="auto" w:sz="4" w:space="0"/>
              <w:right w:val="nil"/>
            </w:tcBorders>
            <w:vAlign w:val="center"/>
          </w:tcPr>
          <w:p w14:paraId="2FD8F550">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r</w:t>
            </w:r>
          </w:p>
        </w:tc>
        <w:tc>
          <w:tcPr>
            <w:tcW w:w="509" w:type="pct"/>
            <w:tcBorders>
              <w:top w:val="nil"/>
              <w:left w:val="nil"/>
              <w:bottom w:val="single" w:color="auto" w:sz="4" w:space="0"/>
              <w:right w:val="nil"/>
            </w:tcBorders>
            <w:vAlign w:val="center"/>
          </w:tcPr>
          <w:p w14:paraId="6757DD18">
            <w:pPr>
              <w:widowControl/>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p</w:t>
            </w:r>
          </w:p>
        </w:tc>
      </w:tr>
      <w:tr w14:paraId="5C6E307F">
        <w:tc>
          <w:tcPr>
            <w:tcW w:w="260" w:type="pct"/>
            <w:tcBorders>
              <w:top w:val="single" w:color="auto" w:sz="4" w:space="0"/>
              <w:left w:val="nil"/>
              <w:bottom w:val="nil"/>
              <w:right w:val="nil"/>
            </w:tcBorders>
            <w:vAlign w:val="center"/>
          </w:tcPr>
          <w:p w14:paraId="45A449E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S01</w:t>
            </w:r>
          </w:p>
        </w:tc>
        <w:tc>
          <w:tcPr>
            <w:tcW w:w="355" w:type="pct"/>
            <w:tcBorders>
              <w:top w:val="single" w:color="auto" w:sz="4" w:space="0"/>
              <w:left w:val="nil"/>
              <w:bottom w:val="nil"/>
              <w:right w:val="nil"/>
            </w:tcBorders>
            <w:vAlign w:val="center"/>
          </w:tcPr>
          <w:p w14:paraId="654DFE62">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5.011</w:t>
            </w:r>
          </w:p>
        </w:tc>
        <w:tc>
          <w:tcPr>
            <w:tcW w:w="356" w:type="pct"/>
            <w:tcBorders>
              <w:top w:val="single" w:color="auto" w:sz="4" w:space="0"/>
              <w:left w:val="nil"/>
              <w:bottom w:val="nil"/>
              <w:right w:val="nil"/>
            </w:tcBorders>
            <w:vAlign w:val="center"/>
          </w:tcPr>
          <w:p w14:paraId="45995D38">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6.238</w:t>
            </w:r>
          </w:p>
        </w:tc>
        <w:tc>
          <w:tcPr>
            <w:tcW w:w="356" w:type="pct"/>
            <w:tcBorders>
              <w:top w:val="single" w:color="auto" w:sz="4" w:space="0"/>
              <w:left w:val="nil"/>
              <w:bottom w:val="nil"/>
              <w:right w:val="nil"/>
            </w:tcBorders>
            <w:vAlign w:val="center"/>
          </w:tcPr>
          <w:p w14:paraId="308D04C9">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0.447</w:t>
            </w:r>
          </w:p>
        </w:tc>
        <w:tc>
          <w:tcPr>
            <w:tcW w:w="517" w:type="pct"/>
            <w:tcBorders>
              <w:top w:val="single" w:color="auto" w:sz="4" w:space="0"/>
              <w:left w:val="nil"/>
              <w:bottom w:val="nil"/>
              <w:right w:val="nil"/>
            </w:tcBorders>
            <w:vAlign w:val="center"/>
          </w:tcPr>
          <w:p w14:paraId="4D7B5F79">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&lt;0.001</w:t>
            </w:r>
          </w:p>
        </w:tc>
        <w:tc>
          <w:tcPr>
            <w:tcW w:w="356" w:type="pct"/>
            <w:tcBorders>
              <w:top w:val="single" w:color="auto" w:sz="4" w:space="0"/>
              <w:left w:val="nil"/>
              <w:bottom w:val="nil"/>
              <w:right w:val="nil"/>
            </w:tcBorders>
            <w:vAlign w:val="center"/>
          </w:tcPr>
          <w:p w14:paraId="15306EF3">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5.237</w:t>
            </w:r>
          </w:p>
        </w:tc>
        <w:tc>
          <w:tcPr>
            <w:tcW w:w="356" w:type="pct"/>
            <w:tcBorders>
              <w:top w:val="single" w:color="auto" w:sz="4" w:space="0"/>
              <w:left w:val="nil"/>
              <w:bottom w:val="nil"/>
              <w:right w:val="nil"/>
            </w:tcBorders>
            <w:vAlign w:val="center"/>
          </w:tcPr>
          <w:p w14:paraId="1CCA59C0">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6.624</w:t>
            </w:r>
          </w:p>
        </w:tc>
        <w:tc>
          <w:tcPr>
            <w:tcW w:w="356" w:type="pct"/>
            <w:tcBorders>
              <w:top w:val="single" w:color="auto" w:sz="4" w:space="0"/>
              <w:left w:val="nil"/>
              <w:bottom w:val="nil"/>
              <w:right w:val="nil"/>
            </w:tcBorders>
            <w:vAlign w:val="center"/>
          </w:tcPr>
          <w:p w14:paraId="0BE1CB1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0.282</w:t>
            </w:r>
          </w:p>
        </w:tc>
        <w:tc>
          <w:tcPr>
            <w:tcW w:w="511" w:type="pct"/>
            <w:tcBorders>
              <w:top w:val="single" w:color="auto" w:sz="4" w:space="0"/>
              <w:left w:val="nil"/>
              <w:bottom w:val="nil"/>
              <w:right w:val="nil"/>
            </w:tcBorders>
            <w:vAlign w:val="center"/>
          </w:tcPr>
          <w:p w14:paraId="5452D8E0">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0.013</w:t>
            </w:r>
          </w:p>
        </w:tc>
        <w:tc>
          <w:tcPr>
            <w:tcW w:w="356" w:type="pct"/>
            <w:tcBorders>
              <w:top w:val="single" w:color="auto" w:sz="4" w:space="0"/>
              <w:left w:val="nil"/>
              <w:bottom w:val="nil"/>
              <w:right w:val="nil"/>
            </w:tcBorders>
            <w:vAlign w:val="center"/>
          </w:tcPr>
          <w:p w14:paraId="42082EC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5.279</w:t>
            </w:r>
          </w:p>
        </w:tc>
        <w:tc>
          <w:tcPr>
            <w:tcW w:w="356" w:type="pct"/>
            <w:tcBorders>
              <w:top w:val="single" w:color="auto" w:sz="4" w:space="0"/>
              <w:left w:val="nil"/>
              <w:bottom w:val="nil"/>
              <w:right w:val="nil"/>
            </w:tcBorders>
            <w:vAlign w:val="center"/>
          </w:tcPr>
          <w:p w14:paraId="5EFC46F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6.688</w:t>
            </w:r>
          </w:p>
        </w:tc>
        <w:tc>
          <w:tcPr>
            <w:tcW w:w="356" w:type="pct"/>
            <w:tcBorders>
              <w:top w:val="single" w:color="auto" w:sz="4" w:space="0"/>
              <w:left w:val="nil"/>
              <w:bottom w:val="nil"/>
              <w:right w:val="nil"/>
            </w:tcBorders>
            <w:vAlign w:val="center"/>
          </w:tcPr>
          <w:p w14:paraId="75BD84D7">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0.240</w:t>
            </w:r>
          </w:p>
        </w:tc>
        <w:tc>
          <w:tcPr>
            <w:tcW w:w="509" w:type="pct"/>
            <w:tcBorders>
              <w:top w:val="single" w:color="auto" w:sz="4" w:space="0"/>
              <w:left w:val="nil"/>
              <w:bottom w:val="nil"/>
              <w:right w:val="nil"/>
            </w:tcBorders>
            <w:vAlign w:val="center"/>
          </w:tcPr>
          <w:p w14:paraId="3513214C">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0.034</w:t>
            </w:r>
          </w:p>
        </w:tc>
      </w:tr>
      <w:tr w14:paraId="3FF18DA4">
        <w:tc>
          <w:tcPr>
            <w:tcW w:w="260" w:type="pct"/>
            <w:tcBorders>
              <w:top w:val="nil"/>
              <w:left w:val="nil"/>
              <w:bottom w:val="nil"/>
              <w:right w:val="nil"/>
            </w:tcBorders>
            <w:vAlign w:val="center"/>
          </w:tcPr>
          <w:p w14:paraId="7BE47B47">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S02</w:t>
            </w:r>
          </w:p>
        </w:tc>
        <w:tc>
          <w:tcPr>
            <w:tcW w:w="355" w:type="pct"/>
            <w:tcBorders>
              <w:top w:val="nil"/>
              <w:left w:val="nil"/>
              <w:bottom w:val="nil"/>
              <w:right w:val="nil"/>
            </w:tcBorders>
            <w:vAlign w:val="center"/>
          </w:tcPr>
          <w:p w14:paraId="691D600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4.895</w:t>
            </w:r>
          </w:p>
        </w:tc>
        <w:tc>
          <w:tcPr>
            <w:tcW w:w="356" w:type="pct"/>
            <w:tcBorders>
              <w:top w:val="nil"/>
              <w:left w:val="nil"/>
              <w:bottom w:val="nil"/>
              <w:right w:val="nil"/>
            </w:tcBorders>
            <w:vAlign w:val="center"/>
          </w:tcPr>
          <w:p w14:paraId="542DDB92">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5.876</w:t>
            </w:r>
          </w:p>
        </w:tc>
        <w:tc>
          <w:tcPr>
            <w:tcW w:w="356" w:type="pct"/>
            <w:tcBorders>
              <w:top w:val="nil"/>
              <w:left w:val="nil"/>
              <w:bottom w:val="nil"/>
              <w:right w:val="nil"/>
            </w:tcBorders>
            <w:vAlign w:val="center"/>
          </w:tcPr>
          <w:p w14:paraId="12B40F5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0.311</w:t>
            </w:r>
          </w:p>
        </w:tc>
        <w:tc>
          <w:tcPr>
            <w:tcW w:w="517" w:type="pct"/>
            <w:tcBorders>
              <w:top w:val="nil"/>
              <w:left w:val="nil"/>
              <w:bottom w:val="nil"/>
              <w:right w:val="nil"/>
            </w:tcBorders>
            <w:vAlign w:val="center"/>
          </w:tcPr>
          <w:p w14:paraId="1E057A68">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0.040</w:t>
            </w:r>
          </w:p>
        </w:tc>
        <w:tc>
          <w:tcPr>
            <w:tcW w:w="356" w:type="pct"/>
            <w:tcBorders>
              <w:top w:val="nil"/>
              <w:left w:val="nil"/>
              <w:bottom w:val="nil"/>
              <w:right w:val="nil"/>
            </w:tcBorders>
            <w:vAlign w:val="center"/>
          </w:tcPr>
          <w:p w14:paraId="3ABF15C7">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5.378</w:t>
            </w:r>
          </w:p>
        </w:tc>
        <w:tc>
          <w:tcPr>
            <w:tcW w:w="356" w:type="pct"/>
            <w:tcBorders>
              <w:top w:val="nil"/>
              <w:left w:val="nil"/>
              <w:bottom w:val="nil"/>
              <w:right w:val="nil"/>
            </w:tcBorders>
            <w:vAlign w:val="center"/>
          </w:tcPr>
          <w:p w14:paraId="56FEEA09">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6.453</w:t>
            </w:r>
          </w:p>
        </w:tc>
        <w:tc>
          <w:tcPr>
            <w:tcW w:w="356" w:type="pct"/>
            <w:tcBorders>
              <w:top w:val="nil"/>
              <w:left w:val="nil"/>
              <w:bottom w:val="nil"/>
              <w:right w:val="nil"/>
            </w:tcBorders>
            <w:vAlign w:val="center"/>
          </w:tcPr>
          <w:p w14:paraId="65E4C2C6">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0.307</w:t>
            </w:r>
          </w:p>
        </w:tc>
        <w:tc>
          <w:tcPr>
            <w:tcW w:w="511" w:type="pct"/>
            <w:tcBorders>
              <w:top w:val="nil"/>
              <w:left w:val="nil"/>
              <w:bottom w:val="nil"/>
              <w:right w:val="nil"/>
            </w:tcBorders>
            <w:vAlign w:val="center"/>
          </w:tcPr>
          <w:p w14:paraId="092F267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0.043</w:t>
            </w:r>
          </w:p>
        </w:tc>
        <w:tc>
          <w:tcPr>
            <w:tcW w:w="356" w:type="pct"/>
            <w:tcBorders>
              <w:top w:val="nil"/>
              <w:left w:val="nil"/>
              <w:bottom w:val="nil"/>
              <w:right w:val="nil"/>
            </w:tcBorders>
            <w:vAlign w:val="center"/>
          </w:tcPr>
          <w:p w14:paraId="4A6AF189">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5.024</w:t>
            </w:r>
          </w:p>
        </w:tc>
        <w:tc>
          <w:tcPr>
            <w:tcW w:w="356" w:type="pct"/>
            <w:tcBorders>
              <w:top w:val="nil"/>
              <w:left w:val="nil"/>
              <w:bottom w:val="nil"/>
              <w:right w:val="nil"/>
            </w:tcBorders>
            <w:vAlign w:val="center"/>
          </w:tcPr>
          <w:p w14:paraId="59F6157B">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6.209</w:t>
            </w:r>
          </w:p>
        </w:tc>
        <w:tc>
          <w:tcPr>
            <w:tcW w:w="356" w:type="pct"/>
            <w:tcBorders>
              <w:top w:val="nil"/>
              <w:left w:val="nil"/>
              <w:bottom w:val="nil"/>
              <w:right w:val="nil"/>
            </w:tcBorders>
            <w:vAlign w:val="center"/>
          </w:tcPr>
          <w:p w14:paraId="2D70C8E6">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0.341</w:t>
            </w:r>
          </w:p>
        </w:tc>
        <w:tc>
          <w:tcPr>
            <w:tcW w:w="509" w:type="pct"/>
            <w:tcBorders>
              <w:top w:val="nil"/>
              <w:left w:val="nil"/>
              <w:bottom w:val="nil"/>
              <w:right w:val="nil"/>
            </w:tcBorders>
            <w:vAlign w:val="center"/>
          </w:tcPr>
          <w:p w14:paraId="56D5CE2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0.023</w:t>
            </w:r>
          </w:p>
        </w:tc>
      </w:tr>
      <w:tr w14:paraId="4110ADF9">
        <w:tc>
          <w:tcPr>
            <w:tcW w:w="260" w:type="pct"/>
            <w:tcBorders>
              <w:top w:val="nil"/>
              <w:left w:val="nil"/>
              <w:bottom w:val="nil"/>
              <w:right w:val="nil"/>
            </w:tcBorders>
            <w:vAlign w:val="center"/>
          </w:tcPr>
          <w:p w14:paraId="10E8CF9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S03</w:t>
            </w:r>
          </w:p>
        </w:tc>
        <w:tc>
          <w:tcPr>
            <w:tcW w:w="355" w:type="pct"/>
            <w:tcBorders>
              <w:top w:val="nil"/>
              <w:left w:val="nil"/>
              <w:bottom w:val="nil"/>
              <w:right w:val="nil"/>
            </w:tcBorders>
            <w:vAlign w:val="center"/>
          </w:tcPr>
          <w:p w14:paraId="02222A8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5.178</w:t>
            </w:r>
          </w:p>
        </w:tc>
        <w:tc>
          <w:tcPr>
            <w:tcW w:w="356" w:type="pct"/>
            <w:tcBorders>
              <w:top w:val="nil"/>
              <w:left w:val="nil"/>
              <w:bottom w:val="nil"/>
              <w:right w:val="nil"/>
            </w:tcBorders>
            <w:vAlign w:val="center"/>
          </w:tcPr>
          <w:p w14:paraId="160CDFFB">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6.198</w:t>
            </w:r>
          </w:p>
        </w:tc>
        <w:tc>
          <w:tcPr>
            <w:tcW w:w="356" w:type="pct"/>
            <w:tcBorders>
              <w:top w:val="nil"/>
              <w:left w:val="nil"/>
              <w:bottom w:val="nil"/>
              <w:right w:val="nil"/>
            </w:tcBorders>
            <w:vAlign w:val="center"/>
          </w:tcPr>
          <w:p w14:paraId="306E4767">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0.393</w:t>
            </w:r>
          </w:p>
        </w:tc>
        <w:tc>
          <w:tcPr>
            <w:tcW w:w="517" w:type="pct"/>
            <w:tcBorders>
              <w:top w:val="nil"/>
              <w:left w:val="nil"/>
              <w:bottom w:val="nil"/>
              <w:right w:val="nil"/>
            </w:tcBorders>
            <w:vAlign w:val="center"/>
          </w:tcPr>
          <w:p w14:paraId="2554F47B">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&lt;0.001</w:t>
            </w:r>
          </w:p>
        </w:tc>
        <w:tc>
          <w:tcPr>
            <w:tcW w:w="356" w:type="pct"/>
            <w:tcBorders>
              <w:top w:val="nil"/>
              <w:left w:val="nil"/>
              <w:bottom w:val="nil"/>
              <w:right w:val="nil"/>
            </w:tcBorders>
            <w:vAlign w:val="center"/>
          </w:tcPr>
          <w:p w14:paraId="4B7CAC8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5.177</w:t>
            </w:r>
          </w:p>
        </w:tc>
        <w:tc>
          <w:tcPr>
            <w:tcW w:w="356" w:type="pct"/>
            <w:tcBorders>
              <w:top w:val="nil"/>
              <w:left w:val="nil"/>
              <w:bottom w:val="nil"/>
              <w:right w:val="nil"/>
            </w:tcBorders>
            <w:vAlign w:val="center"/>
          </w:tcPr>
          <w:p w14:paraId="33AE4342">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6.502</w:t>
            </w:r>
          </w:p>
        </w:tc>
        <w:tc>
          <w:tcPr>
            <w:tcW w:w="356" w:type="pct"/>
            <w:tcBorders>
              <w:top w:val="nil"/>
              <w:left w:val="nil"/>
              <w:bottom w:val="nil"/>
              <w:right w:val="nil"/>
            </w:tcBorders>
            <w:vAlign w:val="center"/>
          </w:tcPr>
          <w:p w14:paraId="0DDBFBA7">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0.242</w:t>
            </w:r>
          </w:p>
        </w:tc>
        <w:tc>
          <w:tcPr>
            <w:tcW w:w="511" w:type="pct"/>
            <w:tcBorders>
              <w:top w:val="nil"/>
              <w:left w:val="nil"/>
              <w:bottom w:val="nil"/>
              <w:right w:val="nil"/>
            </w:tcBorders>
            <w:vAlign w:val="center"/>
          </w:tcPr>
          <w:p w14:paraId="691F954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0.045</w:t>
            </w:r>
          </w:p>
        </w:tc>
        <w:tc>
          <w:tcPr>
            <w:tcW w:w="356" w:type="pct"/>
            <w:tcBorders>
              <w:top w:val="nil"/>
              <w:left w:val="nil"/>
              <w:bottom w:val="nil"/>
              <w:right w:val="nil"/>
            </w:tcBorders>
            <w:vAlign w:val="center"/>
          </w:tcPr>
          <w:p w14:paraId="3FC6EC7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5.228</w:t>
            </w:r>
          </w:p>
        </w:tc>
        <w:tc>
          <w:tcPr>
            <w:tcW w:w="356" w:type="pct"/>
            <w:tcBorders>
              <w:top w:val="nil"/>
              <w:left w:val="nil"/>
              <w:bottom w:val="nil"/>
              <w:right w:val="nil"/>
            </w:tcBorders>
            <w:vAlign w:val="center"/>
          </w:tcPr>
          <w:p w14:paraId="5663E11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6.545</w:t>
            </w:r>
          </w:p>
        </w:tc>
        <w:tc>
          <w:tcPr>
            <w:tcW w:w="356" w:type="pct"/>
            <w:tcBorders>
              <w:top w:val="nil"/>
              <w:left w:val="nil"/>
              <w:bottom w:val="nil"/>
              <w:right w:val="nil"/>
            </w:tcBorders>
            <w:vAlign w:val="center"/>
          </w:tcPr>
          <w:p w14:paraId="2FC29327">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0.230</w:t>
            </w:r>
          </w:p>
        </w:tc>
        <w:tc>
          <w:tcPr>
            <w:tcW w:w="509" w:type="pct"/>
            <w:tcBorders>
              <w:top w:val="nil"/>
              <w:left w:val="nil"/>
              <w:bottom w:val="nil"/>
              <w:right w:val="nil"/>
            </w:tcBorders>
            <w:vAlign w:val="center"/>
          </w:tcPr>
          <w:p w14:paraId="79B1ED5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0.058</w:t>
            </w:r>
          </w:p>
        </w:tc>
      </w:tr>
      <w:tr w14:paraId="3FA2EC43">
        <w:tc>
          <w:tcPr>
            <w:tcW w:w="260" w:type="pct"/>
            <w:tcBorders>
              <w:top w:val="nil"/>
              <w:left w:val="nil"/>
              <w:bottom w:val="nil"/>
              <w:right w:val="nil"/>
            </w:tcBorders>
            <w:vAlign w:val="center"/>
          </w:tcPr>
          <w:p w14:paraId="7C5BB22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S04</w:t>
            </w:r>
          </w:p>
        </w:tc>
        <w:tc>
          <w:tcPr>
            <w:tcW w:w="355" w:type="pct"/>
            <w:tcBorders>
              <w:top w:val="nil"/>
              <w:left w:val="nil"/>
              <w:bottom w:val="nil"/>
              <w:right w:val="nil"/>
            </w:tcBorders>
            <w:vAlign w:val="center"/>
          </w:tcPr>
          <w:p w14:paraId="7DA6984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3.681</w:t>
            </w:r>
          </w:p>
        </w:tc>
        <w:tc>
          <w:tcPr>
            <w:tcW w:w="356" w:type="pct"/>
            <w:tcBorders>
              <w:top w:val="nil"/>
              <w:left w:val="nil"/>
              <w:bottom w:val="nil"/>
              <w:right w:val="nil"/>
            </w:tcBorders>
            <w:vAlign w:val="center"/>
          </w:tcPr>
          <w:p w14:paraId="2E53FDA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4.469</w:t>
            </w:r>
          </w:p>
        </w:tc>
        <w:tc>
          <w:tcPr>
            <w:tcW w:w="356" w:type="pct"/>
            <w:tcBorders>
              <w:top w:val="nil"/>
              <w:left w:val="nil"/>
              <w:bottom w:val="nil"/>
              <w:right w:val="nil"/>
            </w:tcBorders>
            <w:vAlign w:val="center"/>
          </w:tcPr>
          <w:p w14:paraId="505286C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0.056</w:t>
            </w:r>
          </w:p>
        </w:tc>
        <w:tc>
          <w:tcPr>
            <w:tcW w:w="517" w:type="pct"/>
            <w:tcBorders>
              <w:top w:val="nil"/>
              <w:left w:val="nil"/>
              <w:bottom w:val="nil"/>
              <w:right w:val="nil"/>
            </w:tcBorders>
            <w:vAlign w:val="center"/>
          </w:tcPr>
          <w:p w14:paraId="496C635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0.622</w:t>
            </w:r>
          </w:p>
        </w:tc>
        <w:tc>
          <w:tcPr>
            <w:tcW w:w="356" w:type="pct"/>
            <w:tcBorders>
              <w:top w:val="nil"/>
              <w:left w:val="nil"/>
              <w:bottom w:val="nil"/>
              <w:right w:val="nil"/>
            </w:tcBorders>
            <w:vAlign w:val="center"/>
          </w:tcPr>
          <w:p w14:paraId="6B02313C">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3.076</w:t>
            </w:r>
          </w:p>
        </w:tc>
        <w:tc>
          <w:tcPr>
            <w:tcW w:w="356" w:type="pct"/>
            <w:tcBorders>
              <w:top w:val="nil"/>
              <w:left w:val="nil"/>
              <w:bottom w:val="nil"/>
              <w:right w:val="nil"/>
            </w:tcBorders>
            <w:vAlign w:val="center"/>
          </w:tcPr>
          <w:p w14:paraId="70B33D89">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3.830</w:t>
            </w:r>
          </w:p>
        </w:tc>
        <w:tc>
          <w:tcPr>
            <w:tcW w:w="356" w:type="pct"/>
            <w:tcBorders>
              <w:top w:val="nil"/>
              <w:left w:val="nil"/>
              <w:bottom w:val="nil"/>
              <w:right w:val="nil"/>
            </w:tcBorders>
            <w:vAlign w:val="center"/>
          </w:tcPr>
          <w:p w14:paraId="331EF470">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0.064</w:t>
            </w:r>
          </w:p>
        </w:tc>
        <w:tc>
          <w:tcPr>
            <w:tcW w:w="511" w:type="pct"/>
            <w:tcBorders>
              <w:top w:val="nil"/>
              <w:left w:val="nil"/>
              <w:bottom w:val="nil"/>
              <w:right w:val="nil"/>
            </w:tcBorders>
            <w:vAlign w:val="center"/>
          </w:tcPr>
          <w:p w14:paraId="41D557F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0.571</w:t>
            </w:r>
          </w:p>
        </w:tc>
        <w:tc>
          <w:tcPr>
            <w:tcW w:w="356" w:type="pct"/>
            <w:tcBorders>
              <w:top w:val="nil"/>
              <w:left w:val="nil"/>
              <w:bottom w:val="nil"/>
              <w:right w:val="nil"/>
            </w:tcBorders>
            <w:vAlign w:val="center"/>
          </w:tcPr>
          <w:p w14:paraId="67BF7CF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2.861</w:t>
            </w:r>
          </w:p>
        </w:tc>
        <w:tc>
          <w:tcPr>
            <w:tcW w:w="356" w:type="pct"/>
            <w:tcBorders>
              <w:top w:val="nil"/>
              <w:left w:val="nil"/>
              <w:bottom w:val="nil"/>
              <w:right w:val="nil"/>
            </w:tcBorders>
            <w:vAlign w:val="center"/>
          </w:tcPr>
          <w:p w14:paraId="21199833">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3.672</w:t>
            </w:r>
          </w:p>
        </w:tc>
        <w:tc>
          <w:tcPr>
            <w:tcW w:w="356" w:type="pct"/>
            <w:tcBorders>
              <w:top w:val="nil"/>
              <w:left w:val="nil"/>
              <w:bottom w:val="nil"/>
              <w:right w:val="nil"/>
            </w:tcBorders>
            <w:vAlign w:val="center"/>
          </w:tcPr>
          <w:p w14:paraId="1A9C92F6">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0.051</w:t>
            </w:r>
          </w:p>
        </w:tc>
        <w:tc>
          <w:tcPr>
            <w:tcW w:w="509" w:type="pct"/>
            <w:tcBorders>
              <w:top w:val="nil"/>
              <w:left w:val="nil"/>
              <w:bottom w:val="nil"/>
              <w:right w:val="nil"/>
            </w:tcBorders>
            <w:vAlign w:val="center"/>
          </w:tcPr>
          <w:p w14:paraId="02200FDB">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0.656</w:t>
            </w:r>
          </w:p>
        </w:tc>
      </w:tr>
      <w:tr w14:paraId="24EE53E8">
        <w:tc>
          <w:tcPr>
            <w:tcW w:w="260" w:type="pct"/>
            <w:tcBorders>
              <w:top w:val="nil"/>
              <w:left w:val="nil"/>
              <w:bottom w:val="nil"/>
              <w:right w:val="nil"/>
            </w:tcBorders>
            <w:vAlign w:val="center"/>
          </w:tcPr>
          <w:p w14:paraId="1E8010A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S05</w:t>
            </w:r>
          </w:p>
        </w:tc>
        <w:tc>
          <w:tcPr>
            <w:tcW w:w="355" w:type="pct"/>
            <w:tcBorders>
              <w:top w:val="nil"/>
              <w:left w:val="nil"/>
              <w:bottom w:val="nil"/>
              <w:right w:val="nil"/>
            </w:tcBorders>
            <w:vAlign w:val="center"/>
          </w:tcPr>
          <w:p w14:paraId="3B6E400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4.675</w:t>
            </w:r>
          </w:p>
        </w:tc>
        <w:tc>
          <w:tcPr>
            <w:tcW w:w="356" w:type="pct"/>
            <w:tcBorders>
              <w:top w:val="nil"/>
              <w:left w:val="nil"/>
              <w:bottom w:val="nil"/>
              <w:right w:val="nil"/>
            </w:tcBorders>
            <w:vAlign w:val="center"/>
          </w:tcPr>
          <w:p w14:paraId="766A8A4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5.705</w:t>
            </w:r>
          </w:p>
        </w:tc>
        <w:tc>
          <w:tcPr>
            <w:tcW w:w="356" w:type="pct"/>
            <w:tcBorders>
              <w:top w:val="nil"/>
              <w:left w:val="nil"/>
              <w:bottom w:val="nil"/>
              <w:right w:val="nil"/>
            </w:tcBorders>
            <w:vAlign w:val="center"/>
          </w:tcPr>
          <w:p w14:paraId="48FD4CB9">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0.326</w:t>
            </w:r>
          </w:p>
        </w:tc>
        <w:tc>
          <w:tcPr>
            <w:tcW w:w="517" w:type="pct"/>
            <w:tcBorders>
              <w:top w:val="nil"/>
              <w:left w:val="nil"/>
              <w:bottom w:val="nil"/>
              <w:right w:val="nil"/>
            </w:tcBorders>
            <w:vAlign w:val="center"/>
          </w:tcPr>
          <w:p w14:paraId="1A8BB7A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&lt;0.001</w:t>
            </w:r>
          </w:p>
        </w:tc>
        <w:tc>
          <w:tcPr>
            <w:tcW w:w="356" w:type="pct"/>
            <w:tcBorders>
              <w:top w:val="nil"/>
              <w:left w:val="nil"/>
              <w:bottom w:val="nil"/>
              <w:right w:val="nil"/>
            </w:tcBorders>
            <w:vAlign w:val="center"/>
          </w:tcPr>
          <w:p w14:paraId="36ED789C">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4.284</w:t>
            </w:r>
          </w:p>
        </w:tc>
        <w:tc>
          <w:tcPr>
            <w:tcW w:w="356" w:type="pct"/>
            <w:tcBorders>
              <w:top w:val="nil"/>
              <w:left w:val="nil"/>
              <w:bottom w:val="nil"/>
              <w:right w:val="nil"/>
            </w:tcBorders>
            <w:vAlign w:val="center"/>
          </w:tcPr>
          <w:p w14:paraId="7E263875">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5.466</w:t>
            </w:r>
          </w:p>
        </w:tc>
        <w:tc>
          <w:tcPr>
            <w:tcW w:w="356" w:type="pct"/>
            <w:tcBorders>
              <w:top w:val="nil"/>
              <w:left w:val="nil"/>
              <w:bottom w:val="nil"/>
              <w:right w:val="nil"/>
            </w:tcBorders>
            <w:vAlign w:val="center"/>
          </w:tcPr>
          <w:p w14:paraId="54DA909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0.370</w:t>
            </w:r>
          </w:p>
        </w:tc>
        <w:tc>
          <w:tcPr>
            <w:tcW w:w="511" w:type="pct"/>
            <w:tcBorders>
              <w:top w:val="nil"/>
              <w:left w:val="nil"/>
              <w:bottom w:val="nil"/>
              <w:right w:val="nil"/>
            </w:tcBorders>
            <w:vAlign w:val="center"/>
          </w:tcPr>
          <w:p w14:paraId="7DDC14A3">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&lt;0.001</w:t>
            </w:r>
          </w:p>
        </w:tc>
        <w:tc>
          <w:tcPr>
            <w:tcW w:w="356" w:type="pct"/>
            <w:tcBorders>
              <w:top w:val="nil"/>
              <w:left w:val="nil"/>
              <w:bottom w:val="nil"/>
              <w:right w:val="nil"/>
            </w:tcBorders>
            <w:vAlign w:val="center"/>
          </w:tcPr>
          <w:p w14:paraId="4B6FA127">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4.345</w:t>
            </w:r>
          </w:p>
        </w:tc>
        <w:tc>
          <w:tcPr>
            <w:tcW w:w="356" w:type="pct"/>
            <w:tcBorders>
              <w:top w:val="nil"/>
              <w:left w:val="nil"/>
              <w:bottom w:val="nil"/>
              <w:right w:val="nil"/>
            </w:tcBorders>
            <w:vAlign w:val="center"/>
          </w:tcPr>
          <w:p w14:paraId="734FD51B">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5.731</w:t>
            </w:r>
          </w:p>
        </w:tc>
        <w:tc>
          <w:tcPr>
            <w:tcW w:w="356" w:type="pct"/>
            <w:tcBorders>
              <w:top w:val="nil"/>
              <w:left w:val="nil"/>
              <w:bottom w:val="nil"/>
              <w:right w:val="nil"/>
            </w:tcBorders>
            <w:vAlign w:val="center"/>
          </w:tcPr>
          <w:p w14:paraId="3A34ECA0">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0.304</w:t>
            </w:r>
          </w:p>
        </w:tc>
        <w:tc>
          <w:tcPr>
            <w:tcW w:w="509" w:type="pct"/>
            <w:tcBorders>
              <w:top w:val="nil"/>
              <w:left w:val="nil"/>
              <w:bottom w:val="nil"/>
              <w:right w:val="nil"/>
            </w:tcBorders>
            <w:vAlign w:val="center"/>
          </w:tcPr>
          <w:p w14:paraId="0A4D2A77">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&lt;0.001</w:t>
            </w:r>
          </w:p>
        </w:tc>
      </w:tr>
      <w:tr w14:paraId="688E39B4">
        <w:tc>
          <w:tcPr>
            <w:tcW w:w="260" w:type="pct"/>
            <w:tcBorders>
              <w:top w:val="nil"/>
              <w:left w:val="nil"/>
              <w:bottom w:val="nil"/>
              <w:right w:val="nil"/>
            </w:tcBorders>
            <w:vAlign w:val="center"/>
          </w:tcPr>
          <w:p w14:paraId="3CAE0902">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S06</w:t>
            </w:r>
          </w:p>
        </w:tc>
        <w:tc>
          <w:tcPr>
            <w:tcW w:w="355" w:type="pct"/>
            <w:tcBorders>
              <w:top w:val="nil"/>
              <w:left w:val="nil"/>
              <w:bottom w:val="nil"/>
              <w:right w:val="nil"/>
            </w:tcBorders>
            <w:vAlign w:val="center"/>
          </w:tcPr>
          <w:p w14:paraId="7FEFD70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7.676</w:t>
            </w:r>
          </w:p>
        </w:tc>
        <w:tc>
          <w:tcPr>
            <w:tcW w:w="356" w:type="pct"/>
            <w:tcBorders>
              <w:top w:val="nil"/>
              <w:left w:val="nil"/>
              <w:bottom w:val="nil"/>
              <w:right w:val="nil"/>
            </w:tcBorders>
            <w:vAlign w:val="center"/>
          </w:tcPr>
          <w:p w14:paraId="09525AD0">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9.213</w:t>
            </w:r>
          </w:p>
        </w:tc>
        <w:tc>
          <w:tcPr>
            <w:tcW w:w="356" w:type="pct"/>
            <w:tcBorders>
              <w:top w:val="nil"/>
              <w:left w:val="nil"/>
              <w:bottom w:val="nil"/>
              <w:right w:val="nil"/>
            </w:tcBorders>
            <w:vAlign w:val="center"/>
          </w:tcPr>
          <w:p w14:paraId="68E70DA7">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0.506</w:t>
            </w:r>
          </w:p>
        </w:tc>
        <w:tc>
          <w:tcPr>
            <w:tcW w:w="517" w:type="pct"/>
            <w:tcBorders>
              <w:top w:val="nil"/>
              <w:left w:val="nil"/>
              <w:bottom w:val="nil"/>
              <w:right w:val="nil"/>
            </w:tcBorders>
            <w:vAlign w:val="center"/>
          </w:tcPr>
          <w:p w14:paraId="26FB331B">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&lt;0.001</w:t>
            </w:r>
          </w:p>
        </w:tc>
        <w:tc>
          <w:tcPr>
            <w:tcW w:w="356" w:type="pct"/>
            <w:tcBorders>
              <w:top w:val="nil"/>
              <w:left w:val="nil"/>
              <w:bottom w:val="nil"/>
              <w:right w:val="nil"/>
            </w:tcBorders>
            <w:vAlign w:val="center"/>
          </w:tcPr>
          <w:p w14:paraId="1775C1F7">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8.245</w:t>
            </w:r>
          </w:p>
        </w:tc>
        <w:tc>
          <w:tcPr>
            <w:tcW w:w="356" w:type="pct"/>
            <w:tcBorders>
              <w:top w:val="nil"/>
              <w:left w:val="nil"/>
              <w:bottom w:val="nil"/>
              <w:right w:val="nil"/>
            </w:tcBorders>
            <w:vAlign w:val="center"/>
          </w:tcPr>
          <w:p w14:paraId="3451F72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9.794</w:t>
            </w:r>
          </w:p>
        </w:tc>
        <w:tc>
          <w:tcPr>
            <w:tcW w:w="356" w:type="pct"/>
            <w:tcBorders>
              <w:top w:val="nil"/>
              <w:left w:val="nil"/>
              <w:bottom w:val="nil"/>
              <w:right w:val="nil"/>
            </w:tcBorders>
            <w:vAlign w:val="center"/>
          </w:tcPr>
          <w:p w14:paraId="24DD2B3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0.300</w:t>
            </w:r>
          </w:p>
        </w:tc>
        <w:tc>
          <w:tcPr>
            <w:tcW w:w="511" w:type="pct"/>
            <w:tcBorders>
              <w:top w:val="nil"/>
              <w:left w:val="nil"/>
              <w:bottom w:val="nil"/>
              <w:right w:val="nil"/>
            </w:tcBorders>
            <w:vAlign w:val="center"/>
          </w:tcPr>
          <w:p w14:paraId="4C7090A7">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0.034</w:t>
            </w:r>
          </w:p>
        </w:tc>
        <w:tc>
          <w:tcPr>
            <w:tcW w:w="356" w:type="pct"/>
            <w:tcBorders>
              <w:top w:val="nil"/>
              <w:left w:val="nil"/>
              <w:bottom w:val="nil"/>
              <w:right w:val="nil"/>
            </w:tcBorders>
            <w:vAlign w:val="center"/>
          </w:tcPr>
          <w:p w14:paraId="35DA95D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8.493</w:t>
            </w:r>
          </w:p>
        </w:tc>
        <w:tc>
          <w:tcPr>
            <w:tcW w:w="356" w:type="pct"/>
            <w:tcBorders>
              <w:top w:val="nil"/>
              <w:left w:val="nil"/>
              <w:bottom w:val="nil"/>
              <w:right w:val="nil"/>
            </w:tcBorders>
            <w:vAlign w:val="center"/>
          </w:tcPr>
          <w:p w14:paraId="2CC256F3">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10.166</w:t>
            </w:r>
          </w:p>
        </w:tc>
        <w:tc>
          <w:tcPr>
            <w:tcW w:w="356" w:type="pct"/>
            <w:tcBorders>
              <w:top w:val="nil"/>
              <w:left w:val="nil"/>
              <w:bottom w:val="nil"/>
              <w:right w:val="nil"/>
            </w:tcBorders>
            <w:vAlign w:val="center"/>
          </w:tcPr>
          <w:p w14:paraId="4F13BC8C">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0.282</w:t>
            </w:r>
          </w:p>
        </w:tc>
        <w:tc>
          <w:tcPr>
            <w:tcW w:w="509" w:type="pct"/>
            <w:tcBorders>
              <w:top w:val="nil"/>
              <w:left w:val="nil"/>
              <w:bottom w:val="nil"/>
              <w:right w:val="nil"/>
            </w:tcBorders>
            <w:vAlign w:val="center"/>
          </w:tcPr>
          <w:p w14:paraId="5E0B6CB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0.047</w:t>
            </w:r>
          </w:p>
        </w:tc>
      </w:tr>
      <w:tr w14:paraId="17BF17DE">
        <w:tc>
          <w:tcPr>
            <w:tcW w:w="260" w:type="pct"/>
            <w:tcBorders>
              <w:top w:val="nil"/>
              <w:left w:val="nil"/>
              <w:bottom w:val="single" w:color="auto" w:sz="4" w:space="0"/>
              <w:right w:val="nil"/>
            </w:tcBorders>
            <w:vAlign w:val="center"/>
          </w:tcPr>
          <w:p w14:paraId="42CEF9C0">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S07</w:t>
            </w:r>
          </w:p>
        </w:tc>
        <w:tc>
          <w:tcPr>
            <w:tcW w:w="355" w:type="pct"/>
            <w:tcBorders>
              <w:top w:val="nil"/>
              <w:left w:val="nil"/>
              <w:bottom w:val="single" w:color="auto" w:sz="4" w:space="0"/>
              <w:right w:val="nil"/>
            </w:tcBorders>
            <w:vAlign w:val="center"/>
          </w:tcPr>
          <w:p w14:paraId="709F8511">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5.224</w:t>
            </w:r>
          </w:p>
        </w:tc>
        <w:tc>
          <w:tcPr>
            <w:tcW w:w="356" w:type="pct"/>
            <w:tcBorders>
              <w:top w:val="nil"/>
              <w:left w:val="nil"/>
              <w:bottom w:val="single" w:color="auto" w:sz="4" w:space="0"/>
              <w:right w:val="nil"/>
            </w:tcBorders>
            <w:vAlign w:val="center"/>
          </w:tcPr>
          <w:p w14:paraId="63F371F6">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6.517</w:t>
            </w:r>
          </w:p>
        </w:tc>
        <w:tc>
          <w:tcPr>
            <w:tcW w:w="356" w:type="pct"/>
            <w:tcBorders>
              <w:top w:val="nil"/>
              <w:left w:val="nil"/>
              <w:bottom w:val="single" w:color="auto" w:sz="4" w:space="0"/>
              <w:right w:val="nil"/>
            </w:tcBorders>
            <w:vAlign w:val="center"/>
          </w:tcPr>
          <w:p w14:paraId="0B38B993">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0.547</w:t>
            </w:r>
          </w:p>
        </w:tc>
        <w:tc>
          <w:tcPr>
            <w:tcW w:w="517" w:type="pct"/>
            <w:tcBorders>
              <w:top w:val="nil"/>
              <w:left w:val="nil"/>
              <w:bottom w:val="single" w:color="auto" w:sz="4" w:space="0"/>
              <w:right w:val="nil"/>
            </w:tcBorders>
            <w:vAlign w:val="center"/>
          </w:tcPr>
          <w:p w14:paraId="25261577">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&lt;0.001</w:t>
            </w:r>
          </w:p>
        </w:tc>
        <w:tc>
          <w:tcPr>
            <w:tcW w:w="356" w:type="pct"/>
            <w:tcBorders>
              <w:top w:val="nil"/>
              <w:left w:val="nil"/>
              <w:bottom w:val="single" w:color="auto" w:sz="4" w:space="0"/>
              <w:right w:val="nil"/>
            </w:tcBorders>
            <w:vAlign w:val="center"/>
          </w:tcPr>
          <w:p w14:paraId="3213D184">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5.108</w:t>
            </w:r>
          </w:p>
        </w:tc>
        <w:tc>
          <w:tcPr>
            <w:tcW w:w="356" w:type="pct"/>
            <w:tcBorders>
              <w:top w:val="nil"/>
              <w:left w:val="nil"/>
              <w:bottom w:val="single" w:color="auto" w:sz="4" w:space="0"/>
              <w:right w:val="nil"/>
            </w:tcBorders>
            <w:vAlign w:val="center"/>
          </w:tcPr>
          <w:p w14:paraId="7D0B3C7A">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6.387</w:t>
            </w:r>
          </w:p>
        </w:tc>
        <w:tc>
          <w:tcPr>
            <w:tcW w:w="356" w:type="pct"/>
            <w:tcBorders>
              <w:top w:val="nil"/>
              <w:left w:val="nil"/>
              <w:bottom w:val="single" w:color="auto" w:sz="4" w:space="0"/>
              <w:right w:val="nil"/>
            </w:tcBorders>
            <w:vAlign w:val="center"/>
          </w:tcPr>
          <w:p w14:paraId="2C1645F0">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0.562</w:t>
            </w:r>
          </w:p>
        </w:tc>
        <w:tc>
          <w:tcPr>
            <w:tcW w:w="511" w:type="pct"/>
            <w:tcBorders>
              <w:top w:val="nil"/>
              <w:left w:val="nil"/>
              <w:bottom w:val="single" w:color="auto" w:sz="4" w:space="0"/>
              <w:right w:val="nil"/>
            </w:tcBorders>
            <w:vAlign w:val="center"/>
          </w:tcPr>
          <w:p w14:paraId="6B8B7C3E">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&lt;0.001</w:t>
            </w:r>
          </w:p>
        </w:tc>
        <w:tc>
          <w:tcPr>
            <w:tcW w:w="356" w:type="pct"/>
            <w:tcBorders>
              <w:top w:val="nil"/>
              <w:left w:val="nil"/>
              <w:bottom w:val="single" w:color="auto" w:sz="4" w:space="0"/>
              <w:right w:val="nil"/>
            </w:tcBorders>
            <w:vAlign w:val="center"/>
          </w:tcPr>
          <w:p w14:paraId="07F1D60F">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5.175</w:t>
            </w:r>
          </w:p>
        </w:tc>
        <w:tc>
          <w:tcPr>
            <w:tcW w:w="356" w:type="pct"/>
            <w:tcBorders>
              <w:top w:val="nil"/>
              <w:left w:val="nil"/>
              <w:bottom w:val="single" w:color="auto" w:sz="4" w:space="0"/>
              <w:right w:val="nil"/>
            </w:tcBorders>
            <w:vAlign w:val="center"/>
          </w:tcPr>
          <w:p w14:paraId="3D72712D">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6.394</w:t>
            </w:r>
          </w:p>
        </w:tc>
        <w:tc>
          <w:tcPr>
            <w:tcW w:w="356" w:type="pct"/>
            <w:tcBorders>
              <w:top w:val="nil"/>
              <w:left w:val="nil"/>
              <w:bottom w:val="single" w:color="auto" w:sz="4" w:space="0"/>
              <w:right w:val="nil"/>
            </w:tcBorders>
            <w:vAlign w:val="center"/>
          </w:tcPr>
          <w:p w14:paraId="2B6127B2">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0.433</w:t>
            </w:r>
          </w:p>
        </w:tc>
        <w:tc>
          <w:tcPr>
            <w:tcW w:w="509" w:type="pct"/>
            <w:tcBorders>
              <w:top w:val="nil"/>
              <w:left w:val="nil"/>
              <w:bottom w:val="single" w:color="auto" w:sz="4" w:space="0"/>
              <w:right w:val="nil"/>
            </w:tcBorders>
            <w:vAlign w:val="center"/>
          </w:tcPr>
          <w:p w14:paraId="41443BD7">
            <w:pPr>
              <w:widowControl/>
              <w:jc w:val="center"/>
              <w:textAlignment w:val="center"/>
              <w:rPr>
                <w:rFonts w:ascii="Times New Roman" w:hAnsi="Times New Roman"/>
                <w:color w:val="000000"/>
                <w:sz w:val="22"/>
                <w:szCs w:val="22"/>
              </w:rPr>
            </w:pPr>
            <w:r>
              <w:rPr>
                <w:rFonts w:ascii="Times New Roman" w:hAnsi="Times New Roman"/>
                <w:color w:val="000000"/>
                <w:sz w:val="22"/>
                <w:szCs w:val="22"/>
                <w:lang w:bidi="ar"/>
              </w:rPr>
              <w:t>&lt;0.001</w:t>
            </w:r>
          </w:p>
        </w:tc>
      </w:tr>
    </w:tbl>
    <w:p w14:paraId="309F898E">
      <w:pPr>
        <w:rPr>
          <w:rStyle w:val="60"/>
          <w:b/>
          <w:bCs/>
        </w:rPr>
      </w:pPr>
    </w:p>
    <w:p w14:paraId="354A4E0D">
      <w:pPr>
        <w:rPr>
          <w:rStyle w:val="34"/>
          <w:rFonts w:ascii="Times New Roman" w:hAnsi="Times New Roman"/>
          <w:b/>
          <w:bCs/>
        </w:rPr>
      </w:pPr>
      <w:bookmarkStart w:id="13" w:name="_Toc161480379"/>
      <w:r>
        <w:rPr>
          <w:rStyle w:val="34"/>
          <w:rFonts w:ascii="Times New Roman" w:hAnsi="Times New Roman"/>
          <w:b/>
          <w:bCs/>
        </w:rPr>
        <w:t>Table S1</w:t>
      </w:r>
      <w:r>
        <w:rPr>
          <w:rStyle w:val="34"/>
          <w:rFonts w:hint="eastAsia" w:ascii="Times New Roman" w:hAnsi="Times New Roman"/>
          <w:b/>
          <w:bCs/>
          <w:lang w:val="en-US"/>
        </w:rPr>
        <w:t>3</w:t>
      </w:r>
      <w:r>
        <w:rPr>
          <w:rStyle w:val="34"/>
          <w:rFonts w:ascii="Times New Roman" w:hAnsi="Times New Roman"/>
          <w:b/>
          <w:bCs/>
        </w:rPr>
        <w:t>. Brainnetome atlas</w:t>
      </w:r>
      <w:bookmarkEnd w:id="13"/>
      <w:r>
        <w:rPr>
          <w:rStyle w:val="34"/>
          <w:rFonts w:ascii="Times New Roman" w:hAnsi="Times New Roman"/>
          <w:b/>
          <w:bCs/>
        </w:rPr>
        <w:t>.</w:t>
      </w:r>
    </w:p>
    <w:p w14:paraId="7EA114D9">
      <w:pPr>
        <w:jc w:val="both"/>
        <w:rPr>
          <w:rFonts w:ascii="Times New Roman" w:hAnsi="Times New Roman"/>
          <w:lang w:bidi="ar"/>
        </w:rPr>
      </w:pPr>
      <w:r>
        <w:rPr>
          <w:rFonts w:ascii="Times New Roman" w:hAnsi="Times New Roman"/>
          <w:lang w:bidi="ar"/>
        </w:rPr>
        <w:t xml:space="preserve">The human Brainnetome Atlas was employed. The atlas was </w:t>
      </w:r>
      <w:bookmarkStart w:id="14" w:name="_Hlk156482146"/>
      <w:r>
        <w:rPr>
          <w:rFonts w:ascii="Times New Roman" w:hAnsi="Times New Roman"/>
          <w:lang w:bidi="ar"/>
        </w:rPr>
        <w:t xml:space="preserve">derived from a parcellation approach based on connectivity information and has been used in brain network studies. The atlas consists of 246 subregions in the cerebrum (210 cortical and 36 subcortical regions). </w:t>
      </w:r>
      <w:bookmarkEnd w:id="14"/>
      <w:r>
        <w:rPr>
          <w:rFonts w:ascii="Times New Roman" w:hAnsi="Times New Roman"/>
          <w:lang w:bidi="ar"/>
        </w:rPr>
        <w:t>Before we extracted the mean regional time series, any voxel with an amplitude value less than 0.05 and any area where there was no fMRI signal recorded from one or more participants was excluded from the study. This resulted in a set of 246 regional areas of the Brainnetome Atlas being included for further analysis. The detailed information of 246 regions was listed as follows.</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2"/>
        <w:gridCol w:w="1744"/>
        <w:gridCol w:w="1749"/>
        <w:gridCol w:w="754"/>
        <w:gridCol w:w="754"/>
        <w:gridCol w:w="3869"/>
        <w:gridCol w:w="1628"/>
        <w:gridCol w:w="1666"/>
      </w:tblGrid>
      <w:tr w14:paraId="613EBCCC">
        <w:trPr>
          <w:trHeight w:val="915" w:hRule="atLeast"/>
        </w:trPr>
        <w:tc>
          <w:tcPr>
            <w:tcW w:w="455" w:type="pct"/>
            <w:vAlign w:val="center"/>
          </w:tcPr>
          <w:p w14:paraId="04A9B7A8">
            <w:pPr>
              <w:jc w:val="center"/>
              <w:textAlignment w:val="center"/>
              <w:rPr>
                <w:rFonts w:ascii="Times New Roman" w:hAnsi="Times New Roman"/>
                <w:b/>
                <w:bCs/>
                <w:color w:val="000000"/>
                <w:sz w:val="22"/>
                <w:szCs w:val="22"/>
                <w:lang w:bidi="ar"/>
              </w:rPr>
            </w:pPr>
            <w:bookmarkStart w:id="15" w:name="_Hlk156553977"/>
            <w:r>
              <w:rPr>
                <w:rFonts w:ascii="Times New Roman" w:hAnsi="Times New Roman"/>
                <w:b/>
                <w:bCs/>
                <w:color w:val="000000"/>
                <w:sz w:val="22"/>
                <w:szCs w:val="22"/>
                <w:lang w:bidi="ar"/>
              </w:rPr>
              <w:t>Lobe</w:t>
            </w:r>
          </w:p>
        </w:tc>
        <w:tc>
          <w:tcPr>
            <w:tcW w:w="690" w:type="pct"/>
            <w:vAlign w:val="center"/>
          </w:tcPr>
          <w:p w14:paraId="7DF74E04">
            <w:pPr>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Gyrus</w:t>
            </w:r>
          </w:p>
        </w:tc>
        <w:tc>
          <w:tcPr>
            <w:tcW w:w="738" w:type="pct"/>
            <w:vAlign w:val="center"/>
          </w:tcPr>
          <w:p w14:paraId="1378F32E">
            <w:pPr>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Left and Right Hemisphere</w:t>
            </w:r>
          </w:p>
        </w:tc>
        <w:tc>
          <w:tcPr>
            <w:tcW w:w="335" w:type="pct"/>
            <w:vAlign w:val="center"/>
          </w:tcPr>
          <w:p w14:paraId="2215EBC7">
            <w:pPr>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Label ID.L</w:t>
            </w:r>
          </w:p>
        </w:tc>
        <w:tc>
          <w:tcPr>
            <w:tcW w:w="330" w:type="pct"/>
            <w:vAlign w:val="center"/>
          </w:tcPr>
          <w:p w14:paraId="3E02F062">
            <w:pPr>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Label ID.R</w:t>
            </w:r>
          </w:p>
        </w:tc>
        <w:tc>
          <w:tcPr>
            <w:tcW w:w="1528" w:type="pct"/>
            <w:vAlign w:val="center"/>
          </w:tcPr>
          <w:p w14:paraId="11CCB732">
            <w:pPr>
              <w:jc w:val="center"/>
              <w:textAlignment w:val="center"/>
              <w:rPr>
                <w:rFonts w:ascii="Times New Roman" w:hAnsi="Times New Roman"/>
                <w:b/>
                <w:bCs/>
                <w:color w:val="000000"/>
                <w:sz w:val="22"/>
                <w:szCs w:val="22"/>
                <w:lang w:bidi="ar"/>
              </w:rPr>
            </w:pPr>
            <w:bookmarkStart w:id="16" w:name="OLE_LINK11"/>
            <w:r>
              <w:rPr>
                <w:rFonts w:ascii="Times New Roman" w:hAnsi="Times New Roman"/>
                <w:b/>
                <w:bCs/>
                <w:color w:val="000000"/>
                <w:sz w:val="22"/>
                <w:szCs w:val="22"/>
                <w:lang w:bidi="ar"/>
              </w:rPr>
              <w:t>Anatomical and modified Cyto-architectonic descriptions</w:t>
            </w:r>
            <w:bookmarkEnd w:id="16"/>
          </w:p>
        </w:tc>
        <w:tc>
          <w:tcPr>
            <w:tcW w:w="457" w:type="pct"/>
            <w:vAlign w:val="center"/>
          </w:tcPr>
          <w:p w14:paraId="759CB999">
            <w:pPr>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lh.MNI(X,Y,Z)</w:t>
            </w:r>
          </w:p>
        </w:tc>
        <w:tc>
          <w:tcPr>
            <w:tcW w:w="467" w:type="pct"/>
            <w:vAlign w:val="center"/>
          </w:tcPr>
          <w:p w14:paraId="18892AE1">
            <w:pPr>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rh.MNI(X,Y,Z)</w:t>
            </w:r>
          </w:p>
        </w:tc>
      </w:tr>
      <w:tr w14:paraId="0B0B1D50">
        <w:trPr>
          <w:trHeight w:val="360" w:hRule="atLeast"/>
        </w:trPr>
        <w:tc>
          <w:tcPr>
            <w:tcW w:w="455" w:type="pct"/>
            <w:vMerge w:val="restart"/>
            <w:vAlign w:val="center"/>
          </w:tcPr>
          <w:p w14:paraId="3EDDCDC1">
            <w:pPr>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 xml:space="preserve">Frontal Lobe </w:t>
            </w:r>
          </w:p>
        </w:tc>
        <w:tc>
          <w:tcPr>
            <w:tcW w:w="690" w:type="pct"/>
            <w:vMerge w:val="restart"/>
            <w:vAlign w:val="center"/>
          </w:tcPr>
          <w:p w14:paraId="5E2B3150">
            <w:pPr>
              <w:jc w:val="center"/>
              <w:textAlignment w:val="center"/>
              <w:rPr>
                <w:rFonts w:ascii="Times New Roman" w:hAnsi="Times New Roman"/>
                <w:color w:val="000000"/>
                <w:sz w:val="22"/>
                <w:szCs w:val="22"/>
                <w:lang w:bidi="ar"/>
              </w:rPr>
            </w:pPr>
            <w:bookmarkStart w:id="17" w:name="RANGE!B2"/>
            <w:r>
              <w:rPr>
                <w:rFonts w:ascii="Times New Roman" w:hAnsi="Times New Roman"/>
                <w:color w:val="000000"/>
                <w:sz w:val="22"/>
                <w:szCs w:val="22"/>
                <w:lang w:bidi="ar"/>
              </w:rPr>
              <w:t xml:space="preserve">SFG, Superior Frontal Gyrus  </w:t>
            </w:r>
            <w:bookmarkEnd w:id="17"/>
          </w:p>
        </w:tc>
        <w:tc>
          <w:tcPr>
            <w:tcW w:w="738" w:type="pct"/>
            <w:vAlign w:val="center"/>
          </w:tcPr>
          <w:p w14:paraId="3A0FBFDA">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SFG_L(R)_7_1</w:t>
            </w:r>
          </w:p>
        </w:tc>
        <w:tc>
          <w:tcPr>
            <w:tcW w:w="335" w:type="pct"/>
            <w:vAlign w:val="center"/>
          </w:tcPr>
          <w:p w14:paraId="093FD65B">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w:t>
            </w:r>
          </w:p>
        </w:tc>
        <w:tc>
          <w:tcPr>
            <w:tcW w:w="330" w:type="pct"/>
            <w:vAlign w:val="center"/>
          </w:tcPr>
          <w:p w14:paraId="710F117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w:t>
            </w:r>
          </w:p>
        </w:tc>
        <w:tc>
          <w:tcPr>
            <w:tcW w:w="1528" w:type="pct"/>
            <w:vAlign w:val="center"/>
          </w:tcPr>
          <w:p w14:paraId="6A1DC2B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A8m, medial area 8</w:t>
            </w:r>
          </w:p>
        </w:tc>
        <w:tc>
          <w:tcPr>
            <w:tcW w:w="457" w:type="pct"/>
            <w:vAlign w:val="center"/>
          </w:tcPr>
          <w:p w14:paraId="12C4DC0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-5 ,15, 54 </w:t>
            </w:r>
          </w:p>
        </w:tc>
        <w:tc>
          <w:tcPr>
            <w:tcW w:w="467" w:type="pct"/>
            <w:vAlign w:val="center"/>
          </w:tcPr>
          <w:p w14:paraId="2538B1D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7, 16, 54 </w:t>
            </w:r>
          </w:p>
        </w:tc>
      </w:tr>
      <w:tr w14:paraId="4AD1B061">
        <w:trPr>
          <w:trHeight w:val="360" w:hRule="atLeast"/>
        </w:trPr>
        <w:tc>
          <w:tcPr>
            <w:tcW w:w="455" w:type="pct"/>
            <w:vMerge w:val="continue"/>
            <w:vAlign w:val="center"/>
          </w:tcPr>
          <w:p w14:paraId="44702CE0">
            <w:pPr>
              <w:jc w:val="center"/>
              <w:textAlignment w:val="center"/>
              <w:rPr>
                <w:rFonts w:ascii="Times New Roman" w:hAnsi="Times New Roman"/>
                <w:b/>
                <w:bCs/>
                <w:color w:val="000000"/>
                <w:sz w:val="22"/>
                <w:szCs w:val="22"/>
                <w:lang w:bidi="ar"/>
              </w:rPr>
            </w:pPr>
          </w:p>
        </w:tc>
        <w:tc>
          <w:tcPr>
            <w:tcW w:w="690" w:type="pct"/>
            <w:vMerge w:val="continue"/>
            <w:vAlign w:val="center"/>
          </w:tcPr>
          <w:p w14:paraId="1E766AAA">
            <w:pPr>
              <w:jc w:val="center"/>
              <w:textAlignment w:val="center"/>
              <w:rPr>
                <w:rFonts w:ascii="Times New Roman" w:hAnsi="Times New Roman"/>
                <w:color w:val="000000"/>
                <w:sz w:val="22"/>
                <w:szCs w:val="22"/>
                <w:lang w:bidi="ar"/>
              </w:rPr>
            </w:pPr>
          </w:p>
        </w:tc>
        <w:tc>
          <w:tcPr>
            <w:tcW w:w="738" w:type="pct"/>
            <w:vAlign w:val="center"/>
          </w:tcPr>
          <w:p w14:paraId="3FE6B4B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SFG_L(R)_7_2</w:t>
            </w:r>
          </w:p>
        </w:tc>
        <w:tc>
          <w:tcPr>
            <w:tcW w:w="335" w:type="pct"/>
            <w:vAlign w:val="center"/>
          </w:tcPr>
          <w:p w14:paraId="10AF3908">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3</w:t>
            </w:r>
          </w:p>
        </w:tc>
        <w:tc>
          <w:tcPr>
            <w:tcW w:w="330" w:type="pct"/>
            <w:vAlign w:val="center"/>
          </w:tcPr>
          <w:p w14:paraId="2D2BA10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4</w:t>
            </w:r>
          </w:p>
        </w:tc>
        <w:tc>
          <w:tcPr>
            <w:tcW w:w="1528" w:type="pct"/>
            <w:vAlign w:val="center"/>
          </w:tcPr>
          <w:p w14:paraId="7DCC669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A8dl, dorsolateral area 8</w:t>
            </w:r>
          </w:p>
        </w:tc>
        <w:tc>
          <w:tcPr>
            <w:tcW w:w="457" w:type="pct"/>
            <w:vAlign w:val="center"/>
          </w:tcPr>
          <w:p w14:paraId="2587EC9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-18, 24, 53 </w:t>
            </w:r>
          </w:p>
        </w:tc>
        <w:tc>
          <w:tcPr>
            <w:tcW w:w="467" w:type="pct"/>
            <w:vAlign w:val="center"/>
          </w:tcPr>
          <w:p w14:paraId="6A8D53B8">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22, 26, 51 </w:t>
            </w:r>
          </w:p>
        </w:tc>
      </w:tr>
      <w:tr w14:paraId="5EBF4335">
        <w:trPr>
          <w:trHeight w:val="360" w:hRule="atLeast"/>
        </w:trPr>
        <w:tc>
          <w:tcPr>
            <w:tcW w:w="455" w:type="pct"/>
            <w:vMerge w:val="continue"/>
            <w:vAlign w:val="center"/>
          </w:tcPr>
          <w:p w14:paraId="696860B6">
            <w:pPr>
              <w:jc w:val="center"/>
              <w:textAlignment w:val="center"/>
              <w:rPr>
                <w:rFonts w:ascii="Times New Roman" w:hAnsi="Times New Roman"/>
                <w:b/>
                <w:bCs/>
                <w:color w:val="000000"/>
                <w:sz w:val="22"/>
                <w:szCs w:val="22"/>
                <w:lang w:bidi="ar"/>
              </w:rPr>
            </w:pPr>
          </w:p>
        </w:tc>
        <w:tc>
          <w:tcPr>
            <w:tcW w:w="690" w:type="pct"/>
            <w:vMerge w:val="continue"/>
            <w:vAlign w:val="center"/>
          </w:tcPr>
          <w:p w14:paraId="64532066">
            <w:pPr>
              <w:jc w:val="center"/>
              <w:textAlignment w:val="center"/>
              <w:rPr>
                <w:rFonts w:ascii="Times New Roman" w:hAnsi="Times New Roman"/>
                <w:color w:val="000000"/>
                <w:sz w:val="22"/>
                <w:szCs w:val="22"/>
                <w:lang w:bidi="ar"/>
              </w:rPr>
            </w:pPr>
          </w:p>
        </w:tc>
        <w:tc>
          <w:tcPr>
            <w:tcW w:w="738" w:type="pct"/>
            <w:vAlign w:val="center"/>
          </w:tcPr>
          <w:p w14:paraId="640ED3A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SFG_L(R)_7_3</w:t>
            </w:r>
          </w:p>
        </w:tc>
        <w:tc>
          <w:tcPr>
            <w:tcW w:w="335" w:type="pct"/>
            <w:vAlign w:val="center"/>
          </w:tcPr>
          <w:p w14:paraId="27DB7FE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5</w:t>
            </w:r>
          </w:p>
        </w:tc>
        <w:tc>
          <w:tcPr>
            <w:tcW w:w="330" w:type="pct"/>
            <w:vAlign w:val="center"/>
          </w:tcPr>
          <w:p w14:paraId="2AC64B2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6</w:t>
            </w:r>
          </w:p>
        </w:tc>
        <w:tc>
          <w:tcPr>
            <w:tcW w:w="1528" w:type="pct"/>
            <w:vAlign w:val="center"/>
          </w:tcPr>
          <w:p w14:paraId="143F1F7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A9l, lateral area 9</w:t>
            </w:r>
          </w:p>
        </w:tc>
        <w:tc>
          <w:tcPr>
            <w:tcW w:w="457" w:type="pct"/>
            <w:vAlign w:val="center"/>
          </w:tcPr>
          <w:p w14:paraId="54A8014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-11, 49, 40 </w:t>
            </w:r>
          </w:p>
        </w:tc>
        <w:tc>
          <w:tcPr>
            <w:tcW w:w="467" w:type="pct"/>
            <w:vAlign w:val="center"/>
          </w:tcPr>
          <w:p w14:paraId="4C471A0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13, 48, 40 </w:t>
            </w:r>
          </w:p>
        </w:tc>
      </w:tr>
      <w:tr w14:paraId="5A10E676">
        <w:trPr>
          <w:trHeight w:val="360" w:hRule="atLeast"/>
        </w:trPr>
        <w:tc>
          <w:tcPr>
            <w:tcW w:w="455" w:type="pct"/>
            <w:vMerge w:val="continue"/>
            <w:vAlign w:val="center"/>
          </w:tcPr>
          <w:p w14:paraId="6A8223F7">
            <w:pPr>
              <w:jc w:val="center"/>
              <w:textAlignment w:val="center"/>
              <w:rPr>
                <w:rFonts w:ascii="Times New Roman" w:hAnsi="Times New Roman"/>
                <w:b/>
                <w:bCs/>
                <w:color w:val="000000"/>
                <w:sz w:val="22"/>
                <w:szCs w:val="22"/>
                <w:lang w:bidi="ar"/>
              </w:rPr>
            </w:pPr>
          </w:p>
        </w:tc>
        <w:tc>
          <w:tcPr>
            <w:tcW w:w="690" w:type="pct"/>
            <w:vMerge w:val="continue"/>
            <w:vAlign w:val="center"/>
          </w:tcPr>
          <w:p w14:paraId="1DAAA129">
            <w:pPr>
              <w:jc w:val="center"/>
              <w:textAlignment w:val="center"/>
              <w:rPr>
                <w:rFonts w:ascii="Times New Roman" w:hAnsi="Times New Roman"/>
                <w:color w:val="000000"/>
                <w:sz w:val="22"/>
                <w:szCs w:val="22"/>
                <w:lang w:bidi="ar"/>
              </w:rPr>
            </w:pPr>
          </w:p>
        </w:tc>
        <w:tc>
          <w:tcPr>
            <w:tcW w:w="738" w:type="pct"/>
            <w:vAlign w:val="center"/>
          </w:tcPr>
          <w:p w14:paraId="35F560F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SFG_L(R)_7_4</w:t>
            </w:r>
          </w:p>
        </w:tc>
        <w:tc>
          <w:tcPr>
            <w:tcW w:w="335" w:type="pct"/>
            <w:vAlign w:val="center"/>
          </w:tcPr>
          <w:p w14:paraId="21967B2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7</w:t>
            </w:r>
          </w:p>
        </w:tc>
        <w:tc>
          <w:tcPr>
            <w:tcW w:w="330" w:type="pct"/>
            <w:vAlign w:val="center"/>
          </w:tcPr>
          <w:p w14:paraId="24FED48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8</w:t>
            </w:r>
          </w:p>
        </w:tc>
        <w:tc>
          <w:tcPr>
            <w:tcW w:w="1528" w:type="pct"/>
            <w:vAlign w:val="center"/>
          </w:tcPr>
          <w:p w14:paraId="5F2BADE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A6dl, dorsolateral area 6</w:t>
            </w:r>
          </w:p>
        </w:tc>
        <w:tc>
          <w:tcPr>
            <w:tcW w:w="457" w:type="pct"/>
            <w:vAlign w:val="center"/>
          </w:tcPr>
          <w:p w14:paraId="29BAA07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-18, -1, 65 </w:t>
            </w:r>
          </w:p>
        </w:tc>
        <w:tc>
          <w:tcPr>
            <w:tcW w:w="467" w:type="pct"/>
            <w:vAlign w:val="center"/>
          </w:tcPr>
          <w:p w14:paraId="77AA4473">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20, 4, 64 </w:t>
            </w:r>
          </w:p>
        </w:tc>
      </w:tr>
      <w:tr w14:paraId="1BDF19DC">
        <w:trPr>
          <w:trHeight w:val="360" w:hRule="atLeast"/>
        </w:trPr>
        <w:tc>
          <w:tcPr>
            <w:tcW w:w="455" w:type="pct"/>
            <w:vMerge w:val="continue"/>
            <w:vAlign w:val="center"/>
          </w:tcPr>
          <w:p w14:paraId="55663247">
            <w:pPr>
              <w:jc w:val="center"/>
              <w:textAlignment w:val="center"/>
              <w:rPr>
                <w:rFonts w:ascii="Times New Roman" w:hAnsi="Times New Roman"/>
                <w:b/>
                <w:bCs/>
                <w:color w:val="000000"/>
                <w:sz w:val="22"/>
                <w:szCs w:val="22"/>
                <w:lang w:bidi="ar"/>
              </w:rPr>
            </w:pPr>
          </w:p>
        </w:tc>
        <w:tc>
          <w:tcPr>
            <w:tcW w:w="690" w:type="pct"/>
            <w:vMerge w:val="continue"/>
            <w:vAlign w:val="center"/>
          </w:tcPr>
          <w:p w14:paraId="4CA3BFD5">
            <w:pPr>
              <w:jc w:val="center"/>
              <w:textAlignment w:val="center"/>
              <w:rPr>
                <w:rFonts w:ascii="Times New Roman" w:hAnsi="Times New Roman"/>
                <w:color w:val="000000"/>
                <w:sz w:val="22"/>
                <w:szCs w:val="22"/>
                <w:lang w:bidi="ar"/>
              </w:rPr>
            </w:pPr>
          </w:p>
        </w:tc>
        <w:tc>
          <w:tcPr>
            <w:tcW w:w="738" w:type="pct"/>
            <w:vAlign w:val="center"/>
          </w:tcPr>
          <w:p w14:paraId="410339C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SFG_L(R)_7_5</w:t>
            </w:r>
          </w:p>
        </w:tc>
        <w:tc>
          <w:tcPr>
            <w:tcW w:w="335" w:type="pct"/>
            <w:vAlign w:val="center"/>
          </w:tcPr>
          <w:p w14:paraId="33CB5FC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9</w:t>
            </w:r>
          </w:p>
        </w:tc>
        <w:tc>
          <w:tcPr>
            <w:tcW w:w="330" w:type="pct"/>
            <w:vAlign w:val="center"/>
          </w:tcPr>
          <w:p w14:paraId="1C254343">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10</w:t>
            </w:r>
          </w:p>
        </w:tc>
        <w:tc>
          <w:tcPr>
            <w:tcW w:w="1528" w:type="pct"/>
            <w:vAlign w:val="center"/>
          </w:tcPr>
          <w:p w14:paraId="5C92142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A6m, medial area 6</w:t>
            </w:r>
          </w:p>
        </w:tc>
        <w:tc>
          <w:tcPr>
            <w:tcW w:w="457" w:type="pct"/>
            <w:vAlign w:val="center"/>
          </w:tcPr>
          <w:p w14:paraId="6B1B88C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-6, -5, 58 </w:t>
            </w:r>
          </w:p>
        </w:tc>
        <w:tc>
          <w:tcPr>
            <w:tcW w:w="467" w:type="pct"/>
            <w:vAlign w:val="center"/>
          </w:tcPr>
          <w:p w14:paraId="1A5A78F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7, -4, 60 </w:t>
            </w:r>
          </w:p>
        </w:tc>
      </w:tr>
      <w:tr w14:paraId="48869E6E">
        <w:trPr>
          <w:trHeight w:val="360" w:hRule="atLeast"/>
        </w:trPr>
        <w:tc>
          <w:tcPr>
            <w:tcW w:w="455" w:type="pct"/>
            <w:vMerge w:val="continue"/>
            <w:vAlign w:val="center"/>
          </w:tcPr>
          <w:p w14:paraId="58EFD201">
            <w:pPr>
              <w:jc w:val="center"/>
              <w:textAlignment w:val="center"/>
              <w:rPr>
                <w:rFonts w:ascii="Times New Roman" w:hAnsi="Times New Roman"/>
                <w:b/>
                <w:bCs/>
                <w:color w:val="000000"/>
                <w:sz w:val="22"/>
                <w:szCs w:val="22"/>
                <w:lang w:bidi="ar"/>
              </w:rPr>
            </w:pPr>
          </w:p>
        </w:tc>
        <w:tc>
          <w:tcPr>
            <w:tcW w:w="690" w:type="pct"/>
            <w:vMerge w:val="continue"/>
            <w:vAlign w:val="center"/>
          </w:tcPr>
          <w:p w14:paraId="03585C57">
            <w:pPr>
              <w:jc w:val="center"/>
              <w:textAlignment w:val="center"/>
              <w:rPr>
                <w:rFonts w:ascii="Times New Roman" w:hAnsi="Times New Roman"/>
                <w:color w:val="000000"/>
                <w:sz w:val="22"/>
                <w:szCs w:val="22"/>
                <w:lang w:bidi="ar"/>
              </w:rPr>
            </w:pPr>
          </w:p>
        </w:tc>
        <w:tc>
          <w:tcPr>
            <w:tcW w:w="738" w:type="pct"/>
            <w:vAlign w:val="center"/>
          </w:tcPr>
          <w:p w14:paraId="6FDB1F43">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SFG_L(R)_7_6</w:t>
            </w:r>
          </w:p>
        </w:tc>
        <w:tc>
          <w:tcPr>
            <w:tcW w:w="335" w:type="pct"/>
            <w:vAlign w:val="center"/>
          </w:tcPr>
          <w:p w14:paraId="444B4D3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11</w:t>
            </w:r>
          </w:p>
        </w:tc>
        <w:tc>
          <w:tcPr>
            <w:tcW w:w="330" w:type="pct"/>
            <w:vAlign w:val="center"/>
          </w:tcPr>
          <w:p w14:paraId="17DF1FC3">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12</w:t>
            </w:r>
          </w:p>
        </w:tc>
        <w:tc>
          <w:tcPr>
            <w:tcW w:w="1528" w:type="pct"/>
            <w:vAlign w:val="center"/>
          </w:tcPr>
          <w:p w14:paraId="65D2465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A9m, medial area 9</w:t>
            </w:r>
          </w:p>
        </w:tc>
        <w:tc>
          <w:tcPr>
            <w:tcW w:w="457" w:type="pct"/>
            <w:vAlign w:val="center"/>
          </w:tcPr>
          <w:p w14:paraId="4EE0806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-5, 36, 38 </w:t>
            </w:r>
          </w:p>
        </w:tc>
        <w:tc>
          <w:tcPr>
            <w:tcW w:w="467" w:type="pct"/>
            <w:vAlign w:val="center"/>
          </w:tcPr>
          <w:p w14:paraId="15AA7CE8">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6, 38, 35 </w:t>
            </w:r>
          </w:p>
        </w:tc>
      </w:tr>
      <w:tr w14:paraId="7B9AF3CD">
        <w:trPr>
          <w:trHeight w:val="360" w:hRule="atLeast"/>
        </w:trPr>
        <w:tc>
          <w:tcPr>
            <w:tcW w:w="455" w:type="pct"/>
            <w:vMerge w:val="continue"/>
            <w:vAlign w:val="center"/>
          </w:tcPr>
          <w:p w14:paraId="6F78CD1B">
            <w:pPr>
              <w:jc w:val="center"/>
              <w:textAlignment w:val="center"/>
              <w:rPr>
                <w:rFonts w:ascii="Times New Roman" w:hAnsi="Times New Roman"/>
                <w:b/>
                <w:bCs/>
                <w:color w:val="000000"/>
                <w:sz w:val="22"/>
                <w:szCs w:val="22"/>
                <w:lang w:bidi="ar"/>
              </w:rPr>
            </w:pPr>
          </w:p>
        </w:tc>
        <w:tc>
          <w:tcPr>
            <w:tcW w:w="690" w:type="pct"/>
            <w:vMerge w:val="continue"/>
            <w:vAlign w:val="center"/>
          </w:tcPr>
          <w:p w14:paraId="08617B46">
            <w:pPr>
              <w:jc w:val="center"/>
              <w:textAlignment w:val="center"/>
              <w:rPr>
                <w:rFonts w:ascii="Times New Roman" w:hAnsi="Times New Roman"/>
                <w:color w:val="000000"/>
                <w:sz w:val="22"/>
                <w:szCs w:val="22"/>
                <w:lang w:bidi="ar"/>
              </w:rPr>
            </w:pPr>
          </w:p>
        </w:tc>
        <w:tc>
          <w:tcPr>
            <w:tcW w:w="738" w:type="pct"/>
            <w:vAlign w:val="center"/>
          </w:tcPr>
          <w:p w14:paraId="1EC2E6A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SFG_L(R)_7_7</w:t>
            </w:r>
          </w:p>
        </w:tc>
        <w:tc>
          <w:tcPr>
            <w:tcW w:w="335" w:type="pct"/>
            <w:vAlign w:val="center"/>
          </w:tcPr>
          <w:p w14:paraId="36174D5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13</w:t>
            </w:r>
          </w:p>
        </w:tc>
        <w:tc>
          <w:tcPr>
            <w:tcW w:w="330" w:type="pct"/>
            <w:vAlign w:val="center"/>
          </w:tcPr>
          <w:p w14:paraId="36FDDC3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14</w:t>
            </w:r>
          </w:p>
        </w:tc>
        <w:tc>
          <w:tcPr>
            <w:tcW w:w="1528" w:type="pct"/>
            <w:vAlign w:val="center"/>
          </w:tcPr>
          <w:p w14:paraId="43F50D6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A10m, medial area 10</w:t>
            </w:r>
          </w:p>
        </w:tc>
        <w:tc>
          <w:tcPr>
            <w:tcW w:w="457" w:type="pct"/>
            <w:vAlign w:val="center"/>
          </w:tcPr>
          <w:p w14:paraId="2B0F2A5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-8, 56, 15 </w:t>
            </w:r>
          </w:p>
        </w:tc>
        <w:tc>
          <w:tcPr>
            <w:tcW w:w="467" w:type="pct"/>
            <w:vAlign w:val="center"/>
          </w:tcPr>
          <w:p w14:paraId="7FD7245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8, 58, 13 </w:t>
            </w:r>
          </w:p>
        </w:tc>
      </w:tr>
      <w:tr w14:paraId="09B317BA">
        <w:trPr>
          <w:trHeight w:val="360" w:hRule="atLeast"/>
        </w:trPr>
        <w:tc>
          <w:tcPr>
            <w:tcW w:w="455" w:type="pct"/>
            <w:vMerge w:val="continue"/>
            <w:vAlign w:val="center"/>
          </w:tcPr>
          <w:p w14:paraId="0287EE98">
            <w:pPr>
              <w:jc w:val="center"/>
              <w:textAlignment w:val="center"/>
              <w:rPr>
                <w:rFonts w:ascii="Times New Roman" w:hAnsi="Times New Roman"/>
                <w:b/>
                <w:bCs/>
                <w:color w:val="000000"/>
                <w:sz w:val="22"/>
                <w:szCs w:val="22"/>
                <w:lang w:bidi="ar"/>
              </w:rPr>
            </w:pPr>
          </w:p>
        </w:tc>
        <w:tc>
          <w:tcPr>
            <w:tcW w:w="690" w:type="pct"/>
            <w:vMerge w:val="restart"/>
            <w:vAlign w:val="center"/>
          </w:tcPr>
          <w:p w14:paraId="33D8FF15">
            <w:pPr>
              <w:jc w:val="center"/>
              <w:textAlignment w:val="center"/>
              <w:rPr>
                <w:rFonts w:ascii="Times New Roman" w:hAnsi="Times New Roman"/>
                <w:color w:val="000000"/>
                <w:sz w:val="22"/>
                <w:szCs w:val="22"/>
                <w:lang w:bidi="ar"/>
              </w:rPr>
            </w:pPr>
            <w:bookmarkStart w:id="18" w:name="RANGE!B9"/>
            <w:r>
              <w:rPr>
                <w:rFonts w:ascii="Times New Roman" w:hAnsi="Times New Roman"/>
                <w:color w:val="000000"/>
                <w:sz w:val="22"/>
                <w:szCs w:val="22"/>
                <w:lang w:bidi="ar"/>
              </w:rPr>
              <w:t xml:space="preserve">MFG, Middle Frontal Gyrus </w:t>
            </w:r>
            <w:bookmarkEnd w:id="18"/>
          </w:p>
        </w:tc>
        <w:tc>
          <w:tcPr>
            <w:tcW w:w="738" w:type="pct"/>
            <w:vAlign w:val="center"/>
          </w:tcPr>
          <w:p w14:paraId="26BE958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MFG_L(R)_7_1</w:t>
            </w:r>
          </w:p>
        </w:tc>
        <w:tc>
          <w:tcPr>
            <w:tcW w:w="335" w:type="pct"/>
            <w:vAlign w:val="center"/>
          </w:tcPr>
          <w:p w14:paraId="787A74A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15</w:t>
            </w:r>
          </w:p>
        </w:tc>
        <w:tc>
          <w:tcPr>
            <w:tcW w:w="330" w:type="pct"/>
            <w:vAlign w:val="center"/>
          </w:tcPr>
          <w:p w14:paraId="0CD99E4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16</w:t>
            </w:r>
          </w:p>
        </w:tc>
        <w:tc>
          <w:tcPr>
            <w:tcW w:w="1528" w:type="pct"/>
            <w:vAlign w:val="center"/>
          </w:tcPr>
          <w:p w14:paraId="139AF16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A9/46d, dorsal area 9/46</w:t>
            </w:r>
          </w:p>
        </w:tc>
        <w:tc>
          <w:tcPr>
            <w:tcW w:w="457" w:type="pct"/>
            <w:vAlign w:val="center"/>
          </w:tcPr>
          <w:p w14:paraId="3A2ABDF3">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-27, 43, 31 </w:t>
            </w:r>
          </w:p>
        </w:tc>
        <w:tc>
          <w:tcPr>
            <w:tcW w:w="467" w:type="pct"/>
            <w:vAlign w:val="center"/>
          </w:tcPr>
          <w:p w14:paraId="14C5F77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30, 37, 36 </w:t>
            </w:r>
          </w:p>
        </w:tc>
      </w:tr>
      <w:tr w14:paraId="560FADC9">
        <w:trPr>
          <w:trHeight w:val="360" w:hRule="atLeast"/>
        </w:trPr>
        <w:tc>
          <w:tcPr>
            <w:tcW w:w="455" w:type="pct"/>
            <w:vMerge w:val="continue"/>
            <w:vAlign w:val="center"/>
          </w:tcPr>
          <w:p w14:paraId="36A1F457">
            <w:pPr>
              <w:jc w:val="center"/>
              <w:textAlignment w:val="center"/>
              <w:rPr>
                <w:rFonts w:ascii="Times New Roman" w:hAnsi="Times New Roman"/>
                <w:b/>
                <w:bCs/>
                <w:color w:val="000000"/>
                <w:sz w:val="22"/>
                <w:szCs w:val="22"/>
                <w:lang w:bidi="ar"/>
              </w:rPr>
            </w:pPr>
          </w:p>
        </w:tc>
        <w:tc>
          <w:tcPr>
            <w:tcW w:w="690" w:type="pct"/>
            <w:vMerge w:val="continue"/>
            <w:vAlign w:val="center"/>
          </w:tcPr>
          <w:p w14:paraId="7E27892A">
            <w:pPr>
              <w:jc w:val="center"/>
              <w:textAlignment w:val="center"/>
              <w:rPr>
                <w:rFonts w:ascii="Times New Roman" w:hAnsi="Times New Roman"/>
                <w:color w:val="000000"/>
                <w:sz w:val="22"/>
                <w:szCs w:val="22"/>
                <w:lang w:bidi="ar"/>
              </w:rPr>
            </w:pPr>
          </w:p>
        </w:tc>
        <w:tc>
          <w:tcPr>
            <w:tcW w:w="738" w:type="pct"/>
            <w:vAlign w:val="center"/>
          </w:tcPr>
          <w:p w14:paraId="4DC60F1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MFG_L(R)_7_2</w:t>
            </w:r>
          </w:p>
        </w:tc>
        <w:tc>
          <w:tcPr>
            <w:tcW w:w="335" w:type="pct"/>
            <w:vAlign w:val="center"/>
          </w:tcPr>
          <w:p w14:paraId="423E92F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17</w:t>
            </w:r>
          </w:p>
        </w:tc>
        <w:tc>
          <w:tcPr>
            <w:tcW w:w="330" w:type="pct"/>
            <w:vAlign w:val="center"/>
          </w:tcPr>
          <w:p w14:paraId="7598055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18</w:t>
            </w:r>
          </w:p>
        </w:tc>
        <w:tc>
          <w:tcPr>
            <w:tcW w:w="1528" w:type="pct"/>
            <w:vAlign w:val="center"/>
          </w:tcPr>
          <w:p w14:paraId="6412842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IFJ, inferior frontal junction</w:t>
            </w:r>
          </w:p>
        </w:tc>
        <w:tc>
          <w:tcPr>
            <w:tcW w:w="457" w:type="pct"/>
            <w:vAlign w:val="center"/>
          </w:tcPr>
          <w:p w14:paraId="356464A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-42, 13, 36 </w:t>
            </w:r>
          </w:p>
        </w:tc>
        <w:tc>
          <w:tcPr>
            <w:tcW w:w="467" w:type="pct"/>
            <w:vAlign w:val="center"/>
          </w:tcPr>
          <w:p w14:paraId="6776DD2B">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42, 11, 39 </w:t>
            </w:r>
          </w:p>
        </w:tc>
      </w:tr>
      <w:tr w14:paraId="5246B25A">
        <w:trPr>
          <w:trHeight w:val="360" w:hRule="atLeast"/>
        </w:trPr>
        <w:tc>
          <w:tcPr>
            <w:tcW w:w="455" w:type="pct"/>
            <w:vMerge w:val="continue"/>
            <w:vAlign w:val="center"/>
          </w:tcPr>
          <w:p w14:paraId="328AD8D4">
            <w:pPr>
              <w:jc w:val="center"/>
              <w:textAlignment w:val="center"/>
              <w:rPr>
                <w:rFonts w:ascii="Times New Roman" w:hAnsi="Times New Roman"/>
                <w:b/>
                <w:bCs/>
                <w:color w:val="000000"/>
                <w:sz w:val="22"/>
                <w:szCs w:val="22"/>
                <w:lang w:bidi="ar"/>
              </w:rPr>
            </w:pPr>
          </w:p>
        </w:tc>
        <w:tc>
          <w:tcPr>
            <w:tcW w:w="690" w:type="pct"/>
            <w:vMerge w:val="continue"/>
            <w:vAlign w:val="center"/>
          </w:tcPr>
          <w:p w14:paraId="13AD0A92">
            <w:pPr>
              <w:jc w:val="center"/>
              <w:textAlignment w:val="center"/>
              <w:rPr>
                <w:rFonts w:ascii="Times New Roman" w:hAnsi="Times New Roman"/>
                <w:color w:val="000000"/>
                <w:sz w:val="22"/>
                <w:szCs w:val="22"/>
                <w:lang w:bidi="ar"/>
              </w:rPr>
            </w:pPr>
          </w:p>
        </w:tc>
        <w:tc>
          <w:tcPr>
            <w:tcW w:w="738" w:type="pct"/>
            <w:vAlign w:val="center"/>
          </w:tcPr>
          <w:p w14:paraId="707B367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MFG_L(R)_7_3</w:t>
            </w:r>
          </w:p>
        </w:tc>
        <w:tc>
          <w:tcPr>
            <w:tcW w:w="335" w:type="pct"/>
            <w:vAlign w:val="center"/>
          </w:tcPr>
          <w:p w14:paraId="41E457C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19</w:t>
            </w:r>
          </w:p>
        </w:tc>
        <w:tc>
          <w:tcPr>
            <w:tcW w:w="330" w:type="pct"/>
            <w:vAlign w:val="center"/>
          </w:tcPr>
          <w:p w14:paraId="700764B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20</w:t>
            </w:r>
          </w:p>
        </w:tc>
        <w:tc>
          <w:tcPr>
            <w:tcW w:w="1528" w:type="pct"/>
            <w:vAlign w:val="center"/>
          </w:tcPr>
          <w:p w14:paraId="66AEFBD8">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A46, area 46</w:t>
            </w:r>
          </w:p>
        </w:tc>
        <w:tc>
          <w:tcPr>
            <w:tcW w:w="457" w:type="pct"/>
            <w:vAlign w:val="center"/>
          </w:tcPr>
          <w:p w14:paraId="62007EF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-28, 56, 12 </w:t>
            </w:r>
          </w:p>
        </w:tc>
        <w:tc>
          <w:tcPr>
            <w:tcW w:w="467" w:type="pct"/>
            <w:vAlign w:val="center"/>
          </w:tcPr>
          <w:p w14:paraId="48146A8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28, 55, 17 </w:t>
            </w:r>
          </w:p>
        </w:tc>
      </w:tr>
      <w:tr w14:paraId="5EA81216">
        <w:trPr>
          <w:trHeight w:val="360" w:hRule="atLeast"/>
        </w:trPr>
        <w:tc>
          <w:tcPr>
            <w:tcW w:w="455" w:type="pct"/>
            <w:vMerge w:val="continue"/>
            <w:vAlign w:val="center"/>
          </w:tcPr>
          <w:p w14:paraId="7D34F837">
            <w:pPr>
              <w:jc w:val="center"/>
              <w:textAlignment w:val="center"/>
              <w:rPr>
                <w:rFonts w:ascii="Times New Roman" w:hAnsi="Times New Roman"/>
                <w:b/>
                <w:bCs/>
                <w:color w:val="000000"/>
                <w:sz w:val="22"/>
                <w:szCs w:val="22"/>
                <w:lang w:bidi="ar"/>
              </w:rPr>
            </w:pPr>
          </w:p>
        </w:tc>
        <w:tc>
          <w:tcPr>
            <w:tcW w:w="690" w:type="pct"/>
            <w:vMerge w:val="continue"/>
            <w:vAlign w:val="center"/>
          </w:tcPr>
          <w:p w14:paraId="742347CB">
            <w:pPr>
              <w:jc w:val="center"/>
              <w:textAlignment w:val="center"/>
              <w:rPr>
                <w:rFonts w:ascii="Times New Roman" w:hAnsi="Times New Roman"/>
                <w:color w:val="000000"/>
                <w:sz w:val="22"/>
                <w:szCs w:val="22"/>
                <w:lang w:bidi="ar"/>
              </w:rPr>
            </w:pPr>
          </w:p>
        </w:tc>
        <w:tc>
          <w:tcPr>
            <w:tcW w:w="738" w:type="pct"/>
            <w:vAlign w:val="center"/>
          </w:tcPr>
          <w:p w14:paraId="088633A8">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MFG_L(R)_7_4</w:t>
            </w:r>
          </w:p>
        </w:tc>
        <w:tc>
          <w:tcPr>
            <w:tcW w:w="335" w:type="pct"/>
            <w:vAlign w:val="center"/>
          </w:tcPr>
          <w:p w14:paraId="1F785FB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21</w:t>
            </w:r>
          </w:p>
        </w:tc>
        <w:tc>
          <w:tcPr>
            <w:tcW w:w="330" w:type="pct"/>
            <w:vAlign w:val="center"/>
          </w:tcPr>
          <w:p w14:paraId="67FCC55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22</w:t>
            </w:r>
          </w:p>
        </w:tc>
        <w:tc>
          <w:tcPr>
            <w:tcW w:w="1528" w:type="pct"/>
            <w:vAlign w:val="center"/>
          </w:tcPr>
          <w:p w14:paraId="672BC75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A9/46v, ventral area 9/46 </w:t>
            </w:r>
          </w:p>
        </w:tc>
        <w:tc>
          <w:tcPr>
            <w:tcW w:w="457" w:type="pct"/>
            <w:vAlign w:val="center"/>
          </w:tcPr>
          <w:p w14:paraId="158A3C0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-41, 41, 16 </w:t>
            </w:r>
          </w:p>
        </w:tc>
        <w:tc>
          <w:tcPr>
            <w:tcW w:w="467" w:type="pct"/>
            <w:vAlign w:val="center"/>
          </w:tcPr>
          <w:p w14:paraId="732E9F7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42, 44, 14 </w:t>
            </w:r>
          </w:p>
        </w:tc>
      </w:tr>
      <w:tr w14:paraId="0CEB2993">
        <w:trPr>
          <w:trHeight w:val="360" w:hRule="atLeast"/>
        </w:trPr>
        <w:tc>
          <w:tcPr>
            <w:tcW w:w="455" w:type="pct"/>
            <w:vMerge w:val="continue"/>
            <w:vAlign w:val="center"/>
          </w:tcPr>
          <w:p w14:paraId="70CAB406">
            <w:pPr>
              <w:jc w:val="center"/>
              <w:textAlignment w:val="center"/>
              <w:rPr>
                <w:rFonts w:ascii="Times New Roman" w:hAnsi="Times New Roman"/>
                <w:b/>
                <w:bCs/>
                <w:color w:val="000000"/>
                <w:sz w:val="22"/>
                <w:szCs w:val="22"/>
                <w:lang w:bidi="ar"/>
              </w:rPr>
            </w:pPr>
          </w:p>
        </w:tc>
        <w:tc>
          <w:tcPr>
            <w:tcW w:w="690" w:type="pct"/>
            <w:vMerge w:val="continue"/>
            <w:vAlign w:val="center"/>
          </w:tcPr>
          <w:p w14:paraId="2B6948CF">
            <w:pPr>
              <w:jc w:val="center"/>
              <w:textAlignment w:val="center"/>
              <w:rPr>
                <w:rFonts w:ascii="Times New Roman" w:hAnsi="Times New Roman"/>
                <w:color w:val="000000"/>
                <w:sz w:val="22"/>
                <w:szCs w:val="22"/>
                <w:lang w:bidi="ar"/>
              </w:rPr>
            </w:pPr>
          </w:p>
        </w:tc>
        <w:tc>
          <w:tcPr>
            <w:tcW w:w="738" w:type="pct"/>
            <w:vAlign w:val="center"/>
          </w:tcPr>
          <w:p w14:paraId="011B062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MFG_L(R)_7_5</w:t>
            </w:r>
          </w:p>
        </w:tc>
        <w:tc>
          <w:tcPr>
            <w:tcW w:w="335" w:type="pct"/>
            <w:vAlign w:val="center"/>
          </w:tcPr>
          <w:p w14:paraId="04C75DD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23</w:t>
            </w:r>
          </w:p>
        </w:tc>
        <w:tc>
          <w:tcPr>
            <w:tcW w:w="330" w:type="pct"/>
            <w:vAlign w:val="center"/>
          </w:tcPr>
          <w:p w14:paraId="6F687F0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24</w:t>
            </w:r>
          </w:p>
        </w:tc>
        <w:tc>
          <w:tcPr>
            <w:tcW w:w="1528" w:type="pct"/>
            <w:vAlign w:val="center"/>
          </w:tcPr>
          <w:p w14:paraId="16DE77D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A8vl, ventrolateral area 8</w:t>
            </w:r>
          </w:p>
        </w:tc>
        <w:tc>
          <w:tcPr>
            <w:tcW w:w="457" w:type="pct"/>
            <w:vAlign w:val="center"/>
          </w:tcPr>
          <w:p w14:paraId="6FA9099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-33, 23, 45 </w:t>
            </w:r>
          </w:p>
        </w:tc>
        <w:tc>
          <w:tcPr>
            <w:tcW w:w="467" w:type="pct"/>
            <w:vAlign w:val="center"/>
          </w:tcPr>
          <w:p w14:paraId="42E2ABF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42, 27, 39 </w:t>
            </w:r>
          </w:p>
        </w:tc>
      </w:tr>
      <w:tr w14:paraId="61928719">
        <w:trPr>
          <w:trHeight w:val="360" w:hRule="atLeast"/>
        </w:trPr>
        <w:tc>
          <w:tcPr>
            <w:tcW w:w="455" w:type="pct"/>
            <w:vMerge w:val="continue"/>
            <w:vAlign w:val="center"/>
          </w:tcPr>
          <w:p w14:paraId="34A6AAE5">
            <w:pPr>
              <w:jc w:val="center"/>
              <w:textAlignment w:val="center"/>
              <w:rPr>
                <w:rFonts w:ascii="Times New Roman" w:hAnsi="Times New Roman"/>
                <w:b/>
                <w:bCs/>
                <w:color w:val="000000"/>
                <w:sz w:val="22"/>
                <w:szCs w:val="22"/>
                <w:lang w:bidi="ar"/>
              </w:rPr>
            </w:pPr>
          </w:p>
        </w:tc>
        <w:tc>
          <w:tcPr>
            <w:tcW w:w="690" w:type="pct"/>
            <w:vMerge w:val="continue"/>
            <w:vAlign w:val="center"/>
          </w:tcPr>
          <w:p w14:paraId="78F6D965">
            <w:pPr>
              <w:jc w:val="center"/>
              <w:textAlignment w:val="center"/>
              <w:rPr>
                <w:rFonts w:ascii="Times New Roman" w:hAnsi="Times New Roman"/>
                <w:color w:val="000000"/>
                <w:sz w:val="22"/>
                <w:szCs w:val="22"/>
                <w:lang w:bidi="ar"/>
              </w:rPr>
            </w:pPr>
          </w:p>
        </w:tc>
        <w:tc>
          <w:tcPr>
            <w:tcW w:w="738" w:type="pct"/>
            <w:vAlign w:val="center"/>
          </w:tcPr>
          <w:p w14:paraId="30FEFF7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MFG_L(R)_7_6</w:t>
            </w:r>
          </w:p>
        </w:tc>
        <w:tc>
          <w:tcPr>
            <w:tcW w:w="335" w:type="pct"/>
            <w:vAlign w:val="center"/>
          </w:tcPr>
          <w:p w14:paraId="419B30C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25</w:t>
            </w:r>
          </w:p>
        </w:tc>
        <w:tc>
          <w:tcPr>
            <w:tcW w:w="330" w:type="pct"/>
            <w:vAlign w:val="center"/>
          </w:tcPr>
          <w:p w14:paraId="79AC07A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26</w:t>
            </w:r>
          </w:p>
        </w:tc>
        <w:tc>
          <w:tcPr>
            <w:tcW w:w="1528" w:type="pct"/>
            <w:vAlign w:val="center"/>
          </w:tcPr>
          <w:p w14:paraId="57AD9F8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A6vl, ventrolateral area 6</w:t>
            </w:r>
          </w:p>
        </w:tc>
        <w:tc>
          <w:tcPr>
            <w:tcW w:w="457" w:type="pct"/>
            <w:vAlign w:val="center"/>
          </w:tcPr>
          <w:p w14:paraId="3ACECC0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-32, 4, 55 </w:t>
            </w:r>
          </w:p>
        </w:tc>
        <w:tc>
          <w:tcPr>
            <w:tcW w:w="467" w:type="pct"/>
            <w:vAlign w:val="center"/>
          </w:tcPr>
          <w:p w14:paraId="2A74E56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34, 8, 54 </w:t>
            </w:r>
          </w:p>
        </w:tc>
      </w:tr>
      <w:tr w14:paraId="7252E80B">
        <w:trPr>
          <w:trHeight w:val="360" w:hRule="atLeast"/>
        </w:trPr>
        <w:tc>
          <w:tcPr>
            <w:tcW w:w="455" w:type="pct"/>
            <w:vMerge w:val="continue"/>
            <w:vAlign w:val="center"/>
          </w:tcPr>
          <w:p w14:paraId="4D55B7A0">
            <w:pPr>
              <w:jc w:val="center"/>
              <w:textAlignment w:val="center"/>
              <w:rPr>
                <w:rFonts w:ascii="Times New Roman" w:hAnsi="Times New Roman"/>
                <w:b/>
                <w:bCs/>
                <w:color w:val="000000"/>
                <w:sz w:val="22"/>
                <w:szCs w:val="22"/>
                <w:lang w:bidi="ar"/>
              </w:rPr>
            </w:pPr>
          </w:p>
        </w:tc>
        <w:tc>
          <w:tcPr>
            <w:tcW w:w="690" w:type="pct"/>
            <w:vMerge w:val="continue"/>
            <w:vAlign w:val="center"/>
          </w:tcPr>
          <w:p w14:paraId="6C726464">
            <w:pPr>
              <w:jc w:val="center"/>
              <w:textAlignment w:val="center"/>
              <w:rPr>
                <w:rFonts w:ascii="Times New Roman" w:hAnsi="Times New Roman"/>
                <w:color w:val="000000"/>
                <w:sz w:val="22"/>
                <w:szCs w:val="22"/>
                <w:lang w:bidi="ar"/>
              </w:rPr>
            </w:pPr>
          </w:p>
        </w:tc>
        <w:tc>
          <w:tcPr>
            <w:tcW w:w="738" w:type="pct"/>
            <w:vAlign w:val="center"/>
          </w:tcPr>
          <w:p w14:paraId="7B82466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MFG_L(R)_7_7</w:t>
            </w:r>
          </w:p>
        </w:tc>
        <w:tc>
          <w:tcPr>
            <w:tcW w:w="335" w:type="pct"/>
            <w:vAlign w:val="center"/>
          </w:tcPr>
          <w:p w14:paraId="4FD4348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27</w:t>
            </w:r>
          </w:p>
        </w:tc>
        <w:tc>
          <w:tcPr>
            <w:tcW w:w="330" w:type="pct"/>
            <w:vAlign w:val="center"/>
          </w:tcPr>
          <w:p w14:paraId="1AF0587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28</w:t>
            </w:r>
          </w:p>
        </w:tc>
        <w:tc>
          <w:tcPr>
            <w:tcW w:w="1528" w:type="pct"/>
            <w:vAlign w:val="center"/>
          </w:tcPr>
          <w:p w14:paraId="117FA2C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A10l, lateral area10</w:t>
            </w:r>
          </w:p>
        </w:tc>
        <w:tc>
          <w:tcPr>
            <w:tcW w:w="457" w:type="pct"/>
            <w:vAlign w:val="center"/>
          </w:tcPr>
          <w:p w14:paraId="68939CC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-26, 60, -6 </w:t>
            </w:r>
          </w:p>
        </w:tc>
        <w:tc>
          <w:tcPr>
            <w:tcW w:w="467" w:type="pct"/>
            <w:vAlign w:val="center"/>
          </w:tcPr>
          <w:p w14:paraId="01F36AC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25, 61, -4 </w:t>
            </w:r>
          </w:p>
        </w:tc>
      </w:tr>
      <w:tr w14:paraId="54EFC2C3">
        <w:trPr>
          <w:trHeight w:val="360" w:hRule="atLeast"/>
        </w:trPr>
        <w:tc>
          <w:tcPr>
            <w:tcW w:w="455" w:type="pct"/>
            <w:vMerge w:val="continue"/>
            <w:vAlign w:val="center"/>
          </w:tcPr>
          <w:p w14:paraId="719CD2D9">
            <w:pPr>
              <w:jc w:val="center"/>
              <w:textAlignment w:val="center"/>
              <w:rPr>
                <w:rFonts w:ascii="Times New Roman" w:hAnsi="Times New Roman"/>
                <w:b/>
                <w:bCs/>
                <w:color w:val="000000"/>
                <w:sz w:val="22"/>
                <w:szCs w:val="22"/>
                <w:lang w:bidi="ar"/>
              </w:rPr>
            </w:pPr>
          </w:p>
        </w:tc>
        <w:tc>
          <w:tcPr>
            <w:tcW w:w="690" w:type="pct"/>
            <w:vMerge w:val="restart"/>
            <w:vAlign w:val="center"/>
          </w:tcPr>
          <w:p w14:paraId="2851D27C">
            <w:pPr>
              <w:jc w:val="center"/>
              <w:textAlignment w:val="center"/>
              <w:rPr>
                <w:rFonts w:ascii="Times New Roman" w:hAnsi="Times New Roman"/>
                <w:color w:val="000000"/>
                <w:sz w:val="22"/>
                <w:szCs w:val="22"/>
                <w:lang w:bidi="ar"/>
              </w:rPr>
            </w:pPr>
            <w:bookmarkStart w:id="19" w:name="RANGE!F15"/>
            <w:bookmarkEnd w:id="19"/>
            <w:bookmarkStart w:id="20" w:name="RANGE!F13"/>
            <w:bookmarkEnd w:id="20"/>
            <w:bookmarkStart w:id="21" w:name="RANGE!F14"/>
            <w:bookmarkEnd w:id="21"/>
            <w:bookmarkStart w:id="22" w:name="RANGE!F10"/>
            <w:bookmarkEnd w:id="22"/>
            <w:bookmarkStart w:id="23" w:name="RANGE!B16"/>
            <w:r>
              <w:rPr>
                <w:rFonts w:ascii="Times New Roman" w:hAnsi="Times New Roman"/>
                <w:color w:val="000000"/>
                <w:sz w:val="22"/>
                <w:szCs w:val="22"/>
                <w:lang w:bidi="ar"/>
              </w:rPr>
              <w:t>IFG, Inferior Frontal Gyrus</w:t>
            </w:r>
            <w:bookmarkEnd w:id="23"/>
          </w:p>
        </w:tc>
        <w:tc>
          <w:tcPr>
            <w:tcW w:w="738" w:type="pct"/>
            <w:vAlign w:val="center"/>
          </w:tcPr>
          <w:p w14:paraId="6604981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IFG_L(R)_6_1</w:t>
            </w:r>
          </w:p>
        </w:tc>
        <w:tc>
          <w:tcPr>
            <w:tcW w:w="335" w:type="pct"/>
            <w:vAlign w:val="center"/>
          </w:tcPr>
          <w:p w14:paraId="594AA6C8">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29</w:t>
            </w:r>
          </w:p>
        </w:tc>
        <w:tc>
          <w:tcPr>
            <w:tcW w:w="330" w:type="pct"/>
            <w:vAlign w:val="center"/>
          </w:tcPr>
          <w:p w14:paraId="1FED21F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30</w:t>
            </w:r>
          </w:p>
        </w:tc>
        <w:tc>
          <w:tcPr>
            <w:tcW w:w="1528" w:type="pct"/>
            <w:vAlign w:val="center"/>
          </w:tcPr>
          <w:p w14:paraId="673DF738">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A44d, dorsal area 44</w:t>
            </w:r>
          </w:p>
        </w:tc>
        <w:tc>
          <w:tcPr>
            <w:tcW w:w="457" w:type="pct"/>
            <w:vAlign w:val="center"/>
          </w:tcPr>
          <w:p w14:paraId="4F42196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-46, 13, 24 </w:t>
            </w:r>
          </w:p>
        </w:tc>
        <w:tc>
          <w:tcPr>
            <w:tcW w:w="467" w:type="pct"/>
            <w:vAlign w:val="center"/>
          </w:tcPr>
          <w:p w14:paraId="35D55A23">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45, 16, 25 </w:t>
            </w:r>
          </w:p>
        </w:tc>
      </w:tr>
      <w:tr w14:paraId="32C77A92">
        <w:trPr>
          <w:trHeight w:val="360" w:hRule="atLeast"/>
        </w:trPr>
        <w:tc>
          <w:tcPr>
            <w:tcW w:w="455" w:type="pct"/>
            <w:vMerge w:val="continue"/>
            <w:vAlign w:val="center"/>
          </w:tcPr>
          <w:p w14:paraId="0D0F88B6">
            <w:pPr>
              <w:jc w:val="center"/>
              <w:textAlignment w:val="center"/>
              <w:rPr>
                <w:rFonts w:ascii="Times New Roman" w:hAnsi="Times New Roman"/>
                <w:b/>
                <w:bCs/>
                <w:color w:val="000000"/>
                <w:sz w:val="22"/>
                <w:szCs w:val="22"/>
                <w:lang w:bidi="ar"/>
              </w:rPr>
            </w:pPr>
          </w:p>
        </w:tc>
        <w:tc>
          <w:tcPr>
            <w:tcW w:w="690" w:type="pct"/>
            <w:vMerge w:val="continue"/>
            <w:vAlign w:val="center"/>
          </w:tcPr>
          <w:p w14:paraId="27FC67BD">
            <w:pPr>
              <w:jc w:val="center"/>
              <w:textAlignment w:val="center"/>
              <w:rPr>
                <w:rFonts w:ascii="Times New Roman" w:hAnsi="Times New Roman"/>
                <w:color w:val="000000"/>
                <w:sz w:val="22"/>
                <w:szCs w:val="22"/>
                <w:lang w:bidi="ar"/>
              </w:rPr>
            </w:pPr>
          </w:p>
        </w:tc>
        <w:tc>
          <w:tcPr>
            <w:tcW w:w="738" w:type="pct"/>
            <w:vAlign w:val="center"/>
          </w:tcPr>
          <w:p w14:paraId="19248B4A">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IFG_L(R)_6_2</w:t>
            </w:r>
          </w:p>
        </w:tc>
        <w:tc>
          <w:tcPr>
            <w:tcW w:w="335" w:type="pct"/>
            <w:vAlign w:val="center"/>
          </w:tcPr>
          <w:p w14:paraId="2A00504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31</w:t>
            </w:r>
          </w:p>
        </w:tc>
        <w:tc>
          <w:tcPr>
            <w:tcW w:w="330" w:type="pct"/>
            <w:vAlign w:val="center"/>
          </w:tcPr>
          <w:p w14:paraId="6913943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32</w:t>
            </w:r>
          </w:p>
        </w:tc>
        <w:tc>
          <w:tcPr>
            <w:tcW w:w="1528" w:type="pct"/>
            <w:vAlign w:val="center"/>
          </w:tcPr>
          <w:p w14:paraId="2F29200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IFS, inferior frontal sulcus</w:t>
            </w:r>
          </w:p>
        </w:tc>
        <w:tc>
          <w:tcPr>
            <w:tcW w:w="457" w:type="pct"/>
            <w:vAlign w:val="center"/>
          </w:tcPr>
          <w:p w14:paraId="57BF5D0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-47, 32, 14 </w:t>
            </w:r>
          </w:p>
        </w:tc>
        <w:tc>
          <w:tcPr>
            <w:tcW w:w="467" w:type="pct"/>
            <w:vAlign w:val="center"/>
          </w:tcPr>
          <w:p w14:paraId="63619CC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48, 35, 13 </w:t>
            </w:r>
          </w:p>
        </w:tc>
      </w:tr>
      <w:tr w14:paraId="3EA4623A">
        <w:trPr>
          <w:trHeight w:val="360" w:hRule="atLeast"/>
        </w:trPr>
        <w:tc>
          <w:tcPr>
            <w:tcW w:w="455" w:type="pct"/>
            <w:vMerge w:val="continue"/>
            <w:vAlign w:val="center"/>
          </w:tcPr>
          <w:p w14:paraId="29B60071">
            <w:pPr>
              <w:jc w:val="center"/>
              <w:textAlignment w:val="center"/>
              <w:rPr>
                <w:rFonts w:ascii="Times New Roman" w:hAnsi="Times New Roman"/>
                <w:b/>
                <w:bCs/>
                <w:color w:val="000000"/>
                <w:sz w:val="22"/>
                <w:szCs w:val="22"/>
                <w:lang w:bidi="ar"/>
              </w:rPr>
            </w:pPr>
          </w:p>
        </w:tc>
        <w:tc>
          <w:tcPr>
            <w:tcW w:w="690" w:type="pct"/>
            <w:vMerge w:val="continue"/>
            <w:vAlign w:val="center"/>
          </w:tcPr>
          <w:p w14:paraId="463BBAE1">
            <w:pPr>
              <w:jc w:val="center"/>
              <w:textAlignment w:val="center"/>
              <w:rPr>
                <w:rFonts w:ascii="Times New Roman" w:hAnsi="Times New Roman"/>
                <w:color w:val="000000"/>
                <w:sz w:val="22"/>
                <w:szCs w:val="22"/>
                <w:lang w:bidi="ar"/>
              </w:rPr>
            </w:pPr>
          </w:p>
        </w:tc>
        <w:tc>
          <w:tcPr>
            <w:tcW w:w="738" w:type="pct"/>
            <w:vAlign w:val="center"/>
          </w:tcPr>
          <w:p w14:paraId="7C7D1CA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IFG_L(R)_6_3</w:t>
            </w:r>
          </w:p>
        </w:tc>
        <w:tc>
          <w:tcPr>
            <w:tcW w:w="335" w:type="pct"/>
            <w:vAlign w:val="center"/>
          </w:tcPr>
          <w:p w14:paraId="66C2425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33</w:t>
            </w:r>
          </w:p>
        </w:tc>
        <w:tc>
          <w:tcPr>
            <w:tcW w:w="330" w:type="pct"/>
            <w:vAlign w:val="center"/>
          </w:tcPr>
          <w:p w14:paraId="4577B24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34</w:t>
            </w:r>
          </w:p>
        </w:tc>
        <w:tc>
          <w:tcPr>
            <w:tcW w:w="1528" w:type="pct"/>
            <w:vAlign w:val="center"/>
          </w:tcPr>
          <w:p w14:paraId="1BFF7A9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A45c, caudal area 45</w:t>
            </w:r>
          </w:p>
        </w:tc>
        <w:tc>
          <w:tcPr>
            <w:tcW w:w="457" w:type="pct"/>
            <w:vAlign w:val="center"/>
          </w:tcPr>
          <w:p w14:paraId="330E545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-53, 23, 11 </w:t>
            </w:r>
          </w:p>
        </w:tc>
        <w:tc>
          <w:tcPr>
            <w:tcW w:w="467" w:type="pct"/>
            <w:vAlign w:val="center"/>
          </w:tcPr>
          <w:p w14:paraId="47C72A08">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54, 24, 12 </w:t>
            </w:r>
          </w:p>
        </w:tc>
      </w:tr>
      <w:tr w14:paraId="36CADB8C">
        <w:trPr>
          <w:trHeight w:val="360" w:hRule="atLeast"/>
        </w:trPr>
        <w:tc>
          <w:tcPr>
            <w:tcW w:w="455" w:type="pct"/>
            <w:vMerge w:val="continue"/>
            <w:vAlign w:val="center"/>
          </w:tcPr>
          <w:p w14:paraId="4359256F">
            <w:pPr>
              <w:jc w:val="center"/>
              <w:textAlignment w:val="center"/>
              <w:rPr>
                <w:rFonts w:ascii="Times New Roman" w:hAnsi="Times New Roman"/>
                <w:b/>
                <w:bCs/>
                <w:color w:val="000000"/>
                <w:sz w:val="22"/>
                <w:szCs w:val="22"/>
                <w:lang w:bidi="ar"/>
              </w:rPr>
            </w:pPr>
          </w:p>
        </w:tc>
        <w:tc>
          <w:tcPr>
            <w:tcW w:w="690" w:type="pct"/>
            <w:vMerge w:val="continue"/>
            <w:vAlign w:val="center"/>
          </w:tcPr>
          <w:p w14:paraId="4DFDEF69">
            <w:pPr>
              <w:jc w:val="center"/>
              <w:textAlignment w:val="center"/>
              <w:rPr>
                <w:rFonts w:ascii="Times New Roman" w:hAnsi="Times New Roman"/>
                <w:color w:val="000000"/>
                <w:sz w:val="22"/>
                <w:szCs w:val="22"/>
                <w:lang w:bidi="ar"/>
              </w:rPr>
            </w:pPr>
          </w:p>
        </w:tc>
        <w:tc>
          <w:tcPr>
            <w:tcW w:w="738" w:type="pct"/>
            <w:vAlign w:val="center"/>
          </w:tcPr>
          <w:p w14:paraId="21D6720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IFG_L(R)_6_4</w:t>
            </w:r>
          </w:p>
        </w:tc>
        <w:tc>
          <w:tcPr>
            <w:tcW w:w="335" w:type="pct"/>
            <w:vAlign w:val="center"/>
          </w:tcPr>
          <w:p w14:paraId="3AE22D9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35</w:t>
            </w:r>
          </w:p>
        </w:tc>
        <w:tc>
          <w:tcPr>
            <w:tcW w:w="330" w:type="pct"/>
            <w:vAlign w:val="center"/>
          </w:tcPr>
          <w:p w14:paraId="11FB138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36</w:t>
            </w:r>
          </w:p>
        </w:tc>
        <w:tc>
          <w:tcPr>
            <w:tcW w:w="1528" w:type="pct"/>
            <w:vAlign w:val="center"/>
          </w:tcPr>
          <w:p w14:paraId="6828110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A45r, rostral area 45</w:t>
            </w:r>
          </w:p>
        </w:tc>
        <w:tc>
          <w:tcPr>
            <w:tcW w:w="457" w:type="pct"/>
            <w:vAlign w:val="center"/>
          </w:tcPr>
          <w:p w14:paraId="6423341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-49, 36, -3 </w:t>
            </w:r>
          </w:p>
        </w:tc>
        <w:tc>
          <w:tcPr>
            <w:tcW w:w="467" w:type="pct"/>
            <w:vAlign w:val="center"/>
          </w:tcPr>
          <w:p w14:paraId="3591D5FB">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51, 36, -1 </w:t>
            </w:r>
          </w:p>
        </w:tc>
      </w:tr>
      <w:tr w14:paraId="178CC9D3">
        <w:trPr>
          <w:trHeight w:val="360" w:hRule="atLeast"/>
        </w:trPr>
        <w:tc>
          <w:tcPr>
            <w:tcW w:w="455" w:type="pct"/>
            <w:vMerge w:val="continue"/>
            <w:vAlign w:val="center"/>
          </w:tcPr>
          <w:p w14:paraId="1F5549C7">
            <w:pPr>
              <w:jc w:val="center"/>
              <w:textAlignment w:val="center"/>
              <w:rPr>
                <w:rFonts w:ascii="Times New Roman" w:hAnsi="Times New Roman"/>
                <w:b/>
                <w:bCs/>
                <w:color w:val="000000"/>
                <w:sz w:val="22"/>
                <w:szCs w:val="22"/>
                <w:lang w:bidi="ar"/>
              </w:rPr>
            </w:pPr>
          </w:p>
        </w:tc>
        <w:tc>
          <w:tcPr>
            <w:tcW w:w="690" w:type="pct"/>
            <w:vMerge w:val="continue"/>
            <w:vAlign w:val="center"/>
          </w:tcPr>
          <w:p w14:paraId="25FC0873">
            <w:pPr>
              <w:jc w:val="center"/>
              <w:textAlignment w:val="center"/>
              <w:rPr>
                <w:rFonts w:ascii="Times New Roman" w:hAnsi="Times New Roman"/>
                <w:color w:val="000000"/>
                <w:sz w:val="22"/>
                <w:szCs w:val="22"/>
                <w:lang w:bidi="ar"/>
              </w:rPr>
            </w:pPr>
          </w:p>
        </w:tc>
        <w:tc>
          <w:tcPr>
            <w:tcW w:w="738" w:type="pct"/>
            <w:vAlign w:val="center"/>
          </w:tcPr>
          <w:p w14:paraId="50DCDD3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IFG_L(R)_6_5</w:t>
            </w:r>
          </w:p>
        </w:tc>
        <w:tc>
          <w:tcPr>
            <w:tcW w:w="335" w:type="pct"/>
            <w:vAlign w:val="center"/>
          </w:tcPr>
          <w:p w14:paraId="44209FF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37</w:t>
            </w:r>
          </w:p>
        </w:tc>
        <w:tc>
          <w:tcPr>
            <w:tcW w:w="330" w:type="pct"/>
            <w:vAlign w:val="center"/>
          </w:tcPr>
          <w:p w14:paraId="32A4A32A">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38</w:t>
            </w:r>
          </w:p>
        </w:tc>
        <w:tc>
          <w:tcPr>
            <w:tcW w:w="1528" w:type="pct"/>
            <w:vAlign w:val="center"/>
          </w:tcPr>
          <w:p w14:paraId="7114481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A44op, opercular area 44</w:t>
            </w:r>
          </w:p>
        </w:tc>
        <w:tc>
          <w:tcPr>
            <w:tcW w:w="457" w:type="pct"/>
            <w:vAlign w:val="center"/>
          </w:tcPr>
          <w:p w14:paraId="321E7F4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-39, 23, 4 </w:t>
            </w:r>
          </w:p>
        </w:tc>
        <w:tc>
          <w:tcPr>
            <w:tcW w:w="467" w:type="pct"/>
            <w:vAlign w:val="center"/>
          </w:tcPr>
          <w:p w14:paraId="5705E0C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42, 22, 3 </w:t>
            </w:r>
          </w:p>
        </w:tc>
      </w:tr>
      <w:tr w14:paraId="764C73D9">
        <w:trPr>
          <w:trHeight w:val="360" w:hRule="atLeast"/>
        </w:trPr>
        <w:tc>
          <w:tcPr>
            <w:tcW w:w="455" w:type="pct"/>
            <w:vMerge w:val="continue"/>
            <w:vAlign w:val="center"/>
          </w:tcPr>
          <w:p w14:paraId="0F27587B">
            <w:pPr>
              <w:jc w:val="center"/>
              <w:textAlignment w:val="center"/>
              <w:rPr>
                <w:rFonts w:ascii="Times New Roman" w:hAnsi="Times New Roman"/>
                <w:b/>
                <w:bCs/>
                <w:color w:val="000000"/>
                <w:sz w:val="22"/>
                <w:szCs w:val="22"/>
                <w:lang w:bidi="ar"/>
              </w:rPr>
            </w:pPr>
          </w:p>
        </w:tc>
        <w:tc>
          <w:tcPr>
            <w:tcW w:w="690" w:type="pct"/>
            <w:vMerge w:val="continue"/>
            <w:vAlign w:val="center"/>
          </w:tcPr>
          <w:p w14:paraId="737A1C54">
            <w:pPr>
              <w:jc w:val="center"/>
              <w:textAlignment w:val="center"/>
              <w:rPr>
                <w:rFonts w:ascii="Times New Roman" w:hAnsi="Times New Roman"/>
                <w:color w:val="000000"/>
                <w:sz w:val="22"/>
                <w:szCs w:val="22"/>
                <w:lang w:bidi="ar"/>
              </w:rPr>
            </w:pPr>
          </w:p>
        </w:tc>
        <w:tc>
          <w:tcPr>
            <w:tcW w:w="738" w:type="pct"/>
            <w:vAlign w:val="center"/>
          </w:tcPr>
          <w:p w14:paraId="2E9DC4D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IFG_L(R)_6_6</w:t>
            </w:r>
          </w:p>
        </w:tc>
        <w:tc>
          <w:tcPr>
            <w:tcW w:w="335" w:type="pct"/>
            <w:vAlign w:val="center"/>
          </w:tcPr>
          <w:p w14:paraId="75945AF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39</w:t>
            </w:r>
          </w:p>
        </w:tc>
        <w:tc>
          <w:tcPr>
            <w:tcW w:w="330" w:type="pct"/>
            <w:vAlign w:val="center"/>
          </w:tcPr>
          <w:p w14:paraId="5772BC2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40</w:t>
            </w:r>
          </w:p>
        </w:tc>
        <w:tc>
          <w:tcPr>
            <w:tcW w:w="1528" w:type="pct"/>
            <w:vAlign w:val="center"/>
          </w:tcPr>
          <w:p w14:paraId="67A8F8E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A44v, ventral area 44</w:t>
            </w:r>
          </w:p>
        </w:tc>
        <w:tc>
          <w:tcPr>
            <w:tcW w:w="457" w:type="pct"/>
            <w:vAlign w:val="center"/>
          </w:tcPr>
          <w:p w14:paraId="5861ED3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-52, 13, 6 </w:t>
            </w:r>
          </w:p>
        </w:tc>
        <w:tc>
          <w:tcPr>
            <w:tcW w:w="467" w:type="pct"/>
            <w:vAlign w:val="center"/>
          </w:tcPr>
          <w:p w14:paraId="3FD555E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54, 14, 11 </w:t>
            </w:r>
          </w:p>
        </w:tc>
      </w:tr>
      <w:tr w14:paraId="59D4D6D6">
        <w:trPr>
          <w:trHeight w:val="360" w:hRule="atLeast"/>
        </w:trPr>
        <w:tc>
          <w:tcPr>
            <w:tcW w:w="455" w:type="pct"/>
            <w:vMerge w:val="continue"/>
            <w:vAlign w:val="center"/>
          </w:tcPr>
          <w:p w14:paraId="6E05473D">
            <w:pPr>
              <w:jc w:val="center"/>
              <w:textAlignment w:val="center"/>
              <w:rPr>
                <w:rFonts w:ascii="Times New Roman" w:hAnsi="Times New Roman"/>
                <w:b/>
                <w:bCs/>
                <w:color w:val="000000"/>
                <w:sz w:val="22"/>
                <w:szCs w:val="22"/>
                <w:lang w:bidi="ar"/>
              </w:rPr>
            </w:pPr>
          </w:p>
        </w:tc>
        <w:tc>
          <w:tcPr>
            <w:tcW w:w="690" w:type="pct"/>
            <w:vMerge w:val="restart"/>
            <w:vAlign w:val="center"/>
          </w:tcPr>
          <w:p w14:paraId="5B8ACF4B">
            <w:pPr>
              <w:jc w:val="center"/>
              <w:textAlignment w:val="center"/>
              <w:rPr>
                <w:rFonts w:ascii="Times New Roman" w:hAnsi="Times New Roman"/>
                <w:color w:val="000000"/>
                <w:sz w:val="22"/>
                <w:szCs w:val="22"/>
                <w:lang w:bidi="ar"/>
              </w:rPr>
            </w:pPr>
            <w:bookmarkStart w:id="24" w:name="RANGE!B22"/>
            <w:r>
              <w:rPr>
                <w:rFonts w:ascii="Times New Roman" w:hAnsi="Times New Roman"/>
                <w:color w:val="000000"/>
                <w:sz w:val="22"/>
                <w:szCs w:val="22"/>
                <w:lang w:bidi="ar"/>
              </w:rPr>
              <w:t>OrG, Orbital Gyrus</w:t>
            </w:r>
            <w:bookmarkEnd w:id="24"/>
          </w:p>
        </w:tc>
        <w:tc>
          <w:tcPr>
            <w:tcW w:w="738" w:type="pct"/>
            <w:vAlign w:val="center"/>
          </w:tcPr>
          <w:p w14:paraId="773F4BE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OrG_L(R)_6_1</w:t>
            </w:r>
          </w:p>
        </w:tc>
        <w:tc>
          <w:tcPr>
            <w:tcW w:w="335" w:type="pct"/>
            <w:vAlign w:val="center"/>
          </w:tcPr>
          <w:p w14:paraId="524EFC8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41</w:t>
            </w:r>
          </w:p>
        </w:tc>
        <w:tc>
          <w:tcPr>
            <w:tcW w:w="330" w:type="pct"/>
            <w:vAlign w:val="center"/>
          </w:tcPr>
          <w:p w14:paraId="3B3BE3A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42</w:t>
            </w:r>
          </w:p>
        </w:tc>
        <w:tc>
          <w:tcPr>
            <w:tcW w:w="1528" w:type="pct"/>
            <w:vAlign w:val="center"/>
          </w:tcPr>
          <w:p w14:paraId="039A22A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A14m, medial area 14</w:t>
            </w:r>
          </w:p>
        </w:tc>
        <w:tc>
          <w:tcPr>
            <w:tcW w:w="457" w:type="pct"/>
            <w:vAlign w:val="center"/>
          </w:tcPr>
          <w:p w14:paraId="4B2FA94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-7, 54, -7 </w:t>
            </w:r>
          </w:p>
        </w:tc>
        <w:tc>
          <w:tcPr>
            <w:tcW w:w="467" w:type="pct"/>
            <w:vAlign w:val="center"/>
          </w:tcPr>
          <w:p w14:paraId="7E7E998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6, 47, -7 </w:t>
            </w:r>
          </w:p>
        </w:tc>
      </w:tr>
      <w:tr w14:paraId="3BC45C6E">
        <w:trPr>
          <w:trHeight w:val="360" w:hRule="atLeast"/>
        </w:trPr>
        <w:tc>
          <w:tcPr>
            <w:tcW w:w="455" w:type="pct"/>
            <w:vMerge w:val="continue"/>
            <w:vAlign w:val="center"/>
          </w:tcPr>
          <w:p w14:paraId="5542C740">
            <w:pPr>
              <w:jc w:val="center"/>
              <w:textAlignment w:val="center"/>
              <w:rPr>
                <w:rFonts w:ascii="Times New Roman" w:hAnsi="Times New Roman"/>
                <w:b/>
                <w:bCs/>
                <w:color w:val="000000"/>
                <w:sz w:val="22"/>
                <w:szCs w:val="22"/>
                <w:lang w:bidi="ar"/>
              </w:rPr>
            </w:pPr>
          </w:p>
        </w:tc>
        <w:tc>
          <w:tcPr>
            <w:tcW w:w="690" w:type="pct"/>
            <w:vMerge w:val="continue"/>
            <w:vAlign w:val="center"/>
          </w:tcPr>
          <w:p w14:paraId="7DE2D796">
            <w:pPr>
              <w:jc w:val="center"/>
              <w:textAlignment w:val="center"/>
              <w:rPr>
                <w:rFonts w:ascii="Times New Roman" w:hAnsi="Times New Roman"/>
                <w:color w:val="000000"/>
                <w:sz w:val="22"/>
                <w:szCs w:val="22"/>
                <w:lang w:bidi="ar"/>
              </w:rPr>
            </w:pPr>
          </w:p>
        </w:tc>
        <w:tc>
          <w:tcPr>
            <w:tcW w:w="738" w:type="pct"/>
            <w:vAlign w:val="center"/>
          </w:tcPr>
          <w:p w14:paraId="0275809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OrG_L(R)_6_2</w:t>
            </w:r>
          </w:p>
        </w:tc>
        <w:tc>
          <w:tcPr>
            <w:tcW w:w="335" w:type="pct"/>
            <w:vAlign w:val="center"/>
          </w:tcPr>
          <w:p w14:paraId="70D203E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43</w:t>
            </w:r>
          </w:p>
        </w:tc>
        <w:tc>
          <w:tcPr>
            <w:tcW w:w="330" w:type="pct"/>
            <w:vAlign w:val="center"/>
          </w:tcPr>
          <w:p w14:paraId="43EBBA5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44</w:t>
            </w:r>
          </w:p>
        </w:tc>
        <w:tc>
          <w:tcPr>
            <w:tcW w:w="1528" w:type="pct"/>
            <w:vAlign w:val="center"/>
          </w:tcPr>
          <w:p w14:paraId="45585FD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A12/47o, orbital area 12/47</w:t>
            </w:r>
          </w:p>
        </w:tc>
        <w:tc>
          <w:tcPr>
            <w:tcW w:w="457" w:type="pct"/>
            <w:vAlign w:val="center"/>
          </w:tcPr>
          <w:p w14:paraId="6A628D5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-36, 33, -16 </w:t>
            </w:r>
          </w:p>
        </w:tc>
        <w:tc>
          <w:tcPr>
            <w:tcW w:w="467" w:type="pct"/>
            <w:vAlign w:val="center"/>
          </w:tcPr>
          <w:p w14:paraId="61D4CCD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40, 39, -14 </w:t>
            </w:r>
          </w:p>
        </w:tc>
      </w:tr>
      <w:tr w14:paraId="7FE26F87">
        <w:trPr>
          <w:trHeight w:val="360" w:hRule="atLeast"/>
        </w:trPr>
        <w:tc>
          <w:tcPr>
            <w:tcW w:w="455" w:type="pct"/>
            <w:vMerge w:val="continue"/>
            <w:vAlign w:val="center"/>
          </w:tcPr>
          <w:p w14:paraId="771AC47F">
            <w:pPr>
              <w:jc w:val="center"/>
              <w:textAlignment w:val="center"/>
              <w:rPr>
                <w:rFonts w:ascii="Times New Roman" w:hAnsi="Times New Roman"/>
                <w:b/>
                <w:bCs/>
                <w:color w:val="000000"/>
                <w:sz w:val="22"/>
                <w:szCs w:val="22"/>
                <w:lang w:bidi="ar"/>
              </w:rPr>
            </w:pPr>
          </w:p>
        </w:tc>
        <w:tc>
          <w:tcPr>
            <w:tcW w:w="690" w:type="pct"/>
            <w:vMerge w:val="continue"/>
            <w:vAlign w:val="center"/>
          </w:tcPr>
          <w:p w14:paraId="58F1227D">
            <w:pPr>
              <w:jc w:val="center"/>
              <w:textAlignment w:val="center"/>
              <w:rPr>
                <w:rFonts w:ascii="Times New Roman" w:hAnsi="Times New Roman"/>
                <w:color w:val="000000"/>
                <w:sz w:val="22"/>
                <w:szCs w:val="22"/>
                <w:lang w:bidi="ar"/>
              </w:rPr>
            </w:pPr>
          </w:p>
        </w:tc>
        <w:tc>
          <w:tcPr>
            <w:tcW w:w="738" w:type="pct"/>
            <w:vAlign w:val="center"/>
          </w:tcPr>
          <w:p w14:paraId="35C4F40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OrG_L(R)_6_3</w:t>
            </w:r>
          </w:p>
        </w:tc>
        <w:tc>
          <w:tcPr>
            <w:tcW w:w="335" w:type="pct"/>
            <w:vAlign w:val="center"/>
          </w:tcPr>
          <w:p w14:paraId="5FD333A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45</w:t>
            </w:r>
          </w:p>
        </w:tc>
        <w:tc>
          <w:tcPr>
            <w:tcW w:w="330" w:type="pct"/>
            <w:vAlign w:val="center"/>
          </w:tcPr>
          <w:p w14:paraId="44711F2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46</w:t>
            </w:r>
          </w:p>
        </w:tc>
        <w:tc>
          <w:tcPr>
            <w:tcW w:w="1528" w:type="pct"/>
            <w:vAlign w:val="center"/>
          </w:tcPr>
          <w:p w14:paraId="42C3F4D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A11l, lateral area 11</w:t>
            </w:r>
          </w:p>
        </w:tc>
        <w:tc>
          <w:tcPr>
            <w:tcW w:w="457" w:type="pct"/>
            <w:vAlign w:val="center"/>
          </w:tcPr>
          <w:p w14:paraId="7294399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-23, 38, -18 </w:t>
            </w:r>
          </w:p>
        </w:tc>
        <w:tc>
          <w:tcPr>
            <w:tcW w:w="467" w:type="pct"/>
            <w:vAlign w:val="center"/>
          </w:tcPr>
          <w:p w14:paraId="3B712D4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23, 36, -18 </w:t>
            </w:r>
          </w:p>
        </w:tc>
      </w:tr>
      <w:tr w14:paraId="6C7B9D75">
        <w:trPr>
          <w:trHeight w:val="360" w:hRule="atLeast"/>
        </w:trPr>
        <w:tc>
          <w:tcPr>
            <w:tcW w:w="455" w:type="pct"/>
            <w:vMerge w:val="continue"/>
            <w:vAlign w:val="center"/>
          </w:tcPr>
          <w:p w14:paraId="2CDD887A">
            <w:pPr>
              <w:jc w:val="center"/>
              <w:textAlignment w:val="center"/>
              <w:rPr>
                <w:rFonts w:ascii="Times New Roman" w:hAnsi="Times New Roman"/>
                <w:b/>
                <w:bCs/>
                <w:color w:val="000000"/>
                <w:sz w:val="22"/>
                <w:szCs w:val="22"/>
                <w:lang w:bidi="ar"/>
              </w:rPr>
            </w:pPr>
          </w:p>
        </w:tc>
        <w:tc>
          <w:tcPr>
            <w:tcW w:w="690" w:type="pct"/>
            <w:vMerge w:val="continue"/>
            <w:vAlign w:val="center"/>
          </w:tcPr>
          <w:p w14:paraId="49C982AB">
            <w:pPr>
              <w:jc w:val="center"/>
              <w:textAlignment w:val="center"/>
              <w:rPr>
                <w:rFonts w:ascii="Times New Roman" w:hAnsi="Times New Roman"/>
                <w:color w:val="000000"/>
                <w:sz w:val="22"/>
                <w:szCs w:val="22"/>
                <w:lang w:bidi="ar"/>
              </w:rPr>
            </w:pPr>
          </w:p>
        </w:tc>
        <w:tc>
          <w:tcPr>
            <w:tcW w:w="738" w:type="pct"/>
            <w:vAlign w:val="center"/>
          </w:tcPr>
          <w:p w14:paraId="52A6A58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OrG_L(R)_6_4</w:t>
            </w:r>
          </w:p>
        </w:tc>
        <w:tc>
          <w:tcPr>
            <w:tcW w:w="335" w:type="pct"/>
            <w:vAlign w:val="center"/>
          </w:tcPr>
          <w:p w14:paraId="5E27EEF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47</w:t>
            </w:r>
          </w:p>
        </w:tc>
        <w:tc>
          <w:tcPr>
            <w:tcW w:w="330" w:type="pct"/>
            <w:vAlign w:val="center"/>
          </w:tcPr>
          <w:p w14:paraId="3D08A22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48</w:t>
            </w:r>
          </w:p>
        </w:tc>
        <w:tc>
          <w:tcPr>
            <w:tcW w:w="1528" w:type="pct"/>
            <w:vAlign w:val="center"/>
          </w:tcPr>
          <w:p w14:paraId="0F40784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A11m, medial area 11</w:t>
            </w:r>
          </w:p>
        </w:tc>
        <w:tc>
          <w:tcPr>
            <w:tcW w:w="457" w:type="pct"/>
            <w:vAlign w:val="center"/>
          </w:tcPr>
          <w:p w14:paraId="3752D65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-6, 52, -19 </w:t>
            </w:r>
          </w:p>
        </w:tc>
        <w:tc>
          <w:tcPr>
            <w:tcW w:w="467" w:type="pct"/>
            <w:vAlign w:val="center"/>
          </w:tcPr>
          <w:p w14:paraId="7FF4C6C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6, 57, -16 </w:t>
            </w:r>
          </w:p>
        </w:tc>
      </w:tr>
      <w:tr w14:paraId="58B9B4F7">
        <w:trPr>
          <w:trHeight w:val="360" w:hRule="atLeast"/>
        </w:trPr>
        <w:tc>
          <w:tcPr>
            <w:tcW w:w="455" w:type="pct"/>
            <w:vMerge w:val="continue"/>
            <w:vAlign w:val="center"/>
          </w:tcPr>
          <w:p w14:paraId="5D547C6D">
            <w:pPr>
              <w:jc w:val="center"/>
              <w:textAlignment w:val="center"/>
              <w:rPr>
                <w:rFonts w:ascii="Times New Roman" w:hAnsi="Times New Roman"/>
                <w:b/>
                <w:bCs/>
                <w:color w:val="000000"/>
                <w:sz w:val="22"/>
                <w:szCs w:val="22"/>
                <w:lang w:bidi="ar"/>
              </w:rPr>
            </w:pPr>
          </w:p>
        </w:tc>
        <w:tc>
          <w:tcPr>
            <w:tcW w:w="690" w:type="pct"/>
            <w:vMerge w:val="continue"/>
            <w:vAlign w:val="center"/>
          </w:tcPr>
          <w:p w14:paraId="0D36433C">
            <w:pPr>
              <w:jc w:val="center"/>
              <w:textAlignment w:val="center"/>
              <w:rPr>
                <w:rFonts w:ascii="Times New Roman" w:hAnsi="Times New Roman"/>
                <w:color w:val="000000"/>
                <w:sz w:val="22"/>
                <w:szCs w:val="22"/>
                <w:lang w:bidi="ar"/>
              </w:rPr>
            </w:pPr>
          </w:p>
        </w:tc>
        <w:tc>
          <w:tcPr>
            <w:tcW w:w="738" w:type="pct"/>
            <w:vAlign w:val="center"/>
          </w:tcPr>
          <w:p w14:paraId="75BDFBE8">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OrG_L(R)_6_5</w:t>
            </w:r>
          </w:p>
        </w:tc>
        <w:tc>
          <w:tcPr>
            <w:tcW w:w="335" w:type="pct"/>
            <w:vAlign w:val="center"/>
          </w:tcPr>
          <w:p w14:paraId="1475EC7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49</w:t>
            </w:r>
          </w:p>
        </w:tc>
        <w:tc>
          <w:tcPr>
            <w:tcW w:w="330" w:type="pct"/>
            <w:vAlign w:val="center"/>
          </w:tcPr>
          <w:p w14:paraId="0AFC79F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50</w:t>
            </w:r>
          </w:p>
        </w:tc>
        <w:tc>
          <w:tcPr>
            <w:tcW w:w="1528" w:type="pct"/>
            <w:vAlign w:val="center"/>
          </w:tcPr>
          <w:p w14:paraId="12DF436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A13, area 13</w:t>
            </w:r>
          </w:p>
        </w:tc>
        <w:tc>
          <w:tcPr>
            <w:tcW w:w="457" w:type="pct"/>
            <w:vAlign w:val="center"/>
          </w:tcPr>
          <w:p w14:paraId="1A28D3DB">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-10, 18, -19 </w:t>
            </w:r>
          </w:p>
        </w:tc>
        <w:tc>
          <w:tcPr>
            <w:tcW w:w="467" w:type="pct"/>
            <w:vAlign w:val="center"/>
          </w:tcPr>
          <w:p w14:paraId="2B543673">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9, 20, -19 </w:t>
            </w:r>
          </w:p>
        </w:tc>
      </w:tr>
      <w:tr w14:paraId="75FBBF31">
        <w:trPr>
          <w:trHeight w:val="360" w:hRule="atLeast"/>
        </w:trPr>
        <w:tc>
          <w:tcPr>
            <w:tcW w:w="455" w:type="pct"/>
            <w:vMerge w:val="continue"/>
            <w:vAlign w:val="center"/>
          </w:tcPr>
          <w:p w14:paraId="676043BE">
            <w:pPr>
              <w:jc w:val="center"/>
              <w:textAlignment w:val="center"/>
              <w:rPr>
                <w:rFonts w:ascii="Times New Roman" w:hAnsi="Times New Roman"/>
                <w:b/>
                <w:bCs/>
                <w:color w:val="000000"/>
                <w:sz w:val="22"/>
                <w:szCs w:val="22"/>
                <w:lang w:bidi="ar"/>
              </w:rPr>
            </w:pPr>
          </w:p>
        </w:tc>
        <w:tc>
          <w:tcPr>
            <w:tcW w:w="690" w:type="pct"/>
            <w:vMerge w:val="continue"/>
            <w:vAlign w:val="center"/>
          </w:tcPr>
          <w:p w14:paraId="7313ABF5">
            <w:pPr>
              <w:jc w:val="center"/>
              <w:textAlignment w:val="center"/>
              <w:rPr>
                <w:rFonts w:ascii="Times New Roman" w:hAnsi="Times New Roman"/>
                <w:color w:val="000000"/>
                <w:sz w:val="22"/>
                <w:szCs w:val="22"/>
                <w:lang w:bidi="ar"/>
              </w:rPr>
            </w:pPr>
          </w:p>
        </w:tc>
        <w:tc>
          <w:tcPr>
            <w:tcW w:w="738" w:type="pct"/>
            <w:vAlign w:val="center"/>
          </w:tcPr>
          <w:p w14:paraId="54B8D15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OrG_L(R)_6_6</w:t>
            </w:r>
          </w:p>
        </w:tc>
        <w:tc>
          <w:tcPr>
            <w:tcW w:w="335" w:type="pct"/>
            <w:vAlign w:val="center"/>
          </w:tcPr>
          <w:p w14:paraId="5143A97B">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51</w:t>
            </w:r>
          </w:p>
        </w:tc>
        <w:tc>
          <w:tcPr>
            <w:tcW w:w="330" w:type="pct"/>
            <w:vAlign w:val="center"/>
          </w:tcPr>
          <w:p w14:paraId="2BC9BA5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52</w:t>
            </w:r>
          </w:p>
        </w:tc>
        <w:tc>
          <w:tcPr>
            <w:tcW w:w="1528" w:type="pct"/>
            <w:vAlign w:val="center"/>
          </w:tcPr>
          <w:p w14:paraId="74FE493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A12/47l, lateral area 12/47</w:t>
            </w:r>
          </w:p>
        </w:tc>
        <w:tc>
          <w:tcPr>
            <w:tcW w:w="457" w:type="pct"/>
            <w:vAlign w:val="center"/>
          </w:tcPr>
          <w:p w14:paraId="5A4C7463">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-41, 32, -9 </w:t>
            </w:r>
          </w:p>
        </w:tc>
        <w:tc>
          <w:tcPr>
            <w:tcW w:w="467" w:type="pct"/>
            <w:vAlign w:val="center"/>
          </w:tcPr>
          <w:p w14:paraId="4219E1E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42, 31, -9 </w:t>
            </w:r>
          </w:p>
        </w:tc>
      </w:tr>
      <w:tr w14:paraId="165CBE69">
        <w:trPr>
          <w:trHeight w:val="360" w:hRule="atLeast"/>
        </w:trPr>
        <w:tc>
          <w:tcPr>
            <w:tcW w:w="455" w:type="pct"/>
            <w:vMerge w:val="continue"/>
            <w:vAlign w:val="center"/>
          </w:tcPr>
          <w:p w14:paraId="55E2B30F">
            <w:pPr>
              <w:jc w:val="center"/>
              <w:textAlignment w:val="center"/>
              <w:rPr>
                <w:rFonts w:ascii="Times New Roman" w:hAnsi="Times New Roman"/>
                <w:b/>
                <w:bCs/>
                <w:color w:val="000000"/>
                <w:sz w:val="22"/>
                <w:szCs w:val="22"/>
                <w:lang w:bidi="ar"/>
              </w:rPr>
            </w:pPr>
          </w:p>
        </w:tc>
        <w:tc>
          <w:tcPr>
            <w:tcW w:w="690" w:type="pct"/>
            <w:vMerge w:val="restart"/>
            <w:vAlign w:val="center"/>
          </w:tcPr>
          <w:p w14:paraId="74FC34D1">
            <w:pPr>
              <w:jc w:val="center"/>
              <w:textAlignment w:val="center"/>
              <w:rPr>
                <w:rFonts w:ascii="Times New Roman" w:hAnsi="Times New Roman"/>
                <w:color w:val="000000"/>
                <w:sz w:val="22"/>
                <w:szCs w:val="22"/>
                <w:lang w:bidi="ar"/>
              </w:rPr>
            </w:pPr>
            <w:bookmarkStart w:id="25" w:name="RANGE!B28"/>
            <w:r>
              <w:rPr>
                <w:rFonts w:ascii="Times New Roman" w:hAnsi="Times New Roman"/>
                <w:color w:val="000000"/>
                <w:sz w:val="22"/>
                <w:szCs w:val="22"/>
                <w:lang w:bidi="ar"/>
              </w:rPr>
              <w:t>PrG, Precentral Gyrus</w:t>
            </w:r>
            <w:bookmarkEnd w:id="25"/>
          </w:p>
        </w:tc>
        <w:tc>
          <w:tcPr>
            <w:tcW w:w="738" w:type="pct"/>
            <w:vAlign w:val="center"/>
          </w:tcPr>
          <w:p w14:paraId="0A83251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PrG_L(R)_6_1</w:t>
            </w:r>
          </w:p>
        </w:tc>
        <w:tc>
          <w:tcPr>
            <w:tcW w:w="335" w:type="pct"/>
            <w:vAlign w:val="center"/>
          </w:tcPr>
          <w:p w14:paraId="6433DF0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53</w:t>
            </w:r>
          </w:p>
        </w:tc>
        <w:tc>
          <w:tcPr>
            <w:tcW w:w="330" w:type="pct"/>
            <w:vAlign w:val="center"/>
          </w:tcPr>
          <w:p w14:paraId="34FF849B">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54</w:t>
            </w:r>
          </w:p>
        </w:tc>
        <w:tc>
          <w:tcPr>
            <w:tcW w:w="1528" w:type="pct"/>
            <w:vAlign w:val="center"/>
          </w:tcPr>
          <w:p w14:paraId="498EF43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A4hf, area 4(head and face region)</w:t>
            </w:r>
          </w:p>
        </w:tc>
        <w:tc>
          <w:tcPr>
            <w:tcW w:w="457" w:type="pct"/>
            <w:vAlign w:val="center"/>
          </w:tcPr>
          <w:p w14:paraId="0C3BCDE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-49, -8, 39 </w:t>
            </w:r>
          </w:p>
        </w:tc>
        <w:tc>
          <w:tcPr>
            <w:tcW w:w="467" w:type="pct"/>
            <w:vAlign w:val="center"/>
          </w:tcPr>
          <w:p w14:paraId="6D55F9CA">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55, -2, 33 </w:t>
            </w:r>
          </w:p>
        </w:tc>
      </w:tr>
      <w:tr w14:paraId="1733CAFA">
        <w:trPr>
          <w:trHeight w:val="360" w:hRule="atLeast"/>
        </w:trPr>
        <w:tc>
          <w:tcPr>
            <w:tcW w:w="455" w:type="pct"/>
            <w:vMerge w:val="continue"/>
            <w:vAlign w:val="center"/>
          </w:tcPr>
          <w:p w14:paraId="7F0177B7">
            <w:pPr>
              <w:jc w:val="center"/>
              <w:textAlignment w:val="center"/>
              <w:rPr>
                <w:rFonts w:ascii="Times New Roman" w:hAnsi="Times New Roman"/>
                <w:b/>
                <w:bCs/>
                <w:color w:val="000000"/>
                <w:sz w:val="22"/>
                <w:szCs w:val="22"/>
                <w:lang w:bidi="ar"/>
              </w:rPr>
            </w:pPr>
          </w:p>
        </w:tc>
        <w:tc>
          <w:tcPr>
            <w:tcW w:w="690" w:type="pct"/>
            <w:vMerge w:val="continue"/>
            <w:vAlign w:val="center"/>
          </w:tcPr>
          <w:p w14:paraId="765AA2CF">
            <w:pPr>
              <w:jc w:val="center"/>
              <w:textAlignment w:val="center"/>
              <w:rPr>
                <w:rFonts w:ascii="Times New Roman" w:hAnsi="Times New Roman"/>
                <w:color w:val="000000"/>
                <w:sz w:val="22"/>
                <w:szCs w:val="22"/>
                <w:lang w:bidi="ar"/>
              </w:rPr>
            </w:pPr>
          </w:p>
        </w:tc>
        <w:tc>
          <w:tcPr>
            <w:tcW w:w="738" w:type="pct"/>
            <w:vAlign w:val="center"/>
          </w:tcPr>
          <w:p w14:paraId="0E24DEC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PrG_L(R)_6_2</w:t>
            </w:r>
          </w:p>
        </w:tc>
        <w:tc>
          <w:tcPr>
            <w:tcW w:w="335" w:type="pct"/>
            <w:vAlign w:val="center"/>
          </w:tcPr>
          <w:p w14:paraId="37844533">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55</w:t>
            </w:r>
          </w:p>
        </w:tc>
        <w:tc>
          <w:tcPr>
            <w:tcW w:w="330" w:type="pct"/>
            <w:vAlign w:val="center"/>
          </w:tcPr>
          <w:p w14:paraId="685F907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56</w:t>
            </w:r>
          </w:p>
        </w:tc>
        <w:tc>
          <w:tcPr>
            <w:tcW w:w="1528" w:type="pct"/>
            <w:vAlign w:val="center"/>
          </w:tcPr>
          <w:p w14:paraId="3536F8E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A6cdl, caudal dorsolateral area 6</w:t>
            </w:r>
          </w:p>
        </w:tc>
        <w:tc>
          <w:tcPr>
            <w:tcW w:w="457" w:type="pct"/>
            <w:vAlign w:val="center"/>
          </w:tcPr>
          <w:p w14:paraId="18F6B80B">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-32, -9, 58 </w:t>
            </w:r>
          </w:p>
        </w:tc>
        <w:tc>
          <w:tcPr>
            <w:tcW w:w="467" w:type="pct"/>
            <w:vAlign w:val="center"/>
          </w:tcPr>
          <w:p w14:paraId="4BFF2B7A">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33, -7, 57 </w:t>
            </w:r>
          </w:p>
        </w:tc>
      </w:tr>
      <w:tr w14:paraId="63137FD8">
        <w:trPr>
          <w:trHeight w:val="360" w:hRule="atLeast"/>
        </w:trPr>
        <w:tc>
          <w:tcPr>
            <w:tcW w:w="455" w:type="pct"/>
            <w:vMerge w:val="continue"/>
            <w:vAlign w:val="center"/>
          </w:tcPr>
          <w:p w14:paraId="38FEA2A0">
            <w:pPr>
              <w:jc w:val="center"/>
              <w:textAlignment w:val="center"/>
              <w:rPr>
                <w:rFonts w:ascii="Times New Roman" w:hAnsi="Times New Roman"/>
                <w:b/>
                <w:bCs/>
                <w:color w:val="000000"/>
                <w:sz w:val="22"/>
                <w:szCs w:val="22"/>
                <w:lang w:bidi="ar"/>
              </w:rPr>
            </w:pPr>
          </w:p>
        </w:tc>
        <w:tc>
          <w:tcPr>
            <w:tcW w:w="690" w:type="pct"/>
            <w:vMerge w:val="continue"/>
            <w:vAlign w:val="center"/>
          </w:tcPr>
          <w:p w14:paraId="1BB1AABF">
            <w:pPr>
              <w:jc w:val="center"/>
              <w:textAlignment w:val="center"/>
              <w:rPr>
                <w:rFonts w:ascii="Times New Roman" w:hAnsi="Times New Roman"/>
                <w:color w:val="000000"/>
                <w:sz w:val="22"/>
                <w:szCs w:val="22"/>
                <w:lang w:bidi="ar"/>
              </w:rPr>
            </w:pPr>
          </w:p>
        </w:tc>
        <w:tc>
          <w:tcPr>
            <w:tcW w:w="738" w:type="pct"/>
            <w:vAlign w:val="center"/>
          </w:tcPr>
          <w:p w14:paraId="09F013F8">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PrG_L(R)_6_3</w:t>
            </w:r>
          </w:p>
        </w:tc>
        <w:tc>
          <w:tcPr>
            <w:tcW w:w="335" w:type="pct"/>
            <w:vAlign w:val="center"/>
          </w:tcPr>
          <w:p w14:paraId="5A3AB58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57</w:t>
            </w:r>
          </w:p>
        </w:tc>
        <w:tc>
          <w:tcPr>
            <w:tcW w:w="330" w:type="pct"/>
            <w:vAlign w:val="center"/>
          </w:tcPr>
          <w:p w14:paraId="195220B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58</w:t>
            </w:r>
          </w:p>
        </w:tc>
        <w:tc>
          <w:tcPr>
            <w:tcW w:w="1528" w:type="pct"/>
            <w:vAlign w:val="center"/>
          </w:tcPr>
          <w:p w14:paraId="7EBD897B">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A4ul, area 4(upper limb region)</w:t>
            </w:r>
          </w:p>
        </w:tc>
        <w:tc>
          <w:tcPr>
            <w:tcW w:w="457" w:type="pct"/>
            <w:vAlign w:val="center"/>
          </w:tcPr>
          <w:p w14:paraId="485029B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-26, -25, 63 </w:t>
            </w:r>
          </w:p>
        </w:tc>
        <w:tc>
          <w:tcPr>
            <w:tcW w:w="467" w:type="pct"/>
            <w:vAlign w:val="center"/>
          </w:tcPr>
          <w:p w14:paraId="465C6EC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34, -19, 59 </w:t>
            </w:r>
          </w:p>
        </w:tc>
      </w:tr>
      <w:tr w14:paraId="3B0501E3">
        <w:trPr>
          <w:trHeight w:val="360" w:hRule="atLeast"/>
        </w:trPr>
        <w:tc>
          <w:tcPr>
            <w:tcW w:w="455" w:type="pct"/>
            <w:vMerge w:val="continue"/>
            <w:vAlign w:val="center"/>
          </w:tcPr>
          <w:p w14:paraId="7E1C6558">
            <w:pPr>
              <w:jc w:val="center"/>
              <w:textAlignment w:val="center"/>
              <w:rPr>
                <w:rFonts w:ascii="Times New Roman" w:hAnsi="Times New Roman"/>
                <w:b/>
                <w:bCs/>
                <w:color w:val="000000"/>
                <w:sz w:val="22"/>
                <w:szCs w:val="22"/>
                <w:lang w:bidi="ar"/>
              </w:rPr>
            </w:pPr>
          </w:p>
        </w:tc>
        <w:tc>
          <w:tcPr>
            <w:tcW w:w="690" w:type="pct"/>
            <w:vMerge w:val="continue"/>
            <w:vAlign w:val="center"/>
          </w:tcPr>
          <w:p w14:paraId="2268E60B">
            <w:pPr>
              <w:jc w:val="center"/>
              <w:textAlignment w:val="center"/>
              <w:rPr>
                <w:rFonts w:ascii="Times New Roman" w:hAnsi="Times New Roman"/>
                <w:color w:val="000000"/>
                <w:sz w:val="22"/>
                <w:szCs w:val="22"/>
                <w:lang w:bidi="ar"/>
              </w:rPr>
            </w:pPr>
          </w:p>
        </w:tc>
        <w:tc>
          <w:tcPr>
            <w:tcW w:w="738" w:type="pct"/>
            <w:vAlign w:val="center"/>
          </w:tcPr>
          <w:p w14:paraId="2D4DFE4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PrG_L(R)_6_4</w:t>
            </w:r>
          </w:p>
        </w:tc>
        <w:tc>
          <w:tcPr>
            <w:tcW w:w="335" w:type="pct"/>
            <w:vAlign w:val="center"/>
          </w:tcPr>
          <w:p w14:paraId="241FB75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59</w:t>
            </w:r>
          </w:p>
        </w:tc>
        <w:tc>
          <w:tcPr>
            <w:tcW w:w="330" w:type="pct"/>
            <w:vAlign w:val="center"/>
          </w:tcPr>
          <w:p w14:paraId="6FC85EA3">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60</w:t>
            </w:r>
          </w:p>
        </w:tc>
        <w:tc>
          <w:tcPr>
            <w:tcW w:w="1528" w:type="pct"/>
            <w:vAlign w:val="center"/>
          </w:tcPr>
          <w:p w14:paraId="74E3869A">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A4t, area 4(trunk region)</w:t>
            </w:r>
          </w:p>
        </w:tc>
        <w:tc>
          <w:tcPr>
            <w:tcW w:w="457" w:type="pct"/>
            <w:vAlign w:val="center"/>
          </w:tcPr>
          <w:p w14:paraId="57AFB7A8">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-13, -20, 73 </w:t>
            </w:r>
          </w:p>
        </w:tc>
        <w:tc>
          <w:tcPr>
            <w:tcW w:w="467" w:type="pct"/>
            <w:vAlign w:val="center"/>
          </w:tcPr>
          <w:p w14:paraId="0B258FA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15, -22, 71 </w:t>
            </w:r>
          </w:p>
        </w:tc>
      </w:tr>
      <w:tr w14:paraId="3B9F154D">
        <w:trPr>
          <w:trHeight w:val="360" w:hRule="atLeast"/>
        </w:trPr>
        <w:tc>
          <w:tcPr>
            <w:tcW w:w="455" w:type="pct"/>
            <w:vMerge w:val="continue"/>
            <w:vAlign w:val="center"/>
          </w:tcPr>
          <w:p w14:paraId="4A2643D8">
            <w:pPr>
              <w:jc w:val="center"/>
              <w:textAlignment w:val="center"/>
              <w:rPr>
                <w:rFonts w:ascii="Times New Roman" w:hAnsi="Times New Roman"/>
                <w:b/>
                <w:bCs/>
                <w:color w:val="000000"/>
                <w:sz w:val="22"/>
                <w:szCs w:val="22"/>
                <w:lang w:bidi="ar"/>
              </w:rPr>
            </w:pPr>
          </w:p>
        </w:tc>
        <w:tc>
          <w:tcPr>
            <w:tcW w:w="690" w:type="pct"/>
            <w:vMerge w:val="continue"/>
            <w:vAlign w:val="center"/>
          </w:tcPr>
          <w:p w14:paraId="3905A244">
            <w:pPr>
              <w:jc w:val="center"/>
              <w:textAlignment w:val="center"/>
              <w:rPr>
                <w:rFonts w:ascii="Times New Roman" w:hAnsi="Times New Roman"/>
                <w:color w:val="000000"/>
                <w:sz w:val="22"/>
                <w:szCs w:val="22"/>
                <w:lang w:bidi="ar"/>
              </w:rPr>
            </w:pPr>
          </w:p>
        </w:tc>
        <w:tc>
          <w:tcPr>
            <w:tcW w:w="738" w:type="pct"/>
            <w:vAlign w:val="center"/>
          </w:tcPr>
          <w:p w14:paraId="282EDAA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PrG_L(R)_6_5</w:t>
            </w:r>
          </w:p>
        </w:tc>
        <w:tc>
          <w:tcPr>
            <w:tcW w:w="335" w:type="pct"/>
            <w:vAlign w:val="center"/>
          </w:tcPr>
          <w:p w14:paraId="28870B3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61</w:t>
            </w:r>
          </w:p>
        </w:tc>
        <w:tc>
          <w:tcPr>
            <w:tcW w:w="330" w:type="pct"/>
            <w:vAlign w:val="center"/>
          </w:tcPr>
          <w:p w14:paraId="5FC7037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62</w:t>
            </w:r>
          </w:p>
        </w:tc>
        <w:tc>
          <w:tcPr>
            <w:tcW w:w="1528" w:type="pct"/>
            <w:vAlign w:val="center"/>
          </w:tcPr>
          <w:p w14:paraId="70DBEF8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A4tl, area 4(tongue and larynx region)</w:t>
            </w:r>
          </w:p>
        </w:tc>
        <w:tc>
          <w:tcPr>
            <w:tcW w:w="457" w:type="pct"/>
            <w:vAlign w:val="center"/>
          </w:tcPr>
          <w:p w14:paraId="4081C47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-52, 0, 8 </w:t>
            </w:r>
          </w:p>
        </w:tc>
        <w:tc>
          <w:tcPr>
            <w:tcW w:w="467" w:type="pct"/>
            <w:vAlign w:val="center"/>
          </w:tcPr>
          <w:p w14:paraId="4D5B1E1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54, 4, 9 </w:t>
            </w:r>
          </w:p>
        </w:tc>
      </w:tr>
      <w:tr w14:paraId="33EBD3EC">
        <w:trPr>
          <w:trHeight w:val="360" w:hRule="atLeast"/>
        </w:trPr>
        <w:tc>
          <w:tcPr>
            <w:tcW w:w="455" w:type="pct"/>
            <w:vMerge w:val="continue"/>
            <w:vAlign w:val="center"/>
          </w:tcPr>
          <w:p w14:paraId="610111D9">
            <w:pPr>
              <w:jc w:val="center"/>
              <w:textAlignment w:val="center"/>
              <w:rPr>
                <w:rFonts w:ascii="Times New Roman" w:hAnsi="Times New Roman"/>
                <w:b/>
                <w:bCs/>
                <w:color w:val="000000"/>
                <w:sz w:val="22"/>
                <w:szCs w:val="22"/>
                <w:lang w:bidi="ar"/>
              </w:rPr>
            </w:pPr>
          </w:p>
        </w:tc>
        <w:tc>
          <w:tcPr>
            <w:tcW w:w="690" w:type="pct"/>
            <w:vMerge w:val="continue"/>
            <w:vAlign w:val="center"/>
          </w:tcPr>
          <w:p w14:paraId="01169ABC">
            <w:pPr>
              <w:jc w:val="center"/>
              <w:textAlignment w:val="center"/>
              <w:rPr>
                <w:rFonts w:ascii="Times New Roman" w:hAnsi="Times New Roman"/>
                <w:color w:val="000000"/>
                <w:sz w:val="22"/>
                <w:szCs w:val="22"/>
                <w:lang w:bidi="ar"/>
              </w:rPr>
            </w:pPr>
          </w:p>
        </w:tc>
        <w:tc>
          <w:tcPr>
            <w:tcW w:w="738" w:type="pct"/>
            <w:vAlign w:val="center"/>
          </w:tcPr>
          <w:p w14:paraId="5B3ADD2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PrG_L(R)_6_6</w:t>
            </w:r>
          </w:p>
        </w:tc>
        <w:tc>
          <w:tcPr>
            <w:tcW w:w="335" w:type="pct"/>
            <w:vAlign w:val="center"/>
          </w:tcPr>
          <w:p w14:paraId="7C4356F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63</w:t>
            </w:r>
          </w:p>
        </w:tc>
        <w:tc>
          <w:tcPr>
            <w:tcW w:w="330" w:type="pct"/>
            <w:vAlign w:val="center"/>
          </w:tcPr>
          <w:p w14:paraId="3E6B5A2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64</w:t>
            </w:r>
          </w:p>
        </w:tc>
        <w:tc>
          <w:tcPr>
            <w:tcW w:w="1528" w:type="pct"/>
            <w:vAlign w:val="center"/>
          </w:tcPr>
          <w:p w14:paraId="376F6FA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A6cvl, caudal ventrolateral area 6</w:t>
            </w:r>
          </w:p>
        </w:tc>
        <w:tc>
          <w:tcPr>
            <w:tcW w:w="457" w:type="pct"/>
            <w:vAlign w:val="center"/>
          </w:tcPr>
          <w:p w14:paraId="491B247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-49, 5, 30 </w:t>
            </w:r>
          </w:p>
        </w:tc>
        <w:tc>
          <w:tcPr>
            <w:tcW w:w="467" w:type="pct"/>
            <w:vAlign w:val="center"/>
          </w:tcPr>
          <w:p w14:paraId="31520DE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51, 7, 30 </w:t>
            </w:r>
          </w:p>
        </w:tc>
      </w:tr>
      <w:tr w14:paraId="53007595">
        <w:trPr>
          <w:trHeight w:val="360" w:hRule="atLeast"/>
        </w:trPr>
        <w:tc>
          <w:tcPr>
            <w:tcW w:w="455" w:type="pct"/>
            <w:vMerge w:val="continue"/>
            <w:vAlign w:val="center"/>
          </w:tcPr>
          <w:p w14:paraId="792DD461">
            <w:pPr>
              <w:jc w:val="center"/>
              <w:textAlignment w:val="center"/>
              <w:rPr>
                <w:rFonts w:ascii="Times New Roman" w:hAnsi="Times New Roman"/>
                <w:b/>
                <w:bCs/>
                <w:color w:val="000000"/>
                <w:sz w:val="22"/>
                <w:szCs w:val="22"/>
                <w:lang w:bidi="ar"/>
              </w:rPr>
            </w:pPr>
          </w:p>
        </w:tc>
        <w:tc>
          <w:tcPr>
            <w:tcW w:w="690" w:type="pct"/>
            <w:vMerge w:val="restart"/>
            <w:vAlign w:val="center"/>
          </w:tcPr>
          <w:p w14:paraId="6E3990A9">
            <w:pPr>
              <w:jc w:val="center"/>
              <w:textAlignment w:val="center"/>
              <w:rPr>
                <w:rFonts w:ascii="Times New Roman" w:hAnsi="Times New Roman"/>
                <w:color w:val="000000"/>
                <w:sz w:val="22"/>
                <w:szCs w:val="22"/>
                <w:lang w:bidi="ar"/>
              </w:rPr>
            </w:pPr>
            <w:bookmarkStart w:id="26" w:name="RANGE!B34"/>
            <w:r>
              <w:rPr>
                <w:rFonts w:ascii="Times New Roman" w:hAnsi="Times New Roman"/>
                <w:color w:val="000000"/>
                <w:sz w:val="22"/>
                <w:szCs w:val="22"/>
                <w:lang w:bidi="ar"/>
              </w:rPr>
              <w:t>PCL, Paracentral Lobule</w:t>
            </w:r>
            <w:bookmarkEnd w:id="26"/>
          </w:p>
        </w:tc>
        <w:tc>
          <w:tcPr>
            <w:tcW w:w="738" w:type="pct"/>
            <w:vAlign w:val="center"/>
          </w:tcPr>
          <w:p w14:paraId="316F945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PCL_L(R)_2_1</w:t>
            </w:r>
          </w:p>
        </w:tc>
        <w:tc>
          <w:tcPr>
            <w:tcW w:w="335" w:type="pct"/>
            <w:vAlign w:val="center"/>
          </w:tcPr>
          <w:p w14:paraId="209990B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65</w:t>
            </w:r>
          </w:p>
        </w:tc>
        <w:tc>
          <w:tcPr>
            <w:tcW w:w="330" w:type="pct"/>
            <w:vAlign w:val="center"/>
          </w:tcPr>
          <w:p w14:paraId="3E51732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66</w:t>
            </w:r>
          </w:p>
        </w:tc>
        <w:tc>
          <w:tcPr>
            <w:tcW w:w="1528" w:type="pct"/>
            <w:vAlign w:val="center"/>
          </w:tcPr>
          <w:p w14:paraId="55BC761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A1/2/3ll, area1/2/3 (lower limb region)</w:t>
            </w:r>
          </w:p>
        </w:tc>
        <w:tc>
          <w:tcPr>
            <w:tcW w:w="457" w:type="pct"/>
            <w:vAlign w:val="center"/>
          </w:tcPr>
          <w:p w14:paraId="3A0C1E8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-8, -38, 58 </w:t>
            </w:r>
          </w:p>
        </w:tc>
        <w:tc>
          <w:tcPr>
            <w:tcW w:w="467" w:type="pct"/>
            <w:vAlign w:val="center"/>
          </w:tcPr>
          <w:p w14:paraId="7DFC4C1A">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10, -34, 54 </w:t>
            </w:r>
          </w:p>
        </w:tc>
      </w:tr>
      <w:tr w14:paraId="32DEA8C4">
        <w:trPr>
          <w:trHeight w:val="360" w:hRule="atLeast"/>
        </w:trPr>
        <w:tc>
          <w:tcPr>
            <w:tcW w:w="455" w:type="pct"/>
            <w:vMerge w:val="continue"/>
            <w:vAlign w:val="center"/>
          </w:tcPr>
          <w:p w14:paraId="53ABC3F2">
            <w:pPr>
              <w:jc w:val="center"/>
              <w:textAlignment w:val="center"/>
              <w:rPr>
                <w:rFonts w:ascii="Times New Roman" w:hAnsi="Times New Roman"/>
                <w:b/>
                <w:bCs/>
                <w:color w:val="000000"/>
                <w:sz w:val="22"/>
                <w:szCs w:val="22"/>
                <w:lang w:bidi="ar"/>
              </w:rPr>
            </w:pPr>
          </w:p>
        </w:tc>
        <w:tc>
          <w:tcPr>
            <w:tcW w:w="690" w:type="pct"/>
            <w:vMerge w:val="continue"/>
            <w:vAlign w:val="center"/>
          </w:tcPr>
          <w:p w14:paraId="7F890D8D">
            <w:pPr>
              <w:jc w:val="center"/>
              <w:textAlignment w:val="center"/>
              <w:rPr>
                <w:rFonts w:ascii="Times New Roman" w:hAnsi="Times New Roman"/>
                <w:color w:val="000000"/>
                <w:sz w:val="22"/>
                <w:szCs w:val="22"/>
                <w:lang w:bidi="ar"/>
              </w:rPr>
            </w:pPr>
          </w:p>
        </w:tc>
        <w:tc>
          <w:tcPr>
            <w:tcW w:w="738" w:type="pct"/>
            <w:vAlign w:val="center"/>
          </w:tcPr>
          <w:p w14:paraId="47D9D6FA">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PCL_L(R)_2_2</w:t>
            </w:r>
          </w:p>
        </w:tc>
        <w:tc>
          <w:tcPr>
            <w:tcW w:w="335" w:type="pct"/>
            <w:vAlign w:val="center"/>
          </w:tcPr>
          <w:p w14:paraId="0B191F4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67</w:t>
            </w:r>
          </w:p>
        </w:tc>
        <w:tc>
          <w:tcPr>
            <w:tcW w:w="330" w:type="pct"/>
            <w:vAlign w:val="center"/>
          </w:tcPr>
          <w:p w14:paraId="5DD25E5B">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68</w:t>
            </w:r>
          </w:p>
        </w:tc>
        <w:tc>
          <w:tcPr>
            <w:tcW w:w="1528" w:type="pct"/>
            <w:vAlign w:val="center"/>
          </w:tcPr>
          <w:p w14:paraId="6A7AA84A">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A4ll, area 4, (lower limb region)</w:t>
            </w:r>
          </w:p>
        </w:tc>
        <w:tc>
          <w:tcPr>
            <w:tcW w:w="457" w:type="pct"/>
            <w:vAlign w:val="center"/>
          </w:tcPr>
          <w:p w14:paraId="7E9719E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-4, -23, 61 </w:t>
            </w:r>
          </w:p>
        </w:tc>
        <w:tc>
          <w:tcPr>
            <w:tcW w:w="467" w:type="pct"/>
            <w:vAlign w:val="center"/>
          </w:tcPr>
          <w:p w14:paraId="05CA099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 -21, 61 </w:t>
            </w:r>
          </w:p>
        </w:tc>
      </w:tr>
      <w:tr w14:paraId="7C687EDF">
        <w:trPr>
          <w:trHeight w:val="360" w:hRule="atLeast"/>
        </w:trPr>
        <w:tc>
          <w:tcPr>
            <w:tcW w:w="455" w:type="pct"/>
            <w:vMerge w:val="restart"/>
            <w:vAlign w:val="center"/>
          </w:tcPr>
          <w:p w14:paraId="22FD48E9">
            <w:pPr>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Temporal Lobe</w:t>
            </w:r>
          </w:p>
        </w:tc>
        <w:tc>
          <w:tcPr>
            <w:tcW w:w="690" w:type="pct"/>
            <w:vMerge w:val="restart"/>
            <w:vAlign w:val="center"/>
          </w:tcPr>
          <w:p w14:paraId="69E2E71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STG, Superior Temporal Gyrus</w:t>
            </w:r>
          </w:p>
        </w:tc>
        <w:tc>
          <w:tcPr>
            <w:tcW w:w="738" w:type="pct"/>
            <w:vAlign w:val="center"/>
          </w:tcPr>
          <w:p w14:paraId="40C82C08">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STG_L(R)_6_1</w:t>
            </w:r>
          </w:p>
        </w:tc>
        <w:tc>
          <w:tcPr>
            <w:tcW w:w="335" w:type="pct"/>
            <w:vAlign w:val="center"/>
          </w:tcPr>
          <w:p w14:paraId="5A4DFE1B">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69</w:t>
            </w:r>
          </w:p>
        </w:tc>
        <w:tc>
          <w:tcPr>
            <w:tcW w:w="330" w:type="pct"/>
            <w:vAlign w:val="center"/>
          </w:tcPr>
          <w:p w14:paraId="7D1A2B6B">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70</w:t>
            </w:r>
          </w:p>
        </w:tc>
        <w:tc>
          <w:tcPr>
            <w:tcW w:w="1528" w:type="pct"/>
            <w:vAlign w:val="center"/>
          </w:tcPr>
          <w:p w14:paraId="7000B15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A38m, medial area 38</w:t>
            </w:r>
          </w:p>
        </w:tc>
        <w:tc>
          <w:tcPr>
            <w:tcW w:w="457" w:type="pct"/>
            <w:vAlign w:val="center"/>
          </w:tcPr>
          <w:p w14:paraId="65A1229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-32, 14, -34 </w:t>
            </w:r>
          </w:p>
        </w:tc>
        <w:tc>
          <w:tcPr>
            <w:tcW w:w="467" w:type="pct"/>
            <w:vAlign w:val="center"/>
          </w:tcPr>
          <w:p w14:paraId="71B9B52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31, 15, -34 </w:t>
            </w:r>
          </w:p>
        </w:tc>
      </w:tr>
      <w:tr w14:paraId="3BBE9CC4">
        <w:trPr>
          <w:trHeight w:val="360" w:hRule="atLeast"/>
        </w:trPr>
        <w:tc>
          <w:tcPr>
            <w:tcW w:w="455" w:type="pct"/>
            <w:vMerge w:val="continue"/>
            <w:vAlign w:val="center"/>
          </w:tcPr>
          <w:p w14:paraId="4FD83735">
            <w:pPr>
              <w:jc w:val="center"/>
              <w:textAlignment w:val="center"/>
              <w:rPr>
                <w:rFonts w:ascii="Times New Roman" w:hAnsi="Times New Roman"/>
                <w:b/>
                <w:bCs/>
                <w:color w:val="000000"/>
                <w:sz w:val="22"/>
                <w:szCs w:val="22"/>
                <w:lang w:bidi="ar"/>
              </w:rPr>
            </w:pPr>
          </w:p>
        </w:tc>
        <w:tc>
          <w:tcPr>
            <w:tcW w:w="690" w:type="pct"/>
            <w:vMerge w:val="continue"/>
            <w:vAlign w:val="center"/>
          </w:tcPr>
          <w:p w14:paraId="34CAD262">
            <w:pPr>
              <w:jc w:val="center"/>
              <w:textAlignment w:val="center"/>
              <w:rPr>
                <w:rFonts w:ascii="Times New Roman" w:hAnsi="Times New Roman"/>
                <w:color w:val="000000"/>
                <w:sz w:val="22"/>
                <w:szCs w:val="22"/>
                <w:lang w:bidi="ar"/>
              </w:rPr>
            </w:pPr>
          </w:p>
        </w:tc>
        <w:tc>
          <w:tcPr>
            <w:tcW w:w="738" w:type="pct"/>
            <w:vAlign w:val="center"/>
          </w:tcPr>
          <w:p w14:paraId="63F5C32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STG_L(R)_6_2</w:t>
            </w:r>
          </w:p>
        </w:tc>
        <w:tc>
          <w:tcPr>
            <w:tcW w:w="335" w:type="pct"/>
            <w:vAlign w:val="center"/>
          </w:tcPr>
          <w:p w14:paraId="664DA3C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71</w:t>
            </w:r>
          </w:p>
        </w:tc>
        <w:tc>
          <w:tcPr>
            <w:tcW w:w="330" w:type="pct"/>
            <w:vAlign w:val="center"/>
          </w:tcPr>
          <w:p w14:paraId="4B913B5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72</w:t>
            </w:r>
          </w:p>
        </w:tc>
        <w:tc>
          <w:tcPr>
            <w:tcW w:w="1528" w:type="pct"/>
            <w:vAlign w:val="center"/>
          </w:tcPr>
          <w:p w14:paraId="1D9DA8C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A41/42, area 41/42</w:t>
            </w:r>
          </w:p>
        </w:tc>
        <w:tc>
          <w:tcPr>
            <w:tcW w:w="457" w:type="pct"/>
            <w:vAlign w:val="center"/>
          </w:tcPr>
          <w:p w14:paraId="4461D5E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-54, -32, 12 </w:t>
            </w:r>
          </w:p>
        </w:tc>
        <w:tc>
          <w:tcPr>
            <w:tcW w:w="467" w:type="pct"/>
            <w:vAlign w:val="center"/>
          </w:tcPr>
          <w:p w14:paraId="7856F9EB">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54, -24, 11 </w:t>
            </w:r>
          </w:p>
        </w:tc>
      </w:tr>
      <w:tr w14:paraId="16175825">
        <w:trPr>
          <w:trHeight w:val="360" w:hRule="atLeast"/>
        </w:trPr>
        <w:tc>
          <w:tcPr>
            <w:tcW w:w="455" w:type="pct"/>
            <w:vMerge w:val="continue"/>
            <w:vAlign w:val="center"/>
          </w:tcPr>
          <w:p w14:paraId="1A90D05D">
            <w:pPr>
              <w:jc w:val="center"/>
              <w:textAlignment w:val="center"/>
              <w:rPr>
                <w:rFonts w:ascii="Times New Roman" w:hAnsi="Times New Roman"/>
                <w:b/>
                <w:bCs/>
                <w:color w:val="000000"/>
                <w:sz w:val="22"/>
                <w:szCs w:val="22"/>
                <w:lang w:bidi="ar"/>
              </w:rPr>
            </w:pPr>
          </w:p>
        </w:tc>
        <w:tc>
          <w:tcPr>
            <w:tcW w:w="690" w:type="pct"/>
            <w:vMerge w:val="continue"/>
            <w:vAlign w:val="center"/>
          </w:tcPr>
          <w:p w14:paraId="40964C5D">
            <w:pPr>
              <w:jc w:val="center"/>
              <w:textAlignment w:val="center"/>
              <w:rPr>
                <w:rFonts w:ascii="Times New Roman" w:hAnsi="Times New Roman"/>
                <w:color w:val="000000"/>
                <w:sz w:val="22"/>
                <w:szCs w:val="22"/>
                <w:lang w:bidi="ar"/>
              </w:rPr>
            </w:pPr>
          </w:p>
        </w:tc>
        <w:tc>
          <w:tcPr>
            <w:tcW w:w="738" w:type="pct"/>
            <w:vAlign w:val="center"/>
          </w:tcPr>
          <w:p w14:paraId="60FC57B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STG_L(R)_6_3</w:t>
            </w:r>
          </w:p>
        </w:tc>
        <w:tc>
          <w:tcPr>
            <w:tcW w:w="335" w:type="pct"/>
            <w:vAlign w:val="center"/>
          </w:tcPr>
          <w:p w14:paraId="4BBCD4DA">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73</w:t>
            </w:r>
          </w:p>
        </w:tc>
        <w:tc>
          <w:tcPr>
            <w:tcW w:w="330" w:type="pct"/>
            <w:vAlign w:val="center"/>
          </w:tcPr>
          <w:p w14:paraId="263E87D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74</w:t>
            </w:r>
          </w:p>
        </w:tc>
        <w:tc>
          <w:tcPr>
            <w:tcW w:w="1528" w:type="pct"/>
            <w:vAlign w:val="center"/>
          </w:tcPr>
          <w:p w14:paraId="47EDF203">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TE1.0 and TE1.2</w:t>
            </w:r>
          </w:p>
        </w:tc>
        <w:tc>
          <w:tcPr>
            <w:tcW w:w="457" w:type="pct"/>
            <w:vAlign w:val="center"/>
          </w:tcPr>
          <w:p w14:paraId="0E6A2BB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-50, -11, 1 </w:t>
            </w:r>
          </w:p>
        </w:tc>
        <w:tc>
          <w:tcPr>
            <w:tcW w:w="467" w:type="pct"/>
            <w:vAlign w:val="center"/>
          </w:tcPr>
          <w:p w14:paraId="1A1AED8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51, -4, -1 </w:t>
            </w:r>
          </w:p>
        </w:tc>
      </w:tr>
      <w:tr w14:paraId="75BB0890">
        <w:trPr>
          <w:trHeight w:val="360" w:hRule="atLeast"/>
        </w:trPr>
        <w:tc>
          <w:tcPr>
            <w:tcW w:w="455" w:type="pct"/>
            <w:vMerge w:val="continue"/>
            <w:vAlign w:val="center"/>
          </w:tcPr>
          <w:p w14:paraId="189D3FD6">
            <w:pPr>
              <w:jc w:val="center"/>
              <w:textAlignment w:val="center"/>
              <w:rPr>
                <w:rFonts w:ascii="Times New Roman" w:hAnsi="Times New Roman"/>
                <w:b/>
                <w:bCs/>
                <w:color w:val="000000"/>
                <w:sz w:val="22"/>
                <w:szCs w:val="22"/>
                <w:lang w:bidi="ar"/>
              </w:rPr>
            </w:pPr>
          </w:p>
        </w:tc>
        <w:tc>
          <w:tcPr>
            <w:tcW w:w="690" w:type="pct"/>
            <w:vMerge w:val="continue"/>
            <w:vAlign w:val="center"/>
          </w:tcPr>
          <w:p w14:paraId="63A6B7A7">
            <w:pPr>
              <w:jc w:val="center"/>
              <w:textAlignment w:val="center"/>
              <w:rPr>
                <w:rFonts w:ascii="Times New Roman" w:hAnsi="Times New Roman"/>
                <w:color w:val="000000"/>
                <w:sz w:val="22"/>
                <w:szCs w:val="22"/>
                <w:lang w:bidi="ar"/>
              </w:rPr>
            </w:pPr>
          </w:p>
        </w:tc>
        <w:tc>
          <w:tcPr>
            <w:tcW w:w="738" w:type="pct"/>
            <w:vAlign w:val="center"/>
          </w:tcPr>
          <w:p w14:paraId="0DE0636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STG_L(R)_6_4</w:t>
            </w:r>
          </w:p>
        </w:tc>
        <w:tc>
          <w:tcPr>
            <w:tcW w:w="335" w:type="pct"/>
            <w:vAlign w:val="center"/>
          </w:tcPr>
          <w:p w14:paraId="74512E5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75</w:t>
            </w:r>
          </w:p>
        </w:tc>
        <w:tc>
          <w:tcPr>
            <w:tcW w:w="330" w:type="pct"/>
            <w:vAlign w:val="center"/>
          </w:tcPr>
          <w:p w14:paraId="696ACE7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76</w:t>
            </w:r>
          </w:p>
        </w:tc>
        <w:tc>
          <w:tcPr>
            <w:tcW w:w="1528" w:type="pct"/>
            <w:vAlign w:val="center"/>
          </w:tcPr>
          <w:p w14:paraId="417F7A9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A22c, caudal area 22</w:t>
            </w:r>
          </w:p>
        </w:tc>
        <w:tc>
          <w:tcPr>
            <w:tcW w:w="457" w:type="pct"/>
            <w:vAlign w:val="center"/>
          </w:tcPr>
          <w:p w14:paraId="528E675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-62, -33, 7 </w:t>
            </w:r>
          </w:p>
        </w:tc>
        <w:tc>
          <w:tcPr>
            <w:tcW w:w="467" w:type="pct"/>
            <w:vAlign w:val="center"/>
          </w:tcPr>
          <w:p w14:paraId="3C1E695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66, -20, 6 </w:t>
            </w:r>
          </w:p>
        </w:tc>
      </w:tr>
      <w:tr w14:paraId="565325CF">
        <w:trPr>
          <w:trHeight w:val="360" w:hRule="atLeast"/>
        </w:trPr>
        <w:tc>
          <w:tcPr>
            <w:tcW w:w="455" w:type="pct"/>
            <w:vMerge w:val="continue"/>
            <w:vAlign w:val="center"/>
          </w:tcPr>
          <w:p w14:paraId="234468BC">
            <w:pPr>
              <w:jc w:val="center"/>
              <w:textAlignment w:val="center"/>
              <w:rPr>
                <w:rFonts w:ascii="Times New Roman" w:hAnsi="Times New Roman"/>
                <w:b/>
                <w:bCs/>
                <w:color w:val="000000"/>
                <w:sz w:val="22"/>
                <w:szCs w:val="22"/>
                <w:lang w:bidi="ar"/>
              </w:rPr>
            </w:pPr>
          </w:p>
        </w:tc>
        <w:tc>
          <w:tcPr>
            <w:tcW w:w="690" w:type="pct"/>
            <w:vMerge w:val="continue"/>
            <w:vAlign w:val="center"/>
          </w:tcPr>
          <w:p w14:paraId="1272C7D8">
            <w:pPr>
              <w:jc w:val="center"/>
              <w:textAlignment w:val="center"/>
              <w:rPr>
                <w:rFonts w:ascii="Times New Roman" w:hAnsi="Times New Roman"/>
                <w:color w:val="000000"/>
                <w:sz w:val="22"/>
                <w:szCs w:val="22"/>
                <w:lang w:bidi="ar"/>
              </w:rPr>
            </w:pPr>
          </w:p>
        </w:tc>
        <w:tc>
          <w:tcPr>
            <w:tcW w:w="738" w:type="pct"/>
            <w:vAlign w:val="center"/>
          </w:tcPr>
          <w:p w14:paraId="5869714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STG_L(R)_6_5</w:t>
            </w:r>
          </w:p>
        </w:tc>
        <w:tc>
          <w:tcPr>
            <w:tcW w:w="335" w:type="pct"/>
            <w:vAlign w:val="center"/>
          </w:tcPr>
          <w:p w14:paraId="602A7E8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77</w:t>
            </w:r>
          </w:p>
        </w:tc>
        <w:tc>
          <w:tcPr>
            <w:tcW w:w="330" w:type="pct"/>
            <w:vAlign w:val="center"/>
          </w:tcPr>
          <w:p w14:paraId="5945494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78</w:t>
            </w:r>
          </w:p>
        </w:tc>
        <w:tc>
          <w:tcPr>
            <w:tcW w:w="1528" w:type="pct"/>
            <w:vAlign w:val="center"/>
          </w:tcPr>
          <w:p w14:paraId="5218034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A38l, lateral area 38</w:t>
            </w:r>
          </w:p>
        </w:tc>
        <w:tc>
          <w:tcPr>
            <w:tcW w:w="457" w:type="pct"/>
            <w:vAlign w:val="center"/>
          </w:tcPr>
          <w:p w14:paraId="7E428B43">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-45, 11, -20 </w:t>
            </w:r>
          </w:p>
        </w:tc>
        <w:tc>
          <w:tcPr>
            <w:tcW w:w="467" w:type="pct"/>
            <w:vAlign w:val="center"/>
          </w:tcPr>
          <w:p w14:paraId="59E58CB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47, 12, -20 </w:t>
            </w:r>
          </w:p>
        </w:tc>
      </w:tr>
      <w:tr w14:paraId="3DC8E3F4">
        <w:trPr>
          <w:trHeight w:val="360" w:hRule="atLeast"/>
        </w:trPr>
        <w:tc>
          <w:tcPr>
            <w:tcW w:w="455" w:type="pct"/>
            <w:vMerge w:val="continue"/>
            <w:vAlign w:val="center"/>
          </w:tcPr>
          <w:p w14:paraId="4EDE694A">
            <w:pPr>
              <w:jc w:val="center"/>
              <w:textAlignment w:val="center"/>
              <w:rPr>
                <w:rFonts w:ascii="Times New Roman" w:hAnsi="Times New Roman"/>
                <w:b/>
                <w:bCs/>
                <w:color w:val="000000"/>
                <w:sz w:val="22"/>
                <w:szCs w:val="22"/>
                <w:lang w:bidi="ar"/>
              </w:rPr>
            </w:pPr>
          </w:p>
        </w:tc>
        <w:tc>
          <w:tcPr>
            <w:tcW w:w="690" w:type="pct"/>
            <w:vMerge w:val="continue"/>
            <w:vAlign w:val="center"/>
          </w:tcPr>
          <w:p w14:paraId="457A15B9">
            <w:pPr>
              <w:jc w:val="center"/>
              <w:textAlignment w:val="center"/>
              <w:rPr>
                <w:rFonts w:ascii="Times New Roman" w:hAnsi="Times New Roman"/>
                <w:color w:val="000000"/>
                <w:sz w:val="22"/>
                <w:szCs w:val="22"/>
                <w:lang w:bidi="ar"/>
              </w:rPr>
            </w:pPr>
          </w:p>
        </w:tc>
        <w:tc>
          <w:tcPr>
            <w:tcW w:w="738" w:type="pct"/>
            <w:vAlign w:val="center"/>
          </w:tcPr>
          <w:p w14:paraId="77A02BE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STG_L(R)_6_6</w:t>
            </w:r>
          </w:p>
        </w:tc>
        <w:tc>
          <w:tcPr>
            <w:tcW w:w="335" w:type="pct"/>
            <w:vAlign w:val="center"/>
          </w:tcPr>
          <w:p w14:paraId="56C0302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79</w:t>
            </w:r>
          </w:p>
        </w:tc>
        <w:tc>
          <w:tcPr>
            <w:tcW w:w="330" w:type="pct"/>
            <w:vAlign w:val="center"/>
          </w:tcPr>
          <w:p w14:paraId="2603304A">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80</w:t>
            </w:r>
          </w:p>
        </w:tc>
        <w:tc>
          <w:tcPr>
            <w:tcW w:w="1528" w:type="pct"/>
            <w:vAlign w:val="center"/>
          </w:tcPr>
          <w:p w14:paraId="6360599A">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A22r, rostral area 22</w:t>
            </w:r>
          </w:p>
        </w:tc>
        <w:tc>
          <w:tcPr>
            <w:tcW w:w="457" w:type="pct"/>
            <w:vAlign w:val="center"/>
          </w:tcPr>
          <w:p w14:paraId="025A572B">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-55, -3, -10 </w:t>
            </w:r>
          </w:p>
        </w:tc>
        <w:tc>
          <w:tcPr>
            <w:tcW w:w="467" w:type="pct"/>
            <w:vAlign w:val="center"/>
          </w:tcPr>
          <w:p w14:paraId="5ECEC783">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56, -12, -5 </w:t>
            </w:r>
          </w:p>
        </w:tc>
      </w:tr>
      <w:tr w14:paraId="4AA45E75">
        <w:trPr>
          <w:trHeight w:val="360" w:hRule="atLeast"/>
        </w:trPr>
        <w:tc>
          <w:tcPr>
            <w:tcW w:w="455" w:type="pct"/>
            <w:vMerge w:val="continue"/>
            <w:vAlign w:val="center"/>
          </w:tcPr>
          <w:p w14:paraId="5EDDDFAE">
            <w:pPr>
              <w:jc w:val="center"/>
              <w:textAlignment w:val="center"/>
              <w:rPr>
                <w:rFonts w:ascii="Times New Roman" w:hAnsi="Times New Roman"/>
                <w:b/>
                <w:bCs/>
                <w:color w:val="000000"/>
                <w:sz w:val="22"/>
                <w:szCs w:val="22"/>
                <w:lang w:bidi="ar"/>
              </w:rPr>
            </w:pPr>
          </w:p>
        </w:tc>
        <w:tc>
          <w:tcPr>
            <w:tcW w:w="690" w:type="pct"/>
            <w:vMerge w:val="restart"/>
            <w:vAlign w:val="center"/>
          </w:tcPr>
          <w:p w14:paraId="00DB007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MTG, Middle Temporal Gyrus</w:t>
            </w:r>
          </w:p>
        </w:tc>
        <w:tc>
          <w:tcPr>
            <w:tcW w:w="738" w:type="pct"/>
            <w:vAlign w:val="center"/>
          </w:tcPr>
          <w:p w14:paraId="6CAD781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MTG_L(R)_4_1</w:t>
            </w:r>
          </w:p>
        </w:tc>
        <w:tc>
          <w:tcPr>
            <w:tcW w:w="335" w:type="pct"/>
            <w:vAlign w:val="center"/>
          </w:tcPr>
          <w:p w14:paraId="55E43623">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81</w:t>
            </w:r>
          </w:p>
        </w:tc>
        <w:tc>
          <w:tcPr>
            <w:tcW w:w="330" w:type="pct"/>
            <w:vAlign w:val="center"/>
          </w:tcPr>
          <w:p w14:paraId="2EFDBBC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82</w:t>
            </w:r>
          </w:p>
        </w:tc>
        <w:tc>
          <w:tcPr>
            <w:tcW w:w="1528" w:type="pct"/>
            <w:vAlign w:val="center"/>
          </w:tcPr>
          <w:p w14:paraId="571A6E3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A21c, caudal area 21</w:t>
            </w:r>
          </w:p>
        </w:tc>
        <w:tc>
          <w:tcPr>
            <w:tcW w:w="457" w:type="pct"/>
            <w:vAlign w:val="center"/>
          </w:tcPr>
          <w:p w14:paraId="2C02ACB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-65, -30, -12 </w:t>
            </w:r>
          </w:p>
        </w:tc>
        <w:tc>
          <w:tcPr>
            <w:tcW w:w="467" w:type="pct"/>
            <w:vAlign w:val="center"/>
          </w:tcPr>
          <w:p w14:paraId="7DA8AA9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65, -29, -13 </w:t>
            </w:r>
          </w:p>
        </w:tc>
      </w:tr>
      <w:tr w14:paraId="0D9505D8">
        <w:trPr>
          <w:trHeight w:val="360" w:hRule="atLeast"/>
        </w:trPr>
        <w:tc>
          <w:tcPr>
            <w:tcW w:w="455" w:type="pct"/>
            <w:vMerge w:val="continue"/>
            <w:vAlign w:val="center"/>
          </w:tcPr>
          <w:p w14:paraId="1EC889FE">
            <w:pPr>
              <w:jc w:val="center"/>
              <w:textAlignment w:val="center"/>
              <w:rPr>
                <w:rFonts w:ascii="Times New Roman" w:hAnsi="Times New Roman"/>
                <w:b/>
                <w:bCs/>
                <w:color w:val="000000"/>
                <w:sz w:val="22"/>
                <w:szCs w:val="22"/>
                <w:lang w:bidi="ar"/>
              </w:rPr>
            </w:pPr>
          </w:p>
        </w:tc>
        <w:tc>
          <w:tcPr>
            <w:tcW w:w="690" w:type="pct"/>
            <w:vMerge w:val="continue"/>
            <w:vAlign w:val="center"/>
          </w:tcPr>
          <w:p w14:paraId="0E62A6CC">
            <w:pPr>
              <w:jc w:val="center"/>
              <w:textAlignment w:val="center"/>
              <w:rPr>
                <w:rFonts w:ascii="Times New Roman" w:hAnsi="Times New Roman"/>
                <w:color w:val="000000"/>
                <w:sz w:val="22"/>
                <w:szCs w:val="22"/>
                <w:lang w:bidi="ar"/>
              </w:rPr>
            </w:pPr>
          </w:p>
        </w:tc>
        <w:tc>
          <w:tcPr>
            <w:tcW w:w="738" w:type="pct"/>
            <w:vAlign w:val="center"/>
          </w:tcPr>
          <w:p w14:paraId="79A5AB8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MTG_L(R)_4_2</w:t>
            </w:r>
          </w:p>
        </w:tc>
        <w:tc>
          <w:tcPr>
            <w:tcW w:w="335" w:type="pct"/>
            <w:vAlign w:val="center"/>
          </w:tcPr>
          <w:p w14:paraId="63B389C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83</w:t>
            </w:r>
          </w:p>
        </w:tc>
        <w:tc>
          <w:tcPr>
            <w:tcW w:w="330" w:type="pct"/>
            <w:vAlign w:val="center"/>
          </w:tcPr>
          <w:p w14:paraId="79B988C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84</w:t>
            </w:r>
          </w:p>
        </w:tc>
        <w:tc>
          <w:tcPr>
            <w:tcW w:w="1528" w:type="pct"/>
            <w:vAlign w:val="center"/>
          </w:tcPr>
          <w:p w14:paraId="5DC24E28">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A21r, rostral area 21</w:t>
            </w:r>
          </w:p>
        </w:tc>
        <w:tc>
          <w:tcPr>
            <w:tcW w:w="457" w:type="pct"/>
            <w:vAlign w:val="center"/>
          </w:tcPr>
          <w:p w14:paraId="023D302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-53, 2, -30 </w:t>
            </w:r>
          </w:p>
        </w:tc>
        <w:tc>
          <w:tcPr>
            <w:tcW w:w="467" w:type="pct"/>
            <w:vAlign w:val="center"/>
          </w:tcPr>
          <w:p w14:paraId="006DC11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51, 6, -32 </w:t>
            </w:r>
          </w:p>
        </w:tc>
      </w:tr>
      <w:tr w14:paraId="4EBEF371">
        <w:trPr>
          <w:trHeight w:val="360" w:hRule="atLeast"/>
        </w:trPr>
        <w:tc>
          <w:tcPr>
            <w:tcW w:w="455" w:type="pct"/>
            <w:vMerge w:val="continue"/>
            <w:vAlign w:val="center"/>
          </w:tcPr>
          <w:p w14:paraId="290DF752">
            <w:pPr>
              <w:jc w:val="center"/>
              <w:textAlignment w:val="center"/>
              <w:rPr>
                <w:rFonts w:ascii="Times New Roman" w:hAnsi="Times New Roman"/>
                <w:b/>
                <w:bCs/>
                <w:color w:val="000000"/>
                <w:sz w:val="22"/>
                <w:szCs w:val="22"/>
                <w:lang w:bidi="ar"/>
              </w:rPr>
            </w:pPr>
          </w:p>
        </w:tc>
        <w:tc>
          <w:tcPr>
            <w:tcW w:w="690" w:type="pct"/>
            <w:vMerge w:val="continue"/>
            <w:vAlign w:val="center"/>
          </w:tcPr>
          <w:p w14:paraId="17D5D2EC">
            <w:pPr>
              <w:jc w:val="center"/>
              <w:textAlignment w:val="center"/>
              <w:rPr>
                <w:rFonts w:ascii="Times New Roman" w:hAnsi="Times New Roman"/>
                <w:color w:val="000000"/>
                <w:sz w:val="22"/>
                <w:szCs w:val="22"/>
                <w:lang w:bidi="ar"/>
              </w:rPr>
            </w:pPr>
          </w:p>
        </w:tc>
        <w:tc>
          <w:tcPr>
            <w:tcW w:w="738" w:type="pct"/>
            <w:vAlign w:val="center"/>
          </w:tcPr>
          <w:p w14:paraId="0109746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MTG_L(R)_4_3</w:t>
            </w:r>
          </w:p>
        </w:tc>
        <w:tc>
          <w:tcPr>
            <w:tcW w:w="335" w:type="pct"/>
            <w:vAlign w:val="center"/>
          </w:tcPr>
          <w:p w14:paraId="62C2CCD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85</w:t>
            </w:r>
          </w:p>
        </w:tc>
        <w:tc>
          <w:tcPr>
            <w:tcW w:w="330" w:type="pct"/>
            <w:vAlign w:val="center"/>
          </w:tcPr>
          <w:p w14:paraId="6639038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86</w:t>
            </w:r>
          </w:p>
        </w:tc>
        <w:tc>
          <w:tcPr>
            <w:tcW w:w="1528" w:type="pct"/>
            <w:vAlign w:val="center"/>
          </w:tcPr>
          <w:p w14:paraId="3449834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A37dl, dorsolateral area37</w:t>
            </w:r>
          </w:p>
        </w:tc>
        <w:tc>
          <w:tcPr>
            <w:tcW w:w="457" w:type="pct"/>
            <w:vAlign w:val="center"/>
          </w:tcPr>
          <w:p w14:paraId="033CF7F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-59, -58, 4 </w:t>
            </w:r>
          </w:p>
        </w:tc>
        <w:tc>
          <w:tcPr>
            <w:tcW w:w="467" w:type="pct"/>
            <w:vAlign w:val="center"/>
          </w:tcPr>
          <w:p w14:paraId="550227D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60, -53, 3 </w:t>
            </w:r>
          </w:p>
        </w:tc>
      </w:tr>
      <w:tr w14:paraId="49232994">
        <w:trPr>
          <w:trHeight w:val="360" w:hRule="atLeast"/>
        </w:trPr>
        <w:tc>
          <w:tcPr>
            <w:tcW w:w="455" w:type="pct"/>
            <w:vMerge w:val="continue"/>
            <w:vAlign w:val="center"/>
          </w:tcPr>
          <w:p w14:paraId="0E8E1776">
            <w:pPr>
              <w:jc w:val="center"/>
              <w:textAlignment w:val="center"/>
              <w:rPr>
                <w:rFonts w:ascii="Times New Roman" w:hAnsi="Times New Roman"/>
                <w:b/>
                <w:bCs/>
                <w:color w:val="000000"/>
                <w:sz w:val="22"/>
                <w:szCs w:val="22"/>
                <w:lang w:bidi="ar"/>
              </w:rPr>
            </w:pPr>
          </w:p>
        </w:tc>
        <w:tc>
          <w:tcPr>
            <w:tcW w:w="690" w:type="pct"/>
            <w:vMerge w:val="continue"/>
            <w:vAlign w:val="center"/>
          </w:tcPr>
          <w:p w14:paraId="7C26C26F">
            <w:pPr>
              <w:jc w:val="center"/>
              <w:textAlignment w:val="center"/>
              <w:rPr>
                <w:rFonts w:ascii="Times New Roman" w:hAnsi="Times New Roman"/>
                <w:color w:val="000000"/>
                <w:sz w:val="22"/>
                <w:szCs w:val="22"/>
                <w:lang w:bidi="ar"/>
              </w:rPr>
            </w:pPr>
          </w:p>
        </w:tc>
        <w:tc>
          <w:tcPr>
            <w:tcW w:w="738" w:type="pct"/>
            <w:vAlign w:val="center"/>
          </w:tcPr>
          <w:p w14:paraId="75FE21D8">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MTG_L(R)_4_4</w:t>
            </w:r>
          </w:p>
        </w:tc>
        <w:tc>
          <w:tcPr>
            <w:tcW w:w="335" w:type="pct"/>
            <w:vAlign w:val="center"/>
          </w:tcPr>
          <w:p w14:paraId="31654FA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87</w:t>
            </w:r>
          </w:p>
        </w:tc>
        <w:tc>
          <w:tcPr>
            <w:tcW w:w="330" w:type="pct"/>
            <w:vAlign w:val="center"/>
          </w:tcPr>
          <w:p w14:paraId="16AEBBE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88</w:t>
            </w:r>
          </w:p>
        </w:tc>
        <w:tc>
          <w:tcPr>
            <w:tcW w:w="1528" w:type="pct"/>
            <w:vAlign w:val="center"/>
          </w:tcPr>
          <w:p w14:paraId="486C344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aSTS, anterior superior temporal sulcus</w:t>
            </w:r>
          </w:p>
        </w:tc>
        <w:tc>
          <w:tcPr>
            <w:tcW w:w="457" w:type="pct"/>
            <w:vAlign w:val="center"/>
          </w:tcPr>
          <w:p w14:paraId="7A1EAF68">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-58, -20, -9 </w:t>
            </w:r>
          </w:p>
        </w:tc>
        <w:tc>
          <w:tcPr>
            <w:tcW w:w="467" w:type="pct"/>
            <w:vAlign w:val="center"/>
          </w:tcPr>
          <w:p w14:paraId="063C0F4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58, -16, -10 </w:t>
            </w:r>
          </w:p>
        </w:tc>
      </w:tr>
      <w:tr w14:paraId="7A0B0D16">
        <w:trPr>
          <w:trHeight w:val="360" w:hRule="atLeast"/>
        </w:trPr>
        <w:tc>
          <w:tcPr>
            <w:tcW w:w="455" w:type="pct"/>
            <w:vMerge w:val="continue"/>
            <w:vAlign w:val="center"/>
          </w:tcPr>
          <w:p w14:paraId="64FEE63C">
            <w:pPr>
              <w:jc w:val="center"/>
              <w:textAlignment w:val="center"/>
              <w:rPr>
                <w:rFonts w:ascii="Times New Roman" w:hAnsi="Times New Roman"/>
                <w:b/>
                <w:bCs/>
                <w:color w:val="000000"/>
                <w:sz w:val="22"/>
                <w:szCs w:val="22"/>
                <w:lang w:bidi="ar"/>
              </w:rPr>
            </w:pPr>
          </w:p>
        </w:tc>
        <w:tc>
          <w:tcPr>
            <w:tcW w:w="690" w:type="pct"/>
            <w:vMerge w:val="restart"/>
            <w:vAlign w:val="center"/>
          </w:tcPr>
          <w:p w14:paraId="21D372FA">
            <w:pPr>
              <w:jc w:val="center"/>
              <w:textAlignment w:val="center"/>
              <w:rPr>
                <w:rFonts w:ascii="Times New Roman" w:hAnsi="Times New Roman"/>
                <w:color w:val="000000"/>
                <w:sz w:val="22"/>
                <w:szCs w:val="22"/>
                <w:lang w:bidi="ar"/>
              </w:rPr>
            </w:pPr>
            <w:bookmarkStart w:id="27" w:name="RANGE!F35"/>
            <w:bookmarkEnd w:id="27"/>
            <w:bookmarkStart w:id="28" w:name="RANGE!B46"/>
            <w:r>
              <w:rPr>
                <w:rFonts w:ascii="Times New Roman" w:hAnsi="Times New Roman"/>
                <w:color w:val="000000"/>
                <w:sz w:val="22"/>
                <w:szCs w:val="22"/>
                <w:lang w:bidi="ar"/>
              </w:rPr>
              <w:t>ITG, Inferior Temporal Gyrus</w:t>
            </w:r>
            <w:bookmarkEnd w:id="28"/>
          </w:p>
        </w:tc>
        <w:tc>
          <w:tcPr>
            <w:tcW w:w="738" w:type="pct"/>
            <w:vAlign w:val="center"/>
          </w:tcPr>
          <w:p w14:paraId="47EE98D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ITG_L(R)_7_1</w:t>
            </w:r>
          </w:p>
        </w:tc>
        <w:tc>
          <w:tcPr>
            <w:tcW w:w="335" w:type="pct"/>
            <w:vAlign w:val="center"/>
          </w:tcPr>
          <w:p w14:paraId="276B516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89</w:t>
            </w:r>
          </w:p>
        </w:tc>
        <w:tc>
          <w:tcPr>
            <w:tcW w:w="330" w:type="pct"/>
            <w:vAlign w:val="center"/>
          </w:tcPr>
          <w:p w14:paraId="5B1E53E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90</w:t>
            </w:r>
          </w:p>
        </w:tc>
        <w:tc>
          <w:tcPr>
            <w:tcW w:w="1528" w:type="pct"/>
            <w:vAlign w:val="center"/>
          </w:tcPr>
          <w:p w14:paraId="35849D7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A20iv, intermediate ventral area 20</w:t>
            </w:r>
          </w:p>
        </w:tc>
        <w:tc>
          <w:tcPr>
            <w:tcW w:w="457" w:type="pct"/>
            <w:vAlign w:val="center"/>
          </w:tcPr>
          <w:p w14:paraId="3B99464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-45, -26, -27 </w:t>
            </w:r>
          </w:p>
        </w:tc>
        <w:tc>
          <w:tcPr>
            <w:tcW w:w="467" w:type="pct"/>
            <w:vAlign w:val="center"/>
          </w:tcPr>
          <w:p w14:paraId="022900A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46, -14, -33 </w:t>
            </w:r>
          </w:p>
        </w:tc>
      </w:tr>
      <w:tr w14:paraId="0F79C26B">
        <w:trPr>
          <w:trHeight w:val="360" w:hRule="atLeast"/>
        </w:trPr>
        <w:tc>
          <w:tcPr>
            <w:tcW w:w="455" w:type="pct"/>
            <w:vMerge w:val="continue"/>
            <w:vAlign w:val="center"/>
          </w:tcPr>
          <w:p w14:paraId="1501FFF4">
            <w:pPr>
              <w:jc w:val="center"/>
              <w:textAlignment w:val="center"/>
              <w:rPr>
                <w:rFonts w:ascii="Times New Roman" w:hAnsi="Times New Roman"/>
                <w:b/>
                <w:bCs/>
                <w:color w:val="000000"/>
                <w:sz w:val="22"/>
                <w:szCs w:val="22"/>
                <w:lang w:bidi="ar"/>
              </w:rPr>
            </w:pPr>
          </w:p>
        </w:tc>
        <w:tc>
          <w:tcPr>
            <w:tcW w:w="690" w:type="pct"/>
            <w:vMerge w:val="continue"/>
            <w:vAlign w:val="center"/>
          </w:tcPr>
          <w:p w14:paraId="08C500E5">
            <w:pPr>
              <w:jc w:val="center"/>
              <w:textAlignment w:val="center"/>
              <w:rPr>
                <w:rFonts w:ascii="Times New Roman" w:hAnsi="Times New Roman"/>
                <w:color w:val="000000"/>
                <w:sz w:val="22"/>
                <w:szCs w:val="22"/>
                <w:lang w:bidi="ar"/>
              </w:rPr>
            </w:pPr>
          </w:p>
        </w:tc>
        <w:tc>
          <w:tcPr>
            <w:tcW w:w="738" w:type="pct"/>
            <w:vAlign w:val="center"/>
          </w:tcPr>
          <w:p w14:paraId="08C00F1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ITG_L(R)_7_2</w:t>
            </w:r>
          </w:p>
        </w:tc>
        <w:tc>
          <w:tcPr>
            <w:tcW w:w="335" w:type="pct"/>
            <w:vAlign w:val="center"/>
          </w:tcPr>
          <w:p w14:paraId="4B0F73D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91</w:t>
            </w:r>
          </w:p>
        </w:tc>
        <w:tc>
          <w:tcPr>
            <w:tcW w:w="330" w:type="pct"/>
            <w:vAlign w:val="center"/>
          </w:tcPr>
          <w:p w14:paraId="2ADAF4F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92</w:t>
            </w:r>
          </w:p>
        </w:tc>
        <w:tc>
          <w:tcPr>
            <w:tcW w:w="1528" w:type="pct"/>
            <w:vAlign w:val="center"/>
          </w:tcPr>
          <w:p w14:paraId="2CF3772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A37elv, extreme lateroventral area37</w:t>
            </w:r>
          </w:p>
        </w:tc>
        <w:tc>
          <w:tcPr>
            <w:tcW w:w="457" w:type="pct"/>
            <w:vAlign w:val="center"/>
          </w:tcPr>
          <w:p w14:paraId="132DDB9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-51, -57, -15 </w:t>
            </w:r>
          </w:p>
        </w:tc>
        <w:tc>
          <w:tcPr>
            <w:tcW w:w="467" w:type="pct"/>
            <w:vAlign w:val="center"/>
          </w:tcPr>
          <w:p w14:paraId="614E2F4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53, -52, -18 </w:t>
            </w:r>
          </w:p>
        </w:tc>
      </w:tr>
      <w:tr w14:paraId="6BCE57B0">
        <w:trPr>
          <w:trHeight w:val="360" w:hRule="atLeast"/>
        </w:trPr>
        <w:tc>
          <w:tcPr>
            <w:tcW w:w="455" w:type="pct"/>
            <w:vMerge w:val="continue"/>
            <w:vAlign w:val="center"/>
          </w:tcPr>
          <w:p w14:paraId="4D2438BE">
            <w:pPr>
              <w:jc w:val="center"/>
              <w:textAlignment w:val="center"/>
              <w:rPr>
                <w:rFonts w:ascii="Times New Roman" w:hAnsi="Times New Roman"/>
                <w:b/>
                <w:bCs/>
                <w:color w:val="000000"/>
                <w:sz w:val="22"/>
                <w:szCs w:val="22"/>
                <w:lang w:bidi="ar"/>
              </w:rPr>
            </w:pPr>
          </w:p>
        </w:tc>
        <w:tc>
          <w:tcPr>
            <w:tcW w:w="690" w:type="pct"/>
            <w:vMerge w:val="continue"/>
            <w:vAlign w:val="center"/>
          </w:tcPr>
          <w:p w14:paraId="01A1C1DF">
            <w:pPr>
              <w:jc w:val="center"/>
              <w:textAlignment w:val="center"/>
              <w:rPr>
                <w:rFonts w:ascii="Times New Roman" w:hAnsi="Times New Roman"/>
                <w:color w:val="000000"/>
                <w:sz w:val="22"/>
                <w:szCs w:val="22"/>
                <w:lang w:bidi="ar"/>
              </w:rPr>
            </w:pPr>
          </w:p>
        </w:tc>
        <w:tc>
          <w:tcPr>
            <w:tcW w:w="738" w:type="pct"/>
            <w:vAlign w:val="center"/>
          </w:tcPr>
          <w:p w14:paraId="35972A4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ITG_L(R)_7_3</w:t>
            </w:r>
          </w:p>
        </w:tc>
        <w:tc>
          <w:tcPr>
            <w:tcW w:w="335" w:type="pct"/>
            <w:vAlign w:val="center"/>
          </w:tcPr>
          <w:p w14:paraId="033CD9D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93</w:t>
            </w:r>
          </w:p>
        </w:tc>
        <w:tc>
          <w:tcPr>
            <w:tcW w:w="330" w:type="pct"/>
            <w:vAlign w:val="center"/>
          </w:tcPr>
          <w:p w14:paraId="507D73A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94</w:t>
            </w:r>
          </w:p>
        </w:tc>
        <w:tc>
          <w:tcPr>
            <w:tcW w:w="1528" w:type="pct"/>
            <w:vAlign w:val="center"/>
          </w:tcPr>
          <w:p w14:paraId="77C9CA9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A20r, rostral area 20</w:t>
            </w:r>
          </w:p>
        </w:tc>
        <w:tc>
          <w:tcPr>
            <w:tcW w:w="457" w:type="pct"/>
            <w:vAlign w:val="center"/>
          </w:tcPr>
          <w:p w14:paraId="136F0C28">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-43, -2, -41 </w:t>
            </w:r>
          </w:p>
        </w:tc>
        <w:tc>
          <w:tcPr>
            <w:tcW w:w="467" w:type="pct"/>
            <w:vAlign w:val="center"/>
          </w:tcPr>
          <w:p w14:paraId="26321EA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40, 0, -43 </w:t>
            </w:r>
          </w:p>
        </w:tc>
      </w:tr>
      <w:tr w14:paraId="133DCBF2">
        <w:trPr>
          <w:trHeight w:val="360" w:hRule="atLeast"/>
        </w:trPr>
        <w:tc>
          <w:tcPr>
            <w:tcW w:w="455" w:type="pct"/>
            <w:vMerge w:val="continue"/>
            <w:vAlign w:val="center"/>
          </w:tcPr>
          <w:p w14:paraId="6606DA2B">
            <w:pPr>
              <w:jc w:val="center"/>
              <w:textAlignment w:val="center"/>
              <w:rPr>
                <w:rFonts w:ascii="Times New Roman" w:hAnsi="Times New Roman"/>
                <w:b/>
                <w:bCs/>
                <w:color w:val="000000"/>
                <w:sz w:val="22"/>
                <w:szCs w:val="22"/>
                <w:lang w:bidi="ar"/>
              </w:rPr>
            </w:pPr>
          </w:p>
        </w:tc>
        <w:tc>
          <w:tcPr>
            <w:tcW w:w="690" w:type="pct"/>
            <w:vMerge w:val="continue"/>
            <w:vAlign w:val="center"/>
          </w:tcPr>
          <w:p w14:paraId="2FEC9EBB">
            <w:pPr>
              <w:jc w:val="center"/>
              <w:textAlignment w:val="center"/>
              <w:rPr>
                <w:rFonts w:ascii="Times New Roman" w:hAnsi="Times New Roman"/>
                <w:color w:val="000000"/>
                <w:sz w:val="22"/>
                <w:szCs w:val="22"/>
                <w:lang w:bidi="ar"/>
              </w:rPr>
            </w:pPr>
          </w:p>
        </w:tc>
        <w:tc>
          <w:tcPr>
            <w:tcW w:w="738" w:type="pct"/>
            <w:vAlign w:val="center"/>
          </w:tcPr>
          <w:p w14:paraId="2392301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ITG_L(R)_7_4</w:t>
            </w:r>
          </w:p>
        </w:tc>
        <w:tc>
          <w:tcPr>
            <w:tcW w:w="335" w:type="pct"/>
            <w:vAlign w:val="center"/>
          </w:tcPr>
          <w:p w14:paraId="3A4CD3FA">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95</w:t>
            </w:r>
          </w:p>
        </w:tc>
        <w:tc>
          <w:tcPr>
            <w:tcW w:w="330" w:type="pct"/>
            <w:vAlign w:val="center"/>
          </w:tcPr>
          <w:p w14:paraId="306CF8E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96</w:t>
            </w:r>
          </w:p>
        </w:tc>
        <w:tc>
          <w:tcPr>
            <w:tcW w:w="1528" w:type="pct"/>
            <w:vAlign w:val="center"/>
          </w:tcPr>
          <w:p w14:paraId="5F96BDD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A20il, intermediate lateral area 20</w:t>
            </w:r>
          </w:p>
        </w:tc>
        <w:tc>
          <w:tcPr>
            <w:tcW w:w="457" w:type="pct"/>
            <w:vAlign w:val="center"/>
          </w:tcPr>
          <w:p w14:paraId="34FECDB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-56, -16, -28 </w:t>
            </w:r>
          </w:p>
        </w:tc>
        <w:tc>
          <w:tcPr>
            <w:tcW w:w="467" w:type="pct"/>
            <w:vAlign w:val="center"/>
          </w:tcPr>
          <w:p w14:paraId="2E266D5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55, -11, -32 </w:t>
            </w:r>
          </w:p>
        </w:tc>
      </w:tr>
      <w:tr w14:paraId="4A3B7C17">
        <w:trPr>
          <w:trHeight w:val="360" w:hRule="atLeast"/>
        </w:trPr>
        <w:tc>
          <w:tcPr>
            <w:tcW w:w="455" w:type="pct"/>
            <w:vMerge w:val="continue"/>
            <w:vAlign w:val="center"/>
          </w:tcPr>
          <w:p w14:paraId="44C5C9DF">
            <w:pPr>
              <w:jc w:val="center"/>
              <w:textAlignment w:val="center"/>
              <w:rPr>
                <w:rFonts w:ascii="Times New Roman" w:hAnsi="Times New Roman"/>
                <w:b/>
                <w:bCs/>
                <w:color w:val="000000"/>
                <w:sz w:val="22"/>
                <w:szCs w:val="22"/>
                <w:lang w:bidi="ar"/>
              </w:rPr>
            </w:pPr>
          </w:p>
        </w:tc>
        <w:tc>
          <w:tcPr>
            <w:tcW w:w="690" w:type="pct"/>
            <w:vMerge w:val="continue"/>
            <w:vAlign w:val="center"/>
          </w:tcPr>
          <w:p w14:paraId="72DE4A5F">
            <w:pPr>
              <w:jc w:val="center"/>
              <w:textAlignment w:val="center"/>
              <w:rPr>
                <w:rFonts w:ascii="Times New Roman" w:hAnsi="Times New Roman"/>
                <w:color w:val="000000"/>
                <w:sz w:val="22"/>
                <w:szCs w:val="22"/>
                <w:lang w:bidi="ar"/>
              </w:rPr>
            </w:pPr>
          </w:p>
        </w:tc>
        <w:tc>
          <w:tcPr>
            <w:tcW w:w="738" w:type="pct"/>
            <w:vAlign w:val="center"/>
          </w:tcPr>
          <w:p w14:paraId="54D820F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ITG_L(R)_7_5</w:t>
            </w:r>
          </w:p>
        </w:tc>
        <w:tc>
          <w:tcPr>
            <w:tcW w:w="335" w:type="pct"/>
            <w:vAlign w:val="center"/>
          </w:tcPr>
          <w:p w14:paraId="0275605A">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97</w:t>
            </w:r>
          </w:p>
        </w:tc>
        <w:tc>
          <w:tcPr>
            <w:tcW w:w="330" w:type="pct"/>
            <w:vAlign w:val="center"/>
          </w:tcPr>
          <w:p w14:paraId="6BFE0E2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98</w:t>
            </w:r>
          </w:p>
        </w:tc>
        <w:tc>
          <w:tcPr>
            <w:tcW w:w="1528" w:type="pct"/>
            <w:vAlign w:val="center"/>
          </w:tcPr>
          <w:p w14:paraId="0C719D2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A37vl, ventrolateral area 37</w:t>
            </w:r>
          </w:p>
        </w:tc>
        <w:tc>
          <w:tcPr>
            <w:tcW w:w="457" w:type="pct"/>
            <w:vAlign w:val="center"/>
          </w:tcPr>
          <w:p w14:paraId="7DA6A75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-55, -60, -6 </w:t>
            </w:r>
          </w:p>
        </w:tc>
        <w:tc>
          <w:tcPr>
            <w:tcW w:w="467" w:type="pct"/>
            <w:vAlign w:val="center"/>
          </w:tcPr>
          <w:p w14:paraId="7D6FEF4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54, -57, -8 </w:t>
            </w:r>
          </w:p>
        </w:tc>
      </w:tr>
      <w:tr w14:paraId="7DC30D4F">
        <w:trPr>
          <w:trHeight w:val="360" w:hRule="atLeast"/>
        </w:trPr>
        <w:tc>
          <w:tcPr>
            <w:tcW w:w="455" w:type="pct"/>
            <w:vMerge w:val="continue"/>
            <w:vAlign w:val="center"/>
          </w:tcPr>
          <w:p w14:paraId="67145D96">
            <w:pPr>
              <w:jc w:val="center"/>
              <w:textAlignment w:val="center"/>
              <w:rPr>
                <w:rFonts w:ascii="Times New Roman" w:hAnsi="Times New Roman"/>
                <w:b/>
                <w:bCs/>
                <w:color w:val="000000"/>
                <w:sz w:val="22"/>
                <w:szCs w:val="22"/>
                <w:lang w:bidi="ar"/>
              </w:rPr>
            </w:pPr>
          </w:p>
        </w:tc>
        <w:tc>
          <w:tcPr>
            <w:tcW w:w="690" w:type="pct"/>
            <w:vMerge w:val="continue"/>
            <w:vAlign w:val="center"/>
          </w:tcPr>
          <w:p w14:paraId="13573E87">
            <w:pPr>
              <w:jc w:val="center"/>
              <w:textAlignment w:val="center"/>
              <w:rPr>
                <w:rFonts w:ascii="Times New Roman" w:hAnsi="Times New Roman"/>
                <w:color w:val="000000"/>
                <w:sz w:val="22"/>
                <w:szCs w:val="22"/>
                <w:lang w:bidi="ar"/>
              </w:rPr>
            </w:pPr>
          </w:p>
        </w:tc>
        <w:tc>
          <w:tcPr>
            <w:tcW w:w="738" w:type="pct"/>
            <w:vAlign w:val="center"/>
          </w:tcPr>
          <w:p w14:paraId="15067E43">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ITG_L(R)_7_6</w:t>
            </w:r>
          </w:p>
        </w:tc>
        <w:tc>
          <w:tcPr>
            <w:tcW w:w="335" w:type="pct"/>
            <w:vAlign w:val="center"/>
          </w:tcPr>
          <w:p w14:paraId="3526932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99</w:t>
            </w:r>
          </w:p>
        </w:tc>
        <w:tc>
          <w:tcPr>
            <w:tcW w:w="330" w:type="pct"/>
            <w:vAlign w:val="center"/>
          </w:tcPr>
          <w:p w14:paraId="23E9001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100</w:t>
            </w:r>
          </w:p>
        </w:tc>
        <w:tc>
          <w:tcPr>
            <w:tcW w:w="1528" w:type="pct"/>
            <w:vAlign w:val="center"/>
          </w:tcPr>
          <w:p w14:paraId="3CB5248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A20cl, caudolateral of area 20</w:t>
            </w:r>
          </w:p>
        </w:tc>
        <w:tc>
          <w:tcPr>
            <w:tcW w:w="457" w:type="pct"/>
            <w:vAlign w:val="center"/>
          </w:tcPr>
          <w:p w14:paraId="0C48504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-59, -42, -16 </w:t>
            </w:r>
          </w:p>
        </w:tc>
        <w:tc>
          <w:tcPr>
            <w:tcW w:w="467" w:type="pct"/>
            <w:vAlign w:val="center"/>
          </w:tcPr>
          <w:p w14:paraId="4D3B79F8">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61, -40, -17 </w:t>
            </w:r>
          </w:p>
        </w:tc>
      </w:tr>
      <w:tr w14:paraId="2CF11BC6">
        <w:trPr>
          <w:trHeight w:val="360" w:hRule="atLeast"/>
        </w:trPr>
        <w:tc>
          <w:tcPr>
            <w:tcW w:w="455" w:type="pct"/>
            <w:vMerge w:val="continue"/>
            <w:vAlign w:val="center"/>
          </w:tcPr>
          <w:p w14:paraId="3EE29752">
            <w:pPr>
              <w:jc w:val="center"/>
              <w:textAlignment w:val="center"/>
              <w:rPr>
                <w:rFonts w:ascii="Times New Roman" w:hAnsi="Times New Roman"/>
                <w:b/>
                <w:bCs/>
                <w:color w:val="000000"/>
                <w:sz w:val="22"/>
                <w:szCs w:val="22"/>
                <w:lang w:bidi="ar"/>
              </w:rPr>
            </w:pPr>
          </w:p>
        </w:tc>
        <w:tc>
          <w:tcPr>
            <w:tcW w:w="690" w:type="pct"/>
            <w:vMerge w:val="continue"/>
            <w:vAlign w:val="center"/>
          </w:tcPr>
          <w:p w14:paraId="15D3F5F0">
            <w:pPr>
              <w:jc w:val="center"/>
              <w:textAlignment w:val="center"/>
              <w:rPr>
                <w:rFonts w:ascii="Times New Roman" w:hAnsi="Times New Roman"/>
                <w:color w:val="000000"/>
                <w:sz w:val="22"/>
                <w:szCs w:val="22"/>
                <w:lang w:bidi="ar"/>
              </w:rPr>
            </w:pPr>
          </w:p>
        </w:tc>
        <w:tc>
          <w:tcPr>
            <w:tcW w:w="738" w:type="pct"/>
            <w:vAlign w:val="center"/>
          </w:tcPr>
          <w:p w14:paraId="7F8EC72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ITG_L(R)_7_7</w:t>
            </w:r>
          </w:p>
        </w:tc>
        <w:tc>
          <w:tcPr>
            <w:tcW w:w="335" w:type="pct"/>
            <w:vAlign w:val="center"/>
          </w:tcPr>
          <w:p w14:paraId="237B5AF8">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101</w:t>
            </w:r>
          </w:p>
        </w:tc>
        <w:tc>
          <w:tcPr>
            <w:tcW w:w="330" w:type="pct"/>
            <w:vAlign w:val="center"/>
          </w:tcPr>
          <w:p w14:paraId="4E5DA54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102</w:t>
            </w:r>
          </w:p>
        </w:tc>
        <w:tc>
          <w:tcPr>
            <w:tcW w:w="1528" w:type="pct"/>
            <w:vAlign w:val="center"/>
          </w:tcPr>
          <w:p w14:paraId="799B403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A20cv, caudoventral of area 20</w:t>
            </w:r>
          </w:p>
        </w:tc>
        <w:tc>
          <w:tcPr>
            <w:tcW w:w="457" w:type="pct"/>
            <w:vAlign w:val="center"/>
          </w:tcPr>
          <w:p w14:paraId="53FB04C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-55, -31, -27 </w:t>
            </w:r>
          </w:p>
        </w:tc>
        <w:tc>
          <w:tcPr>
            <w:tcW w:w="467" w:type="pct"/>
            <w:vAlign w:val="center"/>
          </w:tcPr>
          <w:p w14:paraId="5FF3F45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54, -31, -26 </w:t>
            </w:r>
          </w:p>
        </w:tc>
      </w:tr>
      <w:tr w14:paraId="0914602E">
        <w:trPr>
          <w:trHeight w:val="360" w:hRule="atLeast"/>
        </w:trPr>
        <w:tc>
          <w:tcPr>
            <w:tcW w:w="455" w:type="pct"/>
            <w:vMerge w:val="continue"/>
            <w:vAlign w:val="center"/>
          </w:tcPr>
          <w:p w14:paraId="38C34BEE">
            <w:pPr>
              <w:jc w:val="center"/>
              <w:textAlignment w:val="center"/>
              <w:rPr>
                <w:rFonts w:ascii="Times New Roman" w:hAnsi="Times New Roman"/>
                <w:b/>
                <w:bCs/>
                <w:color w:val="000000"/>
                <w:sz w:val="22"/>
                <w:szCs w:val="22"/>
                <w:lang w:bidi="ar"/>
              </w:rPr>
            </w:pPr>
          </w:p>
        </w:tc>
        <w:tc>
          <w:tcPr>
            <w:tcW w:w="690" w:type="pct"/>
            <w:vMerge w:val="restart"/>
            <w:vAlign w:val="center"/>
          </w:tcPr>
          <w:p w14:paraId="3744AA80">
            <w:pPr>
              <w:jc w:val="center"/>
              <w:textAlignment w:val="center"/>
              <w:rPr>
                <w:rFonts w:ascii="Times New Roman" w:hAnsi="Times New Roman"/>
                <w:color w:val="000000"/>
                <w:sz w:val="22"/>
                <w:szCs w:val="22"/>
                <w:lang w:bidi="ar"/>
              </w:rPr>
            </w:pPr>
            <w:bookmarkStart w:id="29" w:name="RANGE!F47"/>
            <w:bookmarkEnd w:id="29"/>
            <w:bookmarkStart w:id="30" w:name="RANGE!B53"/>
            <w:r>
              <w:rPr>
                <w:rFonts w:ascii="Times New Roman" w:hAnsi="Times New Roman"/>
                <w:color w:val="000000"/>
                <w:sz w:val="22"/>
                <w:szCs w:val="22"/>
                <w:lang w:bidi="ar"/>
              </w:rPr>
              <w:t>FuG, Fusiform Gyrus</w:t>
            </w:r>
            <w:bookmarkEnd w:id="30"/>
          </w:p>
        </w:tc>
        <w:tc>
          <w:tcPr>
            <w:tcW w:w="738" w:type="pct"/>
            <w:vAlign w:val="center"/>
          </w:tcPr>
          <w:p w14:paraId="604DBD73">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FuG_L(R)_3_1</w:t>
            </w:r>
          </w:p>
        </w:tc>
        <w:tc>
          <w:tcPr>
            <w:tcW w:w="335" w:type="pct"/>
            <w:vAlign w:val="center"/>
          </w:tcPr>
          <w:p w14:paraId="2169D38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103</w:t>
            </w:r>
          </w:p>
        </w:tc>
        <w:tc>
          <w:tcPr>
            <w:tcW w:w="330" w:type="pct"/>
            <w:vAlign w:val="center"/>
          </w:tcPr>
          <w:p w14:paraId="73E480F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104</w:t>
            </w:r>
          </w:p>
        </w:tc>
        <w:tc>
          <w:tcPr>
            <w:tcW w:w="1528" w:type="pct"/>
            <w:vAlign w:val="center"/>
          </w:tcPr>
          <w:p w14:paraId="2035446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A20rv, rostroventral area 20</w:t>
            </w:r>
          </w:p>
        </w:tc>
        <w:tc>
          <w:tcPr>
            <w:tcW w:w="457" w:type="pct"/>
            <w:vAlign w:val="center"/>
          </w:tcPr>
          <w:p w14:paraId="368ECD4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-33, -16, -32 </w:t>
            </w:r>
          </w:p>
        </w:tc>
        <w:tc>
          <w:tcPr>
            <w:tcW w:w="467" w:type="pct"/>
            <w:vAlign w:val="center"/>
          </w:tcPr>
          <w:p w14:paraId="1F6537A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33, -15, -34 </w:t>
            </w:r>
          </w:p>
        </w:tc>
      </w:tr>
      <w:tr w14:paraId="6D90BCC8">
        <w:trPr>
          <w:trHeight w:val="360" w:hRule="atLeast"/>
        </w:trPr>
        <w:tc>
          <w:tcPr>
            <w:tcW w:w="455" w:type="pct"/>
            <w:vMerge w:val="continue"/>
            <w:vAlign w:val="center"/>
          </w:tcPr>
          <w:p w14:paraId="6DBA70C4">
            <w:pPr>
              <w:jc w:val="center"/>
              <w:textAlignment w:val="center"/>
              <w:rPr>
                <w:rFonts w:ascii="Times New Roman" w:hAnsi="Times New Roman"/>
                <w:b/>
                <w:bCs/>
                <w:color w:val="000000"/>
                <w:sz w:val="22"/>
                <w:szCs w:val="22"/>
                <w:lang w:bidi="ar"/>
              </w:rPr>
            </w:pPr>
          </w:p>
        </w:tc>
        <w:tc>
          <w:tcPr>
            <w:tcW w:w="690" w:type="pct"/>
            <w:vMerge w:val="continue"/>
            <w:vAlign w:val="center"/>
          </w:tcPr>
          <w:p w14:paraId="248507EA">
            <w:pPr>
              <w:jc w:val="center"/>
              <w:textAlignment w:val="center"/>
              <w:rPr>
                <w:rFonts w:ascii="Times New Roman" w:hAnsi="Times New Roman"/>
                <w:color w:val="000000"/>
                <w:sz w:val="22"/>
                <w:szCs w:val="22"/>
                <w:lang w:bidi="ar"/>
              </w:rPr>
            </w:pPr>
          </w:p>
        </w:tc>
        <w:tc>
          <w:tcPr>
            <w:tcW w:w="738" w:type="pct"/>
            <w:vAlign w:val="center"/>
          </w:tcPr>
          <w:p w14:paraId="1E8D677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FuG_L(R)_3_2</w:t>
            </w:r>
          </w:p>
        </w:tc>
        <w:tc>
          <w:tcPr>
            <w:tcW w:w="335" w:type="pct"/>
            <w:vAlign w:val="center"/>
          </w:tcPr>
          <w:p w14:paraId="31C6F05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105</w:t>
            </w:r>
          </w:p>
        </w:tc>
        <w:tc>
          <w:tcPr>
            <w:tcW w:w="330" w:type="pct"/>
            <w:vAlign w:val="center"/>
          </w:tcPr>
          <w:p w14:paraId="37FEDE3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106</w:t>
            </w:r>
          </w:p>
        </w:tc>
        <w:tc>
          <w:tcPr>
            <w:tcW w:w="1528" w:type="pct"/>
            <w:vAlign w:val="center"/>
          </w:tcPr>
          <w:p w14:paraId="47A0E9E8">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A37mv, medioventral area37</w:t>
            </w:r>
          </w:p>
        </w:tc>
        <w:tc>
          <w:tcPr>
            <w:tcW w:w="457" w:type="pct"/>
            <w:vAlign w:val="center"/>
          </w:tcPr>
          <w:p w14:paraId="033A4D0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-31, -64, -14 </w:t>
            </w:r>
          </w:p>
        </w:tc>
        <w:tc>
          <w:tcPr>
            <w:tcW w:w="467" w:type="pct"/>
            <w:vAlign w:val="center"/>
          </w:tcPr>
          <w:p w14:paraId="6EA93CD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31, -62, -14 </w:t>
            </w:r>
          </w:p>
        </w:tc>
      </w:tr>
      <w:tr w14:paraId="20C09862">
        <w:trPr>
          <w:trHeight w:val="360" w:hRule="atLeast"/>
        </w:trPr>
        <w:tc>
          <w:tcPr>
            <w:tcW w:w="455" w:type="pct"/>
            <w:vMerge w:val="continue"/>
            <w:vAlign w:val="center"/>
          </w:tcPr>
          <w:p w14:paraId="64A734F9">
            <w:pPr>
              <w:jc w:val="center"/>
              <w:textAlignment w:val="center"/>
              <w:rPr>
                <w:rFonts w:ascii="Times New Roman" w:hAnsi="Times New Roman"/>
                <w:b/>
                <w:bCs/>
                <w:color w:val="000000"/>
                <w:sz w:val="22"/>
                <w:szCs w:val="22"/>
                <w:lang w:bidi="ar"/>
              </w:rPr>
            </w:pPr>
          </w:p>
        </w:tc>
        <w:tc>
          <w:tcPr>
            <w:tcW w:w="690" w:type="pct"/>
            <w:vMerge w:val="continue"/>
            <w:vAlign w:val="center"/>
          </w:tcPr>
          <w:p w14:paraId="7DA81915">
            <w:pPr>
              <w:jc w:val="center"/>
              <w:textAlignment w:val="center"/>
              <w:rPr>
                <w:rFonts w:ascii="Times New Roman" w:hAnsi="Times New Roman"/>
                <w:color w:val="000000"/>
                <w:sz w:val="22"/>
                <w:szCs w:val="22"/>
                <w:lang w:bidi="ar"/>
              </w:rPr>
            </w:pPr>
          </w:p>
        </w:tc>
        <w:tc>
          <w:tcPr>
            <w:tcW w:w="738" w:type="pct"/>
            <w:vAlign w:val="center"/>
          </w:tcPr>
          <w:p w14:paraId="34D738A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FuG_L(R)_3_3</w:t>
            </w:r>
          </w:p>
        </w:tc>
        <w:tc>
          <w:tcPr>
            <w:tcW w:w="335" w:type="pct"/>
            <w:vAlign w:val="center"/>
          </w:tcPr>
          <w:p w14:paraId="3FA572F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107</w:t>
            </w:r>
          </w:p>
        </w:tc>
        <w:tc>
          <w:tcPr>
            <w:tcW w:w="330" w:type="pct"/>
            <w:vAlign w:val="center"/>
          </w:tcPr>
          <w:p w14:paraId="4937C00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108</w:t>
            </w:r>
          </w:p>
        </w:tc>
        <w:tc>
          <w:tcPr>
            <w:tcW w:w="1528" w:type="pct"/>
            <w:vAlign w:val="center"/>
          </w:tcPr>
          <w:p w14:paraId="7ACE87A8">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A37lv, lateroventral area37</w:t>
            </w:r>
          </w:p>
        </w:tc>
        <w:tc>
          <w:tcPr>
            <w:tcW w:w="457" w:type="pct"/>
            <w:vAlign w:val="center"/>
          </w:tcPr>
          <w:p w14:paraId="6037444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-42, -51, -17 </w:t>
            </w:r>
          </w:p>
        </w:tc>
        <w:tc>
          <w:tcPr>
            <w:tcW w:w="467" w:type="pct"/>
            <w:vAlign w:val="center"/>
          </w:tcPr>
          <w:p w14:paraId="4343F2A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43, -49, -19 </w:t>
            </w:r>
          </w:p>
        </w:tc>
      </w:tr>
      <w:tr w14:paraId="0370BAD8">
        <w:trPr>
          <w:trHeight w:val="360" w:hRule="atLeast"/>
        </w:trPr>
        <w:tc>
          <w:tcPr>
            <w:tcW w:w="455" w:type="pct"/>
            <w:vMerge w:val="continue"/>
            <w:vAlign w:val="center"/>
          </w:tcPr>
          <w:p w14:paraId="17A2A56C">
            <w:pPr>
              <w:jc w:val="center"/>
              <w:textAlignment w:val="center"/>
              <w:rPr>
                <w:rFonts w:ascii="Times New Roman" w:hAnsi="Times New Roman"/>
                <w:b/>
                <w:bCs/>
                <w:color w:val="000000"/>
                <w:sz w:val="22"/>
                <w:szCs w:val="22"/>
                <w:lang w:bidi="ar"/>
              </w:rPr>
            </w:pPr>
          </w:p>
        </w:tc>
        <w:tc>
          <w:tcPr>
            <w:tcW w:w="690" w:type="pct"/>
            <w:vMerge w:val="restart"/>
            <w:vAlign w:val="center"/>
          </w:tcPr>
          <w:p w14:paraId="55B0CE17">
            <w:pPr>
              <w:jc w:val="center"/>
              <w:textAlignment w:val="center"/>
              <w:rPr>
                <w:rFonts w:ascii="Times New Roman" w:hAnsi="Times New Roman"/>
                <w:color w:val="000000"/>
                <w:sz w:val="22"/>
                <w:szCs w:val="22"/>
                <w:lang w:bidi="ar"/>
              </w:rPr>
            </w:pPr>
            <w:bookmarkStart w:id="31" w:name="RANGE!B56"/>
            <w:r>
              <w:rPr>
                <w:rFonts w:ascii="Times New Roman" w:hAnsi="Times New Roman"/>
                <w:color w:val="000000"/>
                <w:sz w:val="22"/>
                <w:szCs w:val="22"/>
                <w:lang w:bidi="ar"/>
              </w:rPr>
              <w:t>PhG, Parahippocampal Gyrus</w:t>
            </w:r>
            <w:bookmarkEnd w:id="31"/>
          </w:p>
        </w:tc>
        <w:tc>
          <w:tcPr>
            <w:tcW w:w="738" w:type="pct"/>
            <w:vAlign w:val="center"/>
          </w:tcPr>
          <w:p w14:paraId="7ADF287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PhG_L(R)_6_1</w:t>
            </w:r>
          </w:p>
        </w:tc>
        <w:tc>
          <w:tcPr>
            <w:tcW w:w="335" w:type="pct"/>
            <w:vAlign w:val="center"/>
          </w:tcPr>
          <w:p w14:paraId="5E211EF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109</w:t>
            </w:r>
          </w:p>
        </w:tc>
        <w:tc>
          <w:tcPr>
            <w:tcW w:w="330" w:type="pct"/>
            <w:vAlign w:val="center"/>
          </w:tcPr>
          <w:p w14:paraId="37AE0F1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110</w:t>
            </w:r>
          </w:p>
        </w:tc>
        <w:tc>
          <w:tcPr>
            <w:tcW w:w="1528" w:type="pct"/>
            <w:vAlign w:val="center"/>
          </w:tcPr>
          <w:p w14:paraId="2B86075A">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A35/36r, rostral area 35/36</w:t>
            </w:r>
          </w:p>
        </w:tc>
        <w:tc>
          <w:tcPr>
            <w:tcW w:w="457" w:type="pct"/>
            <w:vAlign w:val="center"/>
          </w:tcPr>
          <w:p w14:paraId="4FD4D64B">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-27, -7, -34 </w:t>
            </w:r>
          </w:p>
        </w:tc>
        <w:tc>
          <w:tcPr>
            <w:tcW w:w="467" w:type="pct"/>
            <w:vAlign w:val="center"/>
          </w:tcPr>
          <w:p w14:paraId="332DE9D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28, -8, -33 </w:t>
            </w:r>
          </w:p>
        </w:tc>
      </w:tr>
      <w:tr w14:paraId="0552E191">
        <w:trPr>
          <w:trHeight w:val="360" w:hRule="atLeast"/>
        </w:trPr>
        <w:tc>
          <w:tcPr>
            <w:tcW w:w="455" w:type="pct"/>
            <w:vMerge w:val="continue"/>
            <w:vAlign w:val="center"/>
          </w:tcPr>
          <w:p w14:paraId="16BCACDD">
            <w:pPr>
              <w:jc w:val="center"/>
              <w:textAlignment w:val="center"/>
              <w:rPr>
                <w:rFonts w:ascii="Times New Roman" w:hAnsi="Times New Roman"/>
                <w:b/>
                <w:bCs/>
                <w:color w:val="000000"/>
                <w:sz w:val="22"/>
                <w:szCs w:val="22"/>
                <w:lang w:bidi="ar"/>
              </w:rPr>
            </w:pPr>
          </w:p>
        </w:tc>
        <w:tc>
          <w:tcPr>
            <w:tcW w:w="690" w:type="pct"/>
            <w:vMerge w:val="continue"/>
            <w:vAlign w:val="center"/>
          </w:tcPr>
          <w:p w14:paraId="5F405D32">
            <w:pPr>
              <w:jc w:val="center"/>
              <w:textAlignment w:val="center"/>
              <w:rPr>
                <w:rFonts w:ascii="Times New Roman" w:hAnsi="Times New Roman"/>
                <w:color w:val="000000"/>
                <w:sz w:val="22"/>
                <w:szCs w:val="22"/>
                <w:lang w:bidi="ar"/>
              </w:rPr>
            </w:pPr>
          </w:p>
        </w:tc>
        <w:tc>
          <w:tcPr>
            <w:tcW w:w="738" w:type="pct"/>
            <w:vAlign w:val="center"/>
          </w:tcPr>
          <w:p w14:paraId="434428D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PhG_L(R)_6_2</w:t>
            </w:r>
          </w:p>
        </w:tc>
        <w:tc>
          <w:tcPr>
            <w:tcW w:w="335" w:type="pct"/>
            <w:vAlign w:val="center"/>
          </w:tcPr>
          <w:p w14:paraId="28E0C77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111</w:t>
            </w:r>
          </w:p>
        </w:tc>
        <w:tc>
          <w:tcPr>
            <w:tcW w:w="330" w:type="pct"/>
            <w:vAlign w:val="center"/>
          </w:tcPr>
          <w:p w14:paraId="5250A22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112</w:t>
            </w:r>
          </w:p>
        </w:tc>
        <w:tc>
          <w:tcPr>
            <w:tcW w:w="1528" w:type="pct"/>
            <w:vAlign w:val="center"/>
          </w:tcPr>
          <w:p w14:paraId="7A6A8DE8">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A35/36c, caudal area 35/36</w:t>
            </w:r>
          </w:p>
        </w:tc>
        <w:tc>
          <w:tcPr>
            <w:tcW w:w="457" w:type="pct"/>
            <w:vAlign w:val="center"/>
          </w:tcPr>
          <w:p w14:paraId="64D2FD4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-25, -25, -26 </w:t>
            </w:r>
          </w:p>
        </w:tc>
        <w:tc>
          <w:tcPr>
            <w:tcW w:w="467" w:type="pct"/>
            <w:vAlign w:val="center"/>
          </w:tcPr>
          <w:p w14:paraId="0D4AB01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26, -23, -27 </w:t>
            </w:r>
          </w:p>
        </w:tc>
      </w:tr>
      <w:tr w14:paraId="49489CA5">
        <w:trPr>
          <w:trHeight w:val="360" w:hRule="atLeast"/>
        </w:trPr>
        <w:tc>
          <w:tcPr>
            <w:tcW w:w="455" w:type="pct"/>
            <w:vMerge w:val="continue"/>
            <w:vAlign w:val="center"/>
          </w:tcPr>
          <w:p w14:paraId="57A41E6A">
            <w:pPr>
              <w:jc w:val="center"/>
              <w:textAlignment w:val="center"/>
              <w:rPr>
                <w:rFonts w:ascii="Times New Roman" w:hAnsi="Times New Roman"/>
                <w:b/>
                <w:bCs/>
                <w:color w:val="000000"/>
                <w:sz w:val="22"/>
                <w:szCs w:val="22"/>
                <w:lang w:bidi="ar"/>
              </w:rPr>
            </w:pPr>
          </w:p>
        </w:tc>
        <w:tc>
          <w:tcPr>
            <w:tcW w:w="690" w:type="pct"/>
            <w:vMerge w:val="continue"/>
            <w:vAlign w:val="center"/>
          </w:tcPr>
          <w:p w14:paraId="4E2F9ED3">
            <w:pPr>
              <w:jc w:val="center"/>
              <w:textAlignment w:val="center"/>
              <w:rPr>
                <w:rFonts w:ascii="Times New Roman" w:hAnsi="Times New Roman"/>
                <w:color w:val="000000"/>
                <w:sz w:val="22"/>
                <w:szCs w:val="22"/>
                <w:lang w:bidi="ar"/>
              </w:rPr>
            </w:pPr>
          </w:p>
        </w:tc>
        <w:tc>
          <w:tcPr>
            <w:tcW w:w="738" w:type="pct"/>
            <w:vAlign w:val="center"/>
          </w:tcPr>
          <w:p w14:paraId="13ECE81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PhG_L(R)_6_3</w:t>
            </w:r>
          </w:p>
        </w:tc>
        <w:tc>
          <w:tcPr>
            <w:tcW w:w="335" w:type="pct"/>
            <w:vAlign w:val="center"/>
          </w:tcPr>
          <w:p w14:paraId="029048E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113</w:t>
            </w:r>
          </w:p>
        </w:tc>
        <w:tc>
          <w:tcPr>
            <w:tcW w:w="330" w:type="pct"/>
            <w:vAlign w:val="center"/>
          </w:tcPr>
          <w:p w14:paraId="744935C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114</w:t>
            </w:r>
          </w:p>
        </w:tc>
        <w:tc>
          <w:tcPr>
            <w:tcW w:w="1528" w:type="pct"/>
            <w:vAlign w:val="center"/>
          </w:tcPr>
          <w:p w14:paraId="37A21E0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TL, area TL (lateral PPHC, posterior parahippocampal gyrus)</w:t>
            </w:r>
          </w:p>
        </w:tc>
        <w:tc>
          <w:tcPr>
            <w:tcW w:w="457" w:type="pct"/>
            <w:vAlign w:val="center"/>
          </w:tcPr>
          <w:p w14:paraId="61666BD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-28, -32, -18 </w:t>
            </w:r>
          </w:p>
        </w:tc>
        <w:tc>
          <w:tcPr>
            <w:tcW w:w="467" w:type="pct"/>
            <w:vAlign w:val="center"/>
          </w:tcPr>
          <w:p w14:paraId="314543D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30, -30, -18 </w:t>
            </w:r>
          </w:p>
        </w:tc>
      </w:tr>
      <w:tr w14:paraId="07BEB628">
        <w:trPr>
          <w:trHeight w:val="360" w:hRule="atLeast"/>
        </w:trPr>
        <w:tc>
          <w:tcPr>
            <w:tcW w:w="455" w:type="pct"/>
            <w:vMerge w:val="continue"/>
            <w:vAlign w:val="center"/>
          </w:tcPr>
          <w:p w14:paraId="01AE445B">
            <w:pPr>
              <w:jc w:val="center"/>
              <w:textAlignment w:val="center"/>
              <w:rPr>
                <w:rFonts w:ascii="Times New Roman" w:hAnsi="Times New Roman"/>
                <w:b/>
                <w:bCs/>
                <w:color w:val="000000"/>
                <w:sz w:val="22"/>
                <w:szCs w:val="22"/>
                <w:lang w:bidi="ar"/>
              </w:rPr>
            </w:pPr>
          </w:p>
        </w:tc>
        <w:tc>
          <w:tcPr>
            <w:tcW w:w="690" w:type="pct"/>
            <w:vMerge w:val="continue"/>
            <w:vAlign w:val="center"/>
          </w:tcPr>
          <w:p w14:paraId="15810571">
            <w:pPr>
              <w:jc w:val="center"/>
              <w:textAlignment w:val="center"/>
              <w:rPr>
                <w:rFonts w:ascii="Times New Roman" w:hAnsi="Times New Roman"/>
                <w:color w:val="000000"/>
                <w:sz w:val="22"/>
                <w:szCs w:val="22"/>
                <w:lang w:bidi="ar"/>
              </w:rPr>
            </w:pPr>
          </w:p>
        </w:tc>
        <w:tc>
          <w:tcPr>
            <w:tcW w:w="738" w:type="pct"/>
            <w:vAlign w:val="center"/>
          </w:tcPr>
          <w:p w14:paraId="11BA843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PhG_L(R)_6_4</w:t>
            </w:r>
          </w:p>
        </w:tc>
        <w:tc>
          <w:tcPr>
            <w:tcW w:w="335" w:type="pct"/>
            <w:vAlign w:val="center"/>
          </w:tcPr>
          <w:p w14:paraId="3B6FEDE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115</w:t>
            </w:r>
          </w:p>
        </w:tc>
        <w:tc>
          <w:tcPr>
            <w:tcW w:w="330" w:type="pct"/>
            <w:vAlign w:val="center"/>
          </w:tcPr>
          <w:p w14:paraId="5005A2C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116</w:t>
            </w:r>
          </w:p>
        </w:tc>
        <w:tc>
          <w:tcPr>
            <w:tcW w:w="1528" w:type="pct"/>
            <w:vAlign w:val="center"/>
          </w:tcPr>
          <w:p w14:paraId="0342CEE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A28/34, area 28/34 (EC, entorhinal cortex)</w:t>
            </w:r>
          </w:p>
        </w:tc>
        <w:tc>
          <w:tcPr>
            <w:tcW w:w="457" w:type="pct"/>
            <w:vAlign w:val="center"/>
          </w:tcPr>
          <w:p w14:paraId="3507BA73">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-19, -12, -30 </w:t>
            </w:r>
          </w:p>
        </w:tc>
        <w:tc>
          <w:tcPr>
            <w:tcW w:w="467" w:type="pct"/>
            <w:vAlign w:val="center"/>
          </w:tcPr>
          <w:p w14:paraId="04889B6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19, -10, -30 </w:t>
            </w:r>
          </w:p>
        </w:tc>
      </w:tr>
      <w:tr w14:paraId="727F8EBD">
        <w:trPr>
          <w:trHeight w:val="360" w:hRule="atLeast"/>
        </w:trPr>
        <w:tc>
          <w:tcPr>
            <w:tcW w:w="455" w:type="pct"/>
            <w:vMerge w:val="continue"/>
            <w:vAlign w:val="center"/>
          </w:tcPr>
          <w:p w14:paraId="3A5EDA0C">
            <w:pPr>
              <w:jc w:val="center"/>
              <w:textAlignment w:val="center"/>
              <w:rPr>
                <w:rFonts w:ascii="Times New Roman" w:hAnsi="Times New Roman"/>
                <w:b/>
                <w:bCs/>
                <w:color w:val="000000"/>
                <w:sz w:val="22"/>
                <w:szCs w:val="22"/>
                <w:lang w:bidi="ar"/>
              </w:rPr>
            </w:pPr>
          </w:p>
        </w:tc>
        <w:tc>
          <w:tcPr>
            <w:tcW w:w="690" w:type="pct"/>
            <w:vMerge w:val="continue"/>
            <w:vAlign w:val="center"/>
          </w:tcPr>
          <w:p w14:paraId="63DFDD11">
            <w:pPr>
              <w:jc w:val="center"/>
              <w:textAlignment w:val="center"/>
              <w:rPr>
                <w:rFonts w:ascii="Times New Roman" w:hAnsi="Times New Roman"/>
                <w:color w:val="000000"/>
                <w:sz w:val="22"/>
                <w:szCs w:val="22"/>
                <w:lang w:bidi="ar"/>
              </w:rPr>
            </w:pPr>
          </w:p>
        </w:tc>
        <w:tc>
          <w:tcPr>
            <w:tcW w:w="738" w:type="pct"/>
            <w:vAlign w:val="center"/>
          </w:tcPr>
          <w:p w14:paraId="1E30C5C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PhG_L(R)_6_5</w:t>
            </w:r>
          </w:p>
        </w:tc>
        <w:tc>
          <w:tcPr>
            <w:tcW w:w="335" w:type="pct"/>
            <w:vAlign w:val="center"/>
          </w:tcPr>
          <w:p w14:paraId="5020D6C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117</w:t>
            </w:r>
          </w:p>
        </w:tc>
        <w:tc>
          <w:tcPr>
            <w:tcW w:w="330" w:type="pct"/>
            <w:vAlign w:val="center"/>
          </w:tcPr>
          <w:p w14:paraId="16DDA9C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118</w:t>
            </w:r>
          </w:p>
        </w:tc>
        <w:tc>
          <w:tcPr>
            <w:tcW w:w="1528" w:type="pct"/>
            <w:vAlign w:val="center"/>
          </w:tcPr>
          <w:p w14:paraId="50C7045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TI, area TI(temporal agranular insular cortex)</w:t>
            </w:r>
          </w:p>
        </w:tc>
        <w:tc>
          <w:tcPr>
            <w:tcW w:w="457" w:type="pct"/>
            <w:vAlign w:val="center"/>
          </w:tcPr>
          <w:p w14:paraId="7DFD8D2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-23, 2, -32 </w:t>
            </w:r>
          </w:p>
        </w:tc>
        <w:tc>
          <w:tcPr>
            <w:tcW w:w="467" w:type="pct"/>
            <w:vAlign w:val="center"/>
          </w:tcPr>
          <w:p w14:paraId="031C5F4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22, 1, -36 </w:t>
            </w:r>
          </w:p>
        </w:tc>
      </w:tr>
      <w:tr w14:paraId="3FECC8A9">
        <w:trPr>
          <w:trHeight w:val="360" w:hRule="atLeast"/>
        </w:trPr>
        <w:tc>
          <w:tcPr>
            <w:tcW w:w="455" w:type="pct"/>
            <w:vMerge w:val="continue"/>
            <w:vAlign w:val="center"/>
          </w:tcPr>
          <w:p w14:paraId="2293DD1A">
            <w:pPr>
              <w:jc w:val="center"/>
              <w:textAlignment w:val="center"/>
              <w:rPr>
                <w:rFonts w:ascii="Times New Roman" w:hAnsi="Times New Roman"/>
                <w:b/>
                <w:bCs/>
                <w:color w:val="000000"/>
                <w:sz w:val="22"/>
                <w:szCs w:val="22"/>
                <w:lang w:bidi="ar"/>
              </w:rPr>
            </w:pPr>
          </w:p>
        </w:tc>
        <w:tc>
          <w:tcPr>
            <w:tcW w:w="690" w:type="pct"/>
            <w:vMerge w:val="continue"/>
            <w:vAlign w:val="center"/>
          </w:tcPr>
          <w:p w14:paraId="1D960357">
            <w:pPr>
              <w:jc w:val="center"/>
              <w:textAlignment w:val="center"/>
              <w:rPr>
                <w:rFonts w:ascii="Times New Roman" w:hAnsi="Times New Roman"/>
                <w:color w:val="000000"/>
                <w:sz w:val="22"/>
                <w:szCs w:val="22"/>
                <w:lang w:bidi="ar"/>
              </w:rPr>
            </w:pPr>
          </w:p>
        </w:tc>
        <w:tc>
          <w:tcPr>
            <w:tcW w:w="738" w:type="pct"/>
            <w:vAlign w:val="center"/>
          </w:tcPr>
          <w:p w14:paraId="1F0AF2BB">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PhG_L(R)_6_6</w:t>
            </w:r>
          </w:p>
        </w:tc>
        <w:tc>
          <w:tcPr>
            <w:tcW w:w="335" w:type="pct"/>
            <w:vAlign w:val="center"/>
          </w:tcPr>
          <w:p w14:paraId="020EA66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119</w:t>
            </w:r>
          </w:p>
        </w:tc>
        <w:tc>
          <w:tcPr>
            <w:tcW w:w="330" w:type="pct"/>
            <w:vAlign w:val="center"/>
          </w:tcPr>
          <w:p w14:paraId="0712BFA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120</w:t>
            </w:r>
          </w:p>
        </w:tc>
        <w:tc>
          <w:tcPr>
            <w:tcW w:w="1528" w:type="pct"/>
            <w:vAlign w:val="center"/>
          </w:tcPr>
          <w:p w14:paraId="754EEAF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TH, area TH (medial PPHC)</w:t>
            </w:r>
          </w:p>
        </w:tc>
        <w:tc>
          <w:tcPr>
            <w:tcW w:w="457" w:type="pct"/>
            <w:vAlign w:val="center"/>
          </w:tcPr>
          <w:p w14:paraId="6F9813C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-17, -39, -10 </w:t>
            </w:r>
          </w:p>
        </w:tc>
        <w:tc>
          <w:tcPr>
            <w:tcW w:w="467" w:type="pct"/>
            <w:vAlign w:val="center"/>
          </w:tcPr>
          <w:p w14:paraId="383AB98B">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19, -36, -11 </w:t>
            </w:r>
          </w:p>
        </w:tc>
      </w:tr>
      <w:tr w14:paraId="1462CC94">
        <w:trPr>
          <w:trHeight w:val="360" w:hRule="atLeast"/>
        </w:trPr>
        <w:tc>
          <w:tcPr>
            <w:tcW w:w="455" w:type="pct"/>
            <w:vMerge w:val="continue"/>
            <w:vAlign w:val="center"/>
          </w:tcPr>
          <w:p w14:paraId="79DAD9F3">
            <w:pPr>
              <w:jc w:val="center"/>
              <w:textAlignment w:val="center"/>
              <w:rPr>
                <w:rFonts w:ascii="Times New Roman" w:hAnsi="Times New Roman"/>
                <w:b/>
                <w:bCs/>
                <w:color w:val="000000"/>
                <w:sz w:val="22"/>
                <w:szCs w:val="22"/>
                <w:lang w:bidi="ar"/>
              </w:rPr>
            </w:pPr>
          </w:p>
        </w:tc>
        <w:tc>
          <w:tcPr>
            <w:tcW w:w="690" w:type="pct"/>
            <w:vMerge w:val="restart"/>
            <w:vAlign w:val="center"/>
          </w:tcPr>
          <w:p w14:paraId="5BE84852">
            <w:pPr>
              <w:jc w:val="center"/>
              <w:textAlignment w:val="center"/>
              <w:rPr>
                <w:rFonts w:ascii="Times New Roman" w:hAnsi="Times New Roman"/>
                <w:color w:val="000000"/>
                <w:sz w:val="22"/>
                <w:szCs w:val="22"/>
                <w:lang w:bidi="ar"/>
              </w:rPr>
            </w:pPr>
            <w:bookmarkStart w:id="32" w:name="RANGE!B62"/>
            <w:r>
              <w:rPr>
                <w:rFonts w:ascii="Times New Roman" w:hAnsi="Times New Roman"/>
                <w:color w:val="000000"/>
                <w:sz w:val="22"/>
                <w:szCs w:val="22"/>
                <w:lang w:bidi="ar"/>
              </w:rPr>
              <w:t xml:space="preserve">pSTS, posterior Superior Temporal Sulcus </w:t>
            </w:r>
            <w:bookmarkEnd w:id="32"/>
          </w:p>
        </w:tc>
        <w:tc>
          <w:tcPr>
            <w:tcW w:w="738" w:type="pct"/>
            <w:vAlign w:val="center"/>
          </w:tcPr>
          <w:p w14:paraId="792B542B">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pSTS_L(R)_2_1</w:t>
            </w:r>
          </w:p>
        </w:tc>
        <w:tc>
          <w:tcPr>
            <w:tcW w:w="335" w:type="pct"/>
            <w:vAlign w:val="center"/>
          </w:tcPr>
          <w:p w14:paraId="0E48E26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121</w:t>
            </w:r>
          </w:p>
        </w:tc>
        <w:tc>
          <w:tcPr>
            <w:tcW w:w="330" w:type="pct"/>
            <w:vAlign w:val="center"/>
          </w:tcPr>
          <w:p w14:paraId="1D22F2D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122</w:t>
            </w:r>
          </w:p>
        </w:tc>
        <w:tc>
          <w:tcPr>
            <w:tcW w:w="1528" w:type="pct"/>
            <w:vAlign w:val="center"/>
          </w:tcPr>
          <w:p w14:paraId="60CA34D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rpSTS, rostroposterior superior temporal sulcus</w:t>
            </w:r>
          </w:p>
        </w:tc>
        <w:tc>
          <w:tcPr>
            <w:tcW w:w="457" w:type="pct"/>
            <w:vAlign w:val="center"/>
          </w:tcPr>
          <w:p w14:paraId="485ABC3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-54, -40, 4 </w:t>
            </w:r>
          </w:p>
        </w:tc>
        <w:tc>
          <w:tcPr>
            <w:tcW w:w="467" w:type="pct"/>
            <w:vAlign w:val="center"/>
          </w:tcPr>
          <w:p w14:paraId="5BF30063">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53, -37, 3 </w:t>
            </w:r>
          </w:p>
        </w:tc>
      </w:tr>
      <w:tr w14:paraId="4ABD32E5">
        <w:trPr>
          <w:trHeight w:val="360" w:hRule="atLeast"/>
        </w:trPr>
        <w:tc>
          <w:tcPr>
            <w:tcW w:w="455" w:type="pct"/>
            <w:vMerge w:val="continue"/>
            <w:vAlign w:val="center"/>
          </w:tcPr>
          <w:p w14:paraId="2D4F11D9">
            <w:pPr>
              <w:jc w:val="center"/>
              <w:textAlignment w:val="center"/>
              <w:rPr>
                <w:rFonts w:ascii="Times New Roman" w:hAnsi="Times New Roman"/>
                <w:b/>
                <w:bCs/>
                <w:color w:val="000000"/>
                <w:sz w:val="22"/>
                <w:szCs w:val="22"/>
                <w:lang w:bidi="ar"/>
              </w:rPr>
            </w:pPr>
          </w:p>
        </w:tc>
        <w:tc>
          <w:tcPr>
            <w:tcW w:w="690" w:type="pct"/>
            <w:vMerge w:val="continue"/>
            <w:vAlign w:val="center"/>
          </w:tcPr>
          <w:p w14:paraId="4D6C81A1">
            <w:pPr>
              <w:jc w:val="center"/>
              <w:textAlignment w:val="center"/>
              <w:rPr>
                <w:rFonts w:ascii="Times New Roman" w:hAnsi="Times New Roman"/>
                <w:color w:val="000000"/>
                <w:sz w:val="22"/>
                <w:szCs w:val="22"/>
                <w:lang w:bidi="ar"/>
              </w:rPr>
            </w:pPr>
          </w:p>
        </w:tc>
        <w:tc>
          <w:tcPr>
            <w:tcW w:w="738" w:type="pct"/>
            <w:vAlign w:val="center"/>
          </w:tcPr>
          <w:p w14:paraId="56B5E87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pSTS_L(R)_2_2</w:t>
            </w:r>
          </w:p>
        </w:tc>
        <w:tc>
          <w:tcPr>
            <w:tcW w:w="335" w:type="pct"/>
            <w:vAlign w:val="center"/>
          </w:tcPr>
          <w:p w14:paraId="1BA4C593">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123</w:t>
            </w:r>
          </w:p>
        </w:tc>
        <w:tc>
          <w:tcPr>
            <w:tcW w:w="330" w:type="pct"/>
            <w:vAlign w:val="center"/>
          </w:tcPr>
          <w:p w14:paraId="1B3C5ACB">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124</w:t>
            </w:r>
          </w:p>
        </w:tc>
        <w:tc>
          <w:tcPr>
            <w:tcW w:w="1528" w:type="pct"/>
            <w:vAlign w:val="center"/>
          </w:tcPr>
          <w:p w14:paraId="7573CEA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cpSTS, caudoposterior superior temporal sulcus</w:t>
            </w:r>
          </w:p>
        </w:tc>
        <w:tc>
          <w:tcPr>
            <w:tcW w:w="457" w:type="pct"/>
            <w:vAlign w:val="center"/>
          </w:tcPr>
          <w:p w14:paraId="76CC8DC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-52, -50, 11 </w:t>
            </w:r>
          </w:p>
        </w:tc>
        <w:tc>
          <w:tcPr>
            <w:tcW w:w="467" w:type="pct"/>
            <w:vAlign w:val="center"/>
          </w:tcPr>
          <w:p w14:paraId="2067D75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57, -40, 12 </w:t>
            </w:r>
          </w:p>
        </w:tc>
      </w:tr>
      <w:tr w14:paraId="16E35F21">
        <w:trPr>
          <w:trHeight w:val="360" w:hRule="atLeast"/>
        </w:trPr>
        <w:tc>
          <w:tcPr>
            <w:tcW w:w="455" w:type="pct"/>
            <w:vMerge w:val="restart"/>
            <w:vAlign w:val="center"/>
          </w:tcPr>
          <w:p w14:paraId="5756528F">
            <w:pPr>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Parietal Lobe</w:t>
            </w:r>
          </w:p>
        </w:tc>
        <w:tc>
          <w:tcPr>
            <w:tcW w:w="690" w:type="pct"/>
            <w:vMerge w:val="restart"/>
            <w:vAlign w:val="center"/>
          </w:tcPr>
          <w:p w14:paraId="25AA09D9">
            <w:pPr>
              <w:jc w:val="center"/>
              <w:textAlignment w:val="center"/>
              <w:rPr>
                <w:rFonts w:ascii="Times New Roman" w:hAnsi="Times New Roman"/>
                <w:color w:val="000000"/>
                <w:sz w:val="22"/>
                <w:szCs w:val="22"/>
                <w:lang w:bidi="ar"/>
              </w:rPr>
            </w:pPr>
            <w:bookmarkStart w:id="33" w:name="RANGE!B64"/>
            <w:r>
              <w:rPr>
                <w:rFonts w:ascii="Times New Roman" w:hAnsi="Times New Roman"/>
                <w:color w:val="000000"/>
                <w:sz w:val="22"/>
                <w:szCs w:val="22"/>
                <w:lang w:bidi="ar"/>
              </w:rPr>
              <w:t>SPL, Superior Parietal Lobule</w:t>
            </w:r>
            <w:bookmarkEnd w:id="33"/>
          </w:p>
        </w:tc>
        <w:tc>
          <w:tcPr>
            <w:tcW w:w="738" w:type="pct"/>
            <w:vAlign w:val="center"/>
          </w:tcPr>
          <w:p w14:paraId="074891C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SPL_L(R)_5_1</w:t>
            </w:r>
          </w:p>
        </w:tc>
        <w:tc>
          <w:tcPr>
            <w:tcW w:w="335" w:type="pct"/>
            <w:vAlign w:val="center"/>
          </w:tcPr>
          <w:p w14:paraId="060CCE1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125</w:t>
            </w:r>
          </w:p>
        </w:tc>
        <w:tc>
          <w:tcPr>
            <w:tcW w:w="330" w:type="pct"/>
            <w:vAlign w:val="center"/>
          </w:tcPr>
          <w:p w14:paraId="344A2F0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126</w:t>
            </w:r>
          </w:p>
        </w:tc>
        <w:tc>
          <w:tcPr>
            <w:tcW w:w="1528" w:type="pct"/>
            <w:vAlign w:val="center"/>
          </w:tcPr>
          <w:p w14:paraId="1CFBED8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A7r, rostral area 7</w:t>
            </w:r>
          </w:p>
        </w:tc>
        <w:tc>
          <w:tcPr>
            <w:tcW w:w="457" w:type="pct"/>
            <w:vAlign w:val="center"/>
          </w:tcPr>
          <w:p w14:paraId="07D310E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-16, -60, 63 </w:t>
            </w:r>
          </w:p>
        </w:tc>
        <w:tc>
          <w:tcPr>
            <w:tcW w:w="467" w:type="pct"/>
            <w:vAlign w:val="center"/>
          </w:tcPr>
          <w:p w14:paraId="473D549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19, -57, 65 </w:t>
            </w:r>
          </w:p>
        </w:tc>
      </w:tr>
      <w:tr w14:paraId="0E97082F">
        <w:trPr>
          <w:trHeight w:val="360" w:hRule="atLeast"/>
        </w:trPr>
        <w:tc>
          <w:tcPr>
            <w:tcW w:w="455" w:type="pct"/>
            <w:vMerge w:val="continue"/>
            <w:vAlign w:val="center"/>
          </w:tcPr>
          <w:p w14:paraId="2BC53DE5">
            <w:pPr>
              <w:jc w:val="center"/>
              <w:textAlignment w:val="center"/>
              <w:rPr>
                <w:rFonts w:ascii="Times New Roman" w:hAnsi="Times New Roman"/>
                <w:b/>
                <w:bCs/>
                <w:color w:val="000000"/>
                <w:sz w:val="22"/>
                <w:szCs w:val="22"/>
                <w:lang w:bidi="ar"/>
              </w:rPr>
            </w:pPr>
          </w:p>
        </w:tc>
        <w:tc>
          <w:tcPr>
            <w:tcW w:w="690" w:type="pct"/>
            <w:vMerge w:val="continue"/>
            <w:vAlign w:val="center"/>
          </w:tcPr>
          <w:p w14:paraId="48E449EA">
            <w:pPr>
              <w:jc w:val="center"/>
              <w:textAlignment w:val="center"/>
              <w:rPr>
                <w:rFonts w:ascii="Times New Roman" w:hAnsi="Times New Roman"/>
                <w:color w:val="000000"/>
                <w:sz w:val="22"/>
                <w:szCs w:val="22"/>
                <w:lang w:bidi="ar"/>
              </w:rPr>
            </w:pPr>
          </w:p>
        </w:tc>
        <w:tc>
          <w:tcPr>
            <w:tcW w:w="738" w:type="pct"/>
            <w:vAlign w:val="center"/>
          </w:tcPr>
          <w:p w14:paraId="78F47A0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SPL_L(R)_5_2</w:t>
            </w:r>
          </w:p>
        </w:tc>
        <w:tc>
          <w:tcPr>
            <w:tcW w:w="335" w:type="pct"/>
            <w:vAlign w:val="center"/>
          </w:tcPr>
          <w:p w14:paraId="55FA97EA">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127</w:t>
            </w:r>
          </w:p>
        </w:tc>
        <w:tc>
          <w:tcPr>
            <w:tcW w:w="330" w:type="pct"/>
            <w:vAlign w:val="center"/>
          </w:tcPr>
          <w:p w14:paraId="09A2D48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128</w:t>
            </w:r>
          </w:p>
        </w:tc>
        <w:tc>
          <w:tcPr>
            <w:tcW w:w="1528" w:type="pct"/>
            <w:vAlign w:val="center"/>
          </w:tcPr>
          <w:p w14:paraId="46C04E28">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A7c, caudal area 7</w:t>
            </w:r>
          </w:p>
        </w:tc>
        <w:tc>
          <w:tcPr>
            <w:tcW w:w="457" w:type="pct"/>
            <w:vAlign w:val="center"/>
          </w:tcPr>
          <w:p w14:paraId="5A832BD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-15, -71, 52 </w:t>
            </w:r>
          </w:p>
        </w:tc>
        <w:tc>
          <w:tcPr>
            <w:tcW w:w="467" w:type="pct"/>
            <w:vAlign w:val="center"/>
          </w:tcPr>
          <w:p w14:paraId="7535089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19, -69, 54 </w:t>
            </w:r>
          </w:p>
        </w:tc>
      </w:tr>
      <w:tr w14:paraId="78F93D17">
        <w:trPr>
          <w:trHeight w:val="360" w:hRule="atLeast"/>
        </w:trPr>
        <w:tc>
          <w:tcPr>
            <w:tcW w:w="455" w:type="pct"/>
            <w:vMerge w:val="continue"/>
            <w:vAlign w:val="center"/>
          </w:tcPr>
          <w:p w14:paraId="5321B4A3">
            <w:pPr>
              <w:jc w:val="center"/>
              <w:textAlignment w:val="center"/>
              <w:rPr>
                <w:rFonts w:ascii="Times New Roman" w:hAnsi="Times New Roman"/>
                <w:b/>
                <w:bCs/>
                <w:color w:val="000000"/>
                <w:sz w:val="22"/>
                <w:szCs w:val="22"/>
                <w:lang w:bidi="ar"/>
              </w:rPr>
            </w:pPr>
          </w:p>
        </w:tc>
        <w:tc>
          <w:tcPr>
            <w:tcW w:w="690" w:type="pct"/>
            <w:vMerge w:val="continue"/>
            <w:vAlign w:val="center"/>
          </w:tcPr>
          <w:p w14:paraId="4F1BA895">
            <w:pPr>
              <w:jc w:val="center"/>
              <w:textAlignment w:val="center"/>
              <w:rPr>
                <w:rFonts w:ascii="Times New Roman" w:hAnsi="Times New Roman"/>
                <w:color w:val="000000"/>
                <w:sz w:val="22"/>
                <w:szCs w:val="22"/>
                <w:lang w:bidi="ar"/>
              </w:rPr>
            </w:pPr>
          </w:p>
        </w:tc>
        <w:tc>
          <w:tcPr>
            <w:tcW w:w="738" w:type="pct"/>
            <w:vAlign w:val="center"/>
          </w:tcPr>
          <w:p w14:paraId="731F2E0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SPL_L(R)_5_3</w:t>
            </w:r>
          </w:p>
        </w:tc>
        <w:tc>
          <w:tcPr>
            <w:tcW w:w="335" w:type="pct"/>
            <w:vAlign w:val="center"/>
          </w:tcPr>
          <w:p w14:paraId="0E358A7A">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129</w:t>
            </w:r>
          </w:p>
        </w:tc>
        <w:tc>
          <w:tcPr>
            <w:tcW w:w="330" w:type="pct"/>
            <w:vAlign w:val="center"/>
          </w:tcPr>
          <w:p w14:paraId="370E2C2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130</w:t>
            </w:r>
          </w:p>
        </w:tc>
        <w:tc>
          <w:tcPr>
            <w:tcW w:w="1528" w:type="pct"/>
            <w:vAlign w:val="center"/>
          </w:tcPr>
          <w:p w14:paraId="35C1D3F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A5l, lateral area 5</w:t>
            </w:r>
          </w:p>
        </w:tc>
        <w:tc>
          <w:tcPr>
            <w:tcW w:w="457" w:type="pct"/>
            <w:vAlign w:val="center"/>
          </w:tcPr>
          <w:p w14:paraId="67ECF90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-33, -47, 50 </w:t>
            </w:r>
          </w:p>
        </w:tc>
        <w:tc>
          <w:tcPr>
            <w:tcW w:w="467" w:type="pct"/>
            <w:vAlign w:val="center"/>
          </w:tcPr>
          <w:p w14:paraId="091B578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35, -42, 54 </w:t>
            </w:r>
          </w:p>
        </w:tc>
      </w:tr>
      <w:tr w14:paraId="4971178B">
        <w:trPr>
          <w:trHeight w:val="360" w:hRule="atLeast"/>
        </w:trPr>
        <w:tc>
          <w:tcPr>
            <w:tcW w:w="455" w:type="pct"/>
            <w:vMerge w:val="continue"/>
            <w:vAlign w:val="center"/>
          </w:tcPr>
          <w:p w14:paraId="0CA988E7">
            <w:pPr>
              <w:jc w:val="center"/>
              <w:textAlignment w:val="center"/>
              <w:rPr>
                <w:rFonts w:ascii="Times New Roman" w:hAnsi="Times New Roman"/>
                <w:b/>
                <w:bCs/>
                <w:color w:val="000000"/>
                <w:sz w:val="22"/>
                <w:szCs w:val="22"/>
                <w:lang w:bidi="ar"/>
              </w:rPr>
            </w:pPr>
          </w:p>
        </w:tc>
        <w:tc>
          <w:tcPr>
            <w:tcW w:w="690" w:type="pct"/>
            <w:vMerge w:val="continue"/>
            <w:vAlign w:val="center"/>
          </w:tcPr>
          <w:p w14:paraId="5EF5CEF9">
            <w:pPr>
              <w:jc w:val="center"/>
              <w:textAlignment w:val="center"/>
              <w:rPr>
                <w:rFonts w:ascii="Times New Roman" w:hAnsi="Times New Roman"/>
                <w:color w:val="000000"/>
                <w:sz w:val="22"/>
                <w:szCs w:val="22"/>
                <w:lang w:bidi="ar"/>
              </w:rPr>
            </w:pPr>
          </w:p>
        </w:tc>
        <w:tc>
          <w:tcPr>
            <w:tcW w:w="738" w:type="pct"/>
            <w:vAlign w:val="center"/>
          </w:tcPr>
          <w:p w14:paraId="1712041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SPL_L(R)_5_4</w:t>
            </w:r>
          </w:p>
        </w:tc>
        <w:tc>
          <w:tcPr>
            <w:tcW w:w="335" w:type="pct"/>
            <w:vAlign w:val="center"/>
          </w:tcPr>
          <w:p w14:paraId="2934CEB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131</w:t>
            </w:r>
          </w:p>
        </w:tc>
        <w:tc>
          <w:tcPr>
            <w:tcW w:w="330" w:type="pct"/>
            <w:vAlign w:val="center"/>
          </w:tcPr>
          <w:p w14:paraId="69E9FCF8">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132</w:t>
            </w:r>
          </w:p>
        </w:tc>
        <w:tc>
          <w:tcPr>
            <w:tcW w:w="1528" w:type="pct"/>
            <w:vAlign w:val="center"/>
          </w:tcPr>
          <w:p w14:paraId="509A976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A7pc, postcentral area 7</w:t>
            </w:r>
          </w:p>
        </w:tc>
        <w:tc>
          <w:tcPr>
            <w:tcW w:w="457" w:type="pct"/>
            <w:vAlign w:val="center"/>
          </w:tcPr>
          <w:p w14:paraId="55B0089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-22, -47, 65 </w:t>
            </w:r>
          </w:p>
        </w:tc>
        <w:tc>
          <w:tcPr>
            <w:tcW w:w="467" w:type="pct"/>
            <w:vAlign w:val="center"/>
          </w:tcPr>
          <w:p w14:paraId="5D455F9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23, -43, 67 </w:t>
            </w:r>
          </w:p>
        </w:tc>
      </w:tr>
      <w:tr w14:paraId="4248749B">
        <w:trPr>
          <w:trHeight w:val="360" w:hRule="atLeast"/>
        </w:trPr>
        <w:tc>
          <w:tcPr>
            <w:tcW w:w="455" w:type="pct"/>
            <w:vMerge w:val="continue"/>
            <w:vAlign w:val="center"/>
          </w:tcPr>
          <w:p w14:paraId="12A11AB9">
            <w:pPr>
              <w:jc w:val="center"/>
              <w:textAlignment w:val="center"/>
              <w:rPr>
                <w:rFonts w:ascii="Times New Roman" w:hAnsi="Times New Roman"/>
                <w:b/>
                <w:bCs/>
                <w:color w:val="000000"/>
                <w:sz w:val="22"/>
                <w:szCs w:val="22"/>
                <w:lang w:bidi="ar"/>
              </w:rPr>
            </w:pPr>
          </w:p>
        </w:tc>
        <w:tc>
          <w:tcPr>
            <w:tcW w:w="690" w:type="pct"/>
            <w:vMerge w:val="continue"/>
            <w:vAlign w:val="center"/>
          </w:tcPr>
          <w:p w14:paraId="498ADBE9">
            <w:pPr>
              <w:jc w:val="center"/>
              <w:textAlignment w:val="center"/>
              <w:rPr>
                <w:rFonts w:ascii="Times New Roman" w:hAnsi="Times New Roman"/>
                <w:color w:val="000000"/>
                <w:sz w:val="22"/>
                <w:szCs w:val="22"/>
                <w:lang w:bidi="ar"/>
              </w:rPr>
            </w:pPr>
          </w:p>
        </w:tc>
        <w:tc>
          <w:tcPr>
            <w:tcW w:w="738" w:type="pct"/>
            <w:vAlign w:val="center"/>
          </w:tcPr>
          <w:p w14:paraId="6F23560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SPL_L(R)_5_5</w:t>
            </w:r>
          </w:p>
        </w:tc>
        <w:tc>
          <w:tcPr>
            <w:tcW w:w="335" w:type="pct"/>
            <w:vAlign w:val="center"/>
          </w:tcPr>
          <w:p w14:paraId="39A84953">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133</w:t>
            </w:r>
          </w:p>
        </w:tc>
        <w:tc>
          <w:tcPr>
            <w:tcW w:w="330" w:type="pct"/>
            <w:vAlign w:val="center"/>
          </w:tcPr>
          <w:p w14:paraId="0811B58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134</w:t>
            </w:r>
          </w:p>
        </w:tc>
        <w:tc>
          <w:tcPr>
            <w:tcW w:w="1528" w:type="pct"/>
            <w:vAlign w:val="center"/>
          </w:tcPr>
          <w:p w14:paraId="2A6D63EB">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A7ip, intraparietal area 7(hIP3)</w:t>
            </w:r>
          </w:p>
        </w:tc>
        <w:tc>
          <w:tcPr>
            <w:tcW w:w="457" w:type="pct"/>
            <w:vAlign w:val="center"/>
          </w:tcPr>
          <w:p w14:paraId="419EF57A">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-27, -59, 54 </w:t>
            </w:r>
          </w:p>
        </w:tc>
        <w:tc>
          <w:tcPr>
            <w:tcW w:w="467" w:type="pct"/>
            <w:vAlign w:val="center"/>
          </w:tcPr>
          <w:p w14:paraId="0A3C31A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31, -54, 53 </w:t>
            </w:r>
          </w:p>
        </w:tc>
      </w:tr>
      <w:tr w14:paraId="5CD35BDD">
        <w:trPr>
          <w:trHeight w:val="360" w:hRule="atLeast"/>
        </w:trPr>
        <w:tc>
          <w:tcPr>
            <w:tcW w:w="455" w:type="pct"/>
            <w:vMerge w:val="continue"/>
            <w:vAlign w:val="center"/>
          </w:tcPr>
          <w:p w14:paraId="70AE41F6">
            <w:pPr>
              <w:jc w:val="center"/>
              <w:textAlignment w:val="center"/>
              <w:rPr>
                <w:rFonts w:ascii="Times New Roman" w:hAnsi="Times New Roman"/>
                <w:b/>
                <w:bCs/>
                <w:color w:val="000000"/>
                <w:sz w:val="22"/>
                <w:szCs w:val="22"/>
                <w:lang w:bidi="ar"/>
              </w:rPr>
            </w:pPr>
          </w:p>
        </w:tc>
        <w:tc>
          <w:tcPr>
            <w:tcW w:w="690" w:type="pct"/>
            <w:vMerge w:val="restart"/>
            <w:vAlign w:val="center"/>
          </w:tcPr>
          <w:p w14:paraId="68256A88">
            <w:pPr>
              <w:jc w:val="center"/>
              <w:textAlignment w:val="center"/>
              <w:rPr>
                <w:rFonts w:ascii="Times New Roman" w:hAnsi="Times New Roman"/>
                <w:color w:val="000000"/>
                <w:sz w:val="22"/>
                <w:szCs w:val="22"/>
                <w:lang w:bidi="ar"/>
              </w:rPr>
            </w:pPr>
            <w:bookmarkStart w:id="34" w:name="RANGE!B69"/>
            <w:r>
              <w:rPr>
                <w:rFonts w:ascii="Times New Roman" w:hAnsi="Times New Roman"/>
                <w:color w:val="000000"/>
                <w:sz w:val="22"/>
                <w:szCs w:val="22"/>
                <w:lang w:bidi="ar"/>
              </w:rPr>
              <w:t>IPL, Inferior Parietal Lobule</w:t>
            </w:r>
            <w:bookmarkEnd w:id="34"/>
          </w:p>
        </w:tc>
        <w:tc>
          <w:tcPr>
            <w:tcW w:w="738" w:type="pct"/>
            <w:vAlign w:val="center"/>
          </w:tcPr>
          <w:p w14:paraId="7E74E07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IPL_L(R)_6_1</w:t>
            </w:r>
          </w:p>
        </w:tc>
        <w:tc>
          <w:tcPr>
            <w:tcW w:w="335" w:type="pct"/>
            <w:vAlign w:val="center"/>
          </w:tcPr>
          <w:p w14:paraId="64D3EEC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135</w:t>
            </w:r>
          </w:p>
        </w:tc>
        <w:tc>
          <w:tcPr>
            <w:tcW w:w="330" w:type="pct"/>
            <w:vAlign w:val="center"/>
          </w:tcPr>
          <w:p w14:paraId="317C0EF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136</w:t>
            </w:r>
          </w:p>
        </w:tc>
        <w:tc>
          <w:tcPr>
            <w:tcW w:w="1528" w:type="pct"/>
            <w:vAlign w:val="center"/>
          </w:tcPr>
          <w:p w14:paraId="7F56652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A39c, caudal area 39(PGp)</w:t>
            </w:r>
          </w:p>
        </w:tc>
        <w:tc>
          <w:tcPr>
            <w:tcW w:w="457" w:type="pct"/>
            <w:vAlign w:val="center"/>
          </w:tcPr>
          <w:p w14:paraId="30728F9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-34, -80, 29 </w:t>
            </w:r>
          </w:p>
        </w:tc>
        <w:tc>
          <w:tcPr>
            <w:tcW w:w="467" w:type="pct"/>
            <w:vAlign w:val="center"/>
          </w:tcPr>
          <w:p w14:paraId="35FA426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45, -71, 20 </w:t>
            </w:r>
          </w:p>
        </w:tc>
      </w:tr>
      <w:tr w14:paraId="72789C50">
        <w:trPr>
          <w:trHeight w:val="360" w:hRule="atLeast"/>
        </w:trPr>
        <w:tc>
          <w:tcPr>
            <w:tcW w:w="455" w:type="pct"/>
            <w:vMerge w:val="continue"/>
            <w:vAlign w:val="center"/>
          </w:tcPr>
          <w:p w14:paraId="33780853">
            <w:pPr>
              <w:jc w:val="center"/>
              <w:textAlignment w:val="center"/>
              <w:rPr>
                <w:rFonts w:ascii="Times New Roman" w:hAnsi="Times New Roman"/>
                <w:b/>
                <w:bCs/>
                <w:color w:val="000000"/>
                <w:sz w:val="22"/>
                <w:szCs w:val="22"/>
                <w:lang w:bidi="ar"/>
              </w:rPr>
            </w:pPr>
          </w:p>
        </w:tc>
        <w:tc>
          <w:tcPr>
            <w:tcW w:w="690" w:type="pct"/>
            <w:vMerge w:val="continue"/>
            <w:vAlign w:val="center"/>
          </w:tcPr>
          <w:p w14:paraId="1EE4263B">
            <w:pPr>
              <w:jc w:val="center"/>
              <w:textAlignment w:val="center"/>
              <w:rPr>
                <w:rFonts w:ascii="Times New Roman" w:hAnsi="Times New Roman"/>
                <w:color w:val="000000"/>
                <w:sz w:val="22"/>
                <w:szCs w:val="22"/>
                <w:lang w:bidi="ar"/>
              </w:rPr>
            </w:pPr>
          </w:p>
        </w:tc>
        <w:tc>
          <w:tcPr>
            <w:tcW w:w="738" w:type="pct"/>
            <w:vAlign w:val="center"/>
          </w:tcPr>
          <w:p w14:paraId="319B634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IPL_L(R)_6_2</w:t>
            </w:r>
          </w:p>
        </w:tc>
        <w:tc>
          <w:tcPr>
            <w:tcW w:w="335" w:type="pct"/>
            <w:vAlign w:val="center"/>
          </w:tcPr>
          <w:p w14:paraId="313B6278">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137</w:t>
            </w:r>
          </w:p>
        </w:tc>
        <w:tc>
          <w:tcPr>
            <w:tcW w:w="330" w:type="pct"/>
            <w:vAlign w:val="center"/>
          </w:tcPr>
          <w:p w14:paraId="4E3D75BA">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138</w:t>
            </w:r>
          </w:p>
        </w:tc>
        <w:tc>
          <w:tcPr>
            <w:tcW w:w="1528" w:type="pct"/>
            <w:vAlign w:val="center"/>
          </w:tcPr>
          <w:p w14:paraId="26DA3C2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A39rd, rostrodorsal area 39(Hip3)</w:t>
            </w:r>
          </w:p>
        </w:tc>
        <w:tc>
          <w:tcPr>
            <w:tcW w:w="457" w:type="pct"/>
            <w:vAlign w:val="center"/>
          </w:tcPr>
          <w:p w14:paraId="1D41BCD8">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-38, -61, 46 </w:t>
            </w:r>
          </w:p>
        </w:tc>
        <w:tc>
          <w:tcPr>
            <w:tcW w:w="467" w:type="pct"/>
            <w:vAlign w:val="center"/>
          </w:tcPr>
          <w:p w14:paraId="7DF671C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39, -65, 44 </w:t>
            </w:r>
          </w:p>
        </w:tc>
      </w:tr>
      <w:tr w14:paraId="2FECC455">
        <w:trPr>
          <w:trHeight w:val="360" w:hRule="atLeast"/>
        </w:trPr>
        <w:tc>
          <w:tcPr>
            <w:tcW w:w="455" w:type="pct"/>
            <w:vMerge w:val="continue"/>
            <w:vAlign w:val="center"/>
          </w:tcPr>
          <w:p w14:paraId="181196FC">
            <w:pPr>
              <w:jc w:val="center"/>
              <w:textAlignment w:val="center"/>
              <w:rPr>
                <w:rFonts w:ascii="Times New Roman" w:hAnsi="Times New Roman"/>
                <w:b/>
                <w:bCs/>
                <w:color w:val="000000"/>
                <w:sz w:val="22"/>
                <w:szCs w:val="22"/>
                <w:lang w:bidi="ar"/>
              </w:rPr>
            </w:pPr>
          </w:p>
        </w:tc>
        <w:tc>
          <w:tcPr>
            <w:tcW w:w="690" w:type="pct"/>
            <w:vMerge w:val="continue"/>
            <w:vAlign w:val="center"/>
          </w:tcPr>
          <w:p w14:paraId="75DA0701">
            <w:pPr>
              <w:jc w:val="center"/>
              <w:textAlignment w:val="center"/>
              <w:rPr>
                <w:rFonts w:ascii="Times New Roman" w:hAnsi="Times New Roman"/>
                <w:color w:val="000000"/>
                <w:sz w:val="22"/>
                <w:szCs w:val="22"/>
                <w:lang w:bidi="ar"/>
              </w:rPr>
            </w:pPr>
          </w:p>
        </w:tc>
        <w:tc>
          <w:tcPr>
            <w:tcW w:w="738" w:type="pct"/>
            <w:vAlign w:val="center"/>
          </w:tcPr>
          <w:p w14:paraId="484B99D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IPL_L(R)_6_3</w:t>
            </w:r>
          </w:p>
        </w:tc>
        <w:tc>
          <w:tcPr>
            <w:tcW w:w="335" w:type="pct"/>
            <w:vAlign w:val="center"/>
          </w:tcPr>
          <w:p w14:paraId="1758A27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139</w:t>
            </w:r>
          </w:p>
        </w:tc>
        <w:tc>
          <w:tcPr>
            <w:tcW w:w="330" w:type="pct"/>
            <w:vAlign w:val="center"/>
          </w:tcPr>
          <w:p w14:paraId="3E5EA51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140</w:t>
            </w:r>
          </w:p>
        </w:tc>
        <w:tc>
          <w:tcPr>
            <w:tcW w:w="1528" w:type="pct"/>
            <w:vAlign w:val="center"/>
          </w:tcPr>
          <w:p w14:paraId="4FF17EF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A40rd, rostrodorsal area 40(PFt)</w:t>
            </w:r>
          </w:p>
        </w:tc>
        <w:tc>
          <w:tcPr>
            <w:tcW w:w="457" w:type="pct"/>
            <w:vAlign w:val="center"/>
          </w:tcPr>
          <w:p w14:paraId="7E9F8D8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-51, -33, 42 </w:t>
            </w:r>
          </w:p>
        </w:tc>
        <w:tc>
          <w:tcPr>
            <w:tcW w:w="467" w:type="pct"/>
            <w:vAlign w:val="center"/>
          </w:tcPr>
          <w:p w14:paraId="4A04A9A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47, -35, 45 </w:t>
            </w:r>
          </w:p>
        </w:tc>
      </w:tr>
      <w:tr w14:paraId="0A1F718C">
        <w:trPr>
          <w:trHeight w:val="360" w:hRule="atLeast"/>
        </w:trPr>
        <w:tc>
          <w:tcPr>
            <w:tcW w:w="455" w:type="pct"/>
            <w:vMerge w:val="continue"/>
            <w:vAlign w:val="center"/>
          </w:tcPr>
          <w:p w14:paraId="2934BCDC">
            <w:pPr>
              <w:jc w:val="center"/>
              <w:textAlignment w:val="center"/>
              <w:rPr>
                <w:rFonts w:ascii="Times New Roman" w:hAnsi="Times New Roman"/>
                <w:b/>
                <w:bCs/>
                <w:color w:val="000000"/>
                <w:sz w:val="22"/>
                <w:szCs w:val="22"/>
                <w:lang w:bidi="ar"/>
              </w:rPr>
            </w:pPr>
          </w:p>
        </w:tc>
        <w:tc>
          <w:tcPr>
            <w:tcW w:w="690" w:type="pct"/>
            <w:vMerge w:val="continue"/>
            <w:vAlign w:val="center"/>
          </w:tcPr>
          <w:p w14:paraId="673DFE70">
            <w:pPr>
              <w:jc w:val="center"/>
              <w:textAlignment w:val="center"/>
              <w:rPr>
                <w:rFonts w:ascii="Times New Roman" w:hAnsi="Times New Roman"/>
                <w:color w:val="000000"/>
                <w:sz w:val="22"/>
                <w:szCs w:val="22"/>
                <w:lang w:bidi="ar"/>
              </w:rPr>
            </w:pPr>
          </w:p>
        </w:tc>
        <w:tc>
          <w:tcPr>
            <w:tcW w:w="738" w:type="pct"/>
            <w:vAlign w:val="center"/>
          </w:tcPr>
          <w:p w14:paraId="5057099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IPL_L(R)_6_4</w:t>
            </w:r>
          </w:p>
        </w:tc>
        <w:tc>
          <w:tcPr>
            <w:tcW w:w="335" w:type="pct"/>
            <w:vAlign w:val="center"/>
          </w:tcPr>
          <w:p w14:paraId="3616FBA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141</w:t>
            </w:r>
          </w:p>
        </w:tc>
        <w:tc>
          <w:tcPr>
            <w:tcW w:w="330" w:type="pct"/>
            <w:vAlign w:val="center"/>
          </w:tcPr>
          <w:p w14:paraId="2AC233A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142</w:t>
            </w:r>
          </w:p>
        </w:tc>
        <w:tc>
          <w:tcPr>
            <w:tcW w:w="1528" w:type="pct"/>
            <w:vAlign w:val="center"/>
          </w:tcPr>
          <w:p w14:paraId="774467A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A40c, caudal area 40(PFm)</w:t>
            </w:r>
          </w:p>
        </w:tc>
        <w:tc>
          <w:tcPr>
            <w:tcW w:w="457" w:type="pct"/>
            <w:vAlign w:val="center"/>
          </w:tcPr>
          <w:p w14:paraId="164977A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-56, -49, 38 </w:t>
            </w:r>
          </w:p>
        </w:tc>
        <w:tc>
          <w:tcPr>
            <w:tcW w:w="467" w:type="pct"/>
            <w:vAlign w:val="center"/>
          </w:tcPr>
          <w:p w14:paraId="1B7F9FBA">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57, -44, 38 </w:t>
            </w:r>
          </w:p>
        </w:tc>
      </w:tr>
      <w:tr w14:paraId="5286DDFE">
        <w:trPr>
          <w:trHeight w:val="360" w:hRule="atLeast"/>
        </w:trPr>
        <w:tc>
          <w:tcPr>
            <w:tcW w:w="455" w:type="pct"/>
            <w:vMerge w:val="continue"/>
            <w:vAlign w:val="center"/>
          </w:tcPr>
          <w:p w14:paraId="7353CC91">
            <w:pPr>
              <w:jc w:val="center"/>
              <w:textAlignment w:val="center"/>
              <w:rPr>
                <w:rFonts w:ascii="Times New Roman" w:hAnsi="Times New Roman"/>
                <w:b/>
                <w:bCs/>
                <w:color w:val="000000"/>
                <w:sz w:val="22"/>
                <w:szCs w:val="22"/>
                <w:lang w:bidi="ar"/>
              </w:rPr>
            </w:pPr>
          </w:p>
        </w:tc>
        <w:tc>
          <w:tcPr>
            <w:tcW w:w="690" w:type="pct"/>
            <w:vMerge w:val="continue"/>
            <w:vAlign w:val="center"/>
          </w:tcPr>
          <w:p w14:paraId="70DBC62B">
            <w:pPr>
              <w:jc w:val="center"/>
              <w:textAlignment w:val="center"/>
              <w:rPr>
                <w:rFonts w:ascii="Times New Roman" w:hAnsi="Times New Roman"/>
                <w:color w:val="000000"/>
                <w:sz w:val="22"/>
                <w:szCs w:val="22"/>
                <w:lang w:bidi="ar"/>
              </w:rPr>
            </w:pPr>
          </w:p>
        </w:tc>
        <w:tc>
          <w:tcPr>
            <w:tcW w:w="738" w:type="pct"/>
            <w:vAlign w:val="center"/>
          </w:tcPr>
          <w:p w14:paraId="3A4E444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IPL_L(R)_6_5</w:t>
            </w:r>
          </w:p>
        </w:tc>
        <w:tc>
          <w:tcPr>
            <w:tcW w:w="335" w:type="pct"/>
            <w:vAlign w:val="center"/>
          </w:tcPr>
          <w:p w14:paraId="679D22F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143</w:t>
            </w:r>
          </w:p>
        </w:tc>
        <w:tc>
          <w:tcPr>
            <w:tcW w:w="330" w:type="pct"/>
            <w:vAlign w:val="center"/>
          </w:tcPr>
          <w:p w14:paraId="125438A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144</w:t>
            </w:r>
          </w:p>
        </w:tc>
        <w:tc>
          <w:tcPr>
            <w:tcW w:w="1528" w:type="pct"/>
            <w:vAlign w:val="center"/>
          </w:tcPr>
          <w:p w14:paraId="440E11F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A39rv, rostroventral area 39(PGa)</w:t>
            </w:r>
          </w:p>
        </w:tc>
        <w:tc>
          <w:tcPr>
            <w:tcW w:w="457" w:type="pct"/>
            <w:vAlign w:val="center"/>
          </w:tcPr>
          <w:p w14:paraId="6AD5275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-47, -65, 26 </w:t>
            </w:r>
          </w:p>
        </w:tc>
        <w:tc>
          <w:tcPr>
            <w:tcW w:w="467" w:type="pct"/>
            <w:vAlign w:val="center"/>
          </w:tcPr>
          <w:p w14:paraId="0E54492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53, -54, 25 </w:t>
            </w:r>
          </w:p>
        </w:tc>
      </w:tr>
      <w:tr w14:paraId="59A8E5C1">
        <w:trPr>
          <w:trHeight w:val="360" w:hRule="atLeast"/>
        </w:trPr>
        <w:tc>
          <w:tcPr>
            <w:tcW w:w="455" w:type="pct"/>
            <w:vMerge w:val="continue"/>
            <w:vAlign w:val="center"/>
          </w:tcPr>
          <w:p w14:paraId="1AFF330A">
            <w:pPr>
              <w:jc w:val="center"/>
              <w:textAlignment w:val="center"/>
              <w:rPr>
                <w:rFonts w:ascii="Times New Roman" w:hAnsi="Times New Roman"/>
                <w:b/>
                <w:bCs/>
                <w:color w:val="000000"/>
                <w:sz w:val="22"/>
                <w:szCs w:val="22"/>
                <w:lang w:bidi="ar"/>
              </w:rPr>
            </w:pPr>
          </w:p>
        </w:tc>
        <w:tc>
          <w:tcPr>
            <w:tcW w:w="690" w:type="pct"/>
            <w:vMerge w:val="continue"/>
            <w:vAlign w:val="center"/>
          </w:tcPr>
          <w:p w14:paraId="4B55D156">
            <w:pPr>
              <w:jc w:val="center"/>
              <w:textAlignment w:val="center"/>
              <w:rPr>
                <w:rFonts w:ascii="Times New Roman" w:hAnsi="Times New Roman"/>
                <w:color w:val="000000"/>
                <w:sz w:val="22"/>
                <w:szCs w:val="22"/>
                <w:lang w:bidi="ar"/>
              </w:rPr>
            </w:pPr>
          </w:p>
        </w:tc>
        <w:tc>
          <w:tcPr>
            <w:tcW w:w="738" w:type="pct"/>
            <w:vAlign w:val="center"/>
          </w:tcPr>
          <w:p w14:paraId="364CADC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IPL_L(R)_6_6</w:t>
            </w:r>
          </w:p>
        </w:tc>
        <w:tc>
          <w:tcPr>
            <w:tcW w:w="335" w:type="pct"/>
            <w:vAlign w:val="center"/>
          </w:tcPr>
          <w:p w14:paraId="36B292F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145</w:t>
            </w:r>
          </w:p>
        </w:tc>
        <w:tc>
          <w:tcPr>
            <w:tcW w:w="330" w:type="pct"/>
            <w:vAlign w:val="center"/>
          </w:tcPr>
          <w:p w14:paraId="7BBCDD0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146</w:t>
            </w:r>
          </w:p>
        </w:tc>
        <w:tc>
          <w:tcPr>
            <w:tcW w:w="1528" w:type="pct"/>
            <w:vAlign w:val="center"/>
          </w:tcPr>
          <w:p w14:paraId="17774FF3">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A40rv, rostroventral area 40(PFop)</w:t>
            </w:r>
          </w:p>
        </w:tc>
        <w:tc>
          <w:tcPr>
            <w:tcW w:w="457" w:type="pct"/>
            <w:vAlign w:val="center"/>
          </w:tcPr>
          <w:p w14:paraId="5742D5F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-53, -31, 23 </w:t>
            </w:r>
          </w:p>
        </w:tc>
        <w:tc>
          <w:tcPr>
            <w:tcW w:w="467" w:type="pct"/>
            <w:vAlign w:val="center"/>
          </w:tcPr>
          <w:p w14:paraId="3A1884B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55, -26, 26 </w:t>
            </w:r>
          </w:p>
        </w:tc>
      </w:tr>
      <w:tr w14:paraId="43A36858">
        <w:trPr>
          <w:trHeight w:val="360" w:hRule="atLeast"/>
        </w:trPr>
        <w:tc>
          <w:tcPr>
            <w:tcW w:w="455" w:type="pct"/>
            <w:vMerge w:val="continue"/>
            <w:vAlign w:val="center"/>
          </w:tcPr>
          <w:p w14:paraId="3F830590">
            <w:pPr>
              <w:jc w:val="center"/>
              <w:textAlignment w:val="center"/>
              <w:rPr>
                <w:rFonts w:ascii="Times New Roman" w:hAnsi="Times New Roman"/>
                <w:b/>
                <w:bCs/>
                <w:color w:val="000000"/>
                <w:sz w:val="22"/>
                <w:szCs w:val="22"/>
                <w:lang w:bidi="ar"/>
              </w:rPr>
            </w:pPr>
          </w:p>
        </w:tc>
        <w:tc>
          <w:tcPr>
            <w:tcW w:w="690" w:type="pct"/>
            <w:vMerge w:val="restart"/>
            <w:vAlign w:val="center"/>
          </w:tcPr>
          <w:p w14:paraId="20794719">
            <w:pPr>
              <w:jc w:val="center"/>
              <w:textAlignment w:val="center"/>
              <w:rPr>
                <w:rFonts w:ascii="Times New Roman" w:hAnsi="Times New Roman"/>
                <w:color w:val="000000"/>
                <w:sz w:val="22"/>
                <w:szCs w:val="22"/>
                <w:lang w:bidi="ar"/>
              </w:rPr>
            </w:pPr>
            <w:bookmarkStart w:id="35" w:name="RANGE!B75"/>
            <w:r>
              <w:rPr>
                <w:rFonts w:ascii="Times New Roman" w:hAnsi="Times New Roman"/>
                <w:color w:val="000000"/>
                <w:sz w:val="22"/>
                <w:szCs w:val="22"/>
                <w:lang w:bidi="ar"/>
              </w:rPr>
              <w:t>Pcun, Precuneus</w:t>
            </w:r>
            <w:bookmarkEnd w:id="35"/>
          </w:p>
        </w:tc>
        <w:tc>
          <w:tcPr>
            <w:tcW w:w="738" w:type="pct"/>
            <w:vAlign w:val="center"/>
          </w:tcPr>
          <w:p w14:paraId="67A93F2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PCun_L(R)_4_1</w:t>
            </w:r>
          </w:p>
        </w:tc>
        <w:tc>
          <w:tcPr>
            <w:tcW w:w="335" w:type="pct"/>
            <w:vAlign w:val="center"/>
          </w:tcPr>
          <w:p w14:paraId="62E7C5E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147</w:t>
            </w:r>
          </w:p>
        </w:tc>
        <w:tc>
          <w:tcPr>
            <w:tcW w:w="330" w:type="pct"/>
            <w:vAlign w:val="center"/>
          </w:tcPr>
          <w:p w14:paraId="70A024DA">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148</w:t>
            </w:r>
          </w:p>
        </w:tc>
        <w:tc>
          <w:tcPr>
            <w:tcW w:w="1528" w:type="pct"/>
            <w:vAlign w:val="center"/>
          </w:tcPr>
          <w:p w14:paraId="4AB2BBA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A7m, medial area 7(PEp)</w:t>
            </w:r>
          </w:p>
        </w:tc>
        <w:tc>
          <w:tcPr>
            <w:tcW w:w="457" w:type="pct"/>
            <w:vAlign w:val="center"/>
          </w:tcPr>
          <w:p w14:paraId="45D5C44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 -63, 51 </w:t>
            </w:r>
          </w:p>
        </w:tc>
        <w:tc>
          <w:tcPr>
            <w:tcW w:w="467" w:type="pct"/>
            <w:vAlign w:val="center"/>
          </w:tcPr>
          <w:p w14:paraId="34D7534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6, -65, 51 </w:t>
            </w:r>
          </w:p>
        </w:tc>
      </w:tr>
      <w:tr w14:paraId="41C241E8">
        <w:trPr>
          <w:trHeight w:val="360" w:hRule="atLeast"/>
        </w:trPr>
        <w:tc>
          <w:tcPr>
            <w:tcW w:w="455" w:type="pct"/>
            <w:vMerge w:val="continue"/>
            <w:vAlign w:val="center"/>
          </w:tcPr>
          <w:p w14:paraId="6EE6DAB9">
            <w:pPr>
              <w:jc w:val="center"/>
              <w:textAlignment w:val="center"/>
              <w:rPr>
                <w:rFonts w:ascii="Times New Roman" w:hAnsi="Times New Roman"/>
                <w:b/>
                <w:bCs/>
                <w:color w:val="000000"/>
                <w:sz w:val="22"/>
                <w:szCs w:val="22"/>
                <w:lang w:bidi="ar"/>
              </w:rPr>
            </w:pPr>
          </w:p>
        </w:tc>
        <w:tc>
          <w:tcPr>
            <w:tcW w:w="690" w:type="pct"/>
            <w:vMerge w:val="continue"/>
            <w:vAlign w:val="center"/>
          </w:tcPr>
          <w:p w14:paraId="2961D47C">
            <w:pPr>
              <w:jc w:val="center"/>
              <w:textAlignment w:val="center"/>
              <w:rPr>
                <w:rFonts w:ascii="Times New Roman" w:hAnsi="Times New Roman"/>
                <w:color w:val="000000"/>
                <w:sz w:val="22"/>
                <w:szCs w:val="22"/>
                <w:lang w:bidi="ar"/>
              </w:rPr>
            </w:pPr>
          </w:p>
        </w:tc>
        <w:tc>
          <w:tcPr>
            <w:tcW w:w="738" w:type="pct"/>
            <w:vAlign w:val="center"/>
          </w:tcPr>
          <w:p w14:paraId="2921547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PCun_L(R)_4_2</w:t>
            </w:r>
          </w:p>
        </w:tc>
        <w:tc>
          <w:tcPr>
            <w:tcW w:w="335" w:type="pct"/>
            <w:vAlign w:val="center"/>
          </w:tcPr>
          <w:p w14:paraId="7EB234A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149</w:t>
            </w:r>
          </w:p>
        </w:tc>
        <w:tc>
          <w:tcPr>
            <w:tcW w:w="330" w:type="pct"/>
            <w:vAlign w:val="center"/>
          </w:tcPr>
          <w:p w14:paraId="159A687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150</w:t>
            </w:r>
          </w:p>
        </w:tc>
        <w:tc>
          <w:tcPr>
            <w:tcW w:w="1528" w:type="pct"/>
            <w:vAlign w:val="center"/>
          </w:tcPr>
          <w:p w14:paraId="5FA79FC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A5m, medial area 5(PEm)</w:t>
            </w:r>
          </w:p>
        </w:tc>
        <w:tc>
          <w:tcPr>
            <w:tcW w:w="457" w:type="pct"/>
            <w:vAlign w:val="center"/>
          </w:tcPr>
          <w:p w14:paraId="3CA9BF1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-8, -47, 57 </w:t>
            </w:r>
          </w:p>
        </w:tc>
        <w:tc>
          <w:tcPr>
            <w:tcW w:w="467" w:type="pct"/>
            <w:vAlign w:val="center"/>
          </w:tcPr>
          <w:p w14:paraId="57145308">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7, -47, 58 </w:t>
            </w:r>
          </w:p>
        </w:tc>
      </w:tr>
      <w:tr w14:paraId="7DF2CA91">
        <w:trPr>
          <w:trHeight w:val="360" w:hRule="atLeast"/>
        </w:trPr>
        <w:tc>
          <w:tcPr>
            <w:tcW w:w="455" w:type="pct"/>
            <w:vMerge w:val="continue"/>
            <w:vAlign w:val="center"/>
          </w:tcPr>
          <w:p w14:paraId="54673F9D">
            <w:pPr>
              <w:jc w:val="center"/>
              <w:textAlignment w:val="center"/>
              <w:rPr>
                <w:rFonts w:ascii="Times New Roman" w:hAnsi="Times New Roman"/>
                <w:b/>
                <w:bCs/>
                <w:color w:val="000000"/>
                <w:sz w:val="22"/>
                <w:szCs w:val="22"/>
                <w:lang w:bidi="ar"/>
              </w:rPr>
            </w:pPr>
          </w:p>
        </w:tc>
        <w:tc>
          <w:tcPr>
            <w:tcW w:w="690" w:type="pct"/>
            <w:vMerge w:val="continue"/>
            <w:vAlign w:val="center"/>
          </w:tcPr>
          <w:p w14:paraId="18005E2D">
            <w:pPr>
              <w:jc w:val="center"/>
              <w:textAlignment w:val="center"/>
              <w:rPr>
                <w:rFonts w:ascii="Times New Roman" w:hAnsi="Times New Roman"/>
                <w:color w:val="000000"/>
                <w:sz w:val="22"/>
                <w:szCs w:val="22"/>
                <w:lang w:bidi="ar"/>
              </w:rPr>
            </w:pPr>
          </w:p>
        </w:tc>
        <w:tc>
          <w:tcPr>
            <w:tcW w:w="738" w:type="pct"/>
            <w:vAlign w:val="center"/>
          </w:tcPr>
          <w:p w14:paraId="6129ACA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PCun_L(R)_4_3</w:t>
            </w:r>
          </w:p>
        </w:tc>
        <w:tc>
          <w:tcPr>
            <w:tcW w:w="335" w:type="pct"/>
            <w:vAlign w:val="center"/>
          </w:tcPr>
          <w:p w14:paraId="16D1676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151</w:t>
            </w:r>
          </w:p>
        </w:tc>
        <w:tc>
          <w:tcPr>
            <w:tcW w:w="330" w:type="pct"/>
            <w:vAlign w:val="center"/>
          </w:tcPr>
          <w:p w14:paraId="7A77862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152</w:t>
            </w:r>
          </w:p>
        </w:tc>
        <w:tc>
          <w:tcPr>
            <w:tcW w:w="1528" w:type="pct"/>
            <w:vAlign w:val="center"/>
          </w:tcPr>
          <w:p w14:paraId="5662231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dmPOS, dorsomedial parietooccipital  sulcus(PEr) </w:t>
            </w:r>
          </w:p>
        </w:tc>
        <w:tc>
          <w:tcPr>
            <w:tcW w:w="457" w:type="pct"/>
            <w:vAlign w:val="center"/>
          </w:tcPr>
          <w:p w14:paraId="0DE907B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-12, -67, 25 </w:t>
            </w:r>
          </w:p>
        </w:tc>
        <w:tc>
          <w:tcPr>
            <w:tcW w:w="467" w:type="pct"/>
            <w:vAlign w:val="center"/>
          </w:tcPr>
          <w:p w14:paraId="3FD8DF1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16, -64, 25 </w:t>
            </w:r>
          </w:p>
        </w:tc>
      </w:tr>
      <w:tr w14:paraId="36B07481">
        <w:trPr>
          <w:trHeight w:val="360" w:hRule="atLeast"/>
        </w:trPr>
        <w:tc>
          <w:tcPr>
            <w:tcW w:w="455" w:type="pct"/>
            <w:vMerge w:val="continue"/>
            <w:vAlign w:val="center"/>
          </w:tcPr>
          <w:p w14:paraId="665227BE">
            <w:pPr>
              <w:jc w:val="center"/>
              <w:textAlignment w:val="center"/>
              <w:rPr>
                <w:rFonts w:ascii="Times New Roman" w:hAnsi="Times New Roman"/>
                <w:b/>
                <w:bCs/>
                <w:color w:val="000000"/>
                <w:sz w:val="22"/>
                <w:szCs w:val="22"/>
                <w:lang w:bidi="ar"/>
              </w:rPr>
            </w:pPr>
          </w:p>
        </w:tc>
        <w:tc>
          <w:tcPr>
            <w:tcW w:w="690" w:type="pct"/>
            <w:vMerge w:val="continue"/>
            <w:vAlign w:val="center"/>
          </w:tcPr>
          <w:p w14:paraId="78CB82A8">
            <w:pPr>
              <w:jc w:val="center"/>
              <w:textAlignment w:val="center"/>
              <w:rPr>
                <w:rFonts w:ascii="Times New Roman" w:hAnsi="Times New Roman"/>
                <w:color w:val="000000"/>
                <w:sz w:val="22"/>
                <w:szCs w:val="22"/>
                <w:lang w:bidi="ar"/>
              </w:rPr>
            </w:pPr>
          </w:p>
        </w:tc>
        <w:tc>
          <w:tcPr>
            <w:tcW w:w="738" w:type="pct"/>
            <w:vAlign w:val="center"/>
          </w:tcPr>
          <w:p w14:paraId="326050A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PCun_L(R)_4_4</w:t>
            </w:r>
          </w:p>
        </w:tc>
        <w:tc>
          <w:tcPr>
            <w:tcW w:w="335" w:type="pct"/>
            <w:vAlign w:val="center"/>
          </w:tcPr>
          <w:p w14:paraId="3404018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153</w:t>
            </w:r>
          </w:p>
        </w:tc>
        <w:tc>
          <w:tcPr>
            <w:tcW w:w="330" w:type="pct"/>
            <w:vAlign w:val="center"/>
          </w:tcPr>
          <w:p w14:paraId="18BC25A3">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154</w:t>
            </w:r>
          </w:p>
        </w:tc>
        <w:tc>
          <w:tcPr>
            <w:tcW w:w="1528" w:type="pct"/>
            <w:vAlign w:val="center"/>
          </w:tcPr>
          <w:p w14:paraId="04FCA68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A31, area 31 (Lc1)</w:t>
            </w:r>
          </w:p>
        </w:tc>
        <w:tc>
          <w:tcPr>
            <w:tcW w:w="457" w:type="pct"/>
            <w:vAlign w:val="center"/>
          </w:tcPr>
          <w:p w14:paraId="6B8D210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-6, -55, 34 </w:t>
            </w:r>
          </w:p>
        </w:tc>
        <w:tc>
          <w:tcPr>
            <w:tcW w:w="467" w:type="pct"/>
            <w:vAlign w:val="center"/>
          </w:tcPr>
          <w:p w14:paraId="20389B7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6, -54, 35 </w:t>
            </w:r>
          </w:p>
        </w:tc>
      </w:tr>
      <w:tr w14:paraId="3C2E84C7">
        <w:trPr>
          <w:trHeight w:val="360" w:hRule="atLeast"/>
        </w:trPr>
        <w:tc>
          <w:tcPr>
            <w:tcW w:w="455" w:type="pct"/>
            <w:vMerge w:val="continue"/>
            <w:vAlign w:val="center"/>
          </w:tcPr>
          <w:p w14:paraId="2A7237A8">
            <w:pPr>
              <w:jc w:val="center"/>
              <w:textAlignment w:val="center"/>
              <w:rPr>
                <w:rFonts w:ascii="Times New Roman" w:hAnsi="Times New Roman"/>
                <w:b/>
                <w:bCs/>
                <w:color w:val="000000"/>
                <w:sz w:val="22"/>
                <w:szCs w:val="22"/>
                <w:lang w:bidi="ar"/>
              </w:rPr>
            </w:pPr>
          </w:p>
        </w:tc>
        <w:tc>
          <w:tcPr>
            <w:tcW w:w="690" w:type="pct"/>
            <w:vMerge w:val="restart"/>
            <w:vAlign w:val="center"/>
          </w:tcPr>
          <w:p w14:paraId="7ACDE3BF">
            <w:pPr>
              <w:jc w:val="center"/>
              <w:textAlignment w:val="center"/>
              <w:rPr>
                <w:rFonts w:ascii="Times New Roman" w:hAnsi="Times New Roman"/>
                <w:color w:val="000000"/>
                <w:sz w:val="22"/>
                <w:szCs w:val="22"/>
                <w:lang w:bidi="ar"/>
              </w:rPr>
            </w:pPr>
            <w:bookmarkStart w:id="36" w:name="RANGE!B79"/>
            <w:r>
              <w:rPr>
                <w:rFonts w:ascii="Times New Roman" w:hAnsi="Times New Roman"/>
                <w:color w:val="000000"/>
                <w:sz w:val="22"/>
                <w:szCs w:val="22"/>
                <w:lang w:bidi="ar"/>
              </w:rPr>
              <w:t>PoG, Postcentral Gyrus</w:t>
            </w:r>
            <w:bookmarkEnd w:id="36"/>
          </w:p>
        </w:tc>
        <w:tc>
          <w:tcPr>
            <w:tcW w:w="738" w:type="pct"/>
            <w:vAlign w:val="center"/>
          </w:tcPr>
          <w:p w14:paraId="47A70DA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PoG_L(R)_4_1</w:t>
            </w:r>
          </w:p>
        </w:tc>
        <w:tc>
          <w:tcPr>
            <w:tcW w:w="335" w:type="pct"/>
            <w:vAlign w:val="center"/>
          </w:tcPr>
          <w:p w14:paraId="6EC45FEA">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155</w:t>
            </w:r>
          </w:p>
        </w:tc>
        <w:tc>
          <w:tcPr>
            <w:tcW w:w="330" w:type="pct"/>
            <w:vAlign w:val="center"/>
          </w:tcPr>
          <w:p w14:paraId="7EA08B7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156</w:t>
            </w:r>
          </w:p>
        </w:tc>
        <w:tc>
          <w:tcPr>
            <w:tcW w:w="1528" w:type="pct"/>
            <w:vAlign w:val="center"/>
          </w:tcPr>
          <w:p w14:paraId="70125C9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A1/2/3ulhf, area 1/2/3(upper limb, head and face region)</w:t>
            </w:r>
          </w:p>
        </w:tc>
        <w:tc>
          <w:tcPr>
            <w:tcW w:w="457" w:type="pct"/>
            <w:vAlign w:val="center"/>
          </w:tcPr>
          <w:p w14:paraId="0B7623E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-50, -16, 43 </w:t>
            </w:r>
          </w:p>
        </w:tc>
        <w:tc>
          <w:tcPr>
            <w:tcW w:w="467" w:type="pct"/>
            <w:vAlign w:val="center"/>
          </w:tcPr>
          <w:p w14:paraId="4E4B5CA8">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50, -14, 44 </w:t>
            </w:r>
          </w:p>
        </w:tc>
      </w:tr>
      <w:tr w14:paraId="3FD45153">
        <w:trPr>
          <w:trHeight w:val="360" w:hRule="atLeast"/>
        </w:trPr>
        <w:tc>
          <w:tcPr>
            <w:tcW w:w="455" w:type="pct"/>
            <w:vMerge w:val="continue"/>
            <w:vAlign w:val="center"/>
          </w:tcPr>
          <w:p w14:paraId="5FA8A7C6">
            <w:pPr>
              <w:jc w:val="center"/>
              <w:textAlignment w:val="center"/>
              <w:rPr>
                <w:rFonts w:ascii="Times New Roman" w:hAnsi="Times New Roman"/>
                <w:b/>
                <w:bCs/>
                <w:color w:val="000000"/>
                <w:sz w:val="22"/>
                <w:szCs w:val="22"/>
                <w:lang w:bidi="ar"/>
              </w:rPr>
            </w:pPr>
          </w:p>
        </w:tc>
        <w:tc>
          <w:tcPr>
            <w:tcW w:w="690" w:type="pct"/>
            <w:vMerge w:val="continue"/>
            <w:vAlign w:val="center"/>
          </w:tcPr>
          <w:p w14:paraId="64393CD5">
            <w:pPr>
              <w:jc w:val="center"/>
              <w:textAlignment w:val="center"/>
              <w:rPr>
                <w:rFonts w:ascii="Times New Roman" w:hAnsi="Times New Roman"/>
                <w:color w:val="000000"/>
                <w:sz w:val="22"/>
                <w:szCs w:val="22"/>
                <w:lang w:bidi="ar"/>
              </w:rPr>
            </w:pPr>
          </w:p>
        </w:tc>
        <w:tc>
          <w:tcPr>
            <w:tcW w:w="738" w:type="pct"/>
            <w:vAlign w:val="center"/>
          </w:tcPr>
          <w:p w14:paraId="02DF926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PoG_L(R)_4_2</w:t>
            </w:r>
          </w:p>
        </w:tc>
        <w:tc>
          <w:tcPr>
            <w:tcW w:w="335" w:type="pct"/>
            <w:vAlign w:val="center"/>
          </w:tcPr>
          <w:p w14:paraId="5600E0F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157</w:t>
            </w:r>
          </w:p>
        </w:tc>
        <w:tc>
          <w:tcPr>
            <w:tcW w:w="330" w:type="pct"/>
            <w:vAlign w:val="center"/>
          </w:tcPr>
          <w:p w14:paraId="7AC28818">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158</w:t>
            </w:r>
          </w:p>
        </w:tc>
        <w:tc>
          <w:tcPr>
            <w:tcW w:w="1528" w:type="pct"/>
            <w:vAlign w:val="center"/>
          </w:tcPr>
          <w:p w14:paraId="13EBEBF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A1/2/3tonIa, area 1/2/3(tongue and larynx region)</w:t>
            </w:r>
          </w:p>
        </w:tc>
        <w:tc>
          <w:tcPr>
            <w:tcW w:w="457" w:type="pct"/>
            <w:vAlign w:val="center"/>
          </w:tcPr>
          <w:p w14:paraId="5CC753B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-56, -14, 16 </w:t>
            </w:r>
          </w:p>
        </w:tc>
        <w:tc>
          <w:tcPr>
            <w:tcW w:w="467" w:type="pct"/>
            <w:vAlign w:val="center"/>
          </w:tcPr>
          <w:p w14:paraId="65E290A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56, -10, 15 </w:t>
            </w:r>
          </w:p>
        </w:tc>
      </w:tr>
      <w:tr w14:paraId="0EDBA2DF">
        <w:trPr>
          <w:trHeight w:val="360" w:hRule="atLeast"/>
        </w:trPr>
        <w:tc>
          <w:tcPr>
            <w:tcW w:w="455" w:type="pct"/>
            <w:vMerge w:val="continue"/>
            <w:vAlign w:val="center"/>
          </w:tcPr>
          <w:p w14:paraId="4F40C441">
            <w:pPr>
              <w:jc w:val="center"/>
              <w:textAlignment w:val="center"/>
              <w:rPr>
                <w:rFonts w:ascii="Times New Roman" w:hAnsi="Times New Roman"/>
                <w:b/>
                <w:bCs/>
                <w:color w:val="000000"/>
                <w:sz w:val="22"/>
                <w:szCs w:val="22"/>
                <w:lang w:bidi="ar"/>
              </w:rPr>
            </w:pPr>
          </w:p>
        </w:tc>
        <w:tc>
          <w:tcPr>
            <w:tcW w:w="690" w:type="pct"/>
            <w:vMerge w:val="continue"/>
            <w:vAlign w:val="center"/>
          </w:tcPr>
          <w:p w14:paraId="02B5C90F">
            <w:pPr>
              <w:jc w:val="center"/>
              <w:textAlignment w:val="center"/>
              <w:rPr>
                <w:rFonts w:ascii="Times New Roman" w:hAnsi="Times New Roman"/>
                <w:color w:val="000000"/>
                <w:sz w:val="22"/>
                <w:szCs w:val="22"/>
                <w:lang w:bidi="ar"/>
              </w:rPr>
            </w:pPr>
          </w:p>
        </w:tc>
        <w:tc>
          <w:tcPr>
            <w:tcW w:w="738" w:type="pct"/>
            <w:vAlign w:val="center"/>
          </w:tcPr>
          <w:p w14:paraId="12EEF6F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PoG_L(R)_4_3</w:t>
            </w:r>
          </w:p>
        </w:tc>
        <w:tc>
          <w:tcPr>
            <w:tcW w:w="335" w:type="pct"/>
            <w:vAlign w:val="center"/>
          </w:tcPr>
          <w:p w14:paraId="7484B273">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159</w:t>
            </w:r>
          </w:p>
        </w:tc>
        <w:tc>
          <w:tcPr>
            <w:tcW w:w="330" w:type="pct"/>
            <w:vAlign w:val="center"/>
          </w:tcPr>
          <w:p w14:paraId="21BEE56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160</w:t>
            </w:r>
          </w:p>
        </w:tc>
        <w:tc>
          <w:tcPr>
            <w:tcW w:w="1528" w:type="pct"/>
            <w:vAlign w:val="center"/>
          </w:tcPr>
          <w:p w14:paraId="3372A0F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A2, area 2</w:t>
            </w:r>
          </w:p>
        </w:tc>
        <w:tc>
          <w:tcPr>
            <w:tcW w:w="457" w:type="pct"/>
            <w:vAlign w:val="center"/>
          </w:tcPr>
          <w:p w14:paraId="4F95FEB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-46, -30, 50 </w:t>
            </w:r>
          </w:p>
        </w:tc>
        <w:tc>
          <w:tcPr>
            <w:tcW w:w="467" w:type="pct"/>
            <w:vAlign w:val="center"/>
          </w:tcPr>
          <w:p w14:paraId="4858B9C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48, -24, 48 </w:t>
            </w:r>
          </w:p>
        </w:tc>
      </w:tr>
      <w:tr w14:paraId="24C16AAB">
        <w:trPr>
          <w:trHeight w:val="360" w:hRule="atLeast"/>
        </w:trPr>
        <w:tc>
          <w:tcPr>
            <w:tcW w:w="455" w:type="pct"/>
            <w:vMerge w:val="continue"/>
            <w:vAlign w:val="center"/>
          </w:tcPr>
          <w:p w14:paraId="1B03F27F">
            <w:pPr>
              <w:jc w:val="center"/>
              <w:textAlignment w:val="center"/>
              <w:rPr>
                <w:rFonts w:ascii="Times New Roman" w:hAnsi="Times New Roman"/>
                <w:b/>
                <w:bCs/>
                <w:color w:val="000000"/>
                <w:sz w:val="22"/>
                <w:szCs w:val="22"/>
                <w:lang w:bidi="ar"/>
              </w:rPr>
            </w:pPr>
          </w:p>
        </w:tc>
        <w:tc>
          <w:tcPr>
            <w:tcW w:w="690" w:type="pct"/>
            <w:vMerge w:val="continue"/>
            <w:vAlign w:val="center"/>
          </w:tcPr>
          <w:p w14:paraId="017AAF6F">
            <w:pPr>
              <w:jc w:val="center"/>
              <w:textAlignment w:val="center"/>
              <w:rPr>
                <w:rFonts w:ascii="Times New Roman" w:hAnsi="Times New Roman"/>
                <w:color w:val="000000"/>
                <w:sz w:val="22"/>
                <w:szCs w:val="22"/>
                <w:lang w:bidi="ar"/>
              </w:rPr>
            </w:pPr>
          </w:p>
        </w:tc>
        <w:tc>
          <w:tcPr>
            <w:tcW w:w="738" w:type="pct"/>
            <w:vAlign w:val="center"/>
          </w:tcPr>
          <w:p w14:paraId="5AA8D8C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PoG_L(R)_4_4</w:t>
            </w:r>
          </w:p>
        </w:tc>
        <w:tc>
          <w:tcPr>
            <w:tcW w:w="335" w:type="pct"/>
            <w:vAlign w:val="center"/>
          </w:tcPr>
          <w:p w14:paraId="1A90ADD3">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161</w:t>
            </w:r>
          </w:p>
        </w:tc>
        <w:tc>
          <w:tcPr>
            <w:tcW w:w="330" w:type="pct"/>
            <w:vAlign w:val="center"/>
          </w:tcPr>
          <w:p w14:paraId="3B6935B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162</w:t>
            </w:r>
          </w:p>
        </w:tc>
        <w:tc>
          <w:tcPr>
            <w:tcW w:w="1528" w:type="pct"/>
            <w:vAlign w:val="center"/>
          </w:tcPr>
          <w:p w14:paraId="4E3DB06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A1/2/3tru, area1/2/3(trunk region)</w:t>
            </w:r>
          </w:p>
        </w:tc>
        <w:tc>
          <w:tcPr>
            <w:tcW w:w="457" w:type="pct"/>
            <w:vAlign w:val="center"/>
          </w:tcPr>
          <w:p w14:paraId="2FA6195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-21, -35, 68 </w:t>
            </w:r>
          </w:p>
        </w:tc>
        <w:tc>
          <w:tcPr>
            <w:tcW w:w="467" w:type="pct"/>
            <w:vAlign w:val="center"/>
          </w:tcPr>
          <w:p w14:paraId="122807D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20, -33, 69 </w:t>
            </w:r>
          </w:p>
        </w:tc>
      </w:tr>
      <w:tr w14:paraId="60336DEE">
        <w:trPr>
          <w:trHeight w:val="360" w:hRule="atLeast"/>
        </w:trPr>
        <w:tc>
          <w:tcPr>
            <w:tcW w:w="455" w:type="pct"/>
            <w:vMerge w:val="restart"/>
            <w:vAlign w:val="center"/>
          </w:tcPr>
          <w:p w14:paraId="2B25F85D">
            <w:pPr>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Insular Lobe</w:t>
            </w:r>
          </w:p>
        </w:tc>
        <w:tc>
          <w:tcPr>
            <w:tcW w:w="690" w:type="pct"/>
            <w:vMerge w:val="restart"/>
            <w:vAlign w:val="center"/>
          </w:tcPr>
          <w:p w14:paraId="6AB5E43F">
            <w:pPr>
              <w:jc w:val="center"/>
              <w:textAlignment w:val="center"/>
              <w:rPr>
                <w:rFonts w:ascii="Times New Roman" w:hAnsi="Times New Roman"/>
                <w:color w:val="000000"/>
                <w:sz w:val="22"/>
                <w:szCs w:val="22"/>
                <w:lang w:bidi="ar"/>
              </w:rPr>
            </w:pPr>
            <w:bookmarkStart w:id="37" w:name="RANGE!B83"/>
            <w:r>
              <w:rPr>
                <w:rFonts w:ascii="Times New Roman" w:hAnsi="Times New Roman"/>
                <w:color w:val="000000"/>
                <w:sz w:val="22"/>
                <w:szCs w:val="22"/>
                <w:lang w:bidi="ar"/>
              </w:rPr>
              <w:t>INS, Insular Gyrus</w:t>
            </w:r>
            <w:bookmarkEnd w:id="37"/>
          </w:p>
        </w:tc>
        <w:tc>
          <w:tcPr>
            <w:tcW w:w="738" w:type="pct"/>
            <w:vAlign w:val="center"/>
          </w:tcPr>
          <w:p w14:paraId="5F02244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INS_L(R)_6_1</w:t>
            </w:r>
          </w:p>
        </w:tc>
        <w:tc>
          <w:tcPr>
            <w:tcW w:w="335" w:type="pct"/>
            <w:vAlign w:val="center"/>
          </w:tcPr>
          <w:p w14:paraId="70364DAB">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163</w:t>
            </w:r>
          </w:p>
        </w:tc>
        <w:tc>
          <w:tcPr>
            <w:tcW w:w="330" w:type="pct"/>
            <w:vAlign w:val="center"/>
          </w:tcPr>
          <w:p w14:paraId="6E4E9AD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164</w:t>
            </w:r>
          </w:p>
        </w:tc>
        <w:tc>
          <w:tcPr>
            <w:tcW w:w="1528" w:type="pct"/>
            <w:vAlign w:val="center"/>
          </w:tcPr>
          <w:p w14:paraId="5896545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G, hypergranular insula</w:t>
            </w:r>
          </w:p>
        </w:tc>
        <w:tc>
          <w:tcPr>
            <w:tcW w:w="457" w:type="pct"/>
            <w:vAlign w:val="center"/>
          </w:tcPr>
          <w:p w14:paraId="1A2D5BC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-36, -20, 10 </w:t>
            </w:r>
          </w:p>
        </w:tc>
        <w:tc>
          <w:tcPr>
            <w:tcW w:w="467" w:type="pct"/>
            <w:vAlign w:val="center"/>
          </w:tcPr>
          <w:p w14:paraId="5927A00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37, -18, 8 </w:t>
            </w:r>
          </w:p>
        </w:tc>
      </w:tr>
      <w:tr w14:paraId="5760E56F">
        <w:trPr>
          <w:trHeight w:val="360" w:hRule="atLeast"/>
        </w:trPr>
        <w:tc>
          <w:tcPr>
            <w:tcW w:w="455" w:type="pct"/>
            <w:vMerge w:val="continue"/>
            <w:vAlign w:val="center"/>
          </w:tcPr>
          <w:p w14:paraId="300D3C8C">
            <w:pPr>
              <w:jc w:val="center"/>
              <w:textAlignment w:val="center"/>
              <w:rPr>
                <w:rFonts w:ascii="Times New Roman" w:hAnsi="Times New Roman"/>
                <w:b/>
                <w:bCs/>
                <w:color w:val="000000"/>
                <w:sz w:val="22"/>
                <w:szCs w:val="22"/>
                <w:lang w:bidi="ar"/>
              </w:rPr>
            </w:pPr>
          </w:p>
        </w:tc>
        <w:tc>
          <w:tcPr>
            <w:tcW w:w="690" w:type="pct"/>
            <w:vMerge w:val="continue"/>
            <w:vAlign w:val="center"/>
          </w:tcPr>
          <w:p w14:paraId="06D88EB8">
            <w:pPr>
              <w:jc w:val="center"/>
              <w:textAlignment w:val="center"/>
              <w:rPr>
                <w:rFonts w:ascii="Times New Roman" w:hAnsi="Times New Roman"/>
                <w:color w:val="000000"/>
                <w:sz w:val="22"/>
                <w:szCs w:val="22"/>
                <w:lang w:bidi="ar"/>
              </w:rPr>
            </w:pPr>
          </w:p>
        </w:tc>
        <w:tc>
          <w:tcPr>
            <w:tcW w:w="738" w:type="pct"/>
            <w:vAlign w:val="center"/>
          </w:tcPr>
          <w:p w14:paraId="3CE7E3B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INS_L(R)_6_2</w:t>
            </w:r>
          </w:p>
        </w:tc>
        <w:tc>
          <w:tcPr>
            <w:tcW w:w="335" w:type="pct"/>
            <w:vAlign w:val="center"/>
          </w:tcPr>
          <w:p w14:paraId="27189AA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165</w:t>
            </w:r>
          </w:p>
        </w:tc>
        <w:tc>
          <w:tcPr>
            <w:tcW w:w="330" w:type="pct"/>
            <w:vAlign w:val="center"/>
          </w:tcPr>
          <w:p w14:paraId="75F2066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166</w:t>
            </w:r>
          </w:p>
        </w:tc>
        <w:tc>
          <w:tcPr>
            <w:tcW w:w="1528" w:type="pct"/>
            <w:vAlign w:val="center"/>
          </w:tcPr>
          <w:p w14:paraId="60ED9D4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vIa, ventral agranular insula</w:t>
            </w:r>
          </w:p>
        </w:tc>
        <w:tc>
          <w:tcPr>
            <w:tcW w:w="457" w:type="pct"/>
            <w:vAlign w:val="center"/>
          </w:tcPr>
          <w:p w14:paraId="16B7754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-32, 14, -13 </w:t>
            </w:r>
          </w:p>
        </w:tc>
        <w:tc>
          <w:tcPr>
            <w:tcW w:w="467" w:type="pct"/>
            <w:vAlign w:val="center"/>
          </w:tcPr>
          <w:p w14:paraId="1719E488">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33, 14, -13 </w:t>
            </w:r>
          </w:p>
        </w:tc>
      </w:tr>
      <w:tr w14:paraId="0DA48B71">
        <w:trPr>
          <w:trHeight w:val="360" w:hRule="atLeast"/>
        </w:trPr>
        <w:tc>
          <w:tcPr>
            <w:tcW w:w="455" w:type="pct"/>
            <w:vMerge w:val="continue"/>
            <w:vAlign w:val="center"/>
          </w:tcPr>
          <w:p w14:paraId="3B4EBDB9">
            <w:pPr>
              <w:jc w:val="center"/>
              <w:textAlignment w:val="center"/>
              <w:rPr>
                <w:rFonts w:ascii="Times New Roman" w:hAnsi="Times New Roman"/>
                <w:b/>
                <w:bCs/>
                <w:color w:val="000000"/>
                <w:sz w:val="22"/>
                <w:szCs w:val="22"/>
                <w:lang w:bidi="ar"/>
              </w:rPr>
            </w:pPr>
          </w:p>
        </w:tc>
        <w:tc>
          <w:tcPr>
            <w:tcW w:w="690" w:type="pct"/>
            <w:vMerge w:val="continue"/>
            <w:vAlign w:val="center"/>
          </w:tcPr>
          <w:p w14:paraId="56D13959">
            <w:pPr>
              <w:jc w:val="center"/>
              <w:textAlignment w:val="center"/>
              <w:rPr>
                <w:rFonts w:ascii="Times New Roman" w:hAnsi="Times New Roman"/>
                <w:color w:val="000000"/>
                <w:sz w:val="22"/>
                <w:szCs w:val="22"/>
                <w:lang w:bidi="ar"/>
              </w:rPr>
            </w:pPr>
          </w:p>
        </w:tc>
        <w:tc>
          <w:tcPr>
            <w:tcW w:w="738" w:type="pct"/>
            <w:vAlign w:val="center"/>
          </w:tcPr>
          <w:p w14:paraId="3391EEB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INS_L(R)_6_3</w:t>
            </w:r>
          </w:p>
        </w:tc>
        <w:tc>
          <w:tcPr>
            <w:tcW w:w="335" w:type="pct"/>
            <w:vAlign w:val="center"/>
          </w:tcPr>
          <w:p w14:paraId="007EAA3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167</w:t>
            </w:r>
          </w:p>
        </w:tc>
        <w:tc>
          <w:tcPr>
            <w:tcW w:w="330" w:type="pct"/>
            <w:vAlign w:val="center"/>
          </w:tcPr>
          <w:p w14:paraId="1655808A">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168</w:t>
            </w:r>
          </w:p>
        </w:tc>
        <w:tc>
          <w:tcPr>
            <w:tcW w:w="1528" w:type="pct"/>
            <w:vAlign w:val="center"/>
          </w:tcPr>
          <w:p w14:paraId="6930DF3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dIa, dorsal agranular insula</w:t>
            </w:r>
          </w:p>
        </w:tc>
        <w:tc>
          <w:tcPr>
            <w:tcW w:w="457" w:type="pct"/>
            <w:vAlign w:val="center"/>
          </w:tcPr>
          <w:p w14:paraId="12EFFEF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-34, 18, 1 </w:t>
            </w:r>
          </w:p>
        </w:tc>
        <w:tc>
          <w:tcPr>
            <w:tcW w:w="467" w:type="pct"/>
            <w:vAlign w:val="center"/>
          </w:tcPr>
          <w:p w14:paraId="1C15DBF8">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36, 18, 1 </w:t>
            </w:r>
          </w:p>
        </w:tc>
      </w:tr>
      <w:tr w14:paraId="4278BBDC">
        <w:trPr>
          <w:trHeight w:val="360" w:hRule="atLeast"/>
        </w:trPr>
        <w:tc>
          <w:tcPr>
            <w:tcW w:w="455" w:type="pct"/>
            <w:vMerge w:val="continue"/>
            <w:vAlign w:val="center"/>
          </w:tcPr>
          <w:p w14:paraId="7C86396D">
            <w:pPr>
              <w:jc w:val="center"/>
              <w:textAlignment w:val="center"/>
              <w:rPr>
                <w:rFonts w:ascii="Times New Roman" w:hAnsi="Times New Roman"/>
                <w:b/>
                <w:bCs/>
                <w:color w:val="000000"/>
                <w:sz w:val="22"/>
                <w:szCs w:val="22"/>
                <w:lang w:bidi="ar"/>
              </w:rPr>
            </w:pPr>
          </w:p>
        </w:tc>
        <w:tc>
          <w:tcPr>
            <w:tcW w:w="690" w:type="pct"/>
            <w:vMerge w:val="continue"/>
            <w:vAlign w:val="center"/>
          </w:tcPr>
          <w:p w14:paraId="44560076">
            <w:pPr>
              <w:jc w:val="center"/>
              <w:textAlignment w:val="center"/>
              <w:rPr>
                <w:rFonts w:ascii="Times New Roman" w:hAnsi="Times New Roman"/>
                <w:color w:val="000000"/>
                <w:sz w:val="22"/>
                <w:szCs w:val="22"/>
                <w:lang w:bidi="ar"/>
              </w:rPr>
            </w:pPr>
          </w:p>
        </w:tc>
        <w:tc>
          <w:tcPr>
            <w:tcW w:w="738" w:type="pct"/>
            <w:vAlign w:val="center"/>
          </w:tcPr>
          <w:p w14:paraId="325C7E1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INS_L(R)_6_4</w:t>
            </w:r>
          </w:p>
        </w:tc>
        <w:tc>
          <w:tcPr>
            <w:tcW w:w="335" w:type="pct"/>
            <w:vAlign w:val="center"/>
          </w:tcPr>
          <w:p w14:paraId="215D2BCB">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169</w:t>
            </w:r>
          </w:p>
        </w:tc>
        <w:tc>
          <w:tcPr>
            <w:tcW w:w="330" w:type="pct"/>
            <w:vAlign w:val="center"/>
          </w:tcPr>
          <w:p w14:paraId="0E65C78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170</w:t>
            </w:r>
          </w:p>
        </w:tc>
        <w:tc>
          <w:tcPr>
            <w:tcW w:w="1528" w:type="pct"/>
            <w:vAlign w:val="center"/>
          </w:tcPr>
          <w:p w14:paraId="71A3D25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vId/vIg, ventral dysgranular and granular insula</w:t>
            </w:r>
          </w:p>
        </w:tc>
        <w:tc>
          <w:tcPr>
            <w:tcW w:w="457" w:type="pct"/>
            <w:vAlign w:val="center"/>
          </w:tcPr>
          <w:p w14:paraId="34C9471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-38, -4, -9 </w:t>
            </w:r>
          </w:p>
        </w:tc>
        <w:tc>
          <w:tcPr>
            <w:tcW w:w="467" w:type="pct"/>
            <w:vAlign w:val="center"/>
          </w:tcPr>
          <w:p w14:paraId="28B853E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39, -2, -9 </w:t>
            </w:r>
          </w:p>
        </w:tc>
      </w:tr>
      <w:tr w14:paraId="3D9252C1">
        <w:trPr>
          <w:trHeight w:val="360" w:hRule="atLeast"/>
        </w:trPr>
        <w:tc>
          <w:tcPr>
            <w:tcW w:w="455" w:type="pct"/>
            <w:vMerge w:val="continue"/>
            <w:vAlign w:val="center"/>
          </w:tcPr>
          <w:p w14:paraId="2CCBBE11">
            <w:pPr>
              <w:jc w:val="center"/>
              <w:textAlignment w:val="center"/>
              <w:rPr>
                <w:rFonts w:ascii="Times New Roman" w:hAnsi="Times New Roman"/>
                <w:b/>
                <w:bCs/>
                <w:color w:val="000000"/>
                <w:sz w:val="22"/>
                <w:szCs w:val="22"/>
                <w:lang w:bidi="ar"/>
              </w:rPr>
            </w:pPr>
          </w:p>
        </w:tc>
        <w:tc>
          <w:tcPr>
            <w:tcW w:w="690" w:type="pct"/>
            <w:vMerge w:val="continue"/>
            <w:vAlign w:val="center"/>
          </w:tcPr>
          <w:p w14:paraId="1F474F2B">
            <w:pPr>
              <w:jc w:val="center"/>
              <w:textAlignment w:val="center"/>
              <w:rPr>
                <w:rFonts w:ascii="Times New Roman" w:hAnsi="Times New Roman"/>
                <w:color w:val="000000"/>
                <w:sz w:val="22"/>
                <w:szCs w:val="22"/>
                <w:lang w:bidi="ar"/>
              </w:rPr>
            </w:pPr>
          </w:p>
        </w:tc>
        <w:tc>
          <w:tcPr>
            <w:tcW w:w="738" w:type="pct"/>
            <w:vAlign w:val="center"/>
          </w:tcPr>
          <w:p w14:paraId="0DB4F8EB">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INS_L(R)_6_5</w:t>
            </w:r>
          </w:p>
        </w:tc>
        <w:tc>
          <w:tcPr>
            <w:tcW w:w="335" w:type="pct"/>
            <w:vAlign w:val="center"/>
          </w:tcPr>
          <w:p w14:paraId="72BE101B">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171</w:t>
            </w:r>
          </w:p>
        </w:tc>
        <w:tc>
          <w:tcPr>
            <w:tcW w:w="330" w:type="pct"/>
            <w:vAlign w:val="center"/>
          </w:tcPr>
          <w:p w14:paraId="007CD99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172</w:t>
            </w:r>
          </w:p>
        </w:tc>
        <w:tc>
          <w:tcPr>
            <w:tcW w:w="1528" w:type="pct"/>
            <w:vAlign w:val="center"/>
          </w:tcPr>
          <w:p w14:paraId="50B534F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dIg, dorsal granular insula</w:t>
            </w:r>
          </w:p>
        </w:tc>
        <w:tc>
          <w:tcPr>
            <w:tcW w:w="457" w:type="pct"/>
            <w:vAlign w:val="center"/>
          </w:tcPr>
          <w:p w14:paraId="52BE259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-38, -8, 8 </w:t>
            </w:r>
          </w:p>
        </w:tc>
        <w:tc>
          <w:tcPr>
            <w:tcW w:w="467" w:type="pct"/>
            <w:vAlign w:val="center"/>
          </w:tcPr>
          <w:p w14:paraId="63B54E8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39, -7, 8 </w:t>
            </w:r>
          </w:p>
        </w:tc>
      </w:tr>
      <w:tr w14:paraId="30BEAB85">
        <w:trPr>
          <w:trHeight w:val="360" w:hRule="atLeast"/>
        </w:trPr>
        <w:tc>
          <w:tcPr>
            <w:tcW w:w="455" w:type="pct"/>
            <w:vMerge w:val="continue"/>
            <w:vAlign w:val="center"/>
          </w:tcPr>
          <w:p w14:paraId="317D9B6B">
            <w:pPr>
              <w:jc w:val="center"/>
              <w:textAlignment w:val="center"/>
              <w:rPr>
                <w:rFonts w:ascii="Times New Roman" w:hAnsi="Times New Roman"/>
                <w:b/>
                <w:bCs/>
                <w:color w:val="000000"/>
                <w:sz w:val="22"/>
                <w:szCs w:val="22"/>
                <w:lang w:bidi="ar"/>
              </w:rPr>
            </w:pPr>
          </w:p>
        </w:tc>
        <w:tc>
          <w:tcPr>
            <w:tcW w:w="690" w:type="pct"/>
            <w:vMerge w:val="continue"/>
            <w:vAlign w:val="center"/>
          </w:tcPr>
          <w:p w14:paraId="3AC02187">
            <w:pPr>
              <w:jc w:val="center"/>
              <w:textAlignment w:val="center"/>
              <w:rPr>
                <w:rFonts w:ascii="Times New Roman" w:hAnsi="Times New Roman"/>
                <w:color w:val="000000"/>
                <w:sz w:val="22"/>
                <w:szCs w:val="22"/>
                <w:lang w:bidi="ar"/>
              </w:rPr>
            </w:pPr>
          </w:p>
        </w:tc>
        <w:tc>
          <w:tcPr>
            <w:tcW w:w="738" w:type="pct"/>
            <w:vAlign w:val="center"/>
          </w:tcPr>
          <w:p w14:paraId="77D300B8">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INS_L(R)_6_6</w:t>
            </w:r>
          </w:p>
        </w:tc>
        <w:tc>
          <w:tcPr>
            <w:tcW w:w="335" w:type="pct"/>
            <w:vAlign w:val="center"/>
          </w:tcPr>
          <w:p w14:paraId="74CF9A63">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173</w:t>
            </w:r>
          </w:p>
        </w:tc>
        <w:tc>
          <w:tcPr>
            <w:tcW w:w="330" w:type="pct"/>
            <w:vAlign w:val="center"/>
          </w:tcPr>
          <w:p w14:paraId="5B62B86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174</w:t>
            </w:r>
          </w:p>
        </w:tc>
        <w:tc>
          <w:tcPr>
            <w:tcW w:w="1528" w:type="pct"/>
            <w:vAlign w:val="center"/>
          </w:tcPr>
          <w:p w14:paraId="754A468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dId, dorsal dysgranular insula</w:t>
            </w:r>
          </w:p>
        </w:tc>
        <w:tc>
          <w:tcPr>
            <w:tcW w:w="457" w:type="pct"/>
            <w:vAlign w:val="center"/>
          </w:tcPr>
          <w:p w14:paraId="3D807878">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-38, 5, 5 </w:t>
            </w:r>
          </w:p>
        </w:tc>
        <w:tc>
          <w:tcPr>
            <w:tcW w:w="467" w:type="pct"/>
            <w:vAlign w:val="center"/>
          </w:tcPr>
          <w:p w14:paraId="049A5BC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38, 5, 5 </w:t>
            </w:r>
          </w:p>
        </w:tc>
      </w:tr>
      <w:tr w14:paraId="3C1929B6">
        <w:trPr>
          <w:trHeight w:val="360" w:hRule="atLeast"/>
        </w:trPr>
        <w:tc>
          <w:tcPr>
            <w:tcW w:w="455" w:type="pct"/>
            <w:vMerge w:val="restart"/>
            <w:vAlign w:val="center"/>
          </w:tcPr>
          <w:p w14:paraId="1DC6CDD5">
            <w:pPr>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Limbic Lobe</w:t>
            </w:r>
          </w:p>
        </w:tc>
        <w:tc>
          <w:tcPr>
            <w:tcW w:w="690" w:type="pct"/>
            <w:vMerge w:val="restart"/>
            <w:vAlign w:val="center"/>
          </w:tcPr>
          <w:p w14:paraId="6ED326EA">
            <w:pPr>
              <w:jc w:val="center"/>
              <w:textAlignment w:val="center"/>
              <w:rPr>
                <w:rFonts w:ascii="Times New Roman" w:hAnsi="Times New Roman"/>
                <w:color w:val="000000"/>
                <w:sz w:val="22"/>
                <w:szCs w:val="22"/>
                <w:lang w:bidi="ar"/>
              </w:rPr>
            </w:pPr>
            <w:bookmarkStart w:id="38" w:name="RANGE!F83"/>
            <w:bookmarkEnd w:id="38"/>
            <w:bookmarkStart w:id="39" w:name="RANGE!F87"/>
            <w:bookmarkEnd w:id="39"/>
            <w:bookmarkStart w:id="40" w:name="RANGE!F84"/>
            <w:bookmarkEnd w:id="40"/>
            <w:bookmarkStart w:id="41" w:name="RANGE!F86"/>
            <w:bookmarkEnd w:id="41"/>
            <w:bookmarkStart w:id="42" w:name="RANGE!F85"/>
            <w:bookmarkEnd w:id="42"/>
            <w:bookmarkStart w:id="43" w:name="RANGE!F88"/>
            <w:bookmarkEnd w:id="43"/>
            <w:bookmarkStart w:id="44" w:name="RANGE!B89"/>
            <w:r>
              <w:rPr>
                <w:rFonts w:ascii="Times New Roman" w:hAnsi="Times New Roman"/>
                <w:color w:val="000000"/>
                <w:sz w:val="22"/>
                <w:szCs w:val="22"/>
                <w:lang w:bidi="ar"/>
              </w:rPr>
              <w:t>CG, Cingulate Gyrus</w:t>
            </w:r>
            <w:bookmarkEnd w:id="44"/>
          </w:p>
        </w:tc>
        <w:tc>
          <w:tcPr>
            <w:tcW w:w="738" w:type="pct"/>
            <w:vAlign w:val="center"/>
          </w:tcPr>
          <w:p w14:paraId="3588C43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CG_L(R)_7_1</w:t>
            </w:r>
          </w:p>
        </w:tc>
        <w:tc>
          <w:tcPr>
            <w:tcW w:w="335" w:type="pct"/>
            <w:vAlign w:val="center"/>
          </w:tcPr>
          <w:p w14:paraId="5ADD1AE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175</w:t>
            </w:r>
          </w:p>
        </w:tc>
        <w:tc>
          <w:tcPr>
            <w:tcW w:w="330" w:type="pct"/>
            <w:vAlign w:val="center"/>
          </w:tcPr>
          <w:p w14:paraId="6F5EA38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176</w:t>
            </w:r>
          </w:p>
        </w:tc>
        <w:tc>
          <w:tcPr>
            <w:tcW w:w="1528" w:type="pct"/>
            <w:vAlign w:val="center"/>
          </w:tcPr>
          <w:p w14:paraId="1CB3688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A23d, dorsal area 23</w:t>
            </w:r>
          </w:p>
        </w:tc>
        <w:tc>
          <w:tcPr>
            <w:tcW w:w="457" w:type="pct"/>
            <w:vAlign w:val="center"/>
          </w:tcPr>
          <w:p w14:paraId="29BEB73A">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-4, -39, 31 </w:t>
            </w:r>
          </w:p>
        </w:tc>
        <w:tc>
          <w:tcPr>
            <w:tcW w:w="467" w:type="pct"/>
            <w:vAlign w:val="center"/>
          </w:tcPr>
          <w:p w14:paraId="1487E2E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4, -37, 32 </w:t>
            </w:r>
          </w:p>
        </w:tc>
      </w:tr>
      <w:tr w14:paraId="74B6849B">
        <w:trPr>
          <w:trHeight w:val="360" w:hRule="atLeast"/>
        </w:trPr>
        <w:tc>
          <w:tcPr>
            <w:tcW w:w="455" w:type="pct"/>
            <w:vMerge w:val="continue"/>
            <w:vAlign w:val="center"/>
          </w:tcPr>
          <w:p w14:paraId="2C620AE1">
            <w:pPr>
              <w:jc w:val="center"/>
              <w:textAlignment w:val="center"/>
              <w:rPr>
                <w:rFonts w:ascii="Times New Roman" w:hAnsi="Times New Roman"/>
                <w:b/>
                <w:bCs/>
                <w:color w:val="000000"/>
                <w:sz w:val="22"/>
                <w:szCs w:val="22"/>
                <w:lang w:bidi="ar"/>
              </w:rPr>
            </w:pPr>
          </w:p>
        </w:tc>
        <w:tc>
          <w:tcPr>
            <w:tcW w:w="690" w:type="pct"/>
            <w:vMerge w:val="continue"/>
            <w:vAlign w:val="center"/>
          </w:tcPr>
          <w:p w14:paraId="48481275">
            <w:pPr>
              <w:jc w:val="center"/>
              <w:textAlignment w:val="center"/>
              <w:rPr>
                <w:rFonts w:ascii="Times New Roman" w:hAnsi="Times New Roman"/>
                <w:color w:val="000000"/>
                <w:sz w:val="22"/>
                <w:szCs w:val="22"/>
                <w:lang w:bidi="ar"/>
              </w:rPr>
            </w:pPr>
          </w:p>
        </w:tc>
        <w:tc>
          <w:tcPr>
            <w:tcW w:w="738" w:type="pct"/>
            <w:vAlign w:val="center"/>
          </w:tcPr>
          <w:p w14:paraId="0FF8FF9A">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CG_L(R)_7_2</w:t>
            </w:r>
          </w:p>
        </w:tc>
        <w:tc>
          <w:tcPr>
            <w:tcW w:w="335" w:type="pct"/>
            <w:vAlign w:val="center"/>
          </w:tcPr>
          <w:p w14:paraId="5E727C6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177</w:t>
            </w:r>
          </w:p>
        </w:tc>
        <w:tc>
          <w:tcPr>
            <w:tcW w:w="330" w:type="pct"/>
            <w:vAlign w:val="center"/>
          </w:tcPr>
          <w:p w14:paraId="691B63D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178</w:t>
            </w:r>
          </w:p>
        </w:tc>
        <w:tc>
          <w:tcPr>
            <w:tcW w:w="1528" w:type="pct"/>
            <w:vAlign w:val="center"/>
          </w:tcPr>
          <w:p w14:paraId="5AD31D6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A24rv, rostroventral area 24</w:t>
            </w:r>
          </w:p>
        </w:tc>
        <w:tc>
          <w:tcPr>
            <w:tcW w:w="457" w:type="pct"/>
            <w:vAlign w:val="center"/>
          </w:tcPr>
          <w:p w14:paraId="701CE05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-3, 8, 25 </w:t>
            </w:r>
          </w:p>
        </w:tc>
        <w:tc>
          <w:tcPr>
            <w:tcW w:w="467" w:type="pct"/>
            <w:vAlign w:val="center"/>
          </w:tcPr>
          <w:p w14:paraId="1ED88D6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5, 22, 12 </w:t>
            </w:r>
          </w:p>
        </w:tc>
      </w:tr>
      <w:tr w14:paraId="7AF57FF6">
        <w:trPr>
          <w:trHeight w:val="360" w:hRule="atLeast"/>
        </w:trPr>
        <w:tc>
          <w:tcPr>
            <w:tcW w:w="455" w:type="pct"/>
            <w:vMerge w:val="continue"/>
            <w:vAlign w:val="center"/>
          </w:tcPr>
          <w:p w14:paraId="190A31BC">
            <w:pPr>
              <w:jc w:val="center"/>
              <w:textAlignment w:val="center"/>
              <w:rPr>
                <w:rFonts w:ascii="Times New Roman" w:hAnsi="Times New Roman"/>
                <w:b/>
                <w:bCs/>
                <w:color w:val="000000"/>
                <w:sz w:val="22"/>
                <w:szCs w:val="22"/>
                <w:lang w:bidi="ar"/>
              </w:rPr>
            </w:pPr>
          </w:p>
        </w:tc>
        <w:tc>
          <w:tcPr>
            <w:tcW w:w="690" w:type="pct"/>
            <w:vMerge w:val="continue"/>
            <w:vAlign w:val="center"/>
          </w:tcPr>
          <w:p w14:paraId="3722C3DA">
            <w:pPr>
              <w:jc w:val="center"/>
              <w:textAlignment w:val="center"/>
              <w:rPr>
                <w:rFonts w:ascii="Times New Roman" w:hAnsi="Times New Roman"/>
                <w:color w:val="000000"/>
                <w:sz w:val="22"/>
                <w:szCs w:val="22"/>
                <w:lang w:bidi="ar"/>
              </w:rPr>
            </w:pPr>
          </w:p>
        </w:tc>
        <w:tc>
          <w:tcPr>
            <w:tcW w:w="738" w:type="pct"/>
            <w:vAlign w:val="center"/>
          </w:tcPr>
          <w:p w14:paraId="4BC051C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CG_L(R)_7_3</w:t>
            </w:r>
          </w:p>
        </w:tc>
        <w:tc>
          <w:tcPr>
            <w:tcW w:w="335" w:type="pct"/>
            <w:vAlign w:val="center"/>
          </w:tcPr>
          <w:p w14:paraId="2C0DC8A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179</w:t>
            </w:r>
          </w:p>
        </w:tc>
        <w:tc>
          <w:tcPr>
            <w:tcW w:w="330" w:type="pct"/>
            <w:vAlign w:val="center"/>
          </w:tcPr>
          <w:p w14:paraId="27D7C9E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180</w:t>
            </w:r>
          </w:p>
        </w:tc>
        <w:tc>
          <w:tcPr>
            <w:tcW w:w="1528" w:type="pct"/>
            <w:vAlign w:val="center"/>
          </w:tcPr>
          <w:p w14:paraId="1C6A240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A32p, pregenual area 32</w:t>
            </w:r>
          </w:p>
        </w:tc>
        <w:tc>
          <w:tcPr>
            <w:tcW w:w="457" w:type="pct"/>
            <w:vAlign w:val="center"/>
          </w:tcPr>
          <w:p w14:paraId="2EF3CF7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-6, 34, 21 </w:t>
            </w:r>
          </w:p>
        </w:tc>
        <w:tc>
          <w:tcPr>
            <w:tcW w:w="467" w:type="pct"/>
            <w:vAlign w:val="center"/>
          </w:tcPr>
          <w:p w14:paraId="5A6BF72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5, 28, 27 </w:t>
            </w:r>
          </w:p>
        </w:tc>
      </w:tr>
      <w:tr w14:paraId="1F5905BF">
        <w:trPr>
          <w:trHeight w:val="360" w:hRule="atLeast"/>
        </w:trPr>
        <w:tc>
          <w:tcPr>
            <w:tcW w:w="455" w:type="pct"/>
            <w:vMerge w:val="continue"/>
            <w:vAlign w:val="center"/>
          </w:tcPr>
          <w:p w14:paraId="373AF6AE">
            <w:pPr>
              <w:jc w:val="center"/>
              <w:textAlignment w:val="center"/>
              <w:rPr>
                <w:rFonts w:ascii="Times New Roman" w:hAnsi="Times New Roman"/>
                <w:b/>
                <w:bCs/>
                <w:color w:val="000000"/>
                <w:sz w:val="22"/>
                <w:szCs w:val="22"/>
                <w:lang w:bidi="ar"/>
              </w:rPr>
            </w:pPr>
          </w:p>
        </w:tc>
        <w:tc>
          <w:tcPr>
            <w:tcW w:w="690" w:type="pct"/>
            <w:vMerge w:val="continue"/>
            <w:vAlign w:val="center"/>
          </w:tcPr>
          <w:p w14:paraId="6C1643DB">
            <w:pPr>
              <w:jc w:val="center"/>
              <w:textAlignment w:val="center"/>
              <w:rPr>
                <w:rFonts w:ascii="Times New Roman" w:hAnsi="Times New Roman"/>
                <w:color w:val="000000"/>
                <w:sz w:val="22"/>
                <w:szCs w:val="22"/>
                <w:lang w:bidi="ar"/>
              </w:rPr>
            </w:pPr>
          </w:p>
        </w:tc>
        <w:tc>
          <w:tcPr>
            <w:tcW w:w="738" w:type="pct"/>
            <w:vAlign w:val="center"/>
          </w:tcPr>
          <w:p w14:paraId="2D360FD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CG_L(R)_7_4</w:t>
            </w:r>
          </w:p>
        </w:tc>
        <w:tc>
          <w:tcPr>
            <w:tcW w:w="335" w:type="pct"/>
            <w:vAlign w:val="center"/>
          </w:tcPr>
          <w:p w14:paraId="0E095DBB">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181</w:t>
            </w:r>
          </w:p>
        </w:tc>
        <w:tc>
          <w:tcPr>
            <w:tcW w:w="330" w:type="pct"/>
            <w:vAlign w:val="center"/>
          </w:tcPr>
          <w:p w14:paraId="185D872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182</w:t>
            </w:r>
          </w:p>
        </w:tc>
        <w:tc>
          <w:tcPr>
            <w:tcW w:w="1528" w:type="pct"/>
            <w:vAlign w:val="center"/>
          </w:tcPr>
          <w:p w14:paraId="5715DFAB">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A23v, ventral area 23</w:t>
            </w:r>
          </w:p>
        </w:tc>
        <w:tc>
          <w:tcPr>
            <w:tcW w:w="457" w:type="pct"/>
            <w:vAlign w:val="center"/>
          </w:tcPr>
          <w:p w14:paraId="7D32856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-8, -47, 10 </w:t>
            </w:r>
          </w:p>
        </w:tc>
        <w:tc>
          <w:tcPr>
            <w:tcW w:w="467" w:type="pct"/>
            <w:vAlign w:val="center"/>
          </w:tcPr>
          <w:p w14:paraId="16358C6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9, -44, 11 </w:t>
            </w:r>
          </w:p>
        </w:tc>
      </w:tr>
      <w:tr w14:paraId="26392020">
        <w:trPr>
          <w:trHeight w:val="360" w:hRule="atLeast"/>
        </w:trPr>
        <w:tc>
          <w:tcPr>
            <w:tcW w:w="455" w:type="pct"/>
            <w:vMerge w:val="continue"/>
            <w:vAlign w:val="center"/>
          </w:tcPr>
          <w:p w14:paraId="353E2330">
            <w:pPr>
              <w:jc w:val="center"/>
              <w:textAlignment w:val="center"/>
              <w:rPr>
                <w:rFonts w:ascii="Times New Roman" w:hAnsi="Times New Roman"/>
                <w:b/>
                <w:bCs/>
                <w:color w:val="000000"/>
                <w:sz w:val="22"/>
                <w:szCs w:val="22"/>
                <w:lang w:bidi="ar"/>
              </w:rPr>
            </w:pPr>
          </w:p>
        </w:tc>
        <w:tc>
          <w:tcPr>
            <w:tcW w:w="690" w:type="pct"/>
            <w:vMerge w:val="continue"/>
            <w:vAlign w:val="center"/>
          </w:tcPr>
          <w:p w14:paraId="2BD8C81F">
            <w:pPr>
              <w:jc w:val="center"/>
              <w:textAlignment w:val="center"/>
              <w:rPr>
                <w:rFonts w:ascii="Times New Roman" w:hAnsi="Times New Roman"/>
                <w:color w:val="000000"/>
                <w:sz w:val="22"/>
                <w:szCs w:val="22"/>
                <w:lang w:bidi="ar"/>
              </w:rPr>
            </w:pPr>
          </w:p>
        </w:tc>
        <w:tc>
          <w:tcPr>
            <w:tcW w:w="738" w:type="pct"/>
            <w:vAlign w:val="center"/>
          </w:tcPr>
          <w:p w14:paraId="3682256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CG_L(R)_7_5</w:t>
            </w:r>
          </w:p>
        </w:tc>
        <w:tc>
          <w:tcPr>
            <w:tcW w:w="335" w:type="pct"/>
            <w:vAlign w:val="center"/>
          </w:tcPr>
          <w:p w14:paraId="39E0C518">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183</w:t>
            </w:r>
          </w:p>
        </w:tc>
        <w:tc>
          <w:tcPr>
            <w:tcW w:w="330" w:type="pct"/>
            <w:vAlign w:val="center"/>
          </w:tcPr>
          <w:p w14:paraId="7EF5EEC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184</w:t>
            </w:r>
          </w:p>
        </w:tc>
        <w:tc>
          <w:tcPr>
            <w:tcW w:w="1528" w:type="pct"/>
            <w:vAlign w:val="center"/>
          </w:tcPr>
          <w:p w14:paraId="3BD71A7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A24cd, caudodorsal area 24</w:t>
            </w:r>
          </w:p>
        </w:tc>
        <w:tc>
          <w:tcPr>
            <w:tcW w:w="457" w:type="pct"/>
            <w:vAlign w:val="center"/>
          </w:tcPr>
          <w:p w14:paraId="461E5783">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-5, 7, 37 </w:t>
            </w:r>
          </w:p>
        </w:tc>
        <w:tc>
          <w:tcPr>
            <w:tcW w:w="467" w:type="pct"/>
            <w:vAlign w:val="center"/>
          </w:tcPr>
          <w:p w14:paraId="15101D1A">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4, 6, 38 </w:t>
            </w:r>
          </w:p>
        </w:tc>
      </w:tr>
      <w:tr w14:paraId="54C87986">
        <w:trPr>
          <w:trHeight w:val="360" w:hRule="atLeast"/>
        </w:trPr>
        <w:tc>
          <w:tcPr>
            <w:tcW w:w="455" w:type="pct"/>
            <w:vMerge w:val="continue"/>
            <w:vAlign w:val="center"/>
          </w:tcPr>
          <w:p w14:paraId="78922F82">
            <w:pPr>
              <w:jc w:val="center"/>
              <w:textAlignment w:val="center"/>
              <w:rPr>
                <w:rFonts w:ascii="Times New Roman" w:hAnsi="Times New Roman"/>
                <w:b/>
                <w:bCs/>
                <w:color w:val="000000"/>
                <w:sz w:val="22"/>
                <w:szCs w:val="22"/>
                <w:lang w:bidi="ar"/>
              </w:rPr>
            </w:pPr>
          </w:p>
        </w:tc>
        <w:tc>
          <w:tcPr>
            <w:tcW w:w="690" w:type="pct"/>
            <w:vMerge w:val="continue"/>
            <w:vAlign w:val="center"/>
          </w:tcPr>
          <w:p w14:paraId="1B357DCC">
            <w:pPr>
              <w:jc w:val="center"/>
              <w:textAlignment w:val="center"/>
              <w:rPr>
                <w:rFonts w:ascii="Times New Roman" w:hAnsi="Times New Roman"/>
                <w:color w:val="000000"/>
                <w:sz w:val="22"/>
                <w:szCs w:val="22"/>
                <w:lang w:bidi="ar"/>
              </w:rPr>
            </w:pPr>
          </w:p>
        </w:tc>
        <w:tc>
          <w:tcPr>
            <w:tcW w:w="738" w:type="pct"/>
            <w:vAlign w:val="center"/>
          </w:tcPr>
          <w:p w14:paraId="6E27C06A">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CG_L(R)_7_6</w:t>
            </w:r>
          </w:p>
        </w:tc>
        <w:tc>
          <w:tcPr>
            <w:tcW w:w="335" w:type="pct"/>
            <w:vAlign w:val="center"/>
          </w:tcPr>
          <w:p w14:paraId="060DA363">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185</w:t>
            </w:r>
          </w:p>
        </w:tc>
        <w:tc>
          <w:tcPr>
            <w:tcW w:w="330" w:type="pct"/>
            <w:vAlign w:val="center"/>
          </w:tcPr>
          <w:p w14:paraId="5441D0A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186</w:t>
            </w:r>
          </w:p>
        </w:tc>
        <w:tc>
          <w:tcPr>
            <w:tcW w:w="1528" w:type="pct"/>
            <w:vAlign w:val="center"/>
          </w:tcPr>
          <w:p w14:paraId="7BED64C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A23c, caudal area 23</w:t>
            </w:r>
          </w:p>
        </w:tc>
        <w:tc>
          <w:tcPr>
            <w:tcW w:w="457" w:type="pct"/>
            <w:vAlign w:val="center"/>
          </w:tcPr>
          <w:p w14:paraId="5D406AFA">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-7, -23, 41 </w:t>
            </w:r>
          </w:p>
        </w:tc>
        <w:tc>
          <w:tcPr>
            <w:tcW w:w="467" w:type="pct"/>
            <w:vAlign w:val="center"/>
          </w:tcPr>
          <w:p w14:paraId="0B54F1A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6, -20, 40 </w:t>
            </w:r>
          </w:p>
        </w:tc>
      </w:tr>
      <w:tr w14:paraId="4EC60DB2">
        <w:trPr>
          <w:trHeight w:val="360" w:hRule="atLeast"/>
        </w:trPr>
        <w:tc>
          <w:tcPr>
            <w:tcW w:w="455" w:type="pct"/>
            <w:vMerge w:val="continue"/>
            <w:vAlign w:val="center"/>
          </w:tcPr>
          <w:p w14:paraId="29EAF74D">
            <w:pPr>
              <w:jc w:val="center"/>
              <w:textAlignment w:val="center"/>
              <w:rPr>
                <w:rFonts w:ascii="Times New Roman" w:hAnsi="Times New Roman"/>
                <w:b/>
                <w:bCs/>
                <w:color w:val="000000"/>
                <w:sz w:val="22"/>
                <w:szCs w:val="22"/>
                <w:lang w:bidi="ar"/>
              </w:rPr>
            </w:pPr>
          </w:p>
        </w:tc>
        <w:tc>
          <w:tcPr>
            <w:tcW w:w="690" w:type="pct"/>
            <w:vMerge w:val="continue"/>
            <w:vAlign w:val="center"/>
          </w:tcPr>
          <w:p w14:paraId="361E14D9">
            <w:pPr>
              <w:jc w:val="center"/>
              <w:textAlignment w:val="center"/>
              <w:rPr>
                <w:rFonts w:ascii="Times New Roman" w:hAnsi="Times New Roman"/>
                <w:color w:val="000000"/>
                <w:sz w:val="22"/>
                <w:szCs w:val="22"/>
                <w:lang w:bidi="ar"/>
              </w:rPr>
            </w:pPr>
          </w:p>
        </w:tc>
        <w:tc>
          <w:tcPr>
            <w:tcW w:w="738" w:type="pct"/>
            <w:vAlign w:val="center"/>
          </w:tcPr>
          <w:p w14:paraId="3B12946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CG_L(R)_7_7</w:t>
            </w:r>
          </w:p>
        </w:tc>
        <w:tc>
          <w:tcPr>
            <w:tcW w:w="335" w:type="pct"/>
            <w:vAlign w:val="center"/>
          </w:tcPr>
          <w:p w14:paraId="52D54ABA">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187</w:t>
            </w:r>
          </w:p>
        </w:tc>
        <w:tc>
          <w:tcPr>
            <w:tcW w:w="330" w:type="pct"/>
            <w:vAlign w:val="center"/>
          </w:tcPr>
          <w:p w14:paraId="5BA0AAB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188</w:t>
            </w:r>
          </w:p>
        </w:tc>
        <w:tc>
          <w:tcPr>
            <w:tcW w:w="1528" w:type="pct"/>
            <w:vAlign w:val="center"/>
          </w:tcPr>
          <w:p w14:paraId="3DC1426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A32sg, subgenual area 32</w:t>
            </w:r>
          </w:p>
        </w:tc>
        <w:tc>
          <w:tcPr>
            <w:tcW w:w="457" w:type="pct"/>
            <w:vAlign w:val="center"/>
          </w:tcPr>
          <w:p w14:paraId="3A1E7903">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-4, 39, -2 </w:t>
            </w:r>
          </w:p>
        </w:tc>
        <w:tc>
          <w:tcPr>
            <w:tcW w:w="467" w:type="pct"/>
            <w:vAlign w:val="center"/>
          </w:tcPr>
          <w:p w14:paraId="3E15360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5, 41, 6 </w:t>
            </w:r>
          </w:p>
        </w:tc>
      </w:tr>
      <w:tr w14:paraId="5DA5413D">
        <w:trPr>
          <w:trHeight w:val="360" w:hRule="atLeast"/>
        </w:trPr>
        <w:tc>
          <w:tcPr>
            <w:tcW w:w="455" w:type="pct"/>
            <w:vMerge w:val="restart"/>
            <w:vAlign w:val="center"/>
          </w:tcPr>
          <w:p w14:paraId="1F084221">
            <w:pPr>
              <w:jc w:val="center"/>
              <w:textAlignment w:val="center"/>
              <w:rPr>
                <w:rFonts w:ascii="Times New Roman" w:hAnsi="Times New Roman"/>
                <w:b/>
                <w:bCs/>
                <w:color w:val="000000"/>
                <w:sz w:val="22"/>
                <w:szCs w:val="22"/>
                <w:lang w:bidi="ar"/>
              </w:rPr>
            </w:pPr>
            <w:r>
              <w:rPr>
                <w:rFonts w:ascii="Times New Roman" w:hAnsi="Times New Roman"/>
                <w:b/>
                <w:bCs/>
                <w:color w:val="000000"/>
                <w:sz w:val="22"/>
                <w:szCs w:val="22"/>
                <w:lang w:bidi="ar"/>
              </w:rPr>
              <w:t>Occipital Lobe</w:t>
            </w:r>
          </w:p>
        </w:tc>
        <w:tc>
          <w:tcPr>
            <w:tcW w:w="690" w:type="pct"/>
            <w:vMerge w:val="restart"/>
            <w:vAlign w:val="center"/>
          </w:tcPr>
          <w:p w14:paraId="1ADDA503">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MVOcC, MedioVentral Occipital Cortex</w:t>
            </w:r>
          </w:p>
        </w:tc>
        <w:tc>
          <w:tcPr>
            <w:tcW w:w="738" w:type="pct"/>
            <w:vAlign w:val="center"/>
          </w:tcPr>
          <w:p w14:paraId="4410205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MVOcC _L(R)_5_1</w:t>
            </w:r>
          </w:p>
        </w:tc>
        <w:tc>
          <w:tcPr>
            <w:tcW w:w="335" w:type="pct"/>
            <w:vAlign w:val="center"/>
          </w:tcPr>
          <w:p w14:paraId="39B53838">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189</w:t>
            </w:r>
          </w:p>
        </w:tc>
        <w:tc>
          <w:tcPr>
            <w:tcW w:w="330" w:type="pct"/>
            <w:vAlign w:val="center"/>
          </w:tcPr>
          <w:p w14:paraId="783A7FE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190</w:t>
            </w:r>
          </w:p>
        </w:tc>
        <w:tc>
          <w:tcPr>
            <w:tcW w:w="1528" w:type="pct"/>
            <w:vAlign w:val="center"/>
          </w:tcPr>
          <w:p w14:paraId="774AA12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cLinG, caudal lingual gyrus</w:t>
            </w:r>
          </w:p>
        </w:tc>
        <w:tc>
          <w:tcPr>
            <w:tcW w:w="457" w:type="pct"/>
            <w:vAlign w:val="center"/>
          </w:tcPr>
          <w:p w14:paraId="0515515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-11, -82, -11 </w:t>
            </w:r>
          </w:p>
        </w:tc>
        <w:tc>
          <w:tcPr>
            <w:tcW w:w="467" w:type="pct"/>
            <w:vAlign w:val="center"/>
          </w:tcPr>
          <w:p w14:paraId="1DDDB63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10, -85, -9 </w:t>
            </w:r>
          </w:p>
        </w:tc>
      </w:tr>
      <w:tr w14:paraId="4217D8D3">
        <w:trPr>
          <w:trHeight w:val="360" w:hRule="atLeast"/>
        </w:trPr>
        <w:tc>
          <w:tcPr>
            <w:tcW w:w="455" w:type="pct"/>
            <w:vMerge w:val="continue"/>
            <w:vAlign w:val="center"/>
          </w:tcPr>
          <w:p w14:paraId="27C49D66">
            <w:pPr>
              <w:jc w:val="center"/>
              <w:textAlignment w:val="center"/>
              <w:rPr>
                <w:rFonts w:ascii="Times New Roman" w:hAnsi="Times New Roman"/>
                <w:b/>
                <w:bCs/>
                <w:color w:val="000000"/>
                <w:sz w:val="22"/>
                <w:szCs w:val="22"/>
                <w:lang w:bidi="ar"/>
              </w:rPr>
            </w:pPr>
          </w:p>
        </w:tc>
        <w:tc>
          <w:tcPr>
            <w:tcW w:w="690" w:type="pct"/>
            <w:vMerge w:val="continue"/>
            <w:vAlign w:val="center"/>
          </w:tcPr>
          <w:p w14:paraId="3CD71C89">
            <w:pPr>
              <w:jc w:val="center"/>
              <w:textAlignment w:val="center"/>
              <w:rPr>
                <w:rFonts w:ascii="Times New Roman" w:hAnsi="Times New Roman"/>
                <w:color w:val="000000"/>
                <w:sz w:val="22"/>
                <w:szCs w:val="22"/>
                <w:lang w:bidi="ar"/>
              </w:rPr>
            </w:pPr>
          </w:p>
        </w:tc>
        <w:tc>
          <w:tcPr>
            <w:tcW w:w="738" w:type="pct"/>
            <w:vAlign w:val="center"/>
          </w:tcPr>
          <w:p w14:paraId="236E7C6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MVOcC _L(R)_5_2</w:t>
            </w:r>
          </w:p>
        </w:tc>
        <w:tc>
          <w:tcPr>
            <w:tcW w:w="335" w:type="pct"/>
            <w:vAlign w:val="center"/>
          </w:tcPr>
          <w:p w14:paraId="60A6491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191</w:t>
            </w:r>
          </w:p>
        </w:tc>
        <w:tc>
          <w:tcPr>
            <w:tcW w:w="330" w:type="pct"/>
            <w:vAlign w:val="center"/>
          </w:tcPr>
          <w:p w14:paraId="664EC58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192</w:t>
            </w:r>
          </w:p>
        </w:tc>
        <w:tc>
          <w:tcPr>
            <w:tcW w:w="1528" w:type="pct"/>
            <w:vAlign w:val="center"/>
          </w:tcPr>
          <w:p w14:paraId="76FBD10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rCunG, rostral cuneus gyrus</w:t>
            </w:r>
          </w:p>
        </w:tc>
        <w:tc>
          <w:tcPr>
            <w:tcW w:w="457" w:type="pct"/>
            <w:vAlign w:val="center"/>
          </w:tcPr>
          <w:p w14:paraId="358E303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-5, -81, 10 </w:t>
            </w:r>
          </w:p>
        </w:tc>
        <w:tc>
          <w:tcPr>
            <w:tcW w:w="467" w:type="pct"/>
            <w:vAlign w:val="center"/>
          </w:tcPr>
          <w:p w14:paraId="2ADB820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7, -76, 11 </w:t>
            </w:r>
          </w:p>
        </w:tc>
      </w:tr>
      <w:tr w14:paraId="05349A75">
        <w:trPr>
          <w:trHeight w:val="360" w:hRule="atLeast"/>
        </w:trPr>
        <w:tc>
          <w:tcPr>
            <w:tcW w:w="455" w:type="pct"/>
            <w:vMerge w:val="continue"/>
            <w:vAlign w:val="center"/>
          </w:tcPr>
          <w:p w14:paraId="27E5FCC8">
            <w:pPr>
              <w:jc w:val="center"/>
              <w:textAlignment w:val="center"/>
              <w:rPr>
                <w:rFonts w:ascii="Times New Roman" w:hAnsi="Times New Roman"/>
                <w:b/>
                <w:bCs/>
                <w:color w:val="000000"/>
                <w:sz w:val="22"/>
                <w:szCs w:val="22"/>
                <w:lang w:bidi="ar"/>
              </w:rPr>
            </w:pPr>
          </w:p>
        </w:tc>
        <w:tc>
          <w:tcPr>
            <w:tcW w:w="690" w:type="pct"/>
            <w:vMerge w:val="continue"/>
            <w:vAlign w:val="center"/>
          </w:tcPr>
          <w:p w14:paraId="3D1F4E3D">
            <w:pPr>
              <w:jc w:val="center"/>
              <w:textAlignment w:val="center"/>
              <w:rPr>
                <w:rFonts w:ascii="Times New Roman" w:hAnsi="Times New Roman"/>
                <w:color w:val="000000"/>
                <w:sz w:val="22"/>
                <w:szCs w:val="22"/>
                <w:lang w:bidi="ar"/>
              </w:rPr>
            </w:pPr>
          </w:p>
        </w:tc>
        <w:tc>
          <w:tcPr>
            <w:tcW w:w="738" w:type="pct"/>
            <w:vAlign w:val="center"/>
          </w:tcPr>
          <w:p w14:paraId="75093BD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MVOcC _L(R)_5_3</w:t>
            </w:r>
          </w:p>
        </w:tc>
        <w:tc>
          <w:tcPr>
            <w:tcW w:w="335" w:type="pct"/>
            <w:vAlign w:val="center"/>
          </w:tcPr>
          <w:p w14:paraId="7E4ABF5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193</w:t>
            </w:r>
          </w:p>
        </w:tc>
        <w:tc>
          <w:tcPr>
            <w:tcW w:w="330" w:type="pct"/>
            <w:vAlign w:val="center"/>
          </w:tcPr>
          <w:p w14:paraId="149A501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194</w:t>
            </w:r>
          </w:p>
        </w:tc>
        <w:tc>
          <w:tcPr>
            <w:tcW w:w="1528" w:type="pct"/>
            <w:vAlign w:val="center"/>
          </w:tcPr>
          <w:p w14:paraId="7EFEFE6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cCunG, caudal cuneus gyrus</w:t>
            </w:r>
          </w:p>
        </w:tc>
        <w:tc>
          <w:tcPr>
            <w:tcW w:w="457" w:type="pct"/>
            <w:vAlign w:val="center"/>
          </w:tcPr>
          <w:p w14:paraId="1771DDC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-6, -94, 1 </w:t>
            </w:r>
          </w:p>
        </w:tc>
        <w:tc>
          <w:tcPr>
            <w:tcW w:w="467" w:type="pct"/>
            <w:vAlign w:val="center"/>
          </w:tcPr>
          <w:p w14:paraId="0654FB2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8, -90, 12 </w:t>
            </w:r>
          </w:p>
        </w:tc>
      </w:tr>
      <w:tr w14:paraId="12A43F4C">
        <w:trPr>
          <w:trHeight w:val="360" w:hRule="atLeast"/>
        </w:trPr>
        <w:tc>
          <w:tcPr>
            <w:tcW w:w="455" w:type="pct"/>
            <w:vMerge w:val="continue"/>
            <w:vAlign w:val="center"/>
          </w:tcPr>
          <w:p w14:paraId="4E163B51">
            <w:pPr>
              <w:jc w:val="center"/>
              <w:textAlignment w:val="center"/>
              <w:rPr>
                <w:rFonts w:ascii="Times New Roman" w:hAnsi="Times New Roman"/>
                <w:b/>
                <w:bCs/>
                <w:color w:val="000000"/>
                <w:sz w:val="22"/>
                <w:szCs w:val="22"/>
                <w:lang w:bidi="ar"/>
              </w:rPr>
            </w:pPr>
          </w:p>
        </w:tc>
        <w:tc>
          <w:tcPr>
            <w:tcW w:w="690" w:type="pct"/>
            <w:vMerge w:val="continue"/>
            <w:vAlign w:val="center"/>
          </w:tcPr>
          <w:p w14:paraId="45EE70D6">
            <w:pPr>
              <w:jc w:val="center"/>
              <w:textAlignment w:val="center"/>
              <w:rPr>
                <w:rFonts w:ascii="Times New Roman" w:hAnsi="Times New Roman"/>
                <w:color w:val="000000"/>
                <w:sz w:val="22"/>
                <w:szCs w:val="22"/>
                <w:lang w:bidi="ar"/>
              </w:rPr>
            </w:pPr>
          </w:p>
        </w:tc>
        <w:tc>
          <w:tcPr>
            <w:tcW w:w="738" w:type="pct"/>
            <w:vAlign w:val="center"/>
          </w:tcPr>
          <w:p w14:paraId="676B967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MVOcC _L(R)_5_4</w:t>
            </w:r>
          </w:p>
        </w:tc>
        <w:tc>
          <w:tcPr>
            <w:tcW w:w="335" w:type="pct"/>
            <w:vAlign w:val="center"/>
          </w:tcPr>
          <w:p w14:paraId="2578FD9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195</w:t>
            </w:r>
          </w:p>
        </w:tc>
        <w:tc>
          <w:tcPr>
            <w:tcW w:w="330" w:type="pct"/>
            <w:vAlign w:val="center"/>
          </w:tcPr>
          <w:p w14:paraId="2DA5954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196</w:t>
            </w:r>
          </w:p>
        </w:tc>
        <w:tc>
          <w:tcPr>
            <w:tcW w:w="1528" w:type="pct"/>
            <w:vAlign w:val="center"/>
          </w:tcPr>
          <w:p w14:paraId="445D5FB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rLinG, rostral lingual gyrus</w:t>
            </w:r>
          </w:p>
        </w:tc>
        <w:tc>
          <w:tcPr>
            <w:tcW w:w="457" w:type="pct"/>
            <w:vAlign w:val="center"/>
          </w:tcPr>
          <w:p w14:paraId="4D2E114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-17, -60, -6 </w:t>
            </w:r>
          </w:p>
        </w:tc>
        <w:tc>
          <w:tcPr>
            <w:tcW w:w="467" w:type="pct"/>
            <w:vAlign w:val="center"/>
          </w:tcPr>
          <w:p w14:paraId="7B58A44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18, -60, -7 </w:t>
            </w:r>
          </w:p>
        </w:tc>
      </w:tr>
      <w:tr w14:paraId="771CFB7B">
        <w:trPr>
          <w:trHeight w:val="360" w:hRule="atLeast"/>
        </w:trPr>
        <w:tc>
          <w:tcPr>
            <w:tcW w:w="455" w:type="pct"/>
            <w:vMerge w:val="continue"/>
            <w:vAlign w:val="center"/>
          </w:tcPr>
          <w:p w14:paraId="421CFCEF">
            <w:pPr>
              <w:jc w:val="center"/>
              <w:textAlignment w:val="center"/>
              <w:rPr>
                <w:rFonts w:ascii="Times New Roman" w:hAnsi="Times New Roman"/>
                <w:b/>
                <w:bCs/>
                <w:color w:val="000000"/>
                <w:sz w:val="22"/>
                <w:szCs w:val="22"/>
                <w:lang w:bidi="ar"/>
              </w:rPr>
            </w:pPr>
          </w:p>
        </w:tc>
        <w:tc>
          <w:tcPr>
            <w:tcW w:w="690" w:type="pct"/>
            <w:vMerge w:val="continue"/>
            <w:vAlign w:val="center"/>
          </w:tcPr>
          <w:p w14:paraId="6D202ABF">
            <w:pPr>
              <w:jc w:val="center"/>
              <w:textAlignment w:val="center"/>
              <w:rPr>
                <w:rFonts w:ascii="Times New Roman" w:hAnsi="Times New Roman"/>
                <w:color w:val="000000"/>
                <w:sz w:val="22"/>
                <w:szCs w:val="22"/>
                <w:lang w:bidi="ar"/>
              </w:rPr>
            </w:pPr>
          </w:p>
        </w:tc>
        <w:tc>
          <w:tcPr>
            <w:tcW w:w="738" w:type="pct"/>
            <w:vAlign w:val="center"/>
          </w:tcPr>
          <w:p w14:paraId="0614DDF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MVOcC _L(R)_5_5</w:t>
            </w:r>
          </w:p>
        </w:tc>
        <w:tc>
          <w:tcPr>
            <w:tcW w:w="335" w:type="pct"/>
            <w:vAlign w:val="center"/>
          </w:tcPr>
          <w:p w14:paraId="699535C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197</w:t>
            </w:r>
          </w:p>
        </w:tc>
        <w:tc>
          <w:tcPr>
            <w:tcW w:w="330" w:type="pct"/>
            <w:vAlign w:val="center"/>
          </w:tcPr>
          <w:p w14:paraId="1C3E2C8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198</w:t>
            </w:r>
          </w:p>
        </w:tc>
        <w:tc>
          <w:tcPr>
            <w:tcW w:w="1528" w:type="pct"/>
            <w:vAlign w:val="center"/>
          </w:tcPr>
          <w:p w14:paraId="183FFBB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vmPOS,ventromedial parietooccipital sulcus</w:t>
            </w:r>
          </w:p>
        </w:tc>
        <w:tc>
          <w:tcPr>
            <w:tcW w:w="457" w:type="pct"/>
            <w:vAlign w:val="center"/>
          </w:tcPr>
          <w:p w14:paraId="69A82A7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-13, -68, 12 </w:t>
            </w:r>
          </w:p>
        </w:tc>
        <w:tc>
          <w:tcPr>
            <w:tcW w:w="467" w:type="pct"/>
            <w:vAlign w:val="center"/>
          </w:tcPr>
          <w:p w14:paraId="7371FDA8">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15, -63, 12 </w:t>
            </w:r>
          </w:p>
        </w:tc>
      </w:tr>
      <w:tr w14:paraId="02A58CAA">
        <w:trPr>
          <w:trHeight w:val="360" w:hRule="atLeast"/>
        </w:trPr>
        <w:tc>
          <w:tcPr>
            <w:tcW w:w="455" w:type="pct"/>
            <w:vMerge w:val="continue"/>
            <w:vAlign w:val="center"/>
          </w:tcPr>
          <w:p w14:paraId="2DE89BCA">
            <w:pPr>
              <w:jc w:val="center"/>
              <w:textAlignment w:val="center"/>
              <w:rPr>
                <w:rFonts w:ascii="Times New Roman" w:hAnsi="Times New Roman"/>
                <w:b/>
                <w:bCs/>
                <w:color w:val="000000"/>
                <w:sz w:val="22"/>
                <w:szCs w:val="22"/>
                <w:lang w:bidi="ar"/>
              </w:rPr>
            </w:pPr>
          </w:p>
        </w:tc>
        <w:tc>
          <w:tcPr>
            <w:tcW w:w="690" w:type="pct"/>
            <w:vMerge w:val="restart"/>
            <w:vAlign w:val="center"/>
          </w:tcPr>
          <w:p w14:paraId="4FAD62D5">
            <w:pPr>
              <w:jc w:val="center"/>
              <w:textAlignment w:val="center"/>
              <w:rPr>
                <w:rFonts w:ascii="Times New Roman" w:hAnsi="Times New Roman"/>
                <w:color w:val="000000"/>
                <w:sz w:val="22"/>
                <w:szCs w:val="22"/>
                <w:lang w:bidi="ar"/>
              </w:rPr>
            </w:pPr>
            <w:bookmarkStart w:id="45" w:name="RANGE!F89"/>
            <w:bookmarkEnd w:id="45"/>
            <w:bookmarkStart w:id="46" w:name="RANGE!B101"/>
            <w:r>
              <w:rPr>
                <w:rFonts w:ascii="Times New Roman" w:hAnsi="Times New Roman"/>
                <w:color w:val="000000"/>
                <w:sz w:val="22"/>
                <w:szCs w:val="22"/>
                <w:lang w:bidi="ar"/>
              </w:rPr>
              <w:t>LOcC, lateral Occipital Cortex</w:t>
            </w:r>
            <w:bookmarkEnd w:id="46"/>
          </w:p>
        </w:tc>
        <w:tc>
          <w:tcPr>
            <w:tcW w:w="738" w:type="pct"/>
            <w:vAlign w:val="center"/>
          </w:tcPr>
          <w:p w14:paraId="49B5660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LOcC_L(R)_4_1</w:t>
            </w:r>
          </w:p>
        </w:tc>
        <w:tc>
          <w:tcPr>
            <w:tcW w:w="335" w:type="pct"/>
            <w:vAlign w:val="center"/>
          </w:tcPr>
          <w:p w14:paraId="4F184D3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199</w:t>
            </w:r>
          </w:p>
        </w:tc>
        <w:tc>
          <w:tcPr>
            <w:tcW w:w="330" w:type="pct"/>
            <w:vAlign w:val="center"/>
          </w:tcPr>
          <w:p w14:paraId="72584BE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200</w:t>
            </w:r>
          </w:p>
        </w:tc>
        <w:tc>
          <w:tcPr>
            <w:tcW w:w="1528" w:type="pct"/>
            <w:vAlign w:val="center"/>
          </w:tcPr>
          <w:p w14:paraId="40645A2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mOccG, middle occipital gyrus</w:t>
            </w:r>
          </w:p>
        </w:tc>
        <w:tc>
          <w:tcPr>
            <w:tcW w:w="457" w:type="pct"/>
            <w:vAlign w:val="center"/>
          </w:tcPr>
          <w:p w14:paraId="64E3221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-31, -89, 11 </w:t>
            </w:r>
          </w:p>
        </w:tc>
        <w:tc>
          <w:tcPr>
            <w:tcW w:w="467" w:type="pct"/>
            <w:vAlign w:val="center"/>
          </w:tcPr>
          <w:p w14:paraId="789EE43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34, -86, 11 </w:t>
            </w:r>
          </w:p>
        </w:tc>
      </w:tr>
      <w:tr w14:paraId="0C841BAA">
        <w:trPr>
          <w:trHeight w:val="360" w:hRule="atLeast"/>
        </w:trPr>
        <w:tc>
          <w:tcPr>
            <w:tcW w:w="455" w:type="pct"/>
            <w:vMerge w:val="continue"/>
            <w:vAlign w:val="center"/>
          </w:tcPr>
          <w:p w14:paraId="24120D48">
            <w:pPr>
              <w:jc w:val="center"/>
              <w:textAlignment w:val="center"/>
              <w:rPr>
                <w:rFonts w:ascii="Times New Roman" w:hAnsi="Times New Roman"/>
                <w:b/>
                <w:bCs/>
                <w:color w:val="000000"/>
                <w:sz w:val="22"/>
                <w:szCs w:val="22"/>
                <w:lang w:bidi="ar"/>
              </w:rPr>
            </w:pPr>
          </w:p>
        </w:tc>
        <w:tc>
          <w:tcPr>
            <w:tcW w:w="690" w:type="pct"/>
            <w:vMerge w:val="continue"/>
            <w:vAlign w:val="center"/>
          </w:tcPr>
          <w:p w14:paraId="63944D7C">
            <w:pPr>
              <w:jc w:val="center"/>
              <w:textAlignment w:val="center"/>
              <w:rPr>
                <w:rFonts w:ascii="Times New Roman" w:hAnsi="Times New Roman"/>
                <w:color w:val="000000"/>
                <w:sz w:val="22"/>
                <w:szCs w:val="22"/>
                <w:lang w:bidi="ar"/>
              </w:rPr>
            </w:pPr>
          </w:p>
        </w:tc>
        <w:tc>
          <w:tcPr>
            <w:tcW w:w="738" w:type="pct"/>
            <w:vAlign w:val="center"/>
          </w:tcPr>
          <w:p w14:paraId="4B6D861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LOcC _L(R)_4_2</w:t>
            </w:r>
          </w:p>
        </w:tc>
        <w:tc>
          <w:tcPr>
            <w:tcW w:w="335" w:type="pct"/>
            <w:vAlign w:val="center"/>
          </w:tcPr>
          <w:p w14:paraId="43BDAD0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201</w:t>
            </w:r>
          </w:p>
        </w:tc>
        <w:tc>
          <w:tcPr>
            <w:tcW w:w="330" w:type="pct"/>
            <w:vAlign w:val="center"/>
          </w:tcPr>
          <w:p w14:paraId="5EA3670A">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202</w:t>
            </w:r>
          </w:p>
        </w:tc>
        <w:tc>
          <w:tcPr>
            <w:tcW w:w="1528" w:type="pct"/>
            <w:vAlign w:val="center"/>
          </w:tcPr>
          <w:p w14:paraId="3DB4DCC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V5/MT+, area V5/MT+</w:t>
            </w:r>
          </w:p>
        </w:tc>
        <w:tc>
          <w:tcPr>
            <w:tcW w:w="457" w:type="pct"/>
            <w:vAlign w:val="center"/>
          </w:tcPr>
          <w:p w14:paraId="5E857DBA">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-46, -74, 3 </w:t>
            </w:r>
          </w:p>
        </w:tc>
        <w:tc>
          <w:tcPr>
            <w:tcW w:w="467" w:type="pct"/>
            <w:vAlign w:val="center"/>
          </w:tcPr>
          <w:p w14:paraId="4235297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48, -70, -1 </w:t>
            </w:r>
          </w:p>
        </w:tc>
      </w:tr>
      <w:tr w14:paraId="564AC17B">
        <w:trPr>
          <w:trHeight w:val="360" w:hRule="atLeast"/>
        </w:trPr>
        <w:tc>
          <w:tcPr>
            <w:tcW w:w="455" w:type="pct"/>
            <w:vMerge w:val="continue"/>
            <w:vAlign w:val="center"/>
          </w:tcPr>
          <w:p w14:paraId="4325F80A">
            <w:pPr>
              <w:jc w:val="center"/>
              <w:textAlignment w:val="center"/>
              <w:rPr>
                <w:rFonts w:ascii="Times New Roman" w:hAnsi="Times New Roman"/>
                <w:b/>
                <w:bCs/>
                <w:color w:val="000000"/>
                <w:sz w:val="22"/>
                <w:szCs w:val="22"/>
                <w:lang w:bidi="ar"/>
              </w:rPr>
            </w:pPr>
          </w:p>
        </w:tc>
        <w:tc>
          <w:tcPr>
            <w:tcW w:w="690" w:type="pct"/>
            <w:vMerge w:val="continue"/>
            <w:vAlign w:val="center"/>
          </w:tcPr>
          <w:p w14:paraId="22A962B7">
            <w:pPr>
              <w:jc w:val="center"/>
              <w:textAlignment w:val="center"/>
              <w:rPr>
                <w:rFonts w:ascii="Times New Roman" w:hAnsi="Times New Roman"/>
                <w:color w:val="000000"/>
                <w:sz w:val="22"/>
                <w:szCs w:val="22"/>
                <w:lang w:bidi="ar"/>
              </w:rPr>
            </w:pPr>
          </w:p>
        </w:tc>
        <w:tc>
          <w:tcPr>
            <w:tcW w:w="738" w:type="pct"/>
            <w:vAlign w:val="center"/>
          </w:tcPr>
          <w:p w14:paraId="573CBA1B">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LOcC _L(R)_4_3</w:t>
            </w:r>
          </w:p>
        </w:tc>
        <w:tc>
          <w:tcPr>
            <w:tcW w:w="335" w:type="pct"/>
            <w:vAlign w:val="center"/>
          </w:tcPr>
          <w:p w14:paraId="4FBC7D6B">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203</w:t>
            </w:r>
          </w:p>
        </w:tc>
        <w:tc>
          <w:tcPr>
            <w:tcW w:w="330" w:type="pct"/>
            <w:vAlign w:val="center"/>
          </w:tcPr>
          <w:p w14:paraId="0D24430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204</w:t>
            </w:r>
          </w:p>
        </w:tc>
        <w:tc>
          <w:tcPr>
            <w:tcW w:w="1528" w:type="pct"/>
            <w:vAlign w:val="center"/>
          </w:tcPr>
          <w:p w14:paraId="432BE5CA">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OPC, occipital polar cortex</w:t>
            </w:r>
          </w:p>
        </w:tc>
        <w:tc>
          <w:tcPr>
            <w:tcW w:w="457" w:type="pct"/>
            <w:vAlign w:val="center"/>
          </w:tcPr>
          <w:p w14:paraId="061B617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-18, -99, 2 </w:t>
            </w:r>
          </w:p>
        </w:tc>
        <w:tc>
          <w:tcPr>
            <w:tcW w:w="467" w:type="pct"/>
            <w:vAlign w:val="center"/>
          </w:tcPr>
          <w:p w14:paraId="63768EA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22, -97, 4 </w:t>
            </w:r>
          </w:p>
        </w:tc>
      </w:tr>
      <w:tr w14:paraId="0E59EF53">
        <w:trPr>
          <w:trHeight w:val="360" w:hRule="atLeast"/>
        </w:trPr>
        <w:tc>
          <w:tcPr>
            <w:tcW w:w="455" w:type="pct"/>
            <w:vMerge w:val="continue"/>
            <w:vAlign w:val="center"/>
          </w:tcPr>
          <w:p w14:paraId="0CED635A">
            <w:pPr>
              <w:jc w:val="center"/>
              <w:textAlignment w:val="center"/>
              <w:rPr>
                <w:rFonts w:ascii="Times New Roman" w:hAnsi="Times New Roman"/>
                <w:b/>
                <w:bCs/>
                <w:color w:val="000000"/>
                <w:sz w:val="22"/>
                <w:szCs w:val="22"/>
                <w:lang w:bidi="ar"/>
              </w:rPr>
            </w:pPr>
          </w:p>
        </w:tc>
        <w:tc>
          <w:tcPr>
            <w:tcW w:w="690" w:type="pct"/>
            <w:vMerge w:val="continue"/>
            <w:vAlign w:val="center"/>
          </w:tcPr>
          <w:p w14:paraId="0A093B1B">
            <w:pPr>
              <w:jc w:val="center"/>
              <w:textAlignment w:val="center"/>
              <w:rPr>
                <w:rFonts w:ascii="Times New Roman" w:hAnsi="Times New Roman"/>
                <w:color w:val="000000"/>
                <w:sz w:val="22"/>
                <w:szCs w:val="22"/>
                <w:lang w:bidi="ar"/>
              </w:rPr>
            </w:pPr>
          </w:p>
        </w:tc>
        <w:tc>
          <w:tcPr>
            <w:tcW w:w="738" w:type="pct"/>
            <w:vAlign w:val="center"/>
          </w:tcPr>
          <w:p w14:paraId="1F2D324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LOcC_L(R)_4_4</w:t>
            </w:r>
          </w:p>
        </w:tc>
        <w:tc>
          <w:tcPr>
            <w:tcW w:w="335" w:type="pct"/>
            <w:vAlign w:val="center"/>
          </w:tcPr>
          <w:p w14:paraId="23EDD15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205</w:t>
            </w:r>
          </w:p>
        </w:tc>
        <w:tc>
          <w:tcPr>
            <w:tcW w:w="330" w:type="pct"/>
            <w:vAlign w:val="center"/>
          </w:tcPr>
          <w:p w14:paraId="7584B56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206</w:t>
            </w:r>
          </w:p>
        </w:tc>
        <w:tc>
          <w:tcPr>
            <w:tcW w:w="1528" w:type="pct"/>
            <w:vAlign w:val="center"/>
          </w:tcPr>
          <w:p w14:paraId="7F2FC5C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iOccG, inferior occipital gyrus</w:t>
            </w:r>
          </w:p>
        </w:tc>
        <w:tc>
          <w:tcPr>
            <w:tcW w:w="457" w:type="pct"/>
            <w:vAlign w:val="center"/>
          </w:tcPr>
          <w:p w14:paraId="66C30DE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-30, -88, -12 </w:t>
            </w:r>
          </w:p>
        </w:tc>
        <w:tc>
          <w:tcPr>
            <w:tcW w:w="467" w:type="pct"/>
            <w:vAlign w:val="center"/>
          </w:tcPr>
          <w:p w14:paraId="63FA249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32, -85, -12 </w:t>
            </w:r>
          </w:p>
        </w:tc>
      </w:tr>
      <w:tr w14:paraId="4F00AA43">
        <w:trPr>
          <w:trHeight w:val="360" w:hRule="atLeast"/>
        </w:trPr>
        <w:tc>
          <w:tcPr>
            <w:tcW w:w="455" w:type="pct"/>
            <w:vMerge w:val="continue"/>
            <w:vAlign w:val="center"/>
          </w:tcPr>
          <w:p w14:paraId="2B3F076A">
            <w:pPr>
              <w:jc w:val="center"/>
              <w:textAlignment w:val="center"/>
              <w:rPr>
                <w:rFonts w:ascii="Times New Roman" w:hAnsi="Times New Roman"/>
                <w:b/>
                <w:bCs/>
                <w:color w:val="000000"/>
                <w:sz w:val="22"/>
                <w:szCs w:val="22"/>
                <w:lang w:bidi="ar"/>
              </w:rPr>
            </w:pPr>
          </w:p>
        </w:tc>
        <w:tc>
          <w:tcPr>
            <w:tcW w:w="690" w:type="pct"/>
            <w:vMerge w:val="continue"/>
            <w:vAlign w:val="center"/>
          </w:tcPr>
          <w:p w14:paraId="2C0C3331">
            <w:pPr>
              <w:jc w:val="center"/>
              <w:textAlignment w:val="center"/>
              <w:rPr>
                <w:rFonts w:ascii="Times New Roman" w:hAnsi="Times New Roman"/>
                <w:color w:val="000000"/>
                <w:sz w:val="22"/>
                <w:szCs w:val="22"/>
                <w:lang w:bidi="ar"/>
              </w:rPr>
            </w:pPr>
          </w:p>
        </w:tc>
        <w:tc>
          <w:tcPr>
            <w:tcW w:w="738" w:type="pct"/>
            <w:vAlign w:val="center"/>
          </w:tcPr>
          <w:p w14:paraId="6B14B5CA">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LOcC _L(R)_2_1</w:t>
            </w:r>
          </w:p>
        </w:tc>
        <w:tc>
          <w:tcPr>
            <w:tcW w:w="335" w:type="pct"/>
            <w:vAlign w:val="center"/>
          </w:tcPr>
          <w:p w14:paraId="148F022B">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207</w:t>
            </w:r>
          </w:p>
        </w:tc>
        <w:tc>
          <w:tcPr>
            <w:tcW w:w="330" w:type="pct"/>
            <w:vAlign w:val="center"/>
          </w:tcPr>
          <w:p w14:paraId="4D52E1CB">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208</w:t>
            </w:r>
          </w:p>
        </w:tc>
        <w:tc>
          <w:tcPr>
            <w:tcW w:w="1528" w:type="pct"/>
            <w:vAlign w:val="center"/>
          </w:tcPr>
          <w:p w14:paraId="7FAD0F18">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msOccG, medial superior occipital gyrus</w:t>
            </w:r>
          </w:p>
        </w:tc>
        <w:tc>
          <w:tcPr>
            <w:tcW w:w="457" w:type="pct"/>
            <w:vAlign w:val="center"/>
          </w:tcPr>
          <w:p w14:paraId="2D29109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-11, -88, 31 </w:t>
            </w:r>
          </w:p>
        </w:tc>
        <w:tc>
          <w:tcPr>
            <w:tcW w:w="467" w:type="pct"/>
            <w:vAlign w:val="center"/>
          </w:tcPr>
          <w:p w14:paraId="1B6D667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16, -85, 34 </w:t>
            </w:r>
          </w:p>
        </w:tc>
      </w:tr>
      <w:tr w14:paraId="7881DB22">
        <w:trPr>
          <w:trHeight w:val="360" w:hRule="atLeast"/>
        </w:trPr>
        <w:tc>
          <w:tcPr>
            <w:tcW w:w="455" w:type="pct"/>
            <w:vMerge w:val="continue"/>
            <w:vAlign w:val="center"/>
          </w:tcPr>
          <w:p w14:paraId="6790ADAB">
            <w:pPr>
              <w:jc w:val="center"/>
              <w:textAlignment w:val="center"/>
              <w:rPr>
                <w:rFonts w:ascii="Times New Roman" w:hAnsi="Times New Roman"/>
                <w:b/>
                <w:bCs/>
                <w:color w:val="000000"/>
                <w:sz w:val="22"/>
                <w:szCs w:val="22"/>
                <w:lang w:bidi="ar"/>
              </w:rPr>
            </w:pPr>
          </w:p>
        </w:tc>
        <w:tc>
          <w:tcPr>
            <w:tcW w:w="690" w:type="pct"/>
            <w:vMerge w:val="continue"/>
            <w:vAlign w:val="center"/>
          </w:tcPr>
          <w:p w14:paraId="34637774">
            <w:pPr>
              <w:jc w:val="center"/>
              <w:textAlignment w:val="center"/>
              <w:rPr>
                <w:rFonts w:ascii="Times New Roman" w:hAnsi="Times New Roman"/>
                <w:color w:val="000000"/>
                <w:sz w:val="22"/>
                <w:szCs w:val="22"/>
                <w:lang w:bidi="ar"/>
              </w:rPr>
            </w:pPr>
          </w:p>
        </w:tc>
        <w:tc>
          <w:tcPr>
            <w:tcW w:w="738" w:type="pct"/>
            <w:vAlign w:val="center"/>
          </w:tcPr>
          <w:p w14:paraId="66EA5A0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LOcC _L(R)_2_2</w:t>
            </w:r>
          </w:p>
        </w:tc>
        <w:tc>
          <w:tcPr>
            <w:tcW w:w="335" w:type="pct"/>
            <w:vAlign w:val="center"/>
          </w:tcPr>
          <w:p w14:paraId="478DBEC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209</w:t>
            </w:r>
          </w:p>
        </w:tc>
        <w:tc>
          <w:tcPr>
            <w:tcW w:w="330" w:type="pct"/>
            <w:vAlign w:val="center"/>
          </w:tcPr>
          <w:p w14:paraId="23DC9D2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210</w:t>
            </w:r>
          </w:p>
        </w:tc>
        <w:tc>
          <w:tcPr>
            <w:tcW w:w="1528" w:type="pct"/>
            <w:vAlign w:val="center"/>
          </w:tcPr>
          <w:p w14:paraId="6185B83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lsOccG, lateral superior occipital gyrus</w:t>
            </w:r>
          </w:p>
        </w:tc>
        <w:tc>
          <w:tcPr>
            <w:tcW w:w="457" w:type="pct"/>
            <w:vAlign w:val="center"/>
          </w:tcPr>
          <w:p w14:paraId="61F9B22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-22, -77, 36 </w:t>
            </w:r>
          </w:p>
        </w:tc>
        <w:tc>
          <w:tcPr>
            <w:tcW w:w="467" w:type="pct"/>
            <w:vAlign w:val="center"/>
          </w:tcPr>
          <w:p w14:paraId="43358D7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29, -75, 36 </w:t>
            </w:r>
          </w:p>
        </w:tc>
      </w:tr>
      <w:tr w14:paraId="08B15C08">
        <w:trPr>
          <w:trHeight w:val="360" w:hRule="atLeast"/>
        </w:trPr>
        <w:tc>
          <w:tcPr>
            <w:tcW w:w="455" w:type="pct"/>
            <w:vMerge w:val="restart"/>
            <w:vAlign w:val="center"/>
          </w:tcPr>
          <w:p w14:paraId="28C0A8AE">
            <w:pPr>
              <w:jc w:val="center"/>
              <w:textAlignment w:val="center"/>
              <w:rPr>
                <w:rFonts w:ascii="Times New Roman" w:hAnsi="Times New Roman"/>
                <w:b/>
                <w:bCs/>
                <w:color w:val="000000"/>
                <w:sz w:val="22"/>
                <w:szCs w:val="22"/>
                <w:lang w:bidi="ar"/>
              </w:rPr>
            </w:pPr>
            <w:bookmarkStart w:id="47" w:name="RANGE!F105"/>
            <w:bookmarkEnd w:id="47"/>
            <w:bookmarkStart w:id="48" w:name="RANGE!A107"/>
            <w:r>
              <w:rPr>
                <w:rFonts w:ascii="Times New Roman" w:hAnsi="Times New Roman"/>
                <w:b/>
                <w:bCs/>
                <w:color w:val="000000"/>
                <w:sz w:val="22"/>
                <w:szCs w:val="22"/>
                <w:lang w:bidi="ar"/>
              </w:rPr>
              <w:t>Subcortical Nuclei</w:t>
            </w:r>
            <w:bookmarkEnd w:id="48"/>
          </w:p>
        </w:tc>
        <w:tc>
          <w:tcPr>
            <w:tcW w:w="690" w:type="pct"/>
            <w:vMerge w:val="restart"/>
            <w:vAlign w:val="center"/>
          </w:tcPr>
          <w:p w14:paraId="0213E279">
            <w:pPr>
              <w:jc w:val="center"/>
              <w:textAlignment w:val="center"/>
              <w:rPr>
                <w:rFonts w:ascii="Times New Roman" w:hAnsi="Times New Roman"/>
                <w:color w:val="000000"/>
                <w:sz w:val="22"/>
                <w:szCs w:val="22"/>
                <w:lang w:bidi="ar"/>
              </w:rPr>
            </w:pPr>
            <w:bookmarkStart w:id="49" w:name="RANGE!B107"/>
            <w:r>
              <w:rPr>
                <w:rFonts w:ascii="Times New Roman" w:hAnsi="Times New Roman"/>
                <w:color w:val="000000"/>
                <w:sz w:val="22"/>
                <w:szCs w:val="22"/>
                <w:lang w:bidi="ar"/>
              </w:rPr>
              <w:t>Amyg, Amygdala</w:t>
            </w:r>
            <w:bookmarkEnd w:id="49"/>
          </w:p>
        </w:tc>
        <w:tc>
          <w:tcPr>
            <w:tcW w:w="738" w:type="pct"/>
            <w:vAlign w:val="center"/>
          </w:tcPr>
          <w:p w14:paraId="4FE3E57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Amyg_L(R)_2_1</w:t>
            </w:r>
          </w:p>
        </w:tc>
        <w:tc>
          <w:tcPr>
            <w:tcW w:w="335" w:type="pct"/>
            <w:vAlign w:val="center"/>
          </w:tcPr>
          <w:p w14:paraId="74E6F83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211</w:t>
            </w:r>
          </w:p>
        </w:tc>
        <w:tc>
          <w:tcPr>
            <w:tcW w:w="330" w:type="pct"/>
            <w:vAlign w:val="center"/>
          </w:tcPr>
          <w:p w14:paraId="5BCC919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212</w:t>
            </w:r>
          </w:p>
        </w:tc>
        <w:tc>
          <w:tcPr>
            <w:tcW w:w="1528" w:type="pct"/>
            <w:vAlign w:val="center"/>
          </w:tcPr>
          <w:p w14:paraId="51F96E2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mAmyg, medial amygdala</w:t>
            </w:r>
          </w:p>
        </w:tc>
        <w:tc>
          <w:tcPr>
            <w:tcW w:w="457" w:type="pct"/>
            <w:vAlign w:val="center"/>
          </w:tcPr>
          <w:p w14:paraId="6904698B">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-19, -2, -20 </w:t>
            </w:r>
          </w:p>
        </w:tc>
        <w:tc>
          <w:tcPr>
            <w:tcW w:w="467" w:type="pct"/>
            <w:vAlign w:val="center"/>
          </w:tcPr>
          <w:p w14:paraId="6951F85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19, -2, -19 </w:t>
            </w:r>
          </w:p>
        </w:tc>
      </w:tr>
      <w:tr w14:paraId="54F35C25">
        <w:trPr>
          <w:trHeight w:val="360" w:hRule="atLeast"/>
        </w:trPr>
        <w:tc>
          <w:tcPr>
            <w:tcW w:w="455" w:type="pct"/>
            <w:vMerge w:val="continue"/>
            <w:vAlign w:val="center"/>
          </w:tcPr>
          <w:p w14:paraId="17244F63">
            <w:pPr>
              <w:rPr>
                <w:rFonts w:ascii="Times New Roman" w:hAnsi="Times New Roman"/>
                <w:b/>
                <w:bCs/>
                <w:color w:val="000000"/>
                <w:sz w:val="22"/>
                <w:szCs w:val="22"/>
              </w:rPr>
            </w:pPr>
          </w:p>
        </w:tc>
        <w:tc>
          <w:tcPr>
            <w:tcW w:w="690" w:type="pct"/>
            <w:vMerge w:val="continue"/>
            <w:vAlign w:val="center"/>
          </w:tcPr>
          <w:p w14:paraId="67065072">
            <w:pPr>
              <w:jc w:val="center"/>
              <w:textAlignment w:val="center"/>
              <w:rPr>
                <w:rFonts w:ascii="Times New Roman" w:hAnsi="Times New Roman"/>
                <w:color w:val="000000"/>
                <w:sz w:val="22"/>
                <w:szCs w:val="22"/>
                <w:lang w:bidi="ar"/>
              </w:rPr>
            </w:pPr>
          </w:p>
        </w:tc>
        <w:tc>
          <w:tcPr>
            <w:tcW w:w="738" w:type="pct"/>
            <w:vAlign w:val="center"/>
          </w:tcPr>
          <w:p w14:paraId="78490A3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Amyg_L(R)_2_2</w:t>
            </w:r>
          </w:p>
        </w:tc>
        <w:tc>
          <w:tcPr>
            <w:tcW w:w="335" w:type="pct"/>
            <w:vAlign w:val="center"/>
          </w:tcPr>
          <w:p w14:paraId="2518DF68">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213</w:t>
            </w:r>
          </w:p>
        </w:tc>
        <w:tc>
          <w:tcPr>
            <w:tcW w:w="330" w:type="pct"/>
            <w:vAlign w:val="center"/>
          </w:tcPr>
          <w:p w14:paraId="463F57F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214</w:t>
            </w:r>
          </w:p>
        </w:tc>
        <w:tc>
          <w:tcPr>
            <w:tcW w:w="1528" w:type="pct"/>
            <w:vAlign w:val="center"/>
          </w:tcPr>
          <w:p w14:paraId="071DBD7A">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lAmyg, lateral amygdala</w:t>
            </w:r>
          </w:p>
        </w:tc>
        <w:tc>
          <w:tcPr>
            <w:tcW w:w="457" w:type="pct"/>
            <w:vAlign w:val="center"/>
          </w:tcPr>
          <w:p w14:paraId="1AFAADA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-27, -4, -20 </w:t>
            </w:r>
          </w:p>
        </w:tc>
        <w:tc>
          <w:tcPr>
            <w:tcW w:w="467" w:type="pct"/>
            <w:vAlign w:val="center"/>
          </w:tcPr>
          <w:p w14:paraId="1DE4288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28, -3, -20 </w:t>
            </w:r>
          </w:p>
        </w:tc>
      </w:tr>
      <w:tr w14:paraId="019C0447">
        <w:trPr>
          <w:trHeight w:val="360" w:hRule="atLeast"/>
        </w:trPr>
        <w:tc>
          <w:tcPr>
            <w:tcW w:w="455" w:type="pct"/>
            <w:vMerge w:val="continue"/>
            <w:vAlign w:val="center"/>
          </w:tcPr>
          <w:p w14:paraId="1722CB84">
            <w:pPr>
              <w:rPr>
                <w:rFonts w:ascii="Times New Roman" w:hAnsi="Times New Roman"/>
                <w:b/>
                <w:bCs/>
                <w:color w:val="000000"/>
                <w:sz w:val="22"/>
                <w:szCs w:val="22"/>
              </w:rPr>
            </w:pPr>
          </w:p>
        </w:tc>
        <w:tc>
          <w:tcPr>
            <w:tcW w:w="690" w:type="pct"/>
            <w:vMerge w:val="restart"/>
            <w:vAlign w:val="center"/>
          </w:tcPr>
          <w:p w14:paraId="2CE632CA">
            <w:pPr>
              <w:jc w:val="center"/>
              <w:textAlignment w:val="center"/>
              <w:rPr>
                <w:rFonts w:ascii="Times New Roman" w:hAnsi="Times New Roman"/>
                <w:color w:val="000000"/>
                <w:sz w:val="22"/>
                <w:szCs w:val="22"/>
                <w:lang w:bidi="ar"/>
              </w:rPr>
            </w:pPr>
            <w:bookmarkStart w:id="50" w:name="RANGE!F107"/>
            <w:bookmarkEnd w:id="50"/>
            <w:bookmarkStart w:id="51" w:name="RANGE!B109"/>
            <w:r>
              <w:rPr>
                <w:rFonts w:ascii="Times New Roman" w:hAnsi="Times New Roman"/>
                <w:color w:val="000000"/>
                <w:sz w:val="22"/>
                <w:szCs w:val="22"/>
                <w:lang w:bidi="ar"/>
              </w:rPr>
              <w:t>Hipp, Hippocampus</w:t>
            </w:r>
            <w:bookmarkEnd w:id="51"/>
          </w:p>
        </w:tc>
        <w:tc>
          <w:tcPr>
            <w:tcW w:w="738" w:type="pct"/>
            <w:vAlign w:val="center"/>
          </w:tcPr>
          <w:p w14:paraId="16372CD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Hipp_L(R)_2_1</w:t>
            </w:r>
          </w:p>
        </w:tc>
        <w:tc>
          <w:tcPr>
            <w:tcW w:w="335" w:type="pct"/>
            <w:vAlign w:val="center"/>
          </w:tcPr>
          <w:p w14:paraId="5DBF726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215</w:t>
            </w:r>
          </w:p>
        </w:tc>
        <w:tc>
          <w:tcPr>
            <w:tcW w:w="330" w:type="pct"/>
            <w:vAlign w:val="center"/>
          </w:tcPr>
          <w:p w14:paraId="14945B1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216</w:t>
            </w:r>
          </w:p>
        </w:tc>
        <w:tc>
          <w:tcPr>
            <w:tcW w:w="1528" w:type="pct"/>
            <w:vAlign w:val="center"/>
          </w:tcPr>
          <w:p w14:paraId="1A7674D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rHipp, rostral hippocampus</w:t>
            </w:r>
          </w:p>
        </w:tc>
        <w:tc>
          <w:tcPr>
            <w:tcW w:w="457" w:type="pct"/>
            <w:vAlign w:val="center"/>
          </w:tcPr>
          <w:p w14:paraId="4D6E2C6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-22, -14, -19 </w:t>
            </w:r>
          </w:p>
        </w:tc>
        <w:tc>
          <w:tcPr>
            <w:tcW w:w="467" w:type="pct"/>
            <w:vAlign w:val="center"/>
          </w:tcPr>
          <w:p w14:paraId="16A98D3C">
            <w:pPr>
              <w:jc w:val="center"/>
              <w:textAlignment w:val="center"/>
              <w:rPr>
                <w:rFonts w:ascii="Times New Roman" w:hAnsi="Times New Roman"/>
                <w:color w:val="000000"/>
                <w:sz w:val="22"/>
                <w:szCs w:val="22"/>
                <w:lang w:bidi="ar"/>
              </w:rPr>
            </w:pPr>
            <w:bookmarkStart w:id="52" w:name="RANGE!I109"/>
            <w:r>
              <w:rPr>
                <w:rFonts w:ascii="Times New Roman" w:hAnsi="Times New Roman"/>
                <w:color w:val="000000"/>
                <w:sz w:val="22"/>
                <w:szCs w:val="22"/>
                <w:lang w:bidi="ar"/>
              </w:rPr>
              <w:t xml:space="preserve">22, -12, -20 </w:t>
            </w:r>
            <w:bookmarkEnd w:id="52"/>
          </w:p>
        </w:tc>
      </w:tr>
      <w:tr w14:paraId="10304975">
        <w:trPr>
          <w:trHeight w:val="360" w:hRule="atLeast"/>
        </w:trPr>
        <w:tc>
          <w:tcPr>
            <w:tcW w:w="455" w:type="pct"/>
            <w:vMerge w:val="continue"/>
            <w:vAlign w:val="center"/>
          </w:tcPr>
          <w:p w14:paraId="595CC439">
            <w:pPr>
              <w:rPr>
                <w:rFonts w:ascii="Times New Roman" w:hAnsi="Times New Roman"/>
                <w:b/>
                <w:bCs/>
                <w:color w:val="000000"/>
                <w:sz w:val="22"/>
                <w:szCs w:val="22"/>
              </w:rPr>
            </w:pPr>
          </w:p>
        </w:tc>
        <w:tc>
          <w:tcPr>
            <w:tcW w:w="690" w:type="pct"/>
            <w:vMerge w:val="continue"/>
            <w:vAlign w:val="center"/>
          </w:tcPr>
          <w:p w14:paraId="56E0B3E5">
            <w:pPr>
              <w:jc w:val="center"/>
              <w:textAlignment w:val="center"/>
              <w:rPr>
                <w:rFonts w:ascii="Times New Roman" w:hAnsi="Times New Roman"/>
                <w:color w:val="000000"/>
                <w:sz w:val="22"/>
                <w:szCs w:val="22"/>
                <w:lang w:bidi="ar"/>
              </w:rPr>
            </w:pPr>
          </w:p>
        </w:tc>
        <w:tc>
          <w:tcPr>
            <w:tcW w:w="738" w:type="pct"/>
            <w:vAlign w:val="center"/>
          </w:tcPr>
          <w:p w14:paraId="056240C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Hipp_L(R)_2_2</w:t>
            </w:r>
          </w:p>
        </w:tc>
        <w:tc>
          <w:tcPr>
            <w:tcW w:w="335" w:type="pct"/>
            <w:vAlign w:val="center"/>
          </w:tcPr>
          <w:p w14:paraId="255C751A">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217</w:t>
            </w:r>
          </w:p>
        </w:tc>
        <w:tc>
          <w:tcPr>
            <w:tcW w:w="330" w:type="pct"/>
            <w:vAlign w:val="center"/>
          </w:tcPr>
          <w:p w14:paraId="6705399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218</w:t>
            </w:r>
          </w:p>
        </w:tc>
        <w:tc>
          <w:tcPr>
            <w:tcW w:w="1528" w:type="pct"/>
            <w:vAlign w:val="center"/>
          </w:tcPr>
          <w:p w14:paraId="4E802DB3">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cHipp, caudal hippocampus</w:t>
            </w:r>
          </w:p>
        </w:tc>
        <w:tc>
          <w:tcPr>
            <w:tcW w:w="457" w:type="pct"/>
            <w:vAlign w:val="center"/>
          </w:tcPr>
          <w:p w14:paraId="26661AE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-28, -30, -10 </w:t>
            </w:r>
          </w:p>
        </w:tc>
        <w:tc>
          <w:tcPr>
            <w:tcW w:w="467" w:type="pct"/>
            <w:vAlign w:val="center"/>
          </w:tcPr>
          <w:p w14:paraId="3623A2FB">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29, -27, -10 </w:t>
            </w:r>
          </w:p>
        </w:tc>
      </w:tr>
      <w:tr w14:paraId="35DBC8BD">
        <w:trPr>
          <w:trHeight w:val="360" w:hRule="atLeast"/>
        </w:trPr>
        <w:tc>
          <w:tcPr>
            <w:tcW w:w="455" w:type="pct"/>
            <w:vMerge w:val="continue"/>
            <w:vAlign w:val="center"/>
          </w:tcPr>
          <w:p w14:paraId="277ED1EA">
            <w:pPr>
              <w:rPr>
                <w:rFonts w:ascii="Times New Roman" w:hAnsi="Times New Roman"/>
                <w:b/>
                <w:bCs/>
                <w:color w:val="000000"/>
                <w:sz w:val="22"/>
                <w:szCs w:val="22"/>
              </w:rPr>
            </w:pPr>
          </w:p>
        </w:tc>
        <w:tc>
          <w:tcPr>
            <w:tcW w:w="690" w:type="pct"/>
            <w:vMerge w:val="restart"/>
            <w:vAlign w:val="center"/>
          </w:tcPr>
          <w:p w14:paraId="4747D1A1">
            <w:pPr>
              <w:jc w:val="center"/>
              <w:textAlignment w:val="center"/>
              <w:rPr>
                <w:rFonts w:ascii="Times New Roman" w:hAnsi="Times New Roman"/>
                <w:color w:val="000000"/>
                <w:sz w:val="22"/>
                <w:szCs w:val="22"/>
                <w:lang w:bidi="ar"/>
              </w:rPr>
            </w:pPr>
            <w:bookmarkStart w:id="53" w:name="RANGE!B111"/>
            <w:r>
              <w:rPr>
                <w:rFonts w:ascii="Times New Roman" w:hAnsi="Times New Roman"/>
                <w:color w:val="000000"/>
                <w:sz w:val="22"/>
                <w:szCs w:val="22"/>
                <w:lang w:bidi="ar"/>
              </w:rPr>
              <w:t>BG, Basal Ganglia</w:t>
            </w:r>
            <w:bookmarkEnd w:id="53"/>
          </w:p>
        </w:tc>
        <w:tc>
          <w:tcPr>
            <w:tcW w:w="738" w:type="pct"/>
            <w:vAlign w:val="center"/>
          </w:tcPr>
          <w:p w14:paraId="2941DC3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BG_L(R)_6_1</w:t>
            </w:r>
          </w:p>
        </w:tc>
        <w:tc>
          <w:tcPr>
            <w:tcW w:w="335" w:type="pct"/>
            <w:vAlign w:val="center"/>
          </w:tcPr>
          <w:p w14:paraId="5EAAE653">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219</w:t>
            </w:r>
          </w:p>
        </w:tc>
        <w:tc>
          <w:tcPr>
            <w:tcW w:w="330" w:type="pct"/>
            <w:vAlign w:val="center"/>
          </w:tcPr>
          <w:p w14:paraId="5D52FA0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220</w:t>
            </w:r>
          </w:p>
        </w:tc>
        <w:tc>
          <w:tcPr>
            <w:tcW w:w="1528" w:type="pct"/>
            <w:vAlign w:val="center"/>
          </w:tcPr>
          <w:p w14:paraId="534E023B">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vCa, ventral caudate</w:t>
            </w:r>
          </w:p>
        </w:tc>
        <w:tc>
          <w:tcPr>
            <w:tcW w:w="457" w:type="pct"/>
            <w:vAlign w:val="center"/>
          </w:tcPr>
          <w:p w14:paraId="72B873A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-12, 14, 0 </w:t>
            </w:r>
          </w:p>
        </w:tc>
        <w:tc>
          <w:tcPr>
            <w:tcW w:w="467" w:type="pct"/>
            <w:vAlign w:val="center"/>
          </w:tcPr>
          <w:p w14:paraId="293A1F9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15, 14, -2 </w:t>
            </w:r>
          </w:p>
        </w:tc>
      </w:tr>
      <w:tr w14:paraId="0EFDBCD9">
        <w:trPr>
          <w:trHeight w:val="360" w:hRule="atLeast"/>
        </w:trPr>
        <w:tc>
          <w:tcPr>
            <w:tcW w:w="455" w:type="pct"/>
            <w:vMerge w:val="continue"/>
            <w:vAlign w:val="center"/>
          </w:tcPr>
          <w:p w14:paraId="4BB0DA6B">
            <w:pPr>
              <w:rPr>
                <w:rFonts w:ascii="Times New Roman" w:hAnsi="Times New Roman"/>
                <w:b/>
                <w:bCs/>
                <w:color w:val="000000"/>
                <w:sz w:val="22"/>
                <w:szCs w:val="22"/>
              </w:rPr>
            </w:pPr>
          </w:p>
        </w:tc>
        <w:tc>
          <w:tcPr>
            <w:tcW w:w="690" w:type="pct"/>
            <w:vMerge w:val="continue"/>
            <w:vAlign w:val="center"/>
          </w:tcPr>
          <w:p w14:paraId="5AB819F4">
            <w:pPr>
              <w:jc w:val="center"/>
              <w:textAlignment w:val="center"/>
              <w:rPr>
                <w:rFonts w:ascii="Times New Roman" w:hAnsi="Times New Roman"/>
                <w:color w:val="000000"/>
                <w:sz w:val="22"/>
                <w:szCs w:val="22"/>
                <w:lang w:bidi="ar"/>
              </w:rPr>
            </w:pPr>
          </w:p>
        </w:tc>
        <w:tc>
          <w:tcPr>
            <w:tcW w:w="738" w:type="pct"/>
            <w:vAlign w:val="center"/>
          </w:tcPr>
          <w:p w14:paraId="63C892B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BG_L(R)_6_2</w:t>
            </w:r>
          </w:p>
        </w:tc>
        <w:tc>
          <w:tcPr>
            <w:tcW w:w="335" w:type="pct"/>
            <w:vAlign w:val="center"/>
          </w:tcPr>
          <w:p w14:paraId="20B2221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221</w:t>
            </w:r>
          </w:p>
        </w:tc>
        <w:tc>
          <w:tcPr>
            <w:tcW w:w="330" w:type="pct"/>
            <w:vAlign w:val="center"/>
          </w:tcPr>
          <w:p w14:paraId="6CD3C15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222</w:t>
            </w:r>
          </w:p>
        </w:tc>
        <w:tc>
          <w:tcPr>
            <w:tcW w:w="1528" w:type="pct"/>
            <w:vAlign w:val="center"/>
          </w:tcPr>
          <w:p w14:paraId="12AD551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GP, globus pallidus</w:t>
            </w:r>
          </w:p>
        </w:tc>
        <w:tc>
          <w:tcPr>
            <w:tcW w:w="457" w:type="pct"/>
            <w:vAlign w:val="center"/>
          </w:tcPr>
          <w:p w14:paraId="1EA7150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-22, -2, 4 </w:t>
            </w:r>
          </w:p>
        </w:tc>
        <w:tc>
          <w:tcPr>
            <w:tcW w:w="467" w:type="pct"/>
            <w:vAlign w:val="center"/>
          </w:tcPr>
          <w:p w14:paraId="0ADE58B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22, -2, 3 </w:t>
            </w:r>
          </w:p>
        </w:tc>
      </w:tr>
      <w:tr w14:paraId="04EBA71A">
        <w:trPr>
          <w:trHeight w:val="360" w:hRule="atLeast"/>
        </w:trPr>
        <w:tc>
          <w:tcPr>
            <w:tcW w:w="455" w:type="pct"/>
            <w:vMerge w:val="continue"/>
            <w:vAlign w:val="center"/>
          </w:tcPr>
          <w:p w14:paraId="374280F0">
            <w:pPr>
              <w:rPr>
                <w:rFonts w:ascii="Times New Roman" w:hAnsi="Times New Roman"/>
                <w:b/>
                <w:bCs/>
                <w:color w:val="000000"/>
                <w:sz w:val="22"/>
                <w:szCs w:val="22"/>
              </w:rPr>
            </w:pPr>
          </w:p>
        </w:tc>
        <w:tc>
          <w:tcPr>
            <w:tcW w:w="690" w:type="pct"/>
            <w:vMerge w:val="continue"/>
            <w:vAlign w:val="center"/>
          </w:tcPr>
          <w:p w14:paraId="0D594232">
            <w:pPr>
              <w:jc w:val="center"/>
              <w:textAlignment w:val="center"/>
              <w:rPr>
                <w:rFonts w:ascii="Times New Roman" w:hAnsi="Times New Roman"/>
                <w:color w:val="000000"/>
                <w:sz w:val="22"/>
                <w:szCs w:val="22"/>
                <w:lang w:bidi="ar"/>
              </w:rPr>
            </w:pPr>
          </w:p>
        </w:tc>
        <w:tc>
          <w:tcPr>
            <w:tcW w:w="738" w:type="pct"/>
            <w:vAlign w:val="center"/>
          </w:tcPr>
          <w:p w14:paraId="344D24D3">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BG_L(R)_6_3</w:t>
            </w:r>
          </w:p>
        </w:tc>
        <w:tc>
          <w:tcPr>
            <w:tcW w:w="335" w:type="pct"/>
            <w:vAlign w:val="center"/>
          </w:tcPr>
          <w:p w14:paraId="0E8A700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223</w:t>
            </w:r>
          </w:p>
        </w:tc>
        <w:tc>
          <w:tcPr>
            <w:tcW w:w="330" w:type="pct"/>
            <w:vAlign w:val="center"/>
          </w:tcPr>
          <w:p w14:paraId="6FF8409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224</w:t>
            </w:r>
          </w:p>
        </w:tc>
        <w:tc>
          <w:tcPr>
            <w:tcW w:w="1528" w:type="pct"/>
            <w:vAlign w:val="center"/>
          </w:tcPr>
          <w:p w14:paraId="21D2B35B">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NAC, nucleus accumbens</w:t>
            </w:r>
          </w:p>
        </w:tc>
        <w:tc>
          <w:tcPr>
            <w:tcW w:w="457" w:type="pct"/>
            <w:vAlign w:val="center"/>
          </w:tcPr>
          <w:p w14:paraId="2B375D1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-17, 3, -9 </w:t>
            </w:r>
          </w:p>
        </w:tc>
        <w:tc>
          <w:tcPr>
            <w:tcW w:w="467" w:type="pct"/>
            <w:vAlign w:val="center"/>
          </w:tcPr>
          <w:p w14:paraId="05FAE33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15, 8, -9 </w:t>
            </w:r>
          </w:p>
        </w:tc>
      </w:tr>
      <w:tr w14:paraId="44EAF523">
        <w:trPr>
          <w:trHeight w:val="360" w:hRule="atLeast"/>
        </w:trPr>
        <w:tc>
          <w:tcPr>
            <w:tcW w:w="455" w:type="pct"/>
            <w:vMerge w:val="continue"/>
            <w:vAlign w:val="center"/>
          </w:tcPr>
          <w:p w14:paraId="5F76360F">
            <w:pPr>
              <w:rPr>
                <w:rFonts w:ascii="Times New Roman" w:hAnsi="Times New Roman"/>
                <w:b/>
                <w:bCs/>
                <w:color w:val="000000"/>
                <w:sz w:val="22"/>
                <w:szCs w:val="22"/>
              </w:rPr>
            </w:pPr>
          </w:p>
        </w:tc>
        <w:tc>
          <w:tcPr>
            <w:tcW w:w="690" w:type="pct"/>
            <w:vMerge w:val="continue"/>
            <w:vAlign w:val="center"/>
          </w:tcPr>
          <w:p w14:paraId="5504BE55">
            <w:pPr>
              <w:jc w:val="center"/>
              <w:textAlignment w:val="center"/>
              <w:rPr>
                <w:rFonts w:ascii="Times New Roman" w:hAnsi="Times New Roman"/>
                <w:color w:val="000000"/>
                <w:sz w:val="22"/>
                <w:szCs w:val="22"/>
                <w:lang w:bidi="ar"/>
              </w:rPr>
            </w:pPr>
          </w:p>
        </w:tc>
        <w:tc>
          <w:tcPr>
            <w:tcW w:w="738" w:type="pct"/>
            <w:vAlign w:val="center"/>
          </w:tcPr>
          <w:p w14:paraId="3206976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BG_L(R)_6_4</w:t>
            </w:r>
          </w:p>
        </w:tc>
        <w:tc>
          <w:tcPr>
            <w:tcW w:w="335" w:type="pct"/>
            <w:vAlign w:val="center"/>
          </w:tcPr>
          <w:p w14:paraId="41EAF9B3">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225</w:t>
            </w:r>
          </w:p>
        </w:tc>
        <w:tc>
          <w:tcPr>
            <w:tcW w:w="330" w:type="pct"/>
            <w:vAlign w:val="center"/>
          </w:tcPr>
          <w:p w14:paraId="6E7A131A">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226</w:t>
            </w:r>
          </w:p>
        </w:tc>
        <w:tc>
          <w:tcPr>
            <w:tcW w:w="1528" w:type="pct"/>
            <w:vAlign w:val="center"/>
          </w:tcPr>
          <w:p w14:paraId="5C3BCCC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vmPu, ventromedial putamen</w:t>
            </w:r>
          </w:p>
        </w:tc>
        <w:tc>
          <w:tcPr>
            <w:tcW w:w="457" w:type="pct"/>
            <w:vAlign w:val="center"/>
          </w:tcPr>
          <w:p w14:paraId="7D2C8DCA">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-23, 7, -4 </w:t>
            </w:r>
          </w:p>
        </w:tc>
        <w:tc>
          <w:tcPr>
            <w:tcW w:w="467" w:type="pct"/>
            <w:vAlign w:val="center"/>
          </w:tcPr>
          <w:p w14:paraId="31487CD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22, 8, -1 </w:t>
            </w:r>
          </w:p>
        </w:tc>
      </w:tr>
      <w:tr w14:paraId="78C59441">
        <w:trPr>
          <w:trHeight w:val="360" w:hRule="atLeast"/>
        </w:trPr>
        <w:tc>
          <w:tcPr>
            <w:tcW w:w="455" w:type="pct"/>
            <w:vMerge w:val="continue"/>
            <w:vAlign w:val="center"/>
          </w:tcPr>
          <w:p w14:paraId="04CB2B2A">
            <w:pPr>
              <w:rPr>
                <w:rFonts w:ascii="Times New Roman" w:hAnsi="Times New Roman"/>
                <w:b/>
                <w:bCs/>
                <w:color w:val="000000"/>
                <w:sz w:val="22"/>
                <w:szCs w:val="22"/>
              </w:rPr>
            </w:pPr>
          </w:p>
        </w:tc>
        <w:tc>
          <w:tcPr>
            <w:tcW w:w="690" w:type="pct"/>
            <w:vMerge w:val="continue"/>
            <w:vAlign w:val="center"/>
          </w:tcPr>
          <w:p w14:paraId="0143AFDF">
            <w:pPr>
              <w:jc w:val="center"/>
              <w:textAlignment w:val="center"/>
              <w:rPr>
                <w:rFonts w:ascii="Times New Roman" w:hAnsi="Times New Roman"/>
                <w:color w:val="000000"/>
                <w:sz w:val="22"/>
                <w:szCs w:val="22"/>
                <w:lang w:bidi="ar"/>
              </w:rPr>
            </w:pPr>
          </w:p>
        </w:tc>
        <w:tc>
          <w:tcPr>
            <w:tcW w:w="738" w:type="pct"/>
            <w:vAlign w:val="center"/>
          </w:tcPr>
          <w:p w14:paraId="1CBEA7A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BG_L(R)_6_5</w:t>
            </w:r>
          </w:p>
        </w:tc>
        <w:tc>
          <w:tcPr>
            <w:tcW w:w="335" w:type="pct"/>
            <w:vAlign w:val="center"/>
          </w:tcPr>
          <w:p w14:paraId="59334B0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227</w:t>
            </w:r>
          </w:p>
        </w:tc>
        <w:tc>
          <w:tcPr>
            <w:tcW w:w="330" w:type="pct"/>
            <w:vAlign w:val="center"/>
          </w:tcPr>
          <w:p w14:paraId="1FD20CD8">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228</w:t>
            </w:r>
          </w:p>
        </w:tc>
        <w:tc>
          <w:tcPr>
            <w:tcW w:w="1528" w:type="pct"/>
            <w:vAlign w:val="center"/>
          </w:tcPr>
          <w:p w14:paraId="58438C9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dCa, dorsal caudate</w:t>
            </w:r>
          </w:p>
        </w:tc>
        <w:tc>
          <w:tcPr>
            <w:tcW w:w="457" w:type="pct"/>
            <w:vAlign w:val="center"/>
          </w:tcPr>
          <w:p w14:paraId="327559B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-14, 2, 16 </w:t>
            </w:r>
          </w:p>
        </w:tc>
        <w:tc>
          <w:tcPr>
            <w:tcW w:w="467" w:type="pct"/>
            <w:vAlign w:val="center"/>
          </w:tcPr>
          <w:p w14:paraId="5AFEB729">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14, 5, 14 </w:t>
            </w:r>
          </w:p>
        </w:tc>
      </w:tr>
      <w:tr w14:paraId="71A3ABA7">
        <w:trPr>
          <w:trHeight w:val="360" w:hRule="atLeast"/>
        </w:trPr>
        <w:tc>
          <w:tcPr>
            <w:tcW w:w="455" w:type="pct"/>
            <w:vMerge w:val="continue"/>
            <w:vAlign w:val="center"/>
          </w:tcPr>
          <w:p w14:paraId="4ED58530">
            <w:pPr>
              <w:rPr>
                <w:rFonts w:ascii="Times New Roman" w:hAnsi="Times New Roman"/>
                <w:b/>
                <w:bCs/>
                <w:color w:val="000000"/>
                <w:sz w:val="22"/>
                <w:szCs w:val="22"/>
              </w:rPr>
            </w:pPr>
          </w:p>
        </w:tc>
        <w:tc>
          <w:tcPr>
            <w:tcW w:w="690" w:type="pct"/>
            <w:vMerge w:val="continue"/>
            <w:vAlign w:val="center"/>
          </w:tcPr>
          <w:p w14:paraId="70635AC6">
            <w:pPr>
              <w:jc w:val="center"/>
              <w:textAlignment w:val="center"/>
              <w:rPr>
                <w:rFonts w:ascii="Times New Roman" w:hAnsi="Times New Roman"/>
                <w:color w:val="000000"/>
                <w:sz w:val="22"/>
                <w:szCs w:val="22"/>
                <w:lang w:bidi="ar"/>
              </w:rPr>
            </w:pPr>
          </w:p>
        </w:tc>
        <w:tc>
          <w:tcPr>
            <w:tcW w:w="738" w:type="pct"/>
            <w:vAlign w:val="center"/>
          </w:tcPr>
          <w:p w14:paraId="2E9E640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BG_L(R)_6_6</w:t>
            </w:r>
          </w:p>
        </w:tc>
        <w:tc>
          <w:tcPr>
            <w:tcW w:w="335" w:type="pct"/>
            <w:vAlign w:val="center"/>
          </w:tcPr>
          <w:p w14:paraId="0D7125F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229</w:t>
            </w:r>
          </w:p>
        </w:tc>
        <w:tc>
          <w:tcPr>
            <w:tcW w:w="330" w:type="pct"/>
            <w:vAlign w:val="center"/>
          </w:tcPr>
          <w:p w14:paraId="48C9FCA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230</w:t>
            </w:r>
          </w:p>
        </w:tc>
        <w:tc>
          <w:tcPr>
            <w:tcW w:w="1528" w:type="pct"/>
            <w:vAlign w:val="center"/>
          </w:tcPr>
          <w:p w14:paraId="07EF361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dlPu, dorsolateral putamen</w:t>
            </w:r>
          </w:p>
        </w:tc>
        <w:tc>
          <w:tcPr>
            <w:tcW w:w="457" w:type="pct"/>
            <w:vAlign w:val="center"/>
          </w:tcPr>
          <w:p w14:paraId="7EF9ED0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-28, -5, 2 </w:t>
            </w:r>
          </w:p>
        </w:tc>
        <w:tc>
          <w:tcPr>
            <w:tcW w:w="467" w:type="pct"/>
            <w:vAlign w:val="center"/>
          </w:tcPr>
          <w:p w14:paraId="550666D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29, -3, 1 </w:t>
            </w:r>
          </w:p>
        </w:tc>
      </w:tr>
      <w:tr w14:paraId="0D5B0D2B">
        <w:trPr>
          <w:trHeight w:val="360" w:hRule="atLeast"/>
        </w:trPr>
        <w:tc>
          <w:tcPr>
            <w:tcW w:w="455" w:type="pct"/>
            <w:vMerge w:val="continue"/>
            <w:vAlign w:val="center"/>
          </w:tcPr>
          <w:p w14:paraId="2EFD214D">
            <w:pPr>
              <w:rPr>
                <w:rFonts w:ascii="Times New Roman" w:hAnsi="Times New Roman"/>
                <w:b/>
                <w:bCs/>
                <w:color w:val="000000"/>
                <w:sz w:val="22"/>
                <w:szCs w:val="22"/>
              </w:rPr>
            </w:pPr>
          </w:p>
        </w:tc>
        <w:tc>
          <w:tcPr>
            <w:tcW w:w="690" w:type="pct"/>
            <w:vMerge w:val="restart"/>
            <w:vAlign w:val="center"/>
          </w:tcPr>
          <w:p w14:paraId="3FF355B9">
            <w:pPr>
              <w:jc w:val="center"/>
              <w:textAlignment w:val="center"/>
              <w:rPr>
                <w:rFonts w:ascii="Times New Roman" w:hAnsi="Times New Roman"/>
                <w:color w:val="000000"/>
                <w:sz w:val="22"/>
                <w:szCs w:val="22"/>
                <w:lang w:bidi="ar"/>
              </w:rPr>
            </w:pPr>
            <w:bookmarkStart w:id="54" w:name="RANGE!B117"/>
            <w:r>
              <w:rPr>
                <w:rFonts w:ascii="Times New Roman" w:hAnsi="Times New Roman"/>
                <w:color w:val="000000"/>
                <w:sz w:val="22"/>
                <w:szCs w:val="22"/>
                <w:lang w:bidi="ar"/>
              </w:rPr>
              <w:t>Tha, Thalamus</w:t>
            </w:r>
            <w:bookmarkEnd w:id="54"/>
          </w:p>
        </w:tc>
        <w:tc>
          <w:tcPr>
            <w:tcW w:w="738" w:type="pct"/>
            <w:vAlign w:val="center"/>
          </w:tcPr>
          <w:p w14:paraId="752C705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Tha_L(R)_8_1</w:t>
            </w:r>
          </w:p>
        </w:tc>
        <w:tc>
          <w:tcPr>
            <w:tcW w:w="335" w:type="pct"/>
            <w:vAlign w:val="center"/>
          </w:tcPr>
          <w:p w14:paraId="44DFE85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231</w:t>
            </w:r>
          </w:p>
        </w:tc>
        <w:tc>
          <w:tcPr>
            <w:tcW w:w="330" w:type="pct"/>
            <w:vAlign w:val="center"/>
          </w:tcPr>
          <w:p w14:paraId="5CE241BA">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232</w:t>
            </w:r>
          </w:p>
        </w:tc>
        <w:tc>
          <w:tcPr>
            <w:tcW w:w="1528" w:type="pct"/>
            <w:vAlign w:val="center"/>
          </w:tcPr>
          <w:p w14:paraId="6F0065C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mPFtha, medial pre-frontal thalamus</w:t>
            </w:r>
          </w:p>
        </w:tc>
        <w:tc>
          <w:tcPr>
            <w:tcW w:w="457" w:type="pct"/>
            <w:vAlign w:val="center"/>
          </w:tcPr>
          <w:p w14:paraId="7D4D114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-7, -12, 5 </w:t>
            </w:r>
          </w:p>
        </w:tc>
        <w:tc>
          <w:tcPr>
            <w:tcW w:w="467" w:type="pct"/>
            <w:vAlign w:val="center"/>
          </w:tcPr>
          <w:p w14:paraId="109DB5FB">
            <w:pPr>
              <w:jc w:val="center"/>
              <w:textAlignment w:val="center"/>
              <w:rPr>
                <w:rFonts w:ascii="Times New Roman" w:hAnsi="Times New Roman"/>
                <w:color w:val="000000"/>
                <w:sz w:val="22"/>
                <w:szCs w:val="22"/>
                <w:lang w:bidi="ar"/>
              </w:rPr>
            </w:pPr>
            <w:bookmarkStart w:id="55" w:name="RANGE!I117"/>
            <w:r>
              <w:rPr>
                <w:rFonts w:ascii="Times New Roman" w:hAnsi="Times New Roman"/>
                <w:color w:val="000000"/>
                <w:sz w:val="22"/>
                <w:szCs w:val="22"/>
                <w:lang w:bidi="ar"/>
              </w:rPr>
              <w:t xml:space="preserve">7, -11, 6 </w:t>
            </w:r>
            <w:bookmarkEnd w:id="55"/>
          </w:p>
        </w:tc>
      </w:tr>
      <w:tr w14:paraId="6D3BB9C9">
        <w:trPr>
          <w:trHeight w:val="360" w:hRule="atLeast"/>
        </w:trPr>
        <w:tc>
          <w:tcPr>
            <w:tcW w:w="455" w:type="pct"/>
            <w:vMerge w:val="continue"/>
            <w:vAlign w:val="center"/>
          </w:tcPr>
          <w:p w14:paraId="7914D9D3">
            <w:pPr>
              <w:rPr>
                <w:rFonts w:ascii="Times New Roman" w:hAnsi="Times New Roman"/>
                <w:b/>
                <w:bCs/>
                <w:color w:val="000000"/>
                <w:sz w:val="22"/>
                <w:szCs w:val="22"/>
              </w:rPr>
            </w:pPr>
          </w:p>
        </w:tc>
        <w:tc>
          <w:tcPr>
            <w:tcW w:w="690" w:type="pct"/>
            <w:vMerge w:val="continue"/>
            <w:vAlign w:val="center"/>
          </w:tcPr>
          <w:p w14:paraId="2FF55E20">
            <w:pPr>
              <w:jc w:val="center"/>
              <w:textAlignment w:val="center"/>
              <w:rPr>
                <w:rFonts w:ascii="Times New Roman" w:hAnsi="Times New Roman"/>
                <w:color w:val="000000"/>
                <w:sz w:val="22"/>
                <w:szCs w:val="22"/>
                <w:lang w:bidi="ar"/>
              </w:rPr>
            </w:pPr>
          </w:p>
        </w:tc>
        <w:tc>
          <w:tcPr>
            <w:tcW w:w="738" w:type="pct"/>
            <w:vAlign w:val="center"/>
          </w:tcPr>
          <w:p w14:paraId="7328CFC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Tha_L(R)_8_2</w:t>
            </w:r>
          </w:p>
        </w:tc>
        <w:tc>
          <w:tcPr>
            <w:tcW w:w="335" w:type="pct"/>
            <w:vAlign w:val="center"/>
          </w:tcPr>
          <w:p w14:paraId="7FB91E6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233</w:t>
            </w:r>
          </w:p>
        </w:tc>
        <w:tc>
          <w:tcPr>
            <w:tcW w:w="330" w:type="pct"/>
            <w:vAlign w:val="center"/>
          </w:tcPr>
          <w:p w14:paraId="7BD025F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234</w:t>
            </w:r>
          </w:p>
        </w:tc>
        <w:tc>
          <w:tcPr>
            <w:tcW w:w="1528" w:type="pct"/>
            <w:vAlign w:val="center"/>
          </w:tcPr>
          <w:p w14:paraId="7B4D58C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mPMtha, pre-motor thalamus</w:t>
            </w:r>
          </w:p>
        </w:tc>
        <w:tc>
          <w:tcPr>
            <w:tcW w:w="457" w:type="pct"/>
            <w:vAlign w:val="center"/>
          </w:tcPr>
          <w:p w14:paraId="6152F73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-18, -13, 3 </w:t>
            </w:r>
          </w:p>
        </w:tc>
        <w:tc>
          <w:tcPr>
            <w:tcW w:w="467" w:type="pct"/>
            <w:vAlign w:val="center"/>
          </w:tcPr>
          <w:p w14:paraId="46E2289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12, -14, 1 </w:t>
            </w:r>
          </w:p>
        </w:tc>
      </w:tr>
      <w:tr w14:paraId="5A1941D4">
        <w:trPr>
          <w:trHeight w:val="360" w:hRule="atLeast"/>
        </w:trPr>
        <w:tc>
          <w:tcPr>
            <w:tcW w:w="455" w:type="pct"/>
            <w:vMerge w:val="continue"/>
            <w:vAlign w:val="center"/>
          </w:tcPr>
          <w:p w14:paraId="2753562C">
            <w:pPr>
              <w:rPr>
                <w:rFonts w:ascii="Times New Roman" w:hAnsi="Times New Roman"/>
                <w:b/>
                <w:bCs/>
                <w:color w:val="000000"/>
                <w:sz w:val="22"/>
                <w:szCs w:val="22"/>
              </w:rPr>
            </w:pPr>
          </w:p>
        </w:tc>
        <w:tc>
          <w:tcPr>
            <w:tcW w:w="690" w:type="pct"/>
            <w:vMerge w:val="continue"/>
            <w:vAlign w:val="center"/>
          </w:tcPr>
          <w:p w14:paraId="431D9D17">
            <w:pPr>
              <w:jc w:val="center"/>
              <w:textAlignment w:val="center"/>
              <w:rPr>
                <w:rFonts w:ascii="Times New Roman" w:hAnsi="Times New Roman"/>
                <w:color w:val="000000"/>
                <w:sz w:val="22"/>
                <w:szCs w:val="22"/>
                <w:lang w:bidi="ar"/>
              </w:rPr>
            </w:pPr>
          </w:p>
        </w:tc>
        <w:tc>
          <w:tcPr>
            <w:tcW w:w="738" w:type="pct"/>
            <w:vAlign w:val="center"/>
          </w:tcPr>
          <w:p w14:paraId="622063A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Tha_L(R)_8_3</w:t>
            </w:r>
          </w:p>
        </w:tc>
        <w:tc>
          <w:tcPr>
            <w:tcW w:w="335" w:type="pct"/>
            <w:vAlign w:val="center"/>
          </w:tcPr>
          <w:p w14:paraId="0F9BF7E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235</w:t>
            </w:r>
          </w:p>
        </w:tc>
        <w:tc>
          <w:tcPr>
            <w:tcW w:w="330" w:type="pct"/>
            <w:vAlign w:val="center"/>
          </w:tcPr>
          <w:p w14:paraId="6D81300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236</w:t>
            </w:r>
          </w:p>
        </w:tc>
        <w:tc>
          <w:tcPr>
            <w:tcW w:w="1528" w:type="pct"/>
            <w:vAlign w:val="center"/>
          </w:tcPr>
          <w:p w14:paraId="101C6CB7">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Stha, sensory thalamus</w:t>
            </w:r>
          </w:p>
        </w:tc>
        <w:tc>
          <w:tcPr>
            <w:tcW w:w="457" w:type="pct"/>
            <w:vAlign w:val="center"/>
          </w:tcPr>
          <w:p w14:paraId="2D8358D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-18, -23, 4 </w:t>
            </w:r>
          </w:p>
        </w:tc>
        <w:tc>
          <w:tcPr>
            <w:tcW w:w="467" w:type="pct"/>
            <w:vAlign w:val="center"/>
          </w:tcPr>
          <w:p w14:paraId="22F2DD1C">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18, -22, 3 </w:t>
            </w:r>
          </w:p>
        </w:tc>
      </w:tr>
      <w:tr w14:paraId="6F8B2582">
        <w:trPr>
          <w:trHeight w:val="360" w:hRule="atLeast"/>
        </w:trPr>
        <w:tc>
          <w:tcPr>
            <w:tcW w:w="455" w:type="pct"/>
            <w:vMerge w:val="continue"/>
            <w:vAlign w:val="center"/>
          </w:tcPr>
          <w:p w14:paraId="15FF46DF">
            <w:pPr>
              <w:rPr>
                <w:rFonts w:ascii="Times New Roman" w:hAnsi="Times New Roman"/>
                <w:b/>
                <w:bCs/>
                <w:color w:val="000000"/>
                <w:sz w:val="22"/>
                <w:szCs w:val="22"/>
              </w:rPr>
            </w:pPr>
          </w:p>
        </w:tc>
        <w:tc>
          <w:tcPr>
            <w:tcW w:w="690" w:type="pct"/>
            <w:vMerge w:val="continue"/>
            <w:vAlign w:val="center"/>
          </w:tcPr>
          <w:p w14:paraId="7D4E9F37">
            <w:pPr>
              <w:jc w:val="center"/>
              <w:textAlignment w:val="center"/>
              <w:rPr>
                <w:rFonts w:ascii="Times New Roman" w:hAnsi="Times New Roman"/>
                <w:color w:val="000000"/>
                <w:sz w:val="22"/>
                <w:szCs w:val="22"/>
                <w:lang w:bidi="ar"/>
              </w:rPr>
            </w:pPr>
          </w:p>
        </w:tc>
        <w:tc>
          <w:tcPr>
            <w:tcW w:w="738" w:type="pct"/>
            <w:vAlign w:val="center"/>
          </w:tcPr>
          <w:p w14:paraId="4C3F08C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Tha_L(R)_8_4</w:t>
            </w:r>
          </w:p>
        </w:tc>
        <w:tc>
          <w:tcPr>
            <w:tcW w:w="335" w:type="pct"/>
            <w:vAlign w:val="center"/>
          </w:tcPr>
          <w:p w14:paraId="293F8CB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237</w:t>
            </w:r>
          </w:p>
        </w:tc>
        <w:tc>
          <w:tcPr>
            <w:tcW w:w="330" w:type="pct"/>
            <w:vAlign w:val="center"/>
          </w:tcPr>
          <w:p w14:paraId="0604F4B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238</w:t>
            </w:r>
          </w:p>
        </w:tc>
        <w:tc>
          <w:tcPr>
            <w:tcW w:w="1528" w:type="pct"/>
            <w:vAlign w:val="center"/>
          </w:tcPr>
          <w:p w14:paraId="072D9E0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rTtha, rostral temporal thalamus</w:t>
            </w:r>
          </w:p>
        </w:tc>
        <w:tc>
          <w:tcPr>
            <w:tcW w:w="457" w:type="pct"/>
            <w:vAlign w:val="center"/>
          </w:tcPr>
          <w:p w14:paraId="7C13275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-7, -14, 7 </w:t>
            </w:r>
          </w:p>
        </w:tc>
        <w:tc>
          <w:tcPr>
            <w:tcW w:w="467" w:type="pct"/>
            <w:vAlign w:val="center"/>
          </w:tcPr>
          <w:p w14:paraId="05D8F712">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3, -13, 5 </w:t>
            </w:r>
          </w:p>
        </w:tc>
      </w:tr>
      <w:tr w14:paraId="50771A00">
        <w:trPr>
          <w:trHeight w:val="360" w:hRule="atLeast"/>
        </w:trPr>
        <w:tc>
          <w:tcPr>
            <w:tcW w:w="455" w:type="pct"/>
            <w:vMerge w:val="continue"/>
            <w:vAlign w:val="center"/>
          </w:tcPr>
          <w:p w14:paraId="482AE05E">
            <w:pPr>
              <w:rPr>
                <w:rFonts w:ascii="Times New Roman" w:hAnsi="Times New Roman"/>
                <w:b/>
                <w:bCs/>
                <w:color w:val="000000"/>
                <w:sz w:val="22"/>
                <w:szCs w:val="22"/>
              </w:rPr>
            </w:pPr>
          </w:p>
        </w:tc>
        <w:tc>
          <w:tcPr>
            <w:tcW w:w="690" w:type="pct"/>
            <w:vMerge w:val="continue"/>
            <w:vAlign w:val="center"/>
          </w:tcPr>
          <w:p w14:paraId="2FEE3E9B">
            <w:pPr>
              <w:jc w:val="center"/>
              <w:textAlignment w:val="center"/>
              <w:rPr>
                <w:rFonts w:ascii="Times New Roman" w:hAnsi="Times New Roman"/>
                <w:color w:val="000000"/>
                <w:sz w:val="22"/>
                <w:szCs w:val="22"/>
                <w:lang w:bidi="ar"/>
              </w:rPr>
            </w:pPr>
          </w:p>
        </w:tc>
        <w:tc>
          <w:tcPr>
            <w:tcW w:w="738" w:type="pct"/>
            <w:vAlign w:val="center"/>
          </w:tcPr>
          <w:p w14:paraId="61E48C9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Tha_L(R)_8_5</w:t>
            </w:r>
          </w:p>
        </w:tc>
        <w:tc>
          <w:tcPr>
            <w:tcW w:w="335" w:type="pct"/>
            <w:vAlign w:val="center"/>
          </w:tcPr>
          <w:p w14:paraId="17F22CE3">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239</w:t>
            </w:r>
          </w:p>
        </w:tc>
        <w:tc>
          <w:tcPr>
            <w:tcW w:w="330" w:type="pct"/>
            <w:vAlign w:val="center"/>
          </w:tcPr>
          <w:p w14:paraId="40B0C48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240</w:t>
            </w:r>
          </w:p>
        </w:tc>
        <w:tc>
          <w:tcPr>
            <w:tcW w:w="1528" w:type="pct"/>
            <w:vAlign w:val="center"/>
          </w:tcPr>
          <w:p w14:paraId="586F39A4">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PPtha, posterior parietal thalamus</w:t>
            </w:r>
          </w:p>
        </w:tc>
        <w:tc>
          <w:tcPr>
            <w:tcW w:w="457" w:type="pct"/>
            <w:vAlign w:val="center"/>
          </w:tcPr>
          <w:p w14:paraId="3E032BE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-16, -24, 6 </w:t>
            </w:r>
          </w:p>
        </w:tc>
        <w:tc>
          <w:tcPr>
            <w:tcW w:w="467" w:type="pct"/>
            <w:vAlign w:val="center"/>
          </w:tcPr>
          <w:p w14:paraId="1AB9441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15, -25, 6 </w:t>
            </w:r>
          </w:p>
        </w:tc>
      </w:tr>
      <w:tr w14:paraId="1339DF35">
        <w:trPr>
          <w:trHeight w:val="360" w:hRule="atLeast"/>
        </w:trPr>
        <w:tc>
          <w:tcPr>
            <w:tcW w:w="455" w:type="pct"/>
            <w:vMerge w:val="continue"/>
            <w:vAlign w:val="center"/>
          </w:tcPr>
          <w:p w14:paraId="042D4972">
            <w:pPr>
              <w:rPr>
                <w:rFonts w:ascii="Times New Roman" w:hAnsi="Times New Roman"/>
                <w:b/>
                <w:bCs/>
                <w:color w:val="000000"/>
                <w:sz w:val="22"/>
                <w:szCs w:val="22"/>
              </w:rPr>
            </w:pPr>
          </w:p>
        </w:tc>
        <w:tc>
          <w:tcPr>
            <w:tcW w:w="690" w:type="pct"/>
            <w:vMerge w:val="continue"/>
            <w:vAlign w:val="center"/>
          </w:tcPr>
          <w:p w14:paraId="58674CEA">
            <w:pPr>
              <w:jc w:val="center"/>
              <w:textAlignment w:val="center"/>
              <w:rPr>
                <w:rFonts w:ascii="Times New Roman" w:hAnsi="Times New Roman"/>
                <w:color w:val="000000"/>
                <w:sz w:val="22"/>
                <w:szCs w:val="22"/>
                <w:lang w:bidi="ar"/>
              </w:rPr>
            </w:pPr>
          </w:p>
        </w:tc>
        <w:tc>
          <w:tcPr>
            <w:tcW w:w="738" w:type="pct"/>
            <w:vAlign w:val="center"/>
          </w:tcPr>
          <w:p w14:paraId="0DFE972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Tha_L(R)_8_6</w:t>
            </w:r>
          </w:p>
        </w:tc>
        <w:tc>
          <w:tcPr>
            <w:tcW w:w="335" w:type="pct"/>
            <w:vAlign w:val="center"/>
          </w:tcPr>
          <w:p w14:paraId="7AFAA84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241</w:t>
            </w:r>
          </w:p>
        </w:tc>
        <w:tc>
          <w:tcPr>
            <w:tcW w:w="330" w:type="pct"/>
            <w:vAlign w:val="center"/>
          </w:tcPr>
          <w:p w14:paraId="7D17CE6A">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242</w:t>
            </w:r>
          </w:p>
        </w:tc>
        <w:tc>
          <w:tcPr>
            <w:tcW w:w="1528" w:type="pct"/>
            <w:vAlign w:val="center"/>
          </w:tcPr>
          <w:p w14:paraId="1556B21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Otha, occipital thalamus</w:t>
            </w:r>
          </w:p>
        </w:tc>
        <w:tc>
          <w:tcPr>
            <w:tcW w:w="457" w:type="pct"/>
            <w:vAlign w:val="center"/>
          </w:tcPr>
          <w:p w14:paraId="39FBFB3F">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-15, -28, 4 </w:t>
            </w:r>
          </w:p>
        </w:tc>
        <w:tc>
          <w:tcPr>
            <w:tcW w:w="467" w:type="pct"/>
            <w:vAlign w:val="center"/>
          </w:tcPr>
          <w:p w14:paraId="12E26B45">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13, -27, 8 </w:t>
            </w:r>
          </w:p>
        </w:tc>
      </w:tr>
      <w:tr w14:paraId="43CCABF1">
        <w:trPr>
          <w:trHeight w:val="360" w:hRule="atLeast"/>
        </w:trPr>
        <w:tc>
          <w:tcPr>
            <w:tcW w:w="455" w:type="pct"/>
            <w:vMerge w:val="continue"/>
            <w:vAlign w:val="center"/>
          </w:tcPr>
          <w:p w14:paraId="2E349D04">
            <w:pPr>
              <w:rPr>
                <w:rFonts w:ascii="Times New Roman" w:hAnsi="Times New Roman"/>
                <w:b/>
                <w:bCs/>
                <w:color w:val="000000"/>
                <w:sz w:val="22"/>
                <w:szCs w:val="22"/>
              </w:rPr>
            </w:pPr>
          </w:p>
        </w:tc>
        <w:tc>
          <w:tcPr>
            <w:tcW w:w="690" w:type="pct"/>
            <w:vMerge w:val="continue"/>
            <w:vAlign w:val="center"/>
          </w:tcPr>
          <w:p w14:paraId="3378751A">
            <w:pPr>
              <w:jc w:val="center"/>
              <w:textAlignment w:val="center"/>
              <w:rPr>
                <w:rFonts w:ascii="Times New Roman" w:hAnsi="Times New Roman"/>
                <w:color w:val="000000"/>
                <w:sz w:val="22"/>
                <w:szCs w:val="22"/>
                <w:lang w:bidi="ar"/>
              </w:rPr>
            </w:pPr>
          </w:p>
        </w:tc>
        <w:tc>
          <w:tcPr>
            <w:tcW w:w="738" w:type="pct"/>
            <w:vAlign w:val="center"/>
          </w:tcPr>
          <w:p w14:paraId="2F312756">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Tha_L(R)_8_7</w:t>
            </w:r>
          </w:p>
        </w:tc>
        <w:tc>
          <w:tcPr>
            <w:tcW w:w="335" w:type="pct"/>
            <w:vAlign w:val="center"/>
          </w:tcPr>
          <w:p w14:paraId="0BBECD43">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243</w:t>
            </w:r>
          </w:p>
        </w:tc>
        <w:tc>
          <w:tcPr>
            <w:tcW w:w="330" w:type="pct"/>
            <w:vAlign w:val="center"/>
          </w:tcPr>
          <w:p w14:paraId="31D52D9A">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244</w:t>
            </w:r>
          </w:p>
        </w:tc>
        <w:tc>
          <w:tcPr>
            <w:tcW w:w="1528" w:type="pct"/>
            <w:vAlign w:val="center"/>
          </w:tcPr>
          <w:p w14:paraId="5A433181">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cTtha, caudal temporal thalamus</w:t>
            </w:r>
          </w:p>
        </w:tc>
        <w:tc>
          <w:tcPr>
            <w:tcW w:w="457" w:type="pct"/>
            <w:vAlign w:val="center"/>
          </w:tcPr>
          <w:p w14:paraId="5ECF036B">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-12, -22, 13 </w:t>
            </w:r>
          </w:p>
        </w:tc>
        <w:tc>
          <w:tcPr>
            <w:tcW w:w="467" w:type="pct"/>
            <w:vAlign w:val="center"/>
          </w:tcPr>
          <w:p w14:paraId="46C30CB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10, -14, 14 </w:t>
            </w:r>
          </w:p>
        </w:tc>
      </w:tr>
      <w:tr w14:paraId="38A5C80C">
        <w:trPr>
          <w:trHeight w:val="360" w:hRule="atLeast"/>
        </w:trPr>
        <w:tc>
          <w:tcPr>
            <w:tcW w:w="455" w:type="pct"/>
            <w:vMerge w:val="continue"/>
            <w:vAlign w:val="center"/>
          </w:tcPr>
          <w:p w14:paraId="1DED0B01">
            <w:pPr>
              <w:rPr>
                <w:rFonts w:ascii="Times New Roman" w:hAnsi="Times New Roman"/>
                <w:b/>
                <w:bCs/>
                <w:color w:val="000000"/>
                <w:sz w:val="22"/>
                <w:szCs w:val="22"/>
              </w:rPr>
            </w:pPr>
          </w:p>
        </w:tc>
        <w:tc>
          <w:tcPr>
            <w:tcW w:w="690" w:type="pct"/>
            <w:vMerge w:val="continue"/>
            <w:vAlign w:val="center"/>
          </w:tcPr>
          <w:p w14:paraId="29CBDFA9">
            <w:pPr>
              <w:jc w:val="center"/>
              <w:textAlignment w:val="center"/>
              <w:rPr>
                <w:rFonts w:ascii="Times New Roman" w:hAnsi="Times New Roman"/>
                <w:color w:val="000000"/>
                <w:sz w:val="22"/>
                <w:szCs w:val="22"/>
                <w:lang w:bidi="ar"/>
              </w:rPr>
            </w:pPr>
          </w:p>
        </w:tc>
        <w:tc>
          <w:tcPr>
            <w:tcW w:w="738" w:type="pct"/>
            <w:vAlign w:val="center"/>
          </w:tcPr>
          <w:p w14:paraId="0D501603">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Tha_L(R)_8_8</w:t>
            </w:r>
          </w:p>
        </w:tc>
        <w:tc>
          <w:tcPr>
            <w:tcW w:w="335" w:type="pct"/>
            <w:vAlign w:val="center"/>
          </w:tcPr>
          <w:p w14:paraId="54692CBB">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245</w:t>
            </w:r>
          </w:p>
        </w:tc>
        <w:tc>
          <w:tcPr>
            <w:tcW w:w="330" w:type="pct"/>
            <w:vAlign w:val="center"/>
          </w:tcPr>
          <w:p w14:paraId="61E5F240">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246</w:t>
            </w:r>
          </w:p>
        </w:tc>
        <w:tc>
          <w:tcPr>
            <w:tcW w:w="1528" w:type="pct"/>
            <w:vAlign w:val="center"/>
          </w:tcPr>
          <w:p w14:paraId="4D8B65CE">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lPFtha, lateral pre-frontal thalamus</w:t>
            </w:r>
          </w:p>
        </w:tc>
        <w:tc>
          <w:tcPr>
            <w:tcW w:w="457" w:type="pct"/>
            <w:vAlign w:val="center"/>
          </w:tcPr>
          <w:p w14:paraId="77CD6088">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-11, -14, 2 </w:t>
            </w:r>
          </w:p>
        </w:tc>
        <w:tc>
          <w:tcPr>
            <w:tcW w:w="467" w:type="pct"/>
            <w:vAlign w:val="center"/>
          </w:tcPr>
          <w:p w14:paraId="1CFD334D">
            <w:pPr>
              <w:jc w:val="center"/>
              <w:textAlignment w:val="center"/>
              <w:rPr>
                <w:rFonts w:ascii="Times New Roman" w:hAnsi="Times New Roman"/>
                <w:color w:val="000000"/>
                <w:sz w:val="22"/>
                <w:szCs w:val="22"/>
                <w:lang w:bidi="ar"/>
              </w:rPr>
            </w:pPr>
            <w:r>
              <w:rPr>
                <w:rFonts w:ascii="Times New Roman" w:hAnsi="Times New Roman"/>
                <w:color w:val="000000"/>
                <w:sz w:val="22"/>
                <w:szCs w:val="22"/>
                <w:lang w:bidi="ar"/>
              </w:rPr>
              <w:t xml:space="preserve">13, -16, 7 </w:t>
            </w:r>
          </w:p>
        </w:tc>
      </w:tr>
      <w:bookmarkEnd w:id="15"/>
    </w:tbl>
    <w:p w14:paraId="4AF83B3E">
      <w:pPr>
        <w:rPr>
          <w:rFonts w:ascii="Times New Roman" w:hAnsi="Times New Roman"/>
        </w:rPr>
        <w:sectPr>
          <w:pgSz w:w="16840" w:h="23820"/>
          <w:pgMar w:top="1440" w:right="1800" w:bottom="1440" w:left="1800" w:header="851" w:footer="992" w:gutter="0"/>
          <w:cols w:space="425" w:num="1"/>
          <w:docGrid w:type="lines" w:linePitch="312" w:charSpace="0"/>
        </w:sectPr>
      </w:pPr>
    </w:p>
    <w:p w14:paraId="30058CEC">
      <w:pPr>
        <w:rPr>
          <w:rFonts w:ascii="Times New Roman" w:hAnsi="Times New Roman"/>
        </w:rPr>
      </w:pPr>
    </w:p>
    <w:sectPr>
      <w:pgSz w:w="16840" w:h="23820"/>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等线 Light">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2010600030101010101"/>
    <w:charset w:val="86"/>
    <w:family w:val="auto"/>
    <w:pitch w:val="default"/>
    <w:sig w:usb0="00000000" w:usb1="00000000" w:usb2="00000016" w:usb3="00000000" w:csb0="0004000F" w:csb1="00000000"/>
  </w:font>
  <w:font w:name="sans-serif">
    <w:altName w:val="苹方-简"/>
    <w:panose1 w:val="00000000000000000000"/>
    <w:charset w:val="00"/>
    <w:family w:val="auto"/>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 w:name="TimesNewRomanPSMT">
    <w:panose1 w:val="02020503050405090304"/>
    <w:charset w:val="00"/>
    <w:family w:val="auto"/>
    <w:pitch w:val="default"/>
    <w:sig w:usb0="E0000AFF" w:usb1="00007843" w:usb2="00000001" w:usb3="00000000" w:csb0="400001BF" w:csb1="DFF70000"/>
  </w:font>
  <w:font w:name="等线">
    <w:altName w:val="汉仪中等线KW"/>
    <w:panose1 w:val="00000000000000000000"/>
    <w:charset w:val="00"/>
    <w:family w:val="auto"/>
    <w:pitch w:val="default"/>
    <w:sig w:usb0="00000000" w:usb1="00000000" w:usb2="00000000" w:usb3="00000000" w:csb0="00000000" w:csb1="00000000"/>
  </w:font>
  <w:font w:name="等线 Light">
    <w:altName w:val="汉仪中等线KW"/>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32"/>
      </w:rPr>
      <w:id w:val="1653491087"/>
    </w:sdtPr>
    <w:sdtEndPr>
      <w:rPr>
        <w:rStyle w:val="32"/>
      </w:rPr>
    </w:sdtEndPr>
    <w:sdtContent>
      <w:p w14:paraId="3BA8003A">
        <w:pPr>
          <w:pStyle w:val="17"/>
          <w:framePr w:wrap="auto" w:vAnchor="text" w:hAnchor="margin" w:xAlign="right" w:y="1"/>
          <w:rPr>
            <w:rStyle w:val="32"/>
          </w:rPr>
        </w:pPr>
        <w:r>
          <w:rPr>
            <w:rStyle w:val="32"/>
          </w:rPr>
          <w:fldChar w:fldCharType="begin"/>
        </w:r>
        <w:r>
          <w:rPr>
            <w:rStyle w:val="32"/>
          </w:rPr>
          <w:instrText xml:space="preserve"> PAGE </w:instrText>
        </w:r>
        <w:r>
          <w:rPr>
            <w:rStyle w:val="32"/>
          </w:rPr>
          <w:fldChar w:fldCharType="separate"/>
        </w:r>
        <w:r>
          <w:rPr>
            <w:rStyle w:val="32"/>
          </w:rPr>
          <w:t>10</w:t>
        </w:r>
        <w:r>
          <w:rPr>
            <w:rStyle w:val="32"/>
          </w:rPr>
          <w:fldChar w:fldCharType="end"/>
        </w:r>
      </w:p>
    </w:sdtContent>
  </w:sdt>
  <w:p w14:paraId="371D72A2">
    <w:pPr>
      <w:pStyle w:val="1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32"/>
      </w:rPr>
      <w:id w:val="1449663051"/>
    </w:sdtPr>
    <w:sdtEndPr>
      <w:rPr>
        <w:rStyle w:val="32"/>
      </w:rPr>
    </w:sdtEndPr>
    <w:sdtContent>
      <w:p w14:paraId="47F87BD9">
        <w:pPr>
          <w:pStyle w:val="17"/>
          <w:framePr w:wrap="auto" w:vAnchor="text" w:hAnchor="margin" w:xAlign="right" w:y="1"/>
          <w:rPr>
            <w:rStyle w:val="32"/>
          </w:rPr>
        </w:pPr>
        <w:r>
          <w:rPr>
            <w:rStyle w:val="32"/>
          </w:rPr>
          <w:fldChar w:fldCharType="begin"/>
        </w:r>
        <w:r>
          <w:rPr>
            <w:rStyle w:val="32"/>
          </w:rPr>
          <w:instrText xml:space="preserve"> PAGE </w:instrText>
        </w:r>
        <w:r>
          <w:rPr>
            <w:rStyle w:val="32"/>
          </w:rPr>
          <w:fldChar w:fldCharType="end"/>
        </w:r>
      </w:p>
    </w:sdtContent>
  </w:sdt>
  <w:p w14:paraId="22B41A7C">
    <w:pPr>
      <w:pStyle w:val="17"/>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1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408"/>
    <w:rsid w:val="00071D30"/>
    <w:rsid w:val="0007680C"/>
    <w:rsid w:val="00081356"/>
    <w:rsid w:val="001D4A21"/>
    <w:rsid w:val="00211F51"/>
    <w:rsid w:val="00243395"/>
    <w:rsid w:val="003040C0"/>
    <w:rsid w:val="00382551"/>
    <w:rsid w:val="003A2C2F"/>
    <w:rsid w:val="003D32EA"/>
    <w:rsid w:val="003E18F6"/>
    <w:rsid w:val="00444711"/>
    <w:rsid w:val="0044525F"/>
    <w:rsid w:val="0044756E"/>
    <w:rsid w:val="00513777"/>
    <w:rsid w:val="00561DE3"/>
    <w:rsid w:val="00630C9D"/>
    <w:rsid w:val="0063662E"/>
    <w:rsid w:val="00640726"/>
    <w:rsid w:val="007530CD"/>
    <w:rsid w:val="00764D3A"/>
    <w:rsid w:val="007A02AA"/>
    <w:rsid w:val="0083339F"/>
    <w:rsid w:val="008600EE"/>
    <w:rsid w:val="00872BE1"/>
    <w:rsid w:val="008D764C"/>
    <w:rsid w:val="00940408"/>
    <w:rsid w:val="00981990"/>
    <w:rsid w:val="009A7AF5"/>
    <w:rsid w:val="00A12455"/>
    <w:rsid w:val="00A32D3C"/>
    <w:rsid w:val="00B5256D"/>
    <w:rsid w:val="00BD216D"/>
    <w:rsid w:val="00BE2643"/>
    <w:rsid w:val="00C023A4"/>
    <w:rsid w:val="00C32133"/>
    <w:rsid w:val="00CD11DB"/>
    <w:rsid w:val="00DA0801"/>
    <w:rsid w:val="00E155F5"/>
    <w:rsid w:val="00E76009"/>
    <w:rsid w:val="00F60AB0"/>
    <w:rsid w:val="00FB50B2"/>
    <w:rsid w:val="015F1D03"/>
    <w:rsid w:val="017936BE"/>
    <w:rsid w:val="02086349"/>
    <w:rsid w:val="04C1096F"/>
    <w:rsid w:val="0B904BEB"/>
    <w:rsid w:val="0FCB23B9"/>
    <w:rsid w:val="0FD54089"/>
    <w:rsid w:val="16CB5FEC"/>
    <w:rsid w:val="17E4768B"/>
    <w:rsid w:val="18196326"/>
    <w:rsid w:val="1827044F"/>
    <w:rsid w:val="1A4417DE"/>
    <w:rsid w:val="1F796231"/>
    <w:rsid w:val="227E230D"/>
    <w:rsid w:val="2B3171C9"/>
    <w:rsid w:val="2DCA6ABE"/>
    <w:rsid w:val="307602C1"/>
    <w:rsid w:val="350B4052"/>
    <w:rsid w:val="3518051D"/>
    <w:rsid w:val="359FF94D"/>
    <w:rsid w:val="373903BA"/>
    <w:rsid w:val="3D947FC8"/>
    <w:rsid w:val="3FC6325B"/>
    <w:rsid w:val="48CB0B60"/>
    <w:rsid w:val="4A927870"/>
    <w:rsid w:val="4AB44DF5"/>
    <w:rsid w:val="4C985108"/>
    <w:rsid w:val="4D134330"/>
    <w:rsid w:val="534627C4"/>
    <w:rsid w:val="53937294"/>
    <w:rsid w:val="563D4371"/>
    <w:rsid w:val="588C69A8"/>
    <w:rsid w:val="58A12453"/>
    <w:rsid w:val="5AC9186D"/>
    <w:rsid w:val="60F82E2D"/>
    <w:rsid w:val="63833090"/>
    <w:rsid w:val="69DC7D20"/>
    <w:rsid w:val="6A060AF0"/>
    <w:rsid w:val="6A20630F"/>
    <w:rsid w:val="6D0A2DB0"/>
    <w:rsid w:val="705E64AC"/>
    <w:rsid w:val="70FF2AA0"/>
    <w:rsid w:val="71FA6D52"/>
    <w:rsid w:val="7530126D"/>
    <w:rsid w:val="75B116C7"/>
    <w:rsid w:val="770B595E"/>
    <w:rsid w:val="78056103"/>
    <w:rsid w:val="799205A4"/>
    <w:rsid w:val="7FE4049B"/>
    <w:rsid w:val="FBDD18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name="toc 4"/>
    <w:lsdException w:qFormat="1" w:uiPriority="39" w:name="toc 5"/>
    <w:lsdException w:qFormat="1" w:uiPriority="39" w:name="toc 6"/>
    <w:lsdException w:qFormat="1" w:uiPriority="39" w:name="toc 7"/>
    <w:lsdException w:qFormat="1" w:uiPriority="39" w:name="toc 8"/>
    <w:lsdException w:qFormat="1"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libri" w:hAnsi="Calibri" w:eastAsia="宋体" w:cs="Times New Roman"/>
      <w:sz w:val="24"/>
      <w:szCs w:val="24"/>
      <w:lang w:val="en-US" w:eastAsia="zh-CN" w:bidi="ar-SA"/>
    </w:rPr>
  </w:style>
  <w:style w:type="paragraph" w:styleId="2">
    <w:name w:val="heading 1"/>
    <w:basedOn w:val="1"/>
    <w:next w:val="1"/>
    <w:link w:val="36"/>
    <w:qFormat/>
    <w:uiPriority w:val="0"/>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2"/>
    <w:next w:val="1"/>
    <w:link w:val="37"/>
    <w:semiHidden/>
    <w:unhideWhenUsed/>
    <w:qFormat/>
    <w:uiPriority w:val="9"/>
    <w:pPr>
      <w:spacing w:before="160"/>
      <w:outlineLvl w:val="1"/>
    </w:pPr>
    <w:rPr>
      <w:sz w:val="40"/>
      <w:szCs w:val="40"/>
    </w:rPr>
  </w:style>
  <w:style w:type="paragraph" w:styleId="4">
    <w:name w:val="heading 3"/>
    <w:basedOn w:val="3"/>
    <w:next w:val="1"/>
    <w:link w:val="38"/>
    <w:semiHidden/>
    <w:unhideWhenUsed/>
    <w:qFormat/>
    <w:uiPriority w:val="9"/>
    <w:pPr>
      <w:outlineLvl w:val="2"/>
    </w:pPr>
    <w:rPr>
      <w:sz w:val="32"/>
      <w:szCs w:val="32"/>
    </w:rPr>
  </w:style>
  <w:style w:type="paragraph" w:styleId="5">
    <w:name w:val="heading 4"/>
    <w:basedOn w:val="1"/>
    <w:next w:val="1"/>
    <w:link w:val="39"/>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40"/>
    <w:semiHidden/>
    <w:unhideWhenUsed/>
    <w:qFormat/>
    <w:uiPriority w:val="9"/>
    <w:pPr>
      <w:keepNext/>
      <w:keepLines/>
      <w:spacing w:before="80" w:after="40"/>
      <w:outlineLvl w:val="4"/>
    </w:pPr>
    <w:rPr>
      <w:rFonts w:cstheme="majorBidi"/>
      <w:color w:val="104862" w:themeColor="accent1" w:themeShade="BF"/>
    </w:rPr>
  </w:style>
  <w:style w:type="paragraph" w:styleId="7">
    <w:name w:val="heading 6"/>
    <w:basedOn w:val="1"/>
    <w:next w:val="1"/>
    <w:link w:val="41"/>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42"/>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43"/>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44"/>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30">
    <w:name w:val="Default Paragraph Font"/>
    <w:unhideWhenUsed/>
    <w:uiPriority w:val="1"/>
  </w:style>
  <w:style w:type="table" w:default="1" w:styleId="28">
    <w:name w:val="Normal Table"/>
    <w:semiHidden/>
    <w:unhideWhenUsed/>
    <w:uiPriority w:val="99"/>
    <w:tblPr>
      <w:tblCellMar>
        <w:top w:w="0" w:type="dxa"/>
        <w:left w:w="108" w:type="dxa"/>
        <w:bottom w:w="0" w:type="dxa"/>
        <w:right w:w="108" w:type="dxa"/>
      </w:tblCellMar>
    </w:tblPr>
  </w:style>
  <w:style w:type="paragraph" w:styleId="11">
    <w:name w:val="toc 7"/>
    <w:basedOn w:val="1"/>
    <w:next w:val="1"/>
    <w:autoRedefine/>
    <w:semiHidden/>
    <w:unhideWhenUsed/>
    <w:qFormat/>
    <w:uiPriority w:val="39"/>
    <w:pPr>
      <w:ind w:left="1440"/>
    </w:pPr>
    <w:rPr>
      <w:rFonts w:asciiTheme="minorHAnsi" w:eastAsiaTheme="minorHAnsi"/>
      <w:sz w:val="18"/>
      <w:szCs w:val="18"/>
    </w:rPr>
  </w:style>
  <w:style w:type="paragraph" w:styleId="12">
    <w:name w:val="annotation text"/>
    <w:basedOn w:val="1"/>
    <w:link w:val="54"/>
    <w:qFormat/>
    <w:uiPriority w:val="0"/>
  </w:style>
  <w:style w:type="paragraph" w:styleId="13">
    <w:name w:val="toc 5"/>
    <w:basedOn w:val="1"/>
    <w:next w:val="1"/>
    <w:autoRedefine/>
    <w:semiHidden/>
    <w:unhideWhenUsed/>
    <w:qFormat/>
    <w:uiPriority w:val="39"/>
    <w:pPr>
      <w:ind w:left="960"/>
    </w:pPr>
    <w:rPr>
      <w:rFonts w:asciiTheme="minorHAnsi" w:eastAsiaTheme="minorHAnsi"/>
      <w:sz w:val="18"/>
      <w:szCs w:val="18"/>
    </w:rPr>
  </w:style>
  <w:style w:type="paragraph" w:styleId="14">
    <w:name w:val="toc 3"/>
    <w:basedOn w:val="1"/>
    <w:next w:val="1"/>
    <w:autoRedefine/>
    <w:unhideWhenUsed/>
    <w:qFormat/>
    <w:uiPriority w:val="39"/>
    <w:pPr>
      <w:ind w:left="480"/>
    </w:pPr>
    <w:rPr>
      <w:rFonts w:asciiTheme="minorHAnsi" w:eastAsiaTheme="minorHAnsi"/>
      <w:i/>
      <w:iCs/>
      <w:sz w:val="20"/>
      <w:szCs w:val="20"/>
    </w:rPr>
  </w:style>
  <w:style w:type="paragraph" w:styleId="15">
    <w:name w:val="toc 8"/>
    <w:basedOn w:val="1"/>
    <w:next w:val="1"/>
    <w:autoRedefine/>
    <w:semiHidden/>
    <w:unhideWhenUsed/>
    <w:qFormat/>
    <w:uiPriority w:val="39"/>
    <w:pPr>
      <w:ind w:left="1680"/>
    </w:pPr>
    <w:rPr>
      <w:rFonts w:asciiTheme="minorHAnsi" w:eastAsiaTheme="minorHAnsi"/>
      <w:sz w:val="18"/>
      <w:szCs w:val="18"/>
    </w:rPr>
  </w:style>
  <w:style w:type="paragraph" w:styleId="16">
    <w:name w:val="Balloon Text"/>
    <w:basedOn w:val="1"/>
    <w:link w:val="55"/>
    <w:qFormat/>
    <w:uiPriority w:val="0"/>
    <w:rPr>
      <w:sz w:val="18"/>
      <w:szCs w:val="18"/>
    </w:rPr>
  </w:style>
  <w:style w:type="paragraph" w:styleId="17">
    <w:name w:val="footer"/>
    <w:basedOn w:val="1"/>
    <w:link w:val="61"/>
    <w:unhideWhenUsed/>
    <w:qFormat/>
    <w:uiPriority w:val="99"/>
    <w:pPr>
      <w:tabs>
        <w:tab w:val="center" w:pos="4153"/>
        <w:tab w:val="right" w:pos="8306"/>
      </w:tabs>
      <w:snapToGrid w:val="0"/>
    </w:pPr>
    <w:rPr>
      <w:sz w:val="18"/>
      <w:szCs w:val="18"/>
    </w:rPr>
  </w:style>
  <w:style w:type="paragraph" w:styleId="18">
    <w:name w:val="header"/>
    <w:basedOn w:val="1"/>
    <w:link w:val="68"/>
    <w:unhideWhenUsed/>
    <w:qFormat/>
    <w:uiPriority w:val="99"/>
    <w:pPr>
      <w:tabs>
        <w:tab w:val="center" w:pos="4153"/>
        <w:tab w:val="right" w:pos="8306"/>
      </w:tabs>
      <w:snapToGrid w:val="0"/>
      <w:jc w:val="center"/>
    </w:pPr>
    <w:rPr>
      <w:sz w:val="18"/>
      <w:szCs w:val="18"/>
    </w:rPr>
  </w:style>
  <w:style w:type="paragraph" w:styleId="19">
    <w:name w:val="toc 1"/>
    <w:basedOn w:val="1"/>
    <w:next w:val="1"/>
    <w:autoRedefine/>
    <w:unhideWhenUsed/>
    <w:qFormat/>
    <w:uiPriority w:val="39"/>
    <w:pPr>
      <w:spacing w:before="120" w:after="120"/>
    </w:pPr>
    <w:rPr>
      <w:rFonts w:asciiTheme="minorHAnsi" w:eastAsiaTheme="minorHAnsi"/>
      <w:b/>
      <w:bCs/>
      <w:caps/>
      <w:sz w:val="20"/>
      <w:szCs w:val="20"/>
    </w:rPr>
  </w:style>
  <w:style w:type="paragraph" w:styleId="20">
    <w:name w:val="toc 4"/>
    <w:basedOn w:val="1"/>
    <w:next w:val="1"/>
    <w:autoRedefine/>
    <w:semiHidden/>
    <w:unhideWhenUsed/>
    <w:qFormat/>
    <w:uiPriority w:val="39"/>
    <w:pPr>
      <w:ind w:left="720"/>
    </w:pPr>
    <w:rPr>
      <w:rFonts w:asciiTheme="minorHAnsi" w:eastAsiaTheme="minorHAnsi"/>
      <w:sz w:val="18"/>
      <w:szCs w:val="18"/>
    </w:rPr>
  </w:style>
  <w:style w:type="paragraph" w:styleId="21">
    <w:name w:val="Subtitle"/>
    <w:basedOn w:val="1"/>
    <w:next w:val="1"/>
    <w:link w:val="46"/>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2">
    <w:name w:val="toc 6"/>
    <w:basedOn w:val="1"/>
    <w:next w:val="1"/>
    <w:autoRedefine/>
    <w:semiHidden/>
    <w:unhideWhenUsed/>
    <w:qFormat/>
    <w:uiPriority w:val="39"/>
    <w:pPr>
      <w:ind w:left="1200"/>
    </w:pPr>
    <w:rPr>
      <w:rFonts w:asciiTheme="minorHAnsi" w:eastAsiaTheme="minorHAnsi"/>
      <w:sz w:val="18"/>
      <w:szCs w:val="18"/>
    </w:rPr>
  </w:style>
  <w:style w:type="paragraph" w:styleId="23">
    <w:name w:val="toc 2"/>
    <w:basedOn w:val="1"/>
    <w:next w:val="1"/>
    <w:autoRedefine/>
    <w:unhideWhenUsed/>
    <w:qFormat/>
    <w:uiPriority w:val="39"/>
    <w:pPr>
      <w:ind w:left="240"/>
    </w:pPr>
    <w:rPr>
      <w:rFonts w:asciiTheme="minorHAnsi" w:eastAsiaTheme="minorHAnsi"/>
      <w:smallCaps/>
      <w:sz w:val="20"/>
      <w:szCs w:val="20"/>
    </w:rPr>
  </w:style>
  <w:style w:type="paragraph" w:styleId="24">
    <w:name w:val="toc 9"/>
    <w:basedOn w:val="1"/>
    <w:next w:val="1"/>
    <w:autoRedefine/>
    <w:semiHidden/>
    <w:unhideWhenUsed/>
    <w:qFormat/>
    <w:uiPriority w:val="39"/>
    <w:pPr>
      <w:ind w:left="1920"/>
    </w:pPr>
    <w:rPr>
      <w:rFonts w:asciiTheme="minorHAnsi" w:eastAsiaTheme="minorHAnsi"/>
      <w:sz w:val="18"/>
      <w:szCs w:val="18"/>
    </w:rPr>
  </w:style>
  <w:style w:type="paragraph" w:styleId="25">
    <w:name w:val="HTML Preformatted"/>
    <w:basedOn w:val="1"/>
    <w:link w:val="56"/>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宋体" w:hAnsi="宋体"/>
    </w:rPr>
  </w:style>
  <w:style w:type="paragraph" w:styleId="26">
    <w:name w:val="Normal (Web)"/>
    <w:basedOn w:val="1"/>
    <w:qFormat/>
    <w:uiPriority w:val="0"/>
  </w:style>
  <w:style w:type="paragraph" w:styleId="27">
    <w:name w:val="Title"/>
    <w:basedOn w:val="1"/>
    <w:next w:val="1"/>
    <w:link w:val="45"/>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29">
    <w:name w:val="Table Grid"/>
    <w:basedOn w:val="28"/>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basedOn w:val="30"/>
    <w:qFormat/>
    <w:uiPriority w:val="0"/>
    <w:rPr>
      <w:b/>
    </w:rPr>
  </w:style>
  <w:style w:type="character" w:styleId="32">
    <w:name w:val="page number"/>
    <w:basedOn w:val="30"/>
    <w:semiHidden/>
    <w:unhideWhenUsed/>
    <w:qFormat/>
    <w:uiPriority w:val="99"/>
  </w:style>
  <w:style w:type="character" w:styleId="33">
    <w:name w:val="Emphasis"/>
    <w:basedOn w:val="30"/>
    <w:qFormat/>
    <w:uiPriority w:val="0"/>
    <w:rPr>
      <w:i/>
    </w:rPr>
  </w:style>
  <w:style w:type="character" w:styleId="34">
    <w:name w:val="Hyperlink"/>
    <w:qFormat/>
    <w:uiPriority w:val="99"/>
    <w:rPr>
      <w:rFonts w:eastAsia="宋体"/>
      <w:color w:val="auto"/>
      <w:kern w:val="2"/>
      <w:sz w:val="24"/>
      <w:szCs w:val="24"/>
      <w:u w:val="none"/>
      <w:lang w:val="en-US" w:eastAsia="zh-CN" w:bidi="ar-SA"/>
    </w:rPr>
  </w:style>
  <w:style w:type="character" w:styleId="35">
    <w:name w:val="annotation reference"/>
    <w:basedOn w:val="30"/>
    <w:qFormat/>
    <w:uiPriority w:val="0"/>
    <w:rPr>
      <w:sz w:val="21"/>
      <w:szCs w:val="21"/>
    </w:rPr>
  </w:style>
  <w:style w:type="character" w:customStyle="1" w:styleId="36">
    <w:name w:val="标题 1 字符"/>
    <w:basedOn w:val="30"/>
    <w:link w:val="2"/>
    <w:qFormat/>
    <w:uiPriority w:val="0"/>
    <w:rPr>
      <w:rFonts w:asciiTheme="majorHAnsi" w:hAnsiTheme="majorHAnsi" w:eastAsiaTheme="majorEastAsia" w:cstheme="majorBidi"/>
      <w:color w:val="104862" w:themeColor="accent1" w:themeShade="BF"/>
      <w:sz w:val="48"/>
      <w:szCs w:val="48"/>
    </w:rPr>
  </w:style>
  <w:style w:type="character" w:customStyle="1" w:styleId="37">
    <w:name w:val="标题 2 字符"/>
    <w:basedOn w:val="30"/>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38">
    <w:name w:val="标题 3 字符"/>
    <w:basedOn w:val="30"/>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39">
    <w:name w:val="标题 4 字符"/>
    <w:basedOn w:val="30"/>
    <w:link w:val="5"/>
    <w:semiHidden/>
    <w:qFormat/>
    <w:uiPriority w:val="9"/>
    <w:rPr>
      <w:rFonts w:cstheme="majorBidi"/>
      <w:color w:val="104862" w:themeColor="accent1" w:themeShade="BF"/>
      <w:sz w:val="28"/>
      <w:szCs w:val="28"/>
    </w:rPr>
  </w:style>
  <w:style w:type="character" w:customStyle="1" w:styleId="40">
    <w:name w:val="标题 5 字符"/>
    <w:basedOn w:val="30"/>
    <w:link w:val="6"/>
    <w:semiHidden/>
    <w:qFormat/>
    <w:uiPriority w:val="9"/>
    <w:rPr>
      <w:rFonts w:cstheme="majorBidi"/>
      <w:color w:val="104862" w:themeColor="accent1" w:themeShade="BF"/>
      <w:sz w:val="24"/>
    </w:rPr>
  </w:style>
  <w:style w:type="character" w:customStyle="1" w:styleId="41">
    <w:name w:val="标题 6 字符"/>
    <w:basedOn w:val="30"/>
    <w:link w:val="7"/>
    <w:semiHidden/>
    <w:qFormat/>
    <w:uiPriority w:val="9"/>
    <w:rPr>
      <w:rFonts w:cstheme="majorBidi"/>
      <w:b/>
      <w:bCs/>
      <w:color w:val="104862" w:themeColor="accent1" w:themeShade="BF"/>
    </w:rPr>
  </w:style>
  <w:style w:type="character" w:customStyle="1" w:styleId="42">
    <w:name w:val="标题 7 字符"/>
    <w:basedOn w:val="30"/>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43">
    <w:name w:val="标题 8 字符"/>
    <w:basedOn w:val="30"/>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44">
    <w:name w:val="标题 9 字符"/>
    <w:basedOn w:val="30"/>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45">
    <w:name w:val="标题 字符"/>
    <w:basedOn w:val="30"/>
    <w:link w:val="27"/>
    <w:qFormat/>
    <w:uiPriority w:val="10"/>
    <w:rPr>
      <w:rFonts w:asciiTheme="majorHAnsi" w:hAnsiTheme="majorHAnsi" w:eastAsiaTheme="majorEastAsia" w:cstheme="majorBidi"/>
      <w:spacing w:val="-10"/>
      <w:kern w:val="28"/>
      <w:sz w:val="56"/>
      <w:szCs w:val="56"/>
    </w:rPr>
  </w:style>
  <w:style w:type="character" w:customStyle="1" w:styleId="46">
    <w:name w:val="副标题 字符"/>
    <w:basedOn w:val="30"/>
    <w:link w:val="2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47">
    <w:name w:val="Quote"/>
    <w:basedOn w:val="1"/>
    <w:next w:val="1"/>
    <w:link w:val="48"/>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48">
    <w:name w:val="引用 字符"/>
    <w:basedOn w:val="30"/>
    <w:link w:val="47"/>
    <w:qFormat/>
    <w:uiPriority w:val="29"/>
    <w:rPr>
      <w:i/>
      <w:iCs/>
      <w:color w:val="404040" w:themeColor="text1" w:themeTint="BF"/>
      <w14:textFill>
        <w14:solidFill>
          <w14:schemeClr w14:val="tx1">
            <w14:lumMod w14:val="75000"/>
            <w14:lumOff w14:val="25000"/>
          </w14:schemeClr>
        </w14:solidFill>
      </w14:textFill>
    </w:rPr>
  </w:style>
  <w:style w:type="paragraph" w:styleId="49">
    <w:name w:val="List Paragraph"/>
    <w:basedOn w:val="1"/>
    <w:qFormat/>
    <w:uiPriority w:val="34"/>
    <w:pPr>
      <w:ind w:left="720"/>
      <w:contextualSpacing/>
    </w:pPr>
  </w:style>
  <w:style w:type="character" w:customStyle="1" w:styleId="50">
    <w:name w:val="明显强调1"/>
    <w:basedOn w:val="30"/>
    <w:qFormat/>
    <w:uiPriority w:val="21"/>
    <w:rPr>
      <w:i/>
      <w:iCs/>
      <w:color w:val="104862" w:themeColor="accent1" w:themeShade="BF"/>
    </w:rPr>
  </w:style>
  <w:style w:type="paragraph" w:styleId="51">
    <w:name w:val="Intense Quote"/>
    <w:basedOn w:val="1"/>
    <w:next w:val="1"/>
    <w:link w:val="52"/>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52">
    <w:name w:val="明显引用 字符"/>
    <w:basedOn w:val="30"/>
    <w:link w:val="51"/>
    <w:qFormat/>
    <w:uiPriority w:val="30"/>
    <w:rPr>
      <w:i/>
      <w:iCs/>
      <w:color w:val="104862" w:themeColor="accent1" w:themeShade="BF"/>
    </w:rPr>
  </w:style>
  <w:style w:type="character" w:customStyle="1" w:styleId="53">
    <w:name w:val="明显参考1"/>
    <w:basedOn w:val="30"/>
    <w:qFormat/>
    <w:uiPriority w:val="32"/>
    <w:rPr>
      <w:b/>
      <w:bCs/>
      <w:smallCaps/>
      <w:color w:val="104862" w:themeColor="accent1" w:themeShade="BF"/>
      <w:spacing w:val="5"/>
    </w:rPr>
  </w:style>
  <w:style w:type="character" w:customStyle="1" w:styleId="54">
    <w:name w:val="批注文字 字符"/>
    <w:basedOn w:val="30"/>
    <w:link w:val="12"/>
    <w:qFormat/>
    <w:uiPriority w:val="0"/>
    <w:rPr>
      <w:rFonts w:cs="Times New Roman"/>
      <w:kern w:val="0"/>
      <w:sz w:val="24"/>
      <w14:ligatures w14:val="none"/>
    </w:rPr>
  </w:style>
  <w:style w:type="character" w:customStyle="1" w:styleId="55">
    <w:name w:val="批注框文本 字符"/>
    <w:basedOn w:val="30"/>
    <w:link w:val="16"/>
    <w:qFormat/>
    <w:uiPriority w:val="0"/>
    <w:rPr>
      <w:rFonts w:cs="Times New Roman"/>
      <w:kern w:val="0"/>
      <w:sz w:val="18"/>
      <w:szCs w:val="18"/>
      <w14:ligatures w14:val="none"/>
    </w:rPr>
  </w:style>
  <w:style w:type="character" w:customStyle="1" w:styleId="56">
    <w:name w:val="HTML 预设格式 字符"/>
    <w:basedOn w:val="30"/>
    <w:link w:val="25"/>
    <w:qFormat/>
    <w:uiPriority w:val="0"/>
    <w:rPr>
      <w:rFonts w:ascii="宋体" w:hAnsi="宋体" w:eastAsia="宋体" w:cs="Times New Roman"/>
      <w:kern w:val="0"/>
      <w:sz w:val="24"/>
      <w14:ligatures w14:val="none"/>
    </w:rPr>
  </w:style>
  <w:style w:type="paragraph" w:customStyle="1" w:styleId="57">
    <w:name w:val="书目1"/>
    <w:basedOn w:val="1"/>
    <w:qFormat/>
    <w:uiPriority w:val="0"/>
    <w:pPr>
      <w:tabs>
        <w:tab w:val="left" w:pos="264"/>
      </w:tabs>
      <w:spacing w:after="240"/>
      <w:ind w:left="264" w:hanging="264"/>
    </w:pPr>
  </w:style>
  <w:style w:type="paragraph" w:customStyle="1" w:styleId="58">
    <w:name w:val="修订1"/>
    <w:hidden/>
    <w:unhideWhenUsed/>
    <w:qFormat/>
    <w:uiPriority w:val="99"/>
    <w:rPr>
      <w:rFonts w:cs="Times New Roman" w:asciiTheme="minorHAnsi" w:hAnsiTheme="minorHAnsi" w:eastAsiaTheme="minorEastAsia"/>
      <w:sz w:val="24"/>
      <w:szCs w:val="24"/>
      <w:lang w:val="en-US" w:eastAsia="zh-CN" w:bidi="ar-SA"/>
    </w:rPr>
  </w:style>
  <w:style w:type="character" w:customStyle="1" w:styleId="59">
    <w:name w:val="10"/>
    <w:basedOn w:val="30"/>
    <w:qFormat/>
    <w:uiPriority w:val="0"/>
    <w:rPr>
      <w:rFonts w:hint="default" w:ascii="Calibri" w:hAnsi="Calibri" w:cs="Calibri"/>
    </w:rPr>
  </w:style>
  <w:style w:type="character" w:customStyle="1" w:styleId="60">
    <w:name w:val="15"/>
    <w:basedOn w:val="30"/>
    <w:qFormat/>
    <w:uiPriority w:val="0"/>
    <w:rPr>
      <w:rFonts w:hint="default" w:ascii="Times New Roman" w:hAnsi="Times New Roman" w:eastAsia="宋体" w:cs="Times New Roman"/>
      <w:kern w:val="2"/>
      <w:sz w:val="24"/>
      <w:szCs w:val="24"/>
    </w:rPr>
  </w:style>
  <w:style w:type="character" w:customStyle="1" w:styleId="61">
    <w:name w:val="页脚 字符"/>
    <w:basedOn w:val="30"/>
    <w:link w:val="17"/>
    <w:qFormat/>
    <w:uiPriority w:val="99"/>
    <w:rPr>
      <w:rFonts w:ascii="Calibri" w:hAnsi="Calibri" w:eastAsia="宋体" w:cs="Times New Roman"/>
      <w:kern w:val="0"/>
      <w:sz w:val="18"/>
      <w:szCs w:val="18"/>
      <w14:ligatures w14:val="none"/>
    </w:rPr>
  </w:style>
  <w:style w:type="paragraph" w:customStyle="1" w:styleId="62">
    <w:name w:val="TOC 标题1"/>
    <w:basedOn w:val="2"/>
    <w:next w:val="1"/>
    <w:unhideWhenUsed/>
    <w:qFormat/>
    <w:uiPriority w:val="39"/>
    <w:pPr>
      <w:spacing w:after="0" w:line="276" w:lineRule="auto"/>
      <w:outlineLvl w:val="9"/>
    </w:pPr>
    <w:rPr>
      <w:b/>
      <w:bCs/>
      <w:sz w:val="28"/>
      <w:szCs w:val="28"/>
    </w:rPr>
  </w:style>
  <w:style w:type="character" w:customStyle="1" w:styleId="63">
    <w:name w:val="font11"/>
    <w:basedOn w:val="30"/>
    <w:qFormat/>
    <w:uiPriority w:val="0"/>
    <w:rPr>
      <w:rFonts w:hint="default" w:ascii="Calibri" w:hAnsi="Calibri" w:cs="Calibri"/>
      <w:b/>
      <w:bCs/>
      <w:color w:val="000000"/>
      <w:sz w:val="22"/>
      <w:szCs w:val="22"/>
      <w:u w:val="none"/>
    </w:rPr>
  </w:style>
  <w:style w:type="character" w:customStyle="1" w:styleId="64">
    <w:name w:val="font31"/>
    <w:basedOn w:val="30"/>
    <w:qFormat/>
    <w:uiPriority w:val="0"/>
    <w:rPr>
      <w:rFonts w:hint="default" w:ascii="Times New Roman" w:hAnsi="Times New Roman" w:cs="Times New Roman"/>
      <w:color w:val="000000"/>
      <w:sz w:val="18"/>
      <w:szCs w:val="18"/>
      <w:u w:val="none"/>
    </w:rPr>
  </w:style>
  <w:style w:type="character" w:customStyle="1" w:styleId="65">
    <w:name w:val="font41"/>
    <w:basedOn w:val="30"/>
    <w:qFormat/>
    <w:uiPriority w:val="0"/>
    <w:rPr>
      <w:rFonts w:hint="default" w:ascii="Times New Roman" w:hAnsi="Times New Roman" w:cs="Times New Roman"/>
      <w:color w:val="000000"/>
      <w:sz w:val="18"/>
      <w:szCs w:val="18"/>
      <w:u w:val="none"/>
    </w:rPr>
  </w:style>
  <w:style w:type="character" w:customStyle="1" w:styleId="66">
    <w:name w:val="16"/>
    <w:basedOn w:val="30"/>
    <w:qFormat/>
    <w:uiPriority w:val="0"/>
    <w:rPr>
      <w:rFonts w:hint="default" w:ascii="Helvetica Neue" w:hAnsi="Helvetica Neue" w:eastAsia="Helvetica Neue" w:cs="Helvetica Neue"/>
      <w:color w:val="000000"/>
      <w:sz w:val="24"/>
      <w:szCs w:val="24"/>
    </w:rPr>
  </w:style>
  <w:style w:type="paragraph" w:customStyle="1" w:styleId="67">
    <w:name w:val="EndNote Bibliography"/>
    <w:basedOn w:val="1"/>
    <w:qFormat/>
    <w:uiPriority w:val="0"/>
    <w:rPr>
      <w:sz w:val="22"/>
    </w:rPr>
  </w:style>
  <w:style w:type="character" w:customStyle="1" w:styleId="68">
    <w:name w:val="页眉 字符"/>
    <w:basedOn w:val="30"/>
    <w:link w:val="18"/>
    <w:qFormat/>
    <w:uiPriority w:val="99"/>
    <w:rPr>
      <w:rFonts w:ascii="Calibri" w:hAnsi="Calibri"/>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tiff"/><Relationship Id="rId8" Type="http://schemas.openxmlformats.org/officeDocument/2006/relationships/image" Target="media/image3.tiff"/><Relationship Id="rId7" Type="http://schemas.openxmlformats.org/officeDocument/2006/relationships/image" Target="media/image2.tiff"/><Relationship Id="rId6" Type="http://schemas.openxmlformats.org/officeDocument/2006/relationships/image" Target="media/image1.tiff"/><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glossaryDocument" Target="glossary/document.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tiff"/><Relationship Id="rId11" Type="http://schemas.openxmlformats.org/officeDocument/2006/relationships/image" Target="media/image6.tiff"/><Relationship Id="rId10" Type="http://schemas.openxmlformats.org/officeDocument/2006/relationships/image" Target="media/image5.tiff"/><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1750E7CCDC50A4488E58645E352CB1E"/>
        <w:style w:val=""/>
        <w:category>
          <w:name w:val="常规"/>
          <w:gallery w:val="placeholder"/>
        </w:category>
        <w:types>
          <w:type w:val="bbPlcHdr"/>
        </w:types>
        <w:behaviors>
          <w:behavior w:val="content"/>
        </w:behaviors>
        <w:description w:val=""/>
        <w:guid w:val="{CF95EFAD-EC5C-2147-B790-4E7C6E500C41}"/>
      </w:docPartPr>
      <w:docPartBody>
        <w:p w14:paraId="61C84BCB">
          <w:pPr>
            <w:pStyle w:val="4"/>
            <w:rPr>
              <w:rFonts w:hint="eastAsia"/>
            </w:rPr>
          </w:pPr>
          <w:r>
            <w:rPr>
              <w:rFonts w:ascii="Cambria" w:hAnsi="Cambria"/>
              <w:b/>
              <w:caps/>
              <w:lang w:val="zh-CN"/>
            </w:rPr>
            <w:t>键入章级(第 1 级)</w:t>
          </w:r>
        </w:p>
      </w:docPartBody>
    </w:docPart>
    <w:docPart>
      <w:docPartPr>
        <w:name w:val="AA3A2CBAC459774EBC11D5954CD5CCA2"/>
        <w:style w:val=""/>
        <w:category>
          <w:name w:val="常规"/>
          <w:gallery w:val="placeholder"/>
        </w:category>
        <w:types>
          <w:type w:val="bbPlcHdr"/>
        </w:types>
        <w:behaviors>
          <w:behavior w:val="content"/>
        </w:behaviors>
        <w:description w:val=""/>
        <w:guid w:val="{9F12F0C8-B6BB-8D47-95CD-F55D98EB2741}"/>
      </w:docPartPr>
      <w:docPartBody>
        <w:p w14:paraId="1BF62D49">
          <w:pPr>
            <w:pStyle w:val="5"/>
            <w:rPr>
              <w:rFonts w:hint="eastAsia"/>
            </w:rPr>
          </w:pPr>
          <w:r>
            <w:rPr>
              <w:rFonts w:ascii="Cambria" w:hAnsi="Cambria"/>
              <w:smallCaps/>
              <w:lang w:val="zh-CN"/>
            </w:rPr>
            <w:t>键入章级(第 2 级)</w:t>
          </w:r>
        </w:p>
      </w:docPartBody>
    </w:docPart>
    <w:docPart>
      <w:docPartPr>
        <w:name w:val="E1A71BB1DF93D04CB9E4A8F832B1AEF5"/>
        <w:style w:val=""/>
        <w:category>
          <w:name w:val="常规"/>
          <w:gallery w:val="placeholder"/>
        </w:category>
        <w:types>
          <w:type w:val="bbPlcHdr"/>
        </w:types>
        <w:behaviors>
          <w:behavior w:val="content"/>
        </w:behaviors>
        <w:description w:val=""/>
        <w:guid w:val="{A4785BC8-C652-F242-BD42-A828106C9115}"/>
      </w:docPartPr>
      <w:docPartBody>
        <w:p w14:paraId="5E84483B">
          <w:pPr>
            <w:pStyle w:val="6"/>
            <w:rPr>
              <w:rFonts w:hint="eastAsia"/>
            </w:rPr>
          </w:pPr>
          <w:r>
            <w:rPr>
              <w:rFonts w:ascii="Cambria" w:hAnsi="Cambria"/>
              <w:smallCaps/>
              <w:lang w:val="zh-CN"/>
            </w:rPr>
            <w:t>键入章级(第 2 级)</w:t>
          </w:r>
        </w:p>
      </w:docPartBody>
    </w:docPart>
    <w:docPart>
      <w:docPartPr>
        <w:name w:val="75B9518530145143B71F0FFB78B03696"/>
        <w:style w:val=""/>
        <w:category>
          <w:name w:val="常规"/>
          <w:gallery w:val="placeholder"/>
        </w:category>
        <w:types>
          <w:type w:val="bbPlcHdr"/>
        </w:types>
        <w:behaviors>
          <w:behavior w:val="content"/>
        </w:behaviors>
        <w:description w:val=""/>
        <w:guid w:val="{E4CAB379-7A5F-C74C-B87B-DA9A17AEE5E9}"/>
      </w:docPartPr>
      <w:docPartBody>
        <w:p w14:paraId="61A209FE">
          <w:pPr>
            <w:pStyle w:val="7"/>
            <w:rPr>
              <w:rFonts w:hint="eastAsia"/>
            </w:rPr>
          </w:pPr>
          <w:r>
            <w:rPr>
              <w:rFonts w:ascii="Cambria" w:hAnsi="Cambria"/>
              <w:smallCaps/>
              <w:lang w:val="zh-CN"/>
            </w:rPr>
            <w:t>键入章级(第 2 级)</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Cambria">
    <w:altName w:val="苹方-简"/>
    <w:panose1 w:val="02040503050406030204"/>
    <w:charset w:val="00"/>
    <w:family w:val="roman"/>
    <w:pitch w:val="default"/>
    <w:sig w:usb0="00000000" w:usb1="00000000" w:usb2="02000000" w:usb3="00000000" w:csb0="0000019F" w:csb1="00000000"/>
  </w:font>
  <w:font w:name="苹方-简">
    <w:panose1 w:val="020B0400000000000000"/>
    <w:charset w:val="86"/>
    <w:family w:val="auto"/>
    <w:pitch w:val="default"/>
    <w:sig w:usb0="A00002FF" w:usb1="7ACFFDFB" w:usb2="00000017"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1AC"/>
    <w:rsid w:val="00111CEE"/>
    <w:rsid w:val="003361AC"/>
    <w:rsid w:val="0034556F"/>
    <w:rsid w:val="00382551"/>
    <w:rsid w:val="003E18F6"/>
    <w:rsid w:val="004167AF"/>
    <w:rsid w:val="004262D4"/>
    <w:rsid w:val="0044756E"/>
    <w:rsid w:val="00865CDE"/>
    <w:rsid w:val="00872BE1"/>
    <w:rsid w:val="009F1E09"/>
    <w:rsid w:val="00BD216D"/>
    <w:rsid w:val="00EC4F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customStyle="1" w:styleId="4">
    <w:name w:val="D1750E7CCDC50A4488E58645E352CB1E"/>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5">
    <w:name w:val="AA3A2CBAC459774EBC11D5954CD5CCA2"/>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6">
    <w:name w:val="E1A71BB1DF93D04CB9E4A8F832B1AEF5"/>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7">
    <w:name w:val="75B9518530145143B71F0FFB78B03696"/>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FB311D1B-7DC8-104D-AE81-D1219D29B4F5}">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18004</Words>
  <Characters>102627</Characters>
  <Lines>855</Lines>
  <Paragraphs>240</Paragraphs>
  <TotalTime>21</TotalTime>
  <ScaleCrop>false</ScaleCrop>
  <LinksUpToDate>false</LinksUpToDate>
  <CharactersWithSpaces>120391</CharactersWithSpaces>
  <Application>WPS Office_12.1.28492.28492_F1E327BC-269C-435d-A152-05C5408002CA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2025-11-14T08:35:00Z</dcterms:created>
  <dc:creator>T206117</dc:creator>
  <cp:lastModifiedBy>仲苏玉</cp:lastModifiedBy>
  <dcterms:modified xsi:type="dcterms:W3CDTF">2026-09-08T11:39:33Z</dcterms:modified>
  <cp:revision>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eyJoZGlkIjoiMDNlMzM2OGZmNTk4MzQ3YWExOGM1YWRmOTRjYzNmYTQiLCJ1c2VySWQiOiIyMzgzOTgzNzAifQ==</vt:lpwstr>
  </property>
  <property fmtid="{D5CDD505-2E9C-101B-9397-08002B2CF9AE}" pid="3" name="KSOProductBuildVer">
    <vt:lpwstr>2052-12.1.28492.28492</vt:lpwstr>
  </property>
  <property fmtid="{D5CDD505-2E9C-101B-9397-08002B2CF9AE}" pid="4" name="ICV">
    <vt:lpwstr>6646698041411B8A92799F6AD56C27D0_43</vt:lpwstr>
  </property>
</Properties>
</file>