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550" w:rsidRDefault="004B3AC2">
      <w:pPr>
        <w:widowControl/>
        <w:spacing w:before="100" w:beforeAutospacing="1" w:after="100" w:afterAutospacing="1"/>
        <w:jc w:val="center"/>
        <w:outlineLvl w:val="2"/>
        <w:rPr>
          <w:rFonts w:ascii="Times New Roman" w:hAnsi="Times New Roman" w:cs="Times New Roman"/>
          <w:b/>
          <w:bCs/>
          <w:sz w:val="32"/>
          <w:szCs w:val="40"/>
        </w:rPr>
      </w:pPr>
      <w:r>
        <w:rPr>
          <w:rFonts w:ascii="Times New Roman" w:hAnsi="Times New Roman" w:cs="Times New Roman"/>
          <w:b/>
          <w:bCs/>
          <w:sz w:val="32"/>
          <w:szCs w:val="40"/>
        </w:rPr>
        <w:t>Additional file</w:t>
      </w:r>
      <w:r>
        <w:rPr>
          <w:rFonts w:ascii="Times New Roman" w:hAnsi="Times New Roman" w:cs="Times New Roman" w:hint="eastAsia"/>
          <w:b/>
          <w:bCs/>
          <w:sz w:val="32"/>
          <w:szCs w:val="40"/>
        </w:rPr>
        <w:t xml:space="preserve"> 1</w:t>
      </w:r>
    </w:p>
    <w:p w:rsidR="004B3AC2" w:rsidRDefault="004B3AC2" w:rsidP="004B3AC2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Material S1.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 Glossary of Network Analysis Terms</w:t>
      </w:r>
    </w:p>
    <w:p w:rsidR="00AC2550" w:rsidRDefault="004B3AC2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Disease Weights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Charlson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Comorbidity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Index</w:t>
      </w:r>
    </w:p>
    <w:p w:rsidR="00AC2550" w:rsidRDefault="004B3AC2">
      <w:pPr>
        <w:widowControl/>
        <w:spacing w:line="360" w:lineRule="auto"/>
        <w:jc w:val="left"/>
        <w:outlineLvl w:val="2"/>
        <w:rPr>
          <w:rFonts w:ascii="Times New Roman" w:eastAsia="宋体" w:hAnsi="Times New Roman" w:cs="Times New Roman"/>
          <w:kern w:val="0"/>
          <w:sz w:val="24"/>
          <w:szCs w:val="24"/>
        </w:rPr>
      </w:pPr>
      <w:proofErr w:type="gramStart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Material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S2.</w:t>
      </w:r>
      <w:proofErr w:type="gramEnd"/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Regression Modeling Framework</w:t>
      </w:r>
    </w:p>
    <w:p w:rsidR="00AC2550" w:rsidRDefault="004B3AC2">
      <w:pPr>
        <w:widowControl/>
        <w:spacing w:line="360" w:lineRule="auto"/>
        <w:jc w:val="left"/>
        <w:outlineLvl w:val="2"/>
        <w:rPr>
          <w:rFonts w:ascii="Times New Roman" w:eastAsia="宋体" w:hAnsi="Times New Roman" w:cs="Times New Roman"/>
          <w:kern w:val="0"/>
          <w:sz w:val="24"/>
          <w:szCs w:val="24"/>
        </w:rPr>
      </w:pPr>
      <w:proofErr w:type="gramStart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Material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S3.</w:t>
      </w:r>
      <w:proofErr w:type="gramEnd"/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Outcome-Specific Model Specification</w:t>
      </w:r>
    </w:p>
    <w:p w:rsidR="00AC2550" w:rsidRDefault="004B3AC2">
      <w:pPr>
        <w:widowControl/>
        <w:spacing w:line="360" w:lineRule="auto"/>
        <w:jc w:val="left"/>
        <w:outlineLvl w:val="2"/>
        <w:rPr>
          <w:rFonts w:ascii="Times New Roman" w:eastAsia="宋体" w:hAnsi="Times New Roman" w:cs="Times New Roman"/>
          <w:kern w:val="0"/>
          <w:sz w:val="24"/>
          <w:szCs w:val="24"/>
        </w:rPr>
      </w:pPr>
      <w:proofErr w:type="gramStart"/>
      <w:r>
        <w:rPr>
          <w:rFonts w:ascii="Times New Roman" w:eastAsia="宋体" w:hAnsi="Times New Roman" w:cs="Times New Roman"/>
          <w:kern w:val="0"/>
          <w:sz w:val="24"/>
          <w:szCs w:val="24"/>
        </w:rPr>
        <w:t xml:space="preserve">Material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S4.</w:t>
      </w:r>
      <w:proofErr w:type="gramEnd"/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Attribution An</w:t>
      </w:r>
      <w:bookmarkStart w:id="0" w:name="_GoBack"/>
      <w:bookmarkEnd w:id="0"/>
      <w:r>
        <w:rPr>
          <w:rFonts w:ascii="Times New Roman" w:eastAsia="宋体" w:hAnsi="Times New Roman" w:cs="Times New Roman"/>
          <w:kern w:val="0"/>
          <w:sz w:val="24"/>
          <w:szCs w:val="24"/>
        </w:rPr>
        <w:t>alysis</w:t>
      </w:r>
    </w:p>
    <w:p w:rsidR="004B3AC2" w:rsidRDefault="004B3AC2" w:rsidP="004B3AC2">
      <w:pPr>
        <w:widowControl/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Figure S1. Study Flow Diagram</w:t>
      </w:r>
    </w:p>
    <w:p w:rsidR="004B3AC2" w:rsidRDefault="004B3AC2" w:rsidP="004B3AC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S2.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Rectangular tree diagram of disease distribution among inpatients</w:t>
      </w:r>
    </w:p>
    <w:p w:rsidR="004B3AC2" w:rsidRDefault="004B3AC2" w:rsidP="004B3AC2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sz w:val="24"/>
          <w:szCs w:val="24"/>
        </w:rPr>
        <w:t>S2. Classification of Disease Patterns Using Louvain Community Detection Algorithm</w:t>
      </w:r>
    </w:p>
    <w:p w:rsidR="00AC2550" w:rsidRDefault="004B3AC2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S3.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Main Structural Characteristics of Male and Female Networks</w:t>
      </w:r>
    </w:p>
    <w:p w:rsidR="00AC2550" w:rsidRDefault="004B3AC2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S4.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Hub Diseases in Male and Female Networks</w:t>
      </w:r>
    </w:p>
    <w:p w:rsidR="00AC2550" w:rsidRDefault="004B3AC2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S5.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Main Structural Characteristics of Networks by Age Group</w:t>
      </w:r>
    </w:p>
    <w:p w:rsidR="00AC2550" w:rsidRDefault="004B3AC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S6.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Hub Diseases by Age Group</w:t>
      </w:r>
    </w:p>
    <w:p w:rsidR="00AC2550" w:rsidRPr="002043A0" w:rsidRDefault="004B3AC2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043A0">
        <w:rPr>
          <w:rFonts w:ascii="Times New Roman" w:hAnsi="Times New Roman" w:cs="Times New Roman"/>
          <w:sz w:val="24"/>
          <w:szCs w:val="24"/>
        </w:rPr>
        <w:t>Table S7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043A0">
        <w:rPr>
          <w:rFonts w:ascii="Times New Roman" w:hAnsi="Times New Roman" w:cs="Times New Roman"/>
          <w:sz w:val="24"/>
          <w:szCs w:val="24"/>
        </w:rPr>
        <w:t>Effect of Covariates on Total Hospitalization Costs</w:t>
      </w:r>
    </w:p>
    <w:p w:rsidR="00655631" w:rsidRPr="002043A0" w:rsidRDefault="00655631" w:rsidP="002043A0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043A0">
        <w:rPr>
          <w:rFonts w:ascii="Times New Roman" w:hAnsi="Times New Roman" w:cs="Times New Roman"/>
          <w:sz w:val="24"/>
          <w:szCs w:val="24"/>
        </w:rPr>
        <w:t>Table S</w:t>
      </w:r>
      <w:r w:rsidRPr="002043A0">
        <w:rPr>
          <w:rFonts w:ascii="Times New Roman" w:hAnsi="Times New Roman" w:cs="Times New Roman" w:hint="eastAsia"/>
          <w:sz w:val="24"/>
          <w:szCs w:val="24"/>
        </w:rPr>
        <w:t>8.</w:t>
      </w:r>
      <w:r w:rsidR="002043A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043A0">
        <w:rPr>
          <w:rFonts w:ascii="Times New Roman" w:hAnsi="Times New Roman" w:cs="Times New Roman" w:hint="eastAsia"/>
          <w:sz w:val="24"/>
          <w:szCs w:val="24"/>
        </w:rPr>
        <w:t>Community 30-Day Readmission Risk and PAF Ranking</w:t>
      </w:r>
    </w:p>
    <w:p w:rsidR="00655631" w:rsidRPr="002043A0" w:rsidRDefault="00655631" w:rsidP="002043A0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043A0">
        <w:rPr>
          <w:rFonts w:ascii="Times New Roman" w:hAnsi="Times New Roman" w:cs="Times New Roman"/>
          <w:sz w:val="24"/>
          <w:szCs w:val="24"/>
        </w:rPr>
        <w:t>Table S</w:t>
      </w:r>
      <w:r w:rsidRPr="002043A0">
        <w:rPr>
          <w:rFonts w:ascii="Times New Roman" w:hAnsi="Times New Roman" w:cs="Times New Roman" w:hint="eastAsia"/>
          <w:sz w:val="24"/>
          <w:szCs w:val="24"/>
        </w:rPr>
        <w:t>9.</w:t>
      </w:r>
      <w:r w:rsidR="002043A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043A0">
        <w:rPr>
          <w:rFonts w:ascii="Times New Roman" w:hAnsi="Times New Roman" w:cs="Times New Roman"/>
          <w:sz w:val="24"/>
          <w:szCs w:val="24"/>
        </w:rPr>
        <w:t>Community Prolonged Length of Stay Risk and PAMF Ranking</w:t>
      </w:r>
    </w:p>
    <w:p w:rsidR="00655631" w:rsidRPr="002043A0" w:rsidRDefault="00655631" w:rsidP="002043A0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043A0">
        <w:rPr>
          <w:rFonts w:ascii="Times New Roman" w:hAnsi="Times New Roman" w:cs="Times New Roman"/>
          <w:sz w:val="24"/>
          <w:szCs w:val="24"/>
        </w:rPr>
        <w:t>Table S</w:t>
      </w:r>
      <w:r w:rsidRPr="002043A0">
        <w:rPr>
          <w:rFonts w:ascii="Times New Roman" w:hAnsi="Times New Roman" w:cs="Times New Roman" w:hint="eastAsia"/>
          <w:sz w:val="24"/>
          <w:szCs w:val="24"/>
        </w:rPr>
        <w:t>10.</w:t>
      </w:r>
      <w:r w:rsidR="002043A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043A0">
        <w:rPr>
          <w:rFonts w:ascii="Times New Roman" w:hAnsi="Times New Roman" w:cs="Times New Roman" w:hint="eastAsia"/>
          <w:sz w:val="24"/>
          <w:szCs w:val="24"/>
        </w:rPr>
        <w:t>Community Cost Ratio and PAMF Ranking</w:t>
      </w:r>
    </w:p>
    <w:p w:rsidR="00AC2550" w:rsidRPr="00655631" w:rsidRDefault="00AC255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</w:pPr>
    </w:p>
    <w:p w:rsidR="00AC2550" w:rsidRDefault="00AC2550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:rsidR="00AC2550" w:rsidRDefault="00AC2550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:rsidR="00AC2550" w:rsidRDefault="00AC2550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:rsidR="00AC2550" w:rsidRDefault="00AC2550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</w:p>
    <w:p w:rsidR="00AC2550" w:rsidRDefault="00AC255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sz w:val="24"/>
          <w:szCs w:val="24"/>
        </w:rPr>
      </w:pPr>
    </w:p>
    <w:p w:rsidR="00AC2550" w:rsidRDefault="00AC255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sz w:val="24"/>
          <w:szCs w:val="24"/>
        </w:rPr>
      </w:pPr>
    </w:p>
    <w:p w:rsidR="00AC2550" w:rsidRDefault="00AC255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sz w:val="24"/>
          <w:szCs w:val="24"/>
        </w:rPr>
      </w:pPr>
    </w:p>
    <w:p w:rsidR="004B3AC2" w:rsidRDefault="004B3AC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sz w:val="24"/>
          <w:szCs w:val="24"/>
        </w:rPr>
      </w:pPr>
    </w:p>
    <w:p w:rsidR="002043A0" w:rsidRPr="002043A0" w:rsidRDefault="002043A0" w:rsidP="002043A0">
      <w:pPr>
        <w:widowControl/>
        <w:spacing w:before="100" w:beforeAutospacing="1" w:after="100" w:afterAutospacing="1"/>
        <w:jc w:val="left"/>
        <w:outlineLvl w:val="2"/>
        <w:rPr>
          <w:rFonts w:ascii="Segoe UI" w:eastAsia="Segoe UI" w:hAnsi="Segoe UI" w:cs="Segoe UI"/>
          <w:b/>
          <w:bCs/>
          <w:color w:val="0F1115"/>
          <w:sz w:val="24"/>
          <w:szCs w:val="24"/>
        </w:rPr>
      </w:pPr>
      <w:proofErr w:type="gramStart"/>
      <w:r w:rsidRPr="002043A0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lastRenderedPageBreak/>
        <w:t>Material S</w:t>
      </w:r>
      <w:r w:rsidRPr="002043A0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1</w:t>
      </w:r>
      <w:r w:rsidRPr="002043A0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.</w:t>
      </w:r>
      <w:proofErr w:type="gramEnd"/>
      <w:r w:rsidRPr="002043A0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Glossary of Network Analysis Terms </w:t>
      </w:r>
    </w:p>
    <w:tbl>
      <w:tblPr>
        <w:tblpPr w:leftFromText="180" w:rightFromText="180" w:vertAnchor="text" w:horzAnchor="page" w:tblpX="1394" w:tblpY="316"/>
        <w:tblOverlap w:val="never"/>
        <w:tblW w:w="9336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093"/>
        <w:gridCol w:w="3255"/>
        <w:gridCol w:w="3988"/>
      </w:tblGrid>
      <w:tr w:rsidR="002043A0" w:rsidTr="002043A0">
        <w:trPr>
          <w:trHeight w:val="567"/>
        </w:trPr>
        <w:tc>
          <w:tcPr>
            <w:tcW w:w="20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43A0" w:rsidRPr="002043A0" w:rsidRDefault="002043A0" w:rsidP="00AF075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  <w:szCs w:val="20"/>
              </w:rPr>
            </w:pPr>
            <w:r w:rsidRPr="002043A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0"/>
                <w:lang/>
              </w:rPr>
              <w:t>Term</w:t>
            </w:r>
          </w:p>
        </w:tc>
        <w:tc>
          <w:tcPr>
            <w:tcW w:w="325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43A0" w:rsidRPr="002043A0" w:rsidRDefault="002043A0" w:rsidP="00AF075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  <w:szCs w:val="20"/>
              </w:rPr>
            </w:pPr>
            <w:r w:rsidRPr="002043A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0"/>
                <w:lang/>
              </w:rPr>
              <w:t>Plain-language definition</w:t>
            </w:r>
          </w:p>
        </w:tc>
        <w:tc>
          <w:tcPr>
            <w:tcW w:w="398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043A0" w:rsidRPr="002043A0" w:rsidRDefault="002043A0" w:rsidP="00AF075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  <w:szCs w:val="20"/>
              </w:rPr>
            </w:pPr>
            <w:r w:rsidRPr="002043A0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0"/>
                <w:lang/>
              </w:rPr>
              <w:t>Interpretation in this study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Node</w:t>
            </w: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An individual element in a network.</w:t>
            </w:r>
          </w:p>
        </w:tc>
        <w:tc>
          <w:tcPr>
            <w:tcW w:w="3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Each node represents a distinct disease (defined by three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noBreakHyphen/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character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ICD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noBreakHyphen/>
              <w:t>10 codes).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Edge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A connection between two nodes.</w:t>
            </w: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An edge indicates a statistically significant positive co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noBreakHyphen/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occurrence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association between two diseases within the same hospitalization.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Edge weight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A numerical value assigned to an edge, representing the strength of the connection.</w:t>
            </w: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The edge weight is the geometric mean of the adjusted odds ratios from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pairwise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logistic regression, reflecting the strength of co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noBreakHyphen/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occurrence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.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Node degree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The number of edges connected to a node</w:t>
            </w: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A high node degree indicates that a disease has many or strong co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noBreakHyphen/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occurrence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associations, positioning it as a central condition in the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multimorbidity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network.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Node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/>
              </w:rPr>
              <w:t>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egree centrality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A measure that uses node degree to assess the importance of a node in the network. Higher values indicate that the disease is more central in the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multimorbidity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network.</w:t>
            </w: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We ranked diseases by degree centrality to identify hub diseases (top 10 nodes with the highest degree).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Community detection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An algorithmic process that partitions a network into groups where nodes within the same group are more densely connected to each other than to nodes in other groups.</w:t>
            </w: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We used the Louvain modularity optimization algorithm to identify disease communities. Each community represents a data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noBreakHyphen/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driven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multimorbidity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pattern.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Modularity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A measure of the quality of a network partition into communities.</w:t>
            </w: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Modularity was optimized to identify the most meaningful partition of diseases into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multimorbidity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patterns.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Louvain algorithm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A widely used algorithm for community detection that optimizes modularity.</w:t>
            </w: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Implemented using the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igraph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package in R to detect disease communities.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Network density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The proportion of all possible edges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that are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actually present.</w:t>
            </w: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Higher density indicates more widespread inter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noBreakHyphen/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disease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connections.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Clustering coefficient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A measure of how much nodes tend to cluster together.</w:t>
            </w: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Higher clustering coefficient indicates tightly connected disease groups.</w:t>
            </w:r>
          </w:p>
        </w:tc>
      </w:tr>
      <w:tr w:rsidR="002043A0" w:rsidTr="002043A0">
        <w:trPr>
          <w:trHeight w:val="567"/>
        </w:trPr>
        <w:tc>
          <w:tcPr>
            <w:tcW w:w="209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Mean degree</w:t>
            </w:r>
          </w:p>
        </w:tc>
        <w:tc>
          <w:tcPr>
            <w:tcW w:w="325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The average degree centrality across all nodes.</w:t>
            </w:r>
          </w:p>
        </w:tc>
        <w:tc>
          <w:tcPr>
            <w:tcW w:w="39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043A0" w:rsidRDefault="002043A0" w:rsidP="002043A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Higher mean degree indicates that, on average, each disease is associated with more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>comorbid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/>
              </w:rPr>
              <w:t xml:space="preserve"> conditions.</w:t>
            </w:r>
          </w:p>
        </w:tc>
      </w:tr>
    </w:tbl>
    <w:p w:rsidR="002043A0" w:rsidRDefault="002043A0" w:rsidP="002043A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</w:pPr>
    </w:p>
    <w:p w:rsidR="002043A0" w:rsidRDefault="002043A0" w:rsidP="002043A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</w:pPr>
    </w:p>
    <w:p w:rsidR="00AC2550" w:rsidRDefault="004B3AC2">
      <w:pPr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eastAsia="宋体" w:hAnsi="Times New Roman" w:cs="Times New Roman"/>
          <w:b/>
          <w:bCs/>
          <w:sz w:val="24"/>
          <w:szCs w:val="32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b/>
          <w:bCs/>
          <w:sz w:val="24"/>
          <w:szCs w:val="32"/>
        </w:rPr>
        <w:t>S</w:t>
      </w:r>
      <w:r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1. Disease Weights of the </w:t>
      </w:r>
      <w:proofErr w:type="spellStart"/>
      <w:r>
        <w:rPr>
          <w:rFonts w:ascii="Times New Roman" w:hAnsi="Times New Roman" w:cs="Times New Roman"/>
          <w:b/>
          <w:bCs/>
          <w:sz w:val="24"/>
          <w:szCs w:val="32"/>
        </w:rPr>
        <w:t>Charlson</w:t>
      </w:r>
      <w:proofErr w:type="spellEnd"/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32"/>
        </w:rPr>
        <w:t>Comorbidity</w:t>
      </w:r>
      <w:proofErr w:type="spellEnd"/>
      <w:r>
        <w:rPr>
          <w:rFonts w:ascii="Times New Roman" w:hAnsi="Times New Roman" w:cs="Times New Roman"/>
          <w:b/>
          <w:bCs/>
          <w:sz w:val="24"/>
          <w:szCs w:val="32"/>
        </w:rPr>
        <w:t xml:space="preserve"> Index</w:t>
      </w:r>
    </w:p>
    <w:p w:rsidR="00AC2550" w:rsidRDefault="00AC2550">
      <w:pPr>
        <w:rPr>
          <w:rFonts w:ascii="Times New Roman" w:hAnsi="Times New Roman" w:cs="Times New Roman"/>
          <w:b/>
          <w:bCs/>
          <w:sz w:val="22"/>
          <w:szCs w:val="28"/>
        </w:rPr>
      </w:pPr>
    </w:p>
    <w:tbl>
      <w:tblPr>
        <w:tblW w:w="8443" w:type="dxa"/>
        <w:tblInd w:w="93" w:type="dxa"/>
        <w:tblLayout w:type="fixed"/>
        <w:tblLook w:val="04A0"/>
      </w:tblPr>
      <w:tblGrid>
        <w:gridCol w:w="4106"/>
        <w:gridCol w:w="3437"/>
        <w:gridCol w:w="900"/>
      </w:tblGrid>
      <w:tr w:rsidR="00AC2550">
        <w:trPr>
          <w:trHeight w:val="270"/>
        </w:trPr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2550" w:rsidRPr="002043A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</w:rPr>
            </w:pPr>
            <w:r w:rsidRPr="002043A0"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</w:rPr>
              <w:t>Disease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2550" w:rsidRPr="002043A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</w:rPr>
            </w:pPr>
            <w:r w:rsidRPr="002043A0"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</w:rPr>
              <w:t>ICD-10 Code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2550" w:rsidRPr="002043A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</w:rPr>
            </w:pPr>
            <w:r w:rsidRPr="002043A0"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szCs w:val="21"/>
              </w:rPr>
              <w:t>Weight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I21, I22, I25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Congestive Heart-Failure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I50, I11, I13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Peripheral Vascular Disease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I70, I71, I73, I74, I77, R02, Z95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Cerebrovascular</w:t>
            </w:r>
            <w:proofErr w:type="spellEnd"/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I60-I69, G45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Dementia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F00-F03, G30-G31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Chronic Pulmonary Disease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J40-J47, J60-J67, J84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AC2550">
        <w:trPr>
          <w:trHeight w:val="45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Rheumatic Disease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M05, M06, M32, M34, M35, M36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Peptic Ulcer Disease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K25-K28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AC2550">
        <w:trPr>
          <w:trHeight w:val="45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Mild Liver Disease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K70, K73, K74, B18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Paralysis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G81-G82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</w:p>
        </w:tc>
      </w:tr>
      <w:tr w:rsidR="00AC2550">
        <w:trPr>
          <w:trHeight w:val="45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Moderate to Severe Renal Disease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I12-I13, N18-N19, N25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Diabetes with Complications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E10.2-E14.2, E10.3-E14.3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</w:p>
        </w:tc>
      </w:tr>
      <w:tr w:rsidR="00AC2550">
        <w:trPr>
          <w:trHeight w:val="675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Solid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Tumour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(without metastasis)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C00-C26,C30-C39,C40-C41, C43-C49, C50-C58, C60-C69, C70-C76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Leukaemia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/Lymphoma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C81-C96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</w:t>
            </w:r>
          </w:p>
        </w:tc>
      </w:tr>
      <w:tr w:rsidR="00AC2550">
        <w:trPr>
          <w:trHeight w:val="509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Severe Liver Disease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K72, K76, B15, B16, B17, B19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3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Metastatic Solid 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Tumour</w:t>
            </w:r>
            <w:proofErr w:type="spellEnd"/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C77-C79, C80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，</w:t>
            </w: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Z85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6</w:t>
            </w:r>
          </w:p>
        </w:tc>
      </w:tr>
      <w:tr w:rsidR="00AC2550">
        <w:trPr>
          <w:trHeight w:val="270"/>
        </w:trPr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AIDS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B20-B24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6</w:t>
            </w:r>
          </w:p>
        </w:tc>
      </w:tr>
    </w:tbl>
    <w:p w:rsidR="00AC2550" w:rsidRDefault="00AC2550">
      <w:pPr>
        <w:rPr>
          <w:rFonts w:ascii="Times New Roman" w:hAnsi="Times New Roman" w:cs="Times New Roman"/>
        </w:rPr>
      </w:pPr>
    </w:p>
    <w:p w:rsidR="00AC2550" w:rsidRDefault="00AC2550">
      <w:pPr>
        <w:rPr>
          <w:rFonts w:ascii="Times New Roman" w:hAnsi="Times New Roman" w:cs="Times New Roman"/>
        </w:rPr>
      </w:pPr>
    </w:p>
    <w:p w:rsidR="00AC2550" w:rsidRDefault="00AC2550">
      <w:pPr>
        <w:rPr>
          <w:rFonts w:ascii="Times New Roman" w:hAnsi="Times New Roman" w:cs="Times New Roman"/>
        </w:rPr>
      </w:pPr>
    </w:p>
    <w:p w:rsidR="00AC2550" w:rsidRDefault="00AC2550">
      <w:pPr>
        <w:rPr>
          <w:rFonts w:ascii="Times New Roman" w:hAnsi="Times New Roman" w:cs="Times New Roman"/>
        </w:rPr>
      </w:pPr>
    </w:p>
    <w:p w:rsidR="00AC2550" w:rsidRDefault="00AC2550">
      <w:pPr>
        <w:rPr>
          <w:rFonts w:ascii="Times New Roman" w:hAnsi="Times New Roman" w:cs="Times New Roman"/>
        </w:rPr>
      </w:pPr>
    </w:p>
    <w:p w:rsidR="00AC2550" w:rsidRDefault="00AC255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7"/>
          <w:szCs w:val="27"/>
        </w:rPr>
      </w:pPr>
    </w:p>
    <w:p w:rsidR="00AC2550" w:rsidRDefault="00AC255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7"/>
          <w:szCs w:val="27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7"/>
          <w:szCs w:val="27"/>
        </w:rPr>
      </w:pPr>
    </w:p>
    <w:p w:rsidR="00AC2550" w:rsidRDefault="00AC255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7"/>
          <w:szCs w:val="27"/>
        </w:rPr>
      </w:pPr>
    </w:p>
    <w:p w:rsidR="00AC2550" w:rsidRPr="00DB7C52" w:rsidRDefault="004B3AC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proofErr w:type="gramStart"/>
      <w:r w:rsidRPr="00DB7C52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lastRenderedPageBreak/>
        <w:t xml:space="preserve">Material </w:t>
      </w:r>
      <w:r w:rsidRPr="00DB7C52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S2.</w:t>
      </w:r>
      <w:proofErr w:type="gramEnd"/>
      <w:r w:rsidR="00DB7C52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Pr="00DB7C52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Regression Modeling Framework</w:t>
      </w:r>
    </w:p>
    <w:p w:rsidR="00AC2550" w:rsidRDefault="004B3AC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/>
          <w:kern w:val="0"/>
          <w:sz w:val="22"/>
        </w:rPr>
        <w:t xml:space="preserve">To evaluate the incremental prognostic value of 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multimorbidity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patterns beyond 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multimorbidity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burden, we specified a set of 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prespecified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nested regression models for each outcome. Let </w:t>
      </w:r>
      <m:oMath>
        <w:proofErr w:type="spellStart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2"/>
          </w:rPr>
          <m:t>i</m:t>
        </m:r>
      </m:oMath>
      <w:r>
        <w:rPr>
          <w:rFonts w:ascii="Times New Roman" w:eastAsia="宋体" w:hAnsi="Times New Roman" w:cs="Times New Roman"/>
          <w:kern w:val="0"/>
          <w:sz w:val="22"/>
        </w:rPr>
        <w:t>index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individuals and </w:t>
      </w:r>
      <m:oMath>
        <w:proofErr w:type="spellStart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2"/>
          </w:rPr>
          <m:t>d</m:t>
        </m:r>
      </m:oMath>
      <w:r>
        <w:rPr>
          <w:rFonts w:ascii="Times New Roman" w:eastAsia="宋体" w:hAnsi="Times New Roman" w:cs="Times New Roman"/>
          <w:kern w:val="0"/>
          <w:sz w:val="22"/>
        </w:rPr>
        <w:t>index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districts. Let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 w:val="22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b/>
                <w:kern w:val="0"/>
                <w:sz w:val="22"/>
              </w:rPr>
              <m:t>X</m:t>
            </m:r>
          </m:e>
          <m:sub>
            <w:proofErr w:type="spellStart"/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2"/>
              </w:rPr>
              <m:t>i</m:t>
            </m:r>
            <w:proofErr w:type="spellEnd"/>
          </m:sub>
        </m:sSub>
      </m:oMath>
      <w:r>
        <w:rPr>
          <w:rFonts w:ascii="Times New Roman" w:eastAsia="宋体" w:hAnsi="Times New Roman" w:cs="Times New Roman"/>
          <w:kern w:val="0"/>
          <w:sz w:val="22"/>
        </w:rPr>
        <w:t xml:space="preserve">denote a vector of baseline covariates (age, sex, marital status, insurance type),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 w:val="22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2"/>
              </w:rPr>
              <m:t>α</m:t>
            </m:r>
          </m:e>
          <m:sub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2"/>
              </w:rPr>
              <m:t>d</m:t>
            </m:r>
          </m:sub>
        </m:sSub>
      </m:oMath>
      <w:r>
        <w:rPr>
          <w:rFonts w:ascii="Times New Roman" w:eastAsia="宋体" w:hAnsi="Times New Roman" w:cs="Times New Roman"/>
          <w:kern w:val="0"/>
          <w:sz w:val="22"/>
        </w:rPr>
        <w:t xml:space="preserve">denote district fixed effects,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 w:val="22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kern w:val="0"/>
                <w:sz w:val="22"/>
              </w:rPr>
              <m:t>ACCI</m:t>
            </m:r>
          </m:e>
          <m:sub>
            <w:proofErr w:type="spellStart"/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2"/>
              </w:rPr>
              <m:t>i</m:t>
            </m:r>
            <w:proofErr w:type="spellEnd"/>
          </m:sub>
        </m:sSub>
      </m:oMath>
      <w:r>
        <w:rPr>
          <w:rFonts w:ascii="Times New Roman" w:eastAsia="宋体" w:hAnsi="Times New Roman" w:cs="Times New Roman"/>
          <w:kern w:val="0"/>
          <w:sz w:val="22"/>
        </w:rPr>
        <w:t xml:space="preserve">denote the age-adjusted 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Charlson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Comorbidity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Index, and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 w:val="22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b/>
                <w:kern w:val="0"/>
                <w:sz w:val="22"/>
              </w:rPr>
              <m:t>C</m:t>
            </m:r>
          </m:e>
          <m:sub>
            <w:proofErr w:type="spellStart"/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2"/>
              </w:rPr>
              <m:t>i</m:t>
            </m:r>
            <w:proofErr w:type="spellEnd"/>
          </m:sub>
        </m:sSub>
      </m:oMath>
      <w:r>
        <w:rPr>
          <w:rFonts w:ascii="Times New Roman" w:eastAsia="宋体" w:hAnsi="Times New Roman" w:cs="Times New Roman"/>
          <w:kern w:val="0"/>
          <w:sz w:val="22"/>
        </w:rPr>
        <w:t xml:space="preserve">denote a categorical variable indicating 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comorbidity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pattern (disease cluster/community). We estimated the following models:</w:t>
      </w:r>
    </w:p>
    <w:p w:rsidR="00AC2550" w:rsidRDefault="004B3AC2">
      <w:pPr>
        <w:widowControl/>
        <w:spacing w:before="100" w:beforeAutospacing="1" w:after="100" w:afterAutospacing="1" w:line="360" w:lineRule="auto"/>
        <w:ind w:left="720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Model 1</w:t>
      </w:r>
      <w:r>
        <w:rPr>
          <w:rFonts w:ascii="Times New Roman" w:eastAsia="宋体" w:hAnsi="Times New Roman" w:cs="Times New Roman"/>
          <w:kern w:val="0"/>
          <w:sz w:val="22"/>
        </w:rPr>
        <w:t xml:space="preserve"> (Base Model):</w:t>
      </w:r>
    </w:p>
    <w:p w:rsidR="00AC2550" w:rsidRDefault="004B3AC2">
      <w:pPr>
        <w:widowControl/>
        <w:spacing w:before="100" w:beforeAutospacing="1" w:after="100" w:afterAutospacing="1" w:line="360" w:lineRule="auto"/>
        <w:ind w:left="720"/>
        <w:rPr>
          <w:rFonts w:ascii="Times New Roman" w:eastAsia="宋体" w:hAnsi="Times New Roman" w:cs="Times New Roman"/>
          <w:kern w:val="0"/>
          <w:sz w:val="22"/>
        </w:rPr>
      </w:pPr>
      <m:oMathPara>
        <m:oMath>
          <m:r>
            <m:rPr>
              <m:nor/>
            </m:rPr>
            <w:rPr>
              <w:rFonts w:ascii="Times New Roman" w:eastAsia="宋体" w:hAnsi="Times New Roman" w:cs="Times New Roman"/>
              <w:i/>
              <w:kern w:val="0"/>
              <w:sz w:val="22"/>
            </w:rPr>
            <m:t>g</m:t>
          </m:r>
          <m:d>
            <m:d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dPr>
            <m:e>
              <m:r>
                <m:rPr>
                  <m:nor/>
                </m:rPr>
                <w:rPr>
                  <w:rFonts w:ascii="Times New Roman" w:eastAsia="MS Mincho" w:hAnsi="Times New Roman" w:cs="MS Mincho"/>
                  <w:kern w:val="0"/>
                  <w:sz w:val="22"/>
                </w:rPr>
                <m:t>E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[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Y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∣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b/>
                      <w:kern w:val="0"/>
                      <w:sz w:val="22"/>
                    </w:rPr>
                    <m:t>X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]</m:t>
              </m:r>
            </m:e>
          </m:d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=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β</m:t>
              </m:r>
            </m:e>
            <m: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0</m:t>
              </m:r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Sup>
            <m:sSubSup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Sup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kern w:val="0"/>
                  <w:sz w:val="22"/>
                </w:rPr>
                <m:t>X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  <m:sup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⊤</m:t>
              </m:r>
            </m:sup>
          </m:sSubSup>
          <m:r>
            <m:rPr>
              <m:nor/>
            </m:rPr>
            <w:rPr>
              <w:rFonts w:ascii="Times New Roman" w:eastAsia="宋体" w:hAnsi="Times New Roman" w:cs="Times New Roman"/>
              <w:b/>
              <w:i/>
              <w:kern w:val="0"/>
              <w:sz w:val="22"/>
            </w:rPr>
            <m:t>β</m:t>
          </m:r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α</m:t>
              </m:r>
            </m:e>
            <m:sub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d</m:t>
              </m:r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w:br/>
          </m:r>
        </m:oMath>
      </m:oMathPara>
    </w:p>
    <w:p w:rsidR="00AC2550" w:rsidRDefault="004B3AC2">
      <w:pPr>
        <w:widowControl/>
        <w:spacing w:before="100" w:beforeAutospacing="1" w:after="100" w:afterAutospacing="1" w:line="360" w:lineRule="auto"/>
        <w:ind w:left="720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Model 2</w:t>
      </w:r>
      <w:r>
        <w:rPr>
          <w:rFonts w:ascii="Times New Roman" w:eastAsia="宋体" w:hAnsi="Times New Roman" w:cs="Times New Roman"/>
          <w:kern w:val="0"/>
          <w:sz w:val="22"/>
        </w:rPr>
        <w:t xml:space="preserve"> (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Comorbidity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Burden Model):</w:t>
      </w:r>
    </w:p>
    <w:p w:rsidR="00AC2550" w:rsidRDefault="004B3AC2">
      <w:pPr>
        <w:widowControl/>
        <w:spacing w:beforeAutospacing="1" w:afterAutospacing="1" w:line="360" w:lineRule="auto"/>
        <w:ind w:left="720"/>
        <w:rPr>
          <w:rFonts w:ascii="Times New Roman" w:eastAsia="宋体" w:hAnsi="Times New Roman" w:cs="Times New Roman"/>
          <w:kern w:val="0"/>
          <w:sz w:val="22"/>
        </w:rPr>
      </w:pPr>
      <m:oMathPara>
        <m:oMath>
          <m:r>
            <m:rPr>
              <m:nor/>
            </m:rPr>
            <w:rPr>
              <w:rFonts w:ascii="Times New Roman" w:eastAsia="宋体" w:hAnsi="Times New Roman" w:cs="Times New Roman"/>
              <w:i/>
              <w:kern w:val="0"/>
              <w:sz w:val="22"/>
            </w:rPr>
            <m:t>g</m:t>
          </m:r>
          <m:d>
            <m:d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dPr>
            <m:e>
              <m:r>
                <m:rPr>
                  <m:nor/>
                </m:rPr>
                <w:rPr>
                  <w:rFonts w:ascii="Times New Roman" w:eastAsia="MS Mincho" w:hAnsi="Times New Roman" w:cs="MS Mincho"/>
                  <w:kern w:val="0"/>
                  <w:sz w:val="22"/>
                </w:rPr>
                <m:t>E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[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Y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∣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b/>
                      <w:kern w:val="0"/>
                      <w:sz w:val="22"/>
                    </w:rPr>
                    <m:t>X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,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kern w:val="0"/>
                      <w:sz w:val="22"/>
                    </w:rPr>
                    <m:t>ACCI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]</m:t>
              </m:r>
            </m:e>
          </m:d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=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β</m:t>
              </m:r>
            </m:e>
            <m: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0</m:t>
              </m:r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Sup>
            <m:sSubSup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Sup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kern w:val="0"/>
                  <w:sz w:val="22"/>
                </w:rPr>
                <m:t>X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  <m:sup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⊤</m:t>
              </m:r>
            </m:sup>
          </m:sSubSup>
          <w:proofErr w:type="spellStart"/>
          <m:r>
            <m:rPr>
              <m:nor/>
            </m:rPr>
            <w:rPr>
              <w:rFonts w:ascii="Times New Roman" w:eastAsia="宋体" w:hAnsi="Times New Roman" w:cs="Times New Roman"/>
              <w:b/>
              <w:i/>
              <w:kern w:val="0"/>
              <w:sz w:val="22"/>
            </w:rPr>
            <m:t>β</m:t>
          </m:r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r>
            <m:rPr>
              <m:nor/>
            </m:rPr>
            <w:rPr>
              <w:rFonts w:ascii="Times New Roman" w:eastAsia="宋体" w:hAnsi="Times New Roman" w:cs="Times New Roman"/>
              <w:i/>
              <w:kern w:val="0"/>
              <w:sz w:val="22"/>
            </w:rPr>
            <m:t>γ</m:t>
          </m:r>
          <w:proofErr w:type="spellEnd"/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 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ACCI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α</m:t>
              </m:r>
            </m:e>
            <m:sub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d</m:t>
              </m:r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w:br/>
          </m:r>
        </m:oMath>
      </m:oMathPara>
    </w:p>
    <w:p w:rsidR="00AC2550" w:rsidRDefault="004B3AC2">
      <w:pPr>
        <w:widowControl/>
        <w:spacing w:before="100" w:beforeAutospacing="1" w:after="100" w:afterAutospacing="1" w:line="360" w:lineRule="auto"/>
        <w:ind w:left="720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t>Model 3</w:t>
      </w:r>
      <w:r>
        <w:rPr>
          <w:rFonts w:ascii="Times New Roman" w:eastAsia="宋体" w:hAnsi="Times New Roman" w:cs="Times New Roman"/>
          <w:kern w:val="0"/>
          <w:sz w:val="22"/>
        </w:rPr>
        <w:t xml:space="preserve"> (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Comorbidity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Pattern Model):</w:t>
      </w:r>
    </w:p>
    <w:p w:rsidR="00AC2550" w:rsidRDefault="004B3AC2">
      <w:pPr>
        <w:widowControl/>
        <w:spacing w:beforeAutospacing="1" w:afterAutospacing="1" w:line="360" w:lineRule="auto"/>
        <w:ind w:left="720"/>
        <w:rPr>
          <w:rFonts w:ascii="Times New Roman" w:eastAsia="宋体" w:hAnsi="Times New Roman" w:cs="Times New Roman"/>
          <w:kern w:val="0"/>
          <w:sz w:val="22"/>
        </w:rPr>
      </w:pPr>
      <m:oMathPara>
        <m:oMath>
          <m:r>
            <m:rPr>
              <m:nor/>
            </m:rPr>
            <w:rPr>
              <w:rFonts w:ascii="Times New Roman" w:eastAsia="宋体" w:hAnsi="Times New Roman" w:cs="Times New Roman"/>
              <w:i/>
              <w:kern w:val="0"/>
              <w:sz w:val="22"/>
            </w:rPr>
            <m:t>g</m:t>
          </m:r>
          <m:d>
            <m:d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dPr>
            <m:e>
              <m:r>
                <m:rPr>
                  <m:nor/>
                </m:rPr>
                <w:rPr>
                  <w:rFonts w:ascii="Times New Roman" w:eastAsia="MS Mincho" w:hAnsi="Times New Roman" w:cs="MS Mincho"/>
                  <w:kern w:val="0"/>
                  <w:sz w:val="22"/>
                </w:rPr>
                <m:t>E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[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Y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∣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b/>
                      <w:kern w:val="0"/>
                      <w:sz w:val="22"/>
                    </w:rPr>
                    <m:t>X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,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kern w:val="0"/>
                      <w:sz w:val="22"/>
                    </w:rPr>
                    <m:t>ACCI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,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b/>
                      <w:kern w:val="0"/>
                      <w:sz w:val="22"/>
                    </w:rPr>
                    <m:t>C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]</m:t>
              </m:r>
            </m:e>
          </m:d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=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β</m:t>
              </m:r>
            </m:e>
            <m: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0</m:t>
              </m:r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Sup>
            <m:sSubSup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Sup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kern w:val="0"/>
                  <w:sz w:val="22"/>
                </w:rPr>
                <m:t>X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  <m:sup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⊤</m:t>
              </m:r>
            </m:sup>
          </m:sSubSup>
          <w:proofErr w:type="spellStart"/>
          <m:r>
            <m:rPr>
              <m:nor/>
            </m:rPr>
            <w:rPr>
              <w:rFonts w:ascii="Times New Roman" w:eastAsia="宋体" w:hAnsi="Times New Roman" w:cs="Times New Roman"/>
              <w:b/>
              <w:i/>
              <w:kern w:val="0"/>
              <w:sz w:val="22"/>
            </w:rPr>
            <m:t>β</m:t>
          </m:r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r>
            <m:rPr>
              <m:nor/>
            </m:rPr>
            <w:rPr>
              <w:rFonts w:ascii="Times New Roman" w:eastAsia="宋体" w:hAnsi="Times New Roman" w:cs="Times New Roman"/>
              <w:i/>
              <w:kern w:val="0"/>
              <w:sz w:val="22"/>
            </w:rPr>
            <m:t>γ</m:t>
          </m:r>
          <w:proofErr w:type="spellEnd"/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 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ACCI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p>
            <m:sSup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p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i/>
                  <w:kern w:val="0"/>
                  <w:sz w:val="22"/>
                </w:rPr>
                <m:t>δ</m:t>
              </m:r>
            </m:e>
            <m:sup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⊤</m:t>
              </m:r>
            </m:sup>
          </m:sSup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kern w:val="0"/>
                  <w:sz w:val="22"/>
                </w:rPr>
                <m:t>C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α</m:t>
              </m:r>
            </m:e>
            <m:sub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d</m:t>
              </m:r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w:br/>
          </m:r>
        </m:oMath>
      </m:oMathPara>
    </w:p>
    <w:p w:rsidR="00AC2550" w:rsidRDefault="004B3AC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/>
          <w:kern w:val="0"/>
          <w:sz w:val="22"/>
        </w:rPr>
        <w:t xml:space="preserve">Where </w:t>
      </w:r>
      <m:oMath>
        <w:proofErr w:type="gramStart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2"/>
          </w:rPr>
          <m:t>g</m:t>
        </m:r>
        <m:r>
          <m:rPr>
            <m:nor/>
          </m:rPr>
          <w:rPr>
            <w:rFonts w:ascii="Times New Roman" w:eastAsia="宋体" w:hAnsi="Times New Roman" w:cs="Times New Roman"/>
            <w:kern w:val="0"/>
            <w:sz w:val="22"/>
          </w:rPr>
          <m:t>(</m:t>
        </m:r>
        <w:proofErr w:type="gramEnd"/>
        <m:r>
          <m:rPr>
            <m:nor/>
          </m:rPr>
          <w:rPr>
            <w:rFonts w:ascii="Times New Roman" w:eastAsia="宋体" w:hAnsi="Times New Roman" w:cs="Times New Roman"/>
            <w:kern w:val="0"/>
            <w:sz w:val="22"/>
          </w:rPr>
          <m:t>⋅)</m:t>
        </m:r>
      </m:oMath>
      <w:r>
        <w:rPr>
          <w:rFonts w:ascii="Times New Roman" w:eastAsia="宋体" w:hAnsi="Times New Roman" w:cs="Times New Roman"/>
          <w:kern w:val="0"/>
          <w:sz w:val="22"/>
        </w:rPr>
        <w:t xml:space="preserve">is the outcome-specific link function (specified below). Model 3 nests Model 2, allowing a formal likelihood-based comparison of the incremental contribution of 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comorbidity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patterns beyond overall burden.</w:t>
      </w:r>
    </w:p>
    <w:p w:rsidR="00AC2550" w:rsidRDefault="00AC2550">
      <w:pPr>
        <w:widowControl/>
        <w:spacing w:before="100" w:beforeAutospacing="1" w:after="100" w:afterAutospacing="1" w:line="360" w:lineRule="auto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</w:pPr>
    </w:p>
    <w:p w:rsidR="00AC2550" w:rsidRPr="00DB7C52" w:rsidRDefault="004B3AC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proofErr w:type="gramStart"/>
      <w:r w:rsidRPr="00DB7C52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lastRenderedPageBreak/>
        <w:t xml:space="preserve">Material </w:t>
      </w:r>
      <w:r w:rsidRPr="00DB7C52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S3.</w:t>
      </w:r>
      <w:proofErr w:type="gramEnd"/>
      <w:r w:rsidR="00DB7C52" w:rsidRPr="00DB7C52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Pr="00DB7C52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Outcome-Specific Model Specification</w:t>
      </w:r>
    </w:p>
    <w:p w:rsidR="00AC2550" w:rsidRDefault="00DB7C52">
      <w:pPr>
        <w:widowControl/>
        <w:spacing w:line="360" w:lineRule="auto"/>
        <w:outlineLvl w:val="2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(</w:t>
      </w:r>
      <w:r w:rsidR="004B3AC2">
        <w:rPr>
          <w:rFonts w:ascii="Times New Roman" w:eastAsia="宋体" w:hAnsi="Times New Roman" w:cs="Times New Roman"/>
          <w:b/>
          <w:bCs/>
          <w:kern w:val="0"/>
          <w:sz w:val="22"/>
        </w:rPr>
        <w:t>1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) </w:t>
      </w:r>
      <w:r w:rsidR="004B3AC2">
        <w:rPr>
          <w:rFonts w:ascii="Times New Roman" w:eastAsia="宋体" w:hAnsi="Times New Roman" w:cs="Times New Roman"/>
          <w:b/>
          <w:bCs/>
          <w:kern w:val="0"/>
          <w:sz w:val="22"/>
        </w:rPr>
        <w:t>Total Hospitalization Cost</w:t>
      </w:r>
      <w:r w:rsidR="004B3AC2">
        <w:rPr>
          <w:rFonts w:ascii="Times New Roman" w:eastAsia="宋体" w:hAnsi="Times New Roman" w:cs="Times New Roman"/>
          <w:kern w:val="0"/>
          <w:sz w:val="22"/>
        </w:rPr>
        <w:br/>
      </w:r>
      <w:proofErr w:type="gramStart"/>
      <w:r w:rsidR="004B3AC2">
        <w:rPr>
          <w:rFonts w:ascii="Times New Roman" w:eastAsia="宋体" w:hAnsi="Times New Roman" w:cs="Times New Roman"/>
          <w:kern w:val="0"/>
          <w:sz w:val="22"/>
        </w:rPr>
        <w:t>Since</w:t>
      </w:r>
      <w:proofErr w:type="gramEnd"/>
      <w:r w:rsidR="004B3AC2">
        <w:rPr>
          <w:rFonts w:ascii="Times New Roman" w:eastAsia="宋体" w:hAnsi="Times New Roman" w:cs="Times New Roman"/>
          <w:kern w:val="0"/>
          <w:sz w:val="22"/>
        </w:rPr>
        <w:t xml:space="preserve"> hospitalization cost exhibited a right-skewed distribution, we modeled the natural logarithm of cost using a linear fixed-effects model:</w:t>
      </w:r>
    </w:p>
    <w:p w:rsidR="00AC2550" w:rsidRDefault="004B3AC2">
      <w:pPr>
        <w:widowControl/>
        <w:spacing w:beforeAutospacing="1" w:afterAutospacing="1" w:line="360" w:lineRule="auto"/>
        <w:ind w:left="720"/>
        <w:rPr>
          <w:rFonts w:ascii="Times New Roman" w:eastAsia="宋体" w:hAnsi="Times New Roman" w:cs="Times New Roman"/>
          <w:kern w:val="0"/>
          <w:sz w:val="22"/>
        </w:rPr>
      </w:pPr>
      <m:oMathPara>
        <m:oMath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log⁡(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Cost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)=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β</m:t>
              </m:r>
            </m:e>
            <m: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0</m:t>
              </m:r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Sup>
            <m:sSubSup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Sup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kern w:val="0"/>
                  <w:sz w:val="22"/>
                </w:rPr>
                <m:t>X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  <m:sup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⊤</m:t>
              </m:r>
            </m:sup>
          </m:sSubSup>
          <w:proofErr w:type="spellStart"/>
          <m:r>
            <m:rPr>
              <m:nor/>
            </m:rPr>
            <w:rPr>
              <w:rFonts w:ascii="Times New Roman" w:eastAsia="宋体" w:hAnsi="Times New Roman" w:cs="Times New Roman"/>
              <w:b/>
              <w:i/>
              <w:kern w:val="0"/>
              <w:sz w:val="22"/>
            </w:rPr>
            <m:t>β</m:t>
          </m:r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r>
            <m:rPr>
              <m:nor/>
            </m:rPr>
            <w:rPr>
              <w:rFonts w:ascii="Times New Roman" w:eastAsia="宋体" w:hAnsi="Times New Roman" w:cs="Times New Roman"/>
              <w:i/>
              <w:kern w:val="0"/>
              <w:sz w:val="22"/>
            </w:rPr>
            <m:t>γ</m:t>
          </m:r>
          <w:proofErr w:type="spellEnd"/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 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ACCI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p>
            <m:sSup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p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i/>
                  <w:kern w:val="0"/>
                  <w:sz w:val="22"/>
                </w:rPr>
                <m:t>δ</m:t>
              </m:r>
            </m:e>
            <m:sup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⊤</m:t>
              </m:r>
            </m:sup>
          </m:sSup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kern w:val="0"/>
                  <w:sz w:val="22"/>
                </w:rPr>
                <m:t>C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α</m:t>
              </m:r>
            </m:e>
            <m:sub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d</m:t>
              </m:r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ε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</m:oMath>
      </m:oMathPara>
    </w:p>
    <w:p w:rsidR="00AC2550" w:rsidRDefault="004B3AC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  <w:proofErr w:type="gramStart"/>
      <w:r>
        <w:rPr>
          <w:rFonts w:ascii="Times New Roman" w:eastAsia="宋体" w:hAnsi="Times New Roman" w:cs="Times New Roman"/>
          <w:kern w:val="0"/>
          <w:sz w:val="22"/>
        </w:rPr>
        <w:t>where</w:t>
      </w:r>
      <w:proofErr w:type="gramEnd"/>
      <w:r>
        <w:rPr>
          <w:rFonts w:ascii="Times New Roman" w:eastAsia="宋体" w:hAnsi="Times New Roman" w:cs="Times New Roman"/>
          <w:kern w:val="0"/>
          <w:sz w:val="22"/>
        </w:rPr>
        <w:t xml:space="preserve">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 w:val="22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2"/>
              </w:rPr>
              <m:t>ε</m:t>
            </m:r>
          </m:e>
          <m:sub>
            <w:proofErr w:type="spellStart"/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2"/>
              </w:rPr>
              <m:t>i</m:t>
            </m:r>
            <w:proofErr w:type="spellEnd"/>
          </m:sub>
        </m:sSub>
      </m:oMath>
      <w:r>
        <w:rPr>
          <w:rFonts w:ascii="Times New Roman" w:eastAsia="宋体" w:hAnsi="Times New Roman" w:cs="Times New Roman"/>
          <w:kern w:val="0"/>
          <w:sz w:val="22"/>
        </w:rPr>
        <w:t xml:space="preserve">denotes the idiosyncratic error term. To account for within-district correlation, cluster-robust standard errors at the district level were applied. 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Exponentiated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coefficients can be interpreted as relative changes in cost.</w:t>
      </w:r>
    </w:p>
    <w:p w:rsidR="00AC2550" w:rsidRDefault="00DB7C5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(</w:t>
      </w:r>
      <w:r w:rsidR="004B3AC2">
        <w:rPr>
          <w:rFonts w:ascii="Times New Roman" w:eastAsia="宋体" w:hAnsi="Times New Roman" w:cs="Times New Roman"/>
          <w:b/>
          <w:bCs/>
          <w:kern w:val="0"/>
          <w:sz w:val="22"/>
        </w:rPr>
        <w:t>2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) </w:t>
      </w:r>
      <w:r w:rsidR="004B3AC2">
        <w:rPr>
          <w:rFonts w:ascii="Times New Roman" w:eastAsia="宋体" w:hAnsi="Times New Roman" w:cs="Times New Roman"/>
          <w:b/>
          <w:bCs/>
          <w:kern w:val="0"/>
          <w:sz w:val="22"/>
        </w:rPr>
        <w:t>Length of Stay (LOS</w:t>
      </w:r>
      <w:proofErr w:type="gramStart"/>
      <w:r w:rsidR="004B3AC2">
        <w:rPr>
          <w:rFonts w:ascii="Times New Roman" w:eastAsia="宋体" w:hAnsi="Times New Roman" w:cs="Times New Roman"/>
          <w:b/>
          <w:bCs/>
          <w:kern w:val="0"/>
          <w:sz w:val="22"/>
        </w:rPr>
        <w:t>)</w:t>
      </w:r>
      <w:proofErr w:type="gramEnd"/>
      <w:r w:rsidR="004B3AC2">
        <w:rPr>
          <w:rFonts w:ascii="Times New Roman" w:eastAsia="宋体" w:hAnsi="Times New Roman" w:cs="Times New Roman"/>
          <w:kern w:val="0"/>
          <w:sz w:val="22"/>
        </w:rPr>
        <w:br/>
        <w:t xml:space="preserve">Length of stay was treated as </w:t>
      </w:r>
      <w:proofErr w:type="spellStart"/>
      <w:r w:rsidR="004B3AC2">
        <w:rPr>
          <w:rFonts w:ascii="Times New Roman" w:eastAsia="宋体" w:hAnsi="Times New Roman" w:cs="Times New Roman"/>
          <w:kern w:val="0"/>
          <w:sz w:val="22"/>
        </w:rPr>
        <w:t>overdispersed</w:t>
      </w:r>
      <w:proofErr w:type="spellEnd"/>
      <w:r w:rsidR="004B3AC2">
        <w:rPr>
          <w:rFonts w:ascii="Times New Roman" w:eastAsia="宋体" w:hAnsi="Times New Roman" w:cs="Times New Roman"/>
          <w:kern w:val="0"/>
          <w:sz w:val="22"/>
        </w:rPr>
        <w:t xml:space="preserve"> count data and modeled using a negative binomial regression:</w:t>
      </w:r>
    </w:p>
    <w:p w:rsidR="00AC2550" w:rsidRDefault="00AC2550">
      <w:pPr>
        <w:widowControl/>
        <w:spacing w:beforeAutospacing="1" w:afterAutospacing="1" w:line="360" w:lineRule="auto"/>
        <w:ind w:left="720"/>
        <w:rPr>
          <w:rFonts w:ascii="Times New Roman" w:eastAsia="宋体" w:hAnsi="Times New Roman" w:cs="Times New Roman"/>
          <w:kern w:val="0"/>
          <w:sz w:val="22"/>
        </w:rPr>
      </w:pPr>
      <m:oMathPara>
        <m:oMath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LOS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∼</m:t>
          </m:r>
          <w:proofErr w:type="spellStart"/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NegBin</m:t>
          </m:r>
          <w:proofErr w:type="spellEnd"/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(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μ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,</m:t>
          </m:r>
          <m:r>
            <m:rPr>
              <m:nor/>
            </m:rPr>
            <w:rPr>
              <w:rFonts w:ascii="Times New Roman" w:eastAsia="宋体" w:hAnsi="Times New Roman" w:cs="Times New Roman"/>
              <w:i/>
              <w:kern w:val="0"/>
              <w:sz w:val="22"/>
            </w:rPr>
            <m:t>θ</m:t>
          </m:r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)</m:t>
          </m:r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w:br/>
          </m:r>
        </m:oMath>
        <m:oMath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log⁡(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μ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)=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β</m:t>
              </m:r>
            </m:e>
            <m:sub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0</m:t>
              </m:r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Sup>
            <m:sSubSup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Sup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kern w:val="0"/>
                  <w:sz w:val="22"/>
                </w:rPr>
                <m:t>X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  <m:sup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⊤</m:t>
              </m:r>
            </m:sup>
          </m:sSubSup>
          <w:proofErr w:type="spellStart"/>
          <m:r>
            <m:rPr>
              <m:nor/>
            </m:rPr>
            <w:rPr>
              <w:rFonts w:ascii="Times New Roman" w:eastAsia="宋体" w:hAnsi="Times New Roman" w:cs="Times New Roman"/>
              <w:b/>
              <w:i/>
              <w:kern w:val="0"/>
              <w:sz w:val="22"/>
            </w:rPr>
            <m:t>β</m:t>
          </m:r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r>
            <m:rPr>
              <m:nor/>
            </m:rPr>
            <w:rPr>
              <w:rFonts w:ascii="Times New Roman" w:eastAsia="宋体" w:hAnsi="Times New Roman" w:cs="Times New Roman"/>
              <w:i/>
              <w:kern w:val="0"/>
              <w:sz w:val="22"/>
            </w:rPr>
            <m:t>γ</m:t>
          </m:r>
          <w:proofErr w:type="spellEnd"/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 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ACCI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p>
            <m:sSup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p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i/>
                  <w:kern w:val="0"/>
                  <w:sz w:val="22"/>
                </w:rPr>
                <m:t>δ</m:t>
              </m:r>
            </m:e>
            <m:sup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⊤</m:t>
              </m:r>
            </m:sup>
          </m:sSup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kern w:val="0"/>
                  <w:sz w:val="22"/>
                </w:rPr>
                <m:t>C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+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α</m:t>
              </m:r>
            </m:e>
            <m:sub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d</m:t>
              </m:r>
            </m:sub>
          </m:sSub>
        </m:oMath>
      </m:oMathPara>
    </w:p>
    <w:p w:rsidR="00AC2550" w:rsidRDefault="004B3AC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  <w:proofErr w:type="gramStart"/>
      <w:r>
        <w:rPr>
          <w:rFonts w:ascii="Times New Roman" w:eastAsia="宋体" w:hAnsi="Times New Roman" w:cs="Times New Roman"/>
          <w:kern w:val="0"/>
          <w:sz w:val="22"/>
        </w:rPr>
        <w:t>where</w:t>
      </w:r>
      <w:proofErr w:type="gramEnd"/>
      <w:r>
        <w:rPr>
          <w:rFonts w:ascii="Times New Roman" w:eastAsia="宋体" w:hAnsi="Times New Roman" w:cs="Times New Roman"/>
          <w:kern w:val="0"/>
          <w:sz w:val="22"/>
        </w:rPr>
        <w:t xml:space="preserve"> </w:t>
      </w:r>
      <m:oMath>
        <w:proofErr w:type="spellStart"/>
        <m:r>
          <m:rPr>
            <m:nor/>
          </m:rPr>
          <w:rPr>
            <w:rFonts w:ascii="Times New Roman" w:eastAsia="宋体" w:hAnsi="Times New Roman" w:cs="Times New Roman"/>
            <w:i/>
            <w:kern w:val="0"/>
            <w:sz w:val="22"/>
          </w:rPr>
          <m:t>θ</m:t>
        </m:r>
      </m:oMath>
      <w:r>
        <w:rPr>
          <w:rFonts w:ascii="Times New Roman" w:eastAsia="宋体" w:hAnsi="Times New Roman" w:cs="Times New Roman"/>
          <w:kern w:val="0"/>
          <w:sz w:val="22"/>
        </w:rPr>
        <w:t>is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the dispersion parameter. Regression coefficients are interpreted as log rate ratios for expected LOS.</w:t>
      </w:r>
    </w:p>
    <w:p w:rsidR="00AC2550" w:rsidRDefault="00DB7C5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(</w:t>
      </w:r>
      <w:r w:rsidR="004B3AC2">
        <w:rPr>
          <w:rFonts w:ascii="Times New Roman" w:eastAsia="宋体" w:hAnsi="Times New Roman" w:cs="Times New Roman"/>
          <w:b/>
          <w:bCs/>
          <w:kern w:val="0"/>
          <w:sz w:val="22"/>
        </w:rPr>
        <w:t>3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) </w:t>
      </w:r>
      <w:r w:rsidR="004B3AC2">
        <w:rPr>
          <w:rFonts w:ascii="Times New Roman" w:eastAsia="宋体" w:hAnsi="Times New Roman" w:cs="Times New Roman"/>
          <w:b/>
          <w:bCs/>
          <w:kern w:val="0"/>
          <w:sz w:val="22"/>
        </w:rPr>
        <w:t>30-Day Readmission</w:t>
      </w:r>
      <w:r w:rsidR="004B3AC2">
        <w:rPr>
          <w:rFonts w:ascii="Times New Roman" w:eastAsia="宋体" w:hAnsi="Times New Roman" w:cs="Times New Roman"/>
          <w:kern w:val="0"/>
          <w:sz w:val="22"/>
        </w:rPr>
        <w:br/>
        <w:t>Thirty-day readmission was modeled as a binary outcome using logistic regression:</w:t>
      </w:r>
    </w:p>
    <w:p w:rsidR="00AC2550" w:rsidRDefault="004B3AC2">
      <w:pPr>
        <w:widowControl/>
        <w:spacing w:beforeAutospacing="1" w:afterAutospacing="1" w:line="360" w:lineRule="auto"/>
        <w:ind w:left="720"/>
        <w:rPr>
          <w:rFonts w:ascii="Times New Roman" w:eastAsia="宋体" w:hAnsi="Times New Roman" w:cs="Times New Roman"/>
          <w:kern w:val="0"/>
          <w:sz w:val="22"/>
        </w:rPr>
      </w:pPr>
      <m:oMathPara>
        <m:oMath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Pr⁡(</m:t>
          </m:r>
          <m:sSub>
            <m:sSub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b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Y</m:t>
              </m:r>
            </m:e>
            <m:sub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i</m:t>
              </m:r>
              <w:proofErr w:type="spellEnd"/>
            </m:sub>
          </m:sSub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=1)=</m:t>
          </m:r>
          <m:sSup>
            <m:sSup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pPr>
            <m:e>
              <w:proofErr w:type="spellStart"/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logit</m:t>
              </m:r>
              <w:proofErr w:type="spellEnd"/>
            </m:e>
            <m:sup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-1</m:t>
              </m:r>
            </m:sup>
          </m:sSup>
          <m:d>
            <m:dPr>
              <m:sepChr m:val="+"/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dPr>
            <m:e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β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kern w:val="0"/>
                      <w:sz w:val="22"/>
                    </w:rPr>
                    <m:t>0</m:t>
                  </m:r>
                </m:sub>
              </m:sSub>
            </m:e>
            <m:e>
              <m:sSubSup>
                <m:sSubSup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b/>
                      <w:kern w:val="0"/>
                      <w:sz w:val="22"/>
                    </w:rPr>
                    <m:t>X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  <m:sup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kern w:val="0"/>
                      <w:sz w:val="22"/>
                    </w:rPr>
                    <m:t>⊤</m:t>
                  </m:r>
                </m:sup>
              </m:sSubSup>
              <m:r>
                <m:rPr>
                  <m:nor/>
                </m:rPr>
                <w:rPr>
                  <w:rFonts w:ascii="Times New Roman" w:eastAsia="宋体" w:hAnsi="Times New Roman" w:cs="Times New Roman"/>
                  <w:b/>
                  <w:i/>
                  <w:kern w:val="0"/>
                  <w:sz w:val="22"/>
                </w:rPr>
                <m:t>β</m:t>
              </m:r>
            </m:e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γ</m:t>
              </m:r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 </m:t>
              </m:r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kern w:val="0"/>
                      <w:sz w:val="22"/>
                    </w:rPr>
                    <m:t>ACCI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</m:e>
            <m:e>
              <m:sSup>
                <m:sSup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b/>
                      <w:i/>
                      <w:kern w:val="0"/>
                      <w:sz w:val="22"/>
                    </w:rPr>
                    <m:t>δ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kern w:val="0"/>
                      <w:sz w:val="22"/>
                    </w:rPr>
                    <m:t>⊤</m:t>
                  </m:r>
                </m:sup>
              </m:sSup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b/>
                      <w:kern w:val="0"/>
                      <w:sz w:val="22"/>
                    </w:rPr>
                    <m:t>C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i</m:t>
                  </m:r>
                  <w:proofErr w:type="spellEnd"/>
                </m:sub>
              </m:sSub>
            </m:e>
            <m:e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α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i/>
                      <w:kern w:val="0"/>
                      <w:sz w:val="22"/>
                    </w:rPr>
                    <m:t>d</m:t>
                  </m:r>
                </m:sub>
              </m:sSub>
            </m:e>
          </m:d>
        </m:oMath>
      </m:oMathPara>
    </w:p>
    <w:p w:rsidR="00AC2550" w:rsidRDefault="004B3AC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/>
          <w:kern w:val="0"/>
          <w:sz w:val="22"/>
        </w:rPr>
        <w:t>Results are reported as odds ratios (ORs) with 95% confidence intervals.</w:t>
      </w: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 w:hint="eastAsia"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 w:hint="eastAsia"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4B3AC2">
      <w:pPr>
        <w:widowControl/>
        <w:spacing w:before="100" w:beforeAutospacing="1" w:after="100" w:afterAutospacing="1" w:line="360" w:lineRule="auto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lastRenderedPageBreak/>
        <w:t xml:space="preserve">Incremental Value of </w:t>
      </w:r>
      <w:proofErr w:type="spellStart"/>
      <w:r>
        <w:rPr>
          <w:rFonts w:ascii="Times New Roman" w:eastAsia="宋体" w:hAnsi="Times New Roman" w:cs="Times New Roman"/>
          <w:b/>
          <w:bCs/>
          <w:kern w:val="0"/>
          <w:sz w:val="22"/>
        </w:rPr>
        <w:t>Comorbidity</w:t>
      </w:r>
      <w:proofErr w:type="spellEnd"/>
      <w:r>
        <w:rPr>
          <w:rFonts w:ascii="Times New Roman" w:eastAsia="宋体" w:hAnsi="Times New Roman" w:cs="Times New Roman"/>
          <w:b/>
          <w:bCs/>
          <w:kern w:val="0"/>
          <w:sz w:val="22"/>
        </w:rPr>
        <w:t xml:space="preserve"> Patterns</w:t>
      </w:r>
    </w:p>
    <w:p w:rsidR="00AC2550" w:rsidRDefault="004B3AC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/>
          <w:kern w:val="0"/>
          <w:sz w:val="22"/>
        </w:rPr>
        <w:t xml:space="preserve">The added prognostic value of </w:t>
      </w:r>
      <w:proofErr w:type="spellStart"/>
      <w:r>
        <w:rPr>
          <w:rFonts w:ascii="Times New Roman" w:eastAsia="宋体" w:hAnsi="Times New Roman" w:cs="Times New Roman"/>
          <w:kern w:val="0"/>
          <w:sz w:val="22"/>
        </w:rPr>
        <w:t>comorbidity</w:t>
      </w:r>
      <w:proofErr w:type="spellEnd"/>
      <w:r>
        <w:rPr>
          <w:rFonts w:ascii="Times New Roman" w:eastAsia="宋体" w:hAnsi="Times New Roman" w:cs="Times New Roman"/>
          <w:kern w:val="0"/>
          <w:sz w:val="22"/>
        </w:rPr>
        <w:t xml:space="preserve"> patterns was evaluated by comparing Model 2 and Model 3, which differ only by the inclusion of </w:t>
      </w:r>
      <m:oMath>
        <m:sSub>
          <m:sSubPr>
            <m:ctrlPr>
              <w:rPr>
                <w:rFonts w:ascii="Cambria Math" w:eastAsia="宋体" w:hAnsi="Cambria Math" w:cs="Times New Roman"/>
                <w:kern w:val="0"/>
                <w:sz w:val="22"/>
              </w:rPr>
            </m:ctrlPr>
          </m:sSubPr>
          <m:e>
            <m:r>
              <m:rPr>
                <m:nor/>
              </m:rPr>
              <w:rPr>
                <w:rFonts w:ascii="Times New Roman" w:eastAsia="宋体" w:hAnsi="Times New Roman" w:cs="Times New Roman"/>
                <w:b/>
                <w:kern w:val="0"/>
                <w:sz w:val="22"/>
              </w:rPr>
              <m:t>C</m:t>
            </m:r>
          </m:e>
          <m:sub>
            <w:proofErr w:type="spellStart"/>
            <m:r>
              <m:rPr>
                <m:nor/>
              </m:rPr>
              <w:rPr>
                <w:rFonts w:ascii="Times New Roman" w:eastAsia="宋体" w:hAnsi="Times New Roman" w:cs="Times New Roman"/>
                <w:i/>
                <w:kern w:val="0"/>
                <w:sz w:val="22"/>
              </w:rPr>
              <m:t>i</m:t>
            </m:r>
            <w:proofErr w:type="spellEnd"/>
          </m:sub>
        </m:sSub>
      </m:oMath>
      <w:r>
        <w:rPr>
          <w:rFonts w:ascii="Times New Roman" w:eastAsia="宋体" w:hAnsi="Times New Roman" w:cs="Times New Roman"/>
          <w:kern w:val="0"/>
          <w:sz w:val="22"/>
        </w:rPr>
        <w:t>. Since the models are nested, improvement in fit was assessed using the likelihood ratio test (LRT):</w:t>
      </w:r>
    </w:p>
    <w:p w:rsidR="00AC2550" w:rsidRDefault="00AC2550">
      <w:pPr>
        <w:widowControl/>
        <w:spacing w:line="360" w:lineRule="auto"/>
        <w:rPr>
          <w:rFonts w:ascii="Times New Roman" w:eastAsia="宋体" w:hAnsi="Times New Roman" w:cs="Times New Roman"/>
          <w:kern w:val="0"/>
          <w:sz w:val="22"/>
        </w:rPr>
      </w:pPr>
      <m:oMathPara>
        <m:oMath>
          <m:sSup>
            <m:sSupPr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sSupPr>
            <m:e>
              <m:r>
                <m:rPr>
                  <m:nor/>
                </m:rPr>
                <w:rPr>
                  <w:rFonts w:ascii="Times New Roman" w:eastAsia="宋体" w:hAnsi="Times New Roman" w:cs="Times New Roman"/>
                  <w:i/>
                  <w:kern w:val="0"/>
                  <w:sz w:val="22"/>
                </w:rPr>
                <m:t>χ</m:t>
              </m:r>
            </m:e>
            <m:sup>
              <m:r>
                <m:rPr>
                  <m:nor/>
                </m:rPr>
                <w:rPr>
                  <w:rFonts w:ascii="Times New Roman" w:eastAsia="宋体" w:hAnsi="Times New Roman" w:cs="Times New Roman"/>
                  <w:kern w:val="0"/>
                  <w:sz w:val="22"/>
                </w:rPr>
                <m:t>2</m:t>
              </m:r>
            </m:sup>
          </m:sSup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m:t>=-2</m:t>
          </m:r>
          <m:d>
            <m:dPr>
              <m:sepChr m:val="−"/>
              <m:ctrlPr>
                <w:rPr>
                  <w:rFonts w:ascii="Cambria Math" w:eastAsia="宋体" w:hAnsi="Cambria Math" w:cs="Times New Roman"/>
                  <w:kern w:val="0"/>
                  <w:sz w:val="22"/>
                </w:rPr>
              </m:ctrlPr>
            </m:dPr>
            <m:e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MS Mincho" w:hAnsi="Times New Roman" w:cs="MS Mincho"/>
                      <w:kern w:val="0"/>
                      <w:sz w:val="22"/>
                    </w:rPr>
                    <m:t>l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kern w:val="0"/>
                      <w:sz w:val="22"/>
                    </w:rPr>
                    <m:t>Model 2</m:t>
                  </m:r>
                </m:sub>
              </m:sSub>
            </m:e>
            <m:e>
              <m:sSub>
                <m:sSubPr>
                  <m:ctrlPr>
                    <w:rPr>
                      <w:rFonts w:ascii="Cambria Math" w:eastAsia="宋体" w:hAnsi="Cambria Math" w:cs="Times New Roman"/>
                      <w:kern w:val="0"/>
                      <w:sz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MS Mincho" w:hAnsi="Times New Roman" w:cs="MS Mincho"/>
                      <w:kern w:val="0"/>
                      <w:sz w:val="22"/>
                    </w:rPr>
                    <m:t>l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宋体" w:hAnsi="Times New Roman" w:cs="Times New Roman"/>
                      <w:kern w:val="0"/>
                      <w:sz w:val="22"/>
                    </w:rPr>
                    <m:t>Model 3</m:t>
                  </m:r>
                </m:sub>
              </m:sSub>
            </m:e>
          </m:d>
          <m:r>
            <m:rPr>
              <m:nor/>
            </m:rPr>
            <w:rPr>
              <w:rFonts w:ascii="Times New Roman" w:eastAsia="宋体" w:hAnsi="Times New Roman" w:cs="Times New Roman"/>
              <w:kern w:val="0"/>
              <w:sz w:val="22"/>
            </w:rPr>
            <w:br/>
          </m:r>
        </m:oMath>
      </m:oMathPara>
    </w:p>
    <w:p w:rsidR="00AC2550" w:rsidRDefault="004B3AC2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  <w:proofErr w:type="gramStart"/>
      <w:r>
        <w:rPr>
          <w:rFonts w:ascii="Times New Roman" w:eastAsia="宋体" w:hAnsi="Times New Roman" w:cs="Times New Roman"/>
          <w:kern w:val="0"/>
          <w:sz w:val="22"/>
        </w:rPr>
        <w:t>where</w:t>
      </w:r>
      <w:proofErr w:type="gramEnd"/>
      <w:r>
        <w:rPr>
          <w:rFonts w:ascii="Times New Roman" w:eastAsia="宋体" w:hAnsi="Times New Roman" w:cs="Times New Roman"/>
          <w:kern w:val="0"/>
          <w:sz w:val="22"/>
        </w:rPr>
        <w:t xml:space="preserve"> </w:t>
      </w:r>
      <m:oMath>
        <m:r>
          <m:rPr>
            <m:nor/>
          </m:rPr>
          <w:rPr>
            <w:rFonts w:ascii="Times New Roman" w:eastAsia="MS Mincho" w:hAnsi="Times New Roman" w:cs="MS Mincho"/>
            <w:kern w:val="0"/>
            <w:sz w:val="22"/>
          </w:rPr>
          <m:t>l</m:t>
        </m:r>
      </m:oMath>
      <w:r w:rsidR="00DB7C52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kern w:val="0"/>
          <w:sz w:val="22"/>
        </w:rPr>
        <w:t>denotes the log-likelihood. For the binary readmission outcome, changes in discrimination were further quantified by comparing the area under the receiver operating characteristic curve (AUC).</w:t>
      </w: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Default="00AC2550">
      <w:pPr>
        <w:widowControl/>
        <w:spacing w:before="100" w:beforeAutospacing="1" w:after="100" w:afterAutospacing="1" w:line="360" w:lineRule="auto"/>
        <w:rPr>
          <w:rFonts w:ascii="Times New Roman" w:eastAsia="宋体" w:hAnsi="Times New Roman" w:cs="Times New Roman"/>
          <w:kern w:val="0"/>
          <w:sz w:val="22"/>
        </w:rPr>
      </w:pPr>
    </w:p>
    <w:p w:rsidR="00AC2550" w:rsidRPr="00DB7C52" w:rsidRDefault="004B3AC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proofErr w:type="gramStart"/>
      <w:r w:rsidRPr="00DB7C52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lastRenderedPageBreak/>
        <w:t xml:space="preserve">Material </w:t>
      </w:r>
      <w:r w:rsidRPr="00DB7C52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S4.</w:t>
      </w:r>
      <w:proofErr w:type="gramEnd"/>
      <w:r w:rsidR="00DB7C52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Pr="00DB7C52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Attribution Analysis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To quantify the impact of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on healthcare burden at the population level and compare the relative importance of different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patterns, two types of attribution analyses were conducted.</w:t>
      </w:r>
    </w:p>
    <w:p w:rsidR="00AC2550" w:rsidRDefault="004B3AC2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(1) Population-Level Attribution of </w:t>
      </w:r>
      <w:proofErr w:type="spellStart"/>
      <w:r>
        <w:rPr>
          <w:rFonts w:ascii="Times New Roman" w:hAnsi="Times New Roman" w:cs="Times New Roman"/>
          <w:b/>
          <w:bCs/>
          <w:sz w:val="22"/>
        </w:rPr>
        <w:t>Comorbidity</w:t>
      </w:r>
      <w:proofErr w:type="spellEnd"/>
      <w:r>
        <w:rPr>
          <w:rFonts w:ascii="Times New Roman" w:hAnsi="Times New Roman" w:cs="Times New Roman"/>
          <w:b/>
          <w:bCs/>
          <w:sz w:val="22"/>
        </w:rPr>
        <w:t xml:space="preserve"> Burden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This study calculated the population </w:t>
      </w:r>
      <w:proofErr w:type="gramStart"/>
      <w:r>
        <w:rPr>
          <w:rFonts w:ascii="Times New Roman" w:hAnsi="Times New Roman" w:cs="Times New Roman"/>
          <w:sz w:val="22"/>
        </w:rPr>
        <w:t>attributable</w:t>
      </w:r>
      <w:proofErr w:type="gramEnd"/>
      <w:r>
        <w:rPr>
          <w:rFonts w:ascii="Times New Roman" w:hAnsi="Times New Roman" w:cs="Times New Roman"/>
          <w:sz w:val="22"/>
        </w:rPr>
        <w:t xml:space="preserve"> fraction (PAF) for readmission and the population attributable mean fraction (PAMF) for length of stay (LOS) and hospitalization cost. The goal was to estimate, under a theoretical scenario, the proportion of avoidable readmissions or reduced healthcare resource consumption if the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burden were eliminated (i.e., if the age-adjusted </w:t>
      </w:r>
      <w:proofErr w:type="spellStart"/>
      <w:r>
        <w:rPr>
          <w:rFonts w:ascii="Times New Roman" w:hAnsi="Times New Roman" w:cs="Times New Roman"/>
          <w:sz w:val="22"/>
        </w:rPr>
        <w:t>Charlson</w:t>
      </w:r>
      <w:proofErr w:type="spellEnd"/>
      <w:r>
        <w:rPr>
          <w:rFonts w:ascii="Times New Roman" w:hAnsi="Times New Roman" w:cs="Times New Roman"/>
          <w:sz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Index [ACCI] were reduced to 0) for all patients.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Calculation Method</w:t>
      </w:r>
      <w:proofErr w:type="gramStart"/>
      <w:r>
        <w:rPr>
          <w:rFonts w:ascii="Times New Roman" w:hAnsi="Times New Roman" w:cs="Times New Roman"/>
          <w:b/>
          <w:bCs/>
          <w:sz w:val="22"/>
        </w:rPr>
        <w:t>:</w:t>
      </w:r>
      <w:proofErr w:type="gramEnd"/>
      <w:r>
        <w:rPr>
          <w:rFonts w:ascii="Times New Roman" w:hAnsi="Times New Roman" w:cs="Times New Roman"/>
          <w:sz w:val="22"/>
        </w:rPr>
        <w:br/>
        <w:t>This analysis was based on the final "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 model" (Model 3). First, the predicted outcomes for each individual were calculated under the actual conditions. Then, under the counterfactual scenario, each individual's ACCI value was set to 0 while keeping the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patterns and other covariates unchanged, and their predicted outcomes were recalculated.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30-Day Readmission (Binary Outcome)</w:t>
      </w:r>
      <w:proofErr w:type="gramStart"/>
      <w:r>
        <w:rPr>
          <w:rFonts w:ascii="Times New Roman" w:hAnsi="Times New Roman" w:cs="Times New Roman"/>
          <w:b/>
          <w:bCs/>
          <w:sz w:val="22"/>
        </w:rPr>
        <w:t>:</w:t>
      </w:r>
      <w:proofErr w:type="gramEnd"/>
      <w:r>
        <w:rPr>
          <w:rFonts w:ascii="Times New Roman" w:hAnsi="Times New Roman" w:cs="Times New Roman"/>
          <w:sz w:val="22"/>
        </w:rPr>
        <w:br/>
        <w:t>The population attributable fraction (PAF) was calculated as: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sz w:val="22"/>
            </w:rPr>
            <m:t>PAF=</m:t>
          </m:r>
          <m:f>
            <m:fPr>
              <m:ctrlPr>
                <w:rPr>
                  <w:rFonts w:ascii="Cambria Math" w:hAnsi="Cambria Math" w:cs="Times New Roman"/>
                  <w:sz w:val="22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</w:rPr>
                <m:t>Observed Event Rate-Counterfactual Event Rate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</w:rPr>
                <m:t>Observed Event Rate</m:t>
              </m:r>
            </m:den>
          </m:f>
        </m:oMath>
      </m:oMathPara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Length of Stay and Hospitalization Cost (Continuous Outcomes)</w:t>
      </w:r>
      <w:proofErr w:type="gramStart"/>
      <w:r>
        <w:rPr>
          <w:rFonts w:ascii="Times New Roman" w:hAnsi="Times New Roman" w:cs="Times New Roman"/>
          <w:b/>
          <w:bCs/>
          <w:sz w:val="22"/>
        </w:rPr>
        <w:t>:</w:t>
      </w:r>
      <w:proofErr w:type="gramEnd"/>
      <w:r>
        <w:rPr>
          <w:rFonts w:ascii="Times New Roman" w:hAnsi="Times New Roman" w:cs="Times New Roman"/>
          <w:sz w:val="22"/>
        </w:rPr>
        <w:br/>
        <w:t>The population attributable mean fraction (PAMF) was calculated as: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sz w:val="22"/>
            </w:rPr>
            <m:t>PAMF=</m:t>
          </m:r>
          <m:f>
            <m:fPr>
              <m:ctrlPr>
                <w:rPr>
                  <w:rFonts w:ascii="Cambria Math" w:hAnsi="Cambria Math" w:cs="Times New Roman"/>
                  <w:sz w:val="22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</w:rPr>
                <m:t>Observed Mean-Counterfactual Mean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2"/>
                </w:rPr>
                <m:t>Observed Mean</m:t>
              </m:r>
            </m:den>
          </m:f>
          <m:r>
            <m:rPr>
              <m:nor/>
            </m:rPr>
            <w:rPr>
              <w:rFonts w:ascii="Times New Roman" w:hAnsi="Times New Roman" w:cs="Times New Roman"/>
              <w:sz w:val="22"/>
            </w:rPr>
            <w:br/>
          </m:r>
        </m:oMath>
      </m:oMathPara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Uncertainty for the PAF/PAMF estimates was quantified using a nonparametric bootstrap method with 5,000 </w:t>
      </w:r>
      <w:proofErr w:type="spellStart"/>
      <w:r>
        <w:rPr>
          <w:rFonts w:ascii="Times New Roman" w:hAnsi="Times New Roman" w:cs="Times New Roman"/>
          <w:sz w:val="22"/>
        </w:rPr>
        <w:t>resamples</w:t>
      </w:r>
      <w:proofErr w:type="spellEnd"/>
      <w:r>
        <w:rPr>
          <w:rFonts w:ascii="Times New Roman" w:hAnsi="Times New Roman" w:cs="Times New Roman"/>
          <w:sz w:val="22"/>
        </w:rPr>
        <w:t xml:space="preserve">. The 95% confidence intervals for PAF/PAMF were derived from the distribution of the bootstrap </w:t>
      </w:r>
      <w:proofErr w:type="spellStart"/>
      <w:r>
        <w:rPr>
          <w:rFonts w:ascii="Times New Roman" w:hAnsi="Times New Roman" w:cs="Times New Roman"/>
          <w:sz w:val="22"/>
        </w:rPr>
        <w:t>resamples</w:t>
      </w:r>
      <w:proofErr w:type="spellEnd"/>
      <w:r>
        <w:rPr>
          <w:rFonts w:ascii="Times New Roman" w:hAnsi="Times New Roman" w:cs="Times New Roman"/>
          <w:sz w:val="22"/>
        </w:rPr>
        <w:t>.</w:t>
      </w:r>
    </w:p>
    <w:p w:rsidR="00AC2550" w:rsidRDefault="004B3AC2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(2) Attribution Contribution of </w:t>
      </w:r>
      <w:proofErr w:type="spellStart"/>
      <w:r>
        <w:rPr>
          <w:rFonts w:ascii="Times New Roman" w:hAnsi="Times New Roman" w:cs="Times New Roman"/>
          <w:b/>
          <w:bCs/>
          <w:sz w:val="22"/>
        </w:rPr>
        <w:t>Comorbidity</w:t>
      </w:r>
      <w:proofErr w:type="spellEnd"/>
      <w:r>
        <w:rPr>
          <w:rFonts w:ascii="Times New Roman" w:hAnsi="Times New Roman" w:cs="Times New Roman"/>
          <w:b/>
          <w:bCs/>
          <w:sz w:val="22"/>
        </w:rPr>
        <w:t xml:space="preserve"> Patterns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To compare the relative impact of the nine data-driven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patterns on healthcare </w:t>
      </w:r>
      <w:r>
        <w:rPr>
          <w:rFonts w:ascii="Times New Roman" w:hAnsi="Times New Roman" w:cs="Times New Roman"/>
          <w:sz w:val="22"/>
        </w:rPr>
        <w:lastRenderedPageBreak/>
        <w:t xml:space="preserve">outcomes, we calculated the attribution fraction for each pattern. The goal was to quantify the "net contribution" of the presence of each specific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 to the overall healthcare burden at the population level.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Calculation Method</w:t>
      </w:r>
      <w:proofErr w:type="gramStart"/>
      <w:r>
        <w:rPr>
          <w:rFonts w:ascii="Times New Roman" w:hAnsi="Times New Roman" w:cs="Times New Roman"/>
          <w:b/>
          <w:bCs/>
          <w:sz w:val="22"/>
        </w:rPr>
        <w:t>:</w:t>
      </w:r>
      <w:proofErr w:type="gramEnd"/>
      <w:r>
        <w:rPr>
          <w:rFonts w:ascii="Times New Roman" w:hAnsi="Times New Roman" w:cs="Times New Roman"/>
          <w:sz w:val="22"/>
        </w:rPr>
        <w:br/>
        <w:t xml:space="preserve">This analysis was also based on Model 3. Counterfactual scenarios were constructed for each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 (Community).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Real Scenario: 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The predicted values were calculated using the model's original parameters and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patterns.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proofErr w:type="gramStart"/>
      <w:r>
        <w:rPr>
          <w:rFonts w:ascii="Times New Roman" w:hAnsi="Times New Roman" w:cs="Times New Roman"/>
          <w:sz w:val="22"/>
        </w:rPr>
        <w:t>Counterfactual  Scenario</w:t>
      </w:r>
      <w:proofErr w:type="gramEnd"/>
      <w:r>
        <w:rPr>
          <w:rFonts w:ascii="Times New Roman" w:hAnsi="Times New Roman" w:cs="Times New Roman"/>
          <w:sz w:val="22"/>
        </w:rPr>
        <w:t>: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In the counterfactual scenario, we assumed that none of the individuals in the cohort had the diseases represented by the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 in question. For example, when calculating the attribution fraction for Community 1, the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 variable for all individuals identified as belonging to Community 1 was </w:t>
      </w:r>
      <w:proofErr w:type="spellStart"/>
      <w:r>
        <w:rPr>
          <w:rFonts w:ascii="Times New Roman" w:hAnsi="Times New Roman" w:cs="Times New Roman"/>
          <w:sz w:val="22"/>
        </w:rPr>
        <w:t>recoded</w:t>
      </w:r>
      <w:proofErr w:type="spellEnd"/>
      <w:r>
        <w:rPr>
          <w:rFonts w:ascii="Times New Roman" w:hAnsi="Times New Roman" w:cs="Times New Roman"/>
          <w:sz w:val="22"/>
        </w:rPr>
        <w:t xml:space="preserve"> as “missing” or “reference group,” while keeping their ACCI scores and other covariates unchanged. The predicted values were recalculated under this modified scenario.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The attribution fraction for a specific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 (e.g., Community 1) was calculated as: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m:oMath>
        <m:r>
          <m:rPr>
            <m:nor/>
          </m:rPr>
          <w:rPr>
            <w:rFonts w:ascii="Times New Roman" w:hAnsi="Times New Roman" w:cs="Times New Roman"/>
            <w:sz w:val="22"/>
          </w:rPr>
          <m:t>Attribution Fraction=</m:t>
        </m:r>
        <m:f>
          <m:fPr>
            <m:ctrlPr>
              <w:rPr>
                <w:rFonts w:ascii="Cambria Math" w:hAnsi="Cambria Math" w:cs="Times New Roman"/>
                <w:sz w:val="22"/>
              </w:rPr>
            </m:ctrlPr>
          </m:fPr>
          <m:num>
            <m:r>
              <m:rPr>
                <m:nor/>
              </m:rPr>
              <w:rPr>
                <w:rFonts w:ascii="Times New Roman" w:hAnsi="Times New Roman" w:cs="Times New Roman"/>
                <w:sz w:val="22"/>
              </w:rPr>
              <m:t>Predicted Mean in Real Scenario-Predicted Mean in Counterfactual Scenario (Removing Community 1)</m:t>
            </m:r>
          </m:num>
          <m:den>
            <m:r>
              <m:rPr>
                <m:nor/>
              </m:rPr>
              <w:rPr>
                <w:rFonts w:ascii="Times New Roman" w:hAnsi="Times New Roman" w:cs="Times New Roman"/>
                <w:sz w:val="22"/>
              </w:rPr>
              <m:t>Predicted Mean in Real Scenario</m:t>
            </m:r>
          </m:den>
        </m:f>
      </m:oMath>
      <w:r>
        <w:rPr>
          <w:rFonts w:ascii="Times New Roman" w:hAnsi="Times New Roman" w:cs="Times New Roman"/>
          <w:sz w:val="22"/>
        </w:rPr>
        <w:t xml:space="preserve"> 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A positive attribution fraction indicates that the </w:t>
      </w:r>
      <w:proofErr w:type="spellStart"/>
      <w:r>
        <w:rPr>
          <w:rFonts w:ascii="Times New Roman" w:hAnsi="Times New Roman" w:cs="Times New Roman"/>
          <w:sz w:val="22"/>
        </w:rPr>
        <w:t>comorbidity</w:t>
      </w:r>
      <w:proofErr w:type="spellEnd"/>
      <w:r>
        <w:rPr>
          <w:rFonts w:ascii="Times New Roman" w:hAnsi="Times New Roman" w:cs="Times New Roman"/>
          <w:sz w:val="22"/>
        </w:rPr>
        <w:t xml:space="preserve"> pattern contributes to a worse outcome (i.e., increasing the burden), while a negative attribution fraction indicates a protective effect (i.e., reducing the burden).</w:t>
      </w:r>
    </w:p>
    <w:p w:rsidR="00AC2550" w:rsidRDefault="004B3AC2">
      <w:p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The sum of the attribution fractions for all patterns should theoretically be close to the overall PAF/PAMF for ACCI.</w:t>
      </w:r>
    </w:p>
    <w:p w:rsidR="00AC2550" w:rsidRDefault="00AC2550">
      <w:pPr>
        <w:spacing w:line="360" w:lineRule="auto"/>
        <w:rPr>
          <w:rFonts w:ascii="Times New Roman" w:hAnsi="Times New Roman" w:cs="Times New Roman" w:hint="eastAsia"/>
          <w:sz w:val="22"/>
        </w:rPr>
      </w:pPr>
    </w:p>
    <w:p w:rsidR="00DB7C52" w:rsidRDefault="00DB7C52">
      <w:pPr>
        <w:spacing w:line="360" w:lineRule="auto"/>
        <w:rPr>
          <w:rFonts w:ascii="Times New Roman" w:hAnsi="Times New Roman" w:cs="Times New Roman" w:hint="eastAsia"/>
          <w:sz w:val="22"/>
        </w:rPr>
      </w:pPr>
    </w:p>
    <w:p w:rsidR="00DB7C52" w:rsidRDefault="00DB7C52">
      <w:pPr>
        <w:spacing w:line="360" w:lineRule="auto"/>
        <w:rPr>
          <w:rFonts w:ascii="Times New Roman" w:hAnsi="Times New Roman" w:cs="Times New Roman" w:hint="eastAsia"/>
          <w:sz w:val="22"/>
        </w:rPr>
      </w:pPr>
    </w:p>
    <w:p w:rsidR="00DB7C52" w:rsidRDefault="00DB7C52">
      <w:pPr>
        <w:spacing w:line="360" w:lineRule="auto"/>
        <w:rPr>
          <w:rFonts w:ascii="Times New Roman" w:hAnsi="Times New Roman" w:cs="Times New Roman" w:hint="eastAsia"/>
          <w:sz w:val="22"/>
        </w:rPr>
      </w:pPr>
    </w:p>
    <w:p w:rsidR="00DB7C52" w:rsidRDefault="00DB7C52">
      <w:pPr>
        <w:spacing w:line="360" w:lineRule="auto"/>
        <w:rPr>
          <w:rFonts w:ascii="Times New Roman" w:hAnsi="Times New Roman" w:cs="Times New Roman" w:hint="eastAsia"/>
          <w:sz w:val="22"/>
        </w:rPr>
      </w:pPr>
    </w:p>
    <w:p w:rsidR="00DB7C52" w:rsidRDefault="00DB7C52" w:rsidP="00DB7C52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Figure S1.  Study Flow Diagram</w:t>
      </w:r>
    </w:p>
    <w:p w:rsidR="00DB7C52" w:rsidRDefault="00DB7C52" w:rsidP="00DB7C52">
      <w:pPr>
        <w:widowControl/>
        <w:jc w:val="left"/>
        <w:rPr>
          <w:rFonts w:ascii="Times New Roman" w:hAnsi="Times New Roman" w:cs="Times New Roman"/>
          <w:b/>
          <w:bCs/>
          <w:sz w:val="22"/>
          <w:szCs w:val="28"/>
        </w:rPr>
      </w:pPr>
    </w:p>
    <w:p w:rsidR="00DB7C52" w:rsidRDefault="00DB7C52" w:rsidP="00DB7C52">
      <w:pPr>
        <w:widowControl/>
        <w:jc w:val="left"/>
        <w:rPr>
          <w:rFonts w:ascii="Times New Roman" w:hAnsi="Times New Roman" w:cs="Times New Roman"/>
          <w:b/>
          <w:bCs/>
          <w:sz w:val="22"/>
          <w:szCs w:val="28"/>
        </w:rPr>
      </w:pPr>
    </w:p>
    <w:p w:rsidR="00DB7C52" w:rsidRDefault="00DB7C52" w:rsidP="00DB7C52">
      <w:pPr>
        <w:widowControl/>
        <w:jc w:val="left"/>
        <w:rPr>
          <w:rFonts w:ascii="Times New Roman" w:hAnsi="Times New Roman" w:cs="Times New Roman"/>
          <w:b/>
          <w:bCs/>
          <w:sz w:val="22"/>
          <w:szCs w:val="28"/>
        </w:rPr>
      </w:pPr>
    </w:p>
    <w:p w:rsidR="00DB7C52" w:rsidRDefault="00DB7C52" w:rsidP="00DB7C52">
      <w:pPr>
        <w:widowControl/>
        <w:jc w:val="left"/>
        <w:rPr>
          <w:rFonts w:ascii="Times New Roman" w:hAnsi="Times New Roman" w:cs="Times New Roman"/>
          <w:b/>
          <w:bCs/>
          <w:sz w:val="22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2"/>
          <w:szCs w:val="28"/>
        </w:rPr>
        <w:drawing>
          <wp:inline distT="0" distB="0" distL="114300" distR="114300">
            <wp:extent cx="5268595" cy="7117080"/>
            <wp:effectExtent l="0" t="0" r="1905" b="7620"/>
            <wp:docPr id="1" name="图片 2" descr="2a07ae10-86ed-4d2d-b956-6640bbd439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a07ae10-86ed-4d2d-b956-6640bbd4390e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1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C52" w:rsidRDefault="00DB7C52" w:rsidP="00DB7C52">
      <w:pPr>
        <w:widowControl/>
        <w:jc w:val="left"/>
        <w:rPr>
          <w:rFonts w:ascii="Times New Roman" w:hAnsi="Times New Roman" w:cs="Times New Roman"/>
          <w:b/>
          <w:bCs/>
          <w:sz w:val="22"/>
          <w:szCs w:val="28"/>
        </w:rPr>
      </w:pPr>
    </w:p>
    <w:p w:rsidR="00DB7C52" w:rsidRDefault="00DB7C52" w:rsidP="00DB7C52">
      <w:pPr>
        <w:widowControl/>
        <w:jc w:val="left"/>
        <w:rPr>
          <w:rFonts w:ascii="Times New Roman" w:hAnsi="Times New Roman" w:cs="Times New Roman"/>
          <w:b/>
          <w:bCs/>
          <w:sz w:val="22"/>
          <w:szCs w:val="28"/>
        </w:rPr>
      </w:pPr>
    </w:p>
    <w:p w:rsidR="00DB7C52" w:rsidRDefault="00DB7C52" w:rsidP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  <w:sectPr w:rsidR="00DB7C5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B7C52" w:rsidRPr="00DB7C52" w:rsidRDefault="00DB7C52" w:rsidP="00DB7C5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7C52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S2.</w:t>
      </w:r>
      <w:r w:rsidRPr="00DB7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DB7C52">
        <w:rPr>
          <w:rFonts w:ascii="Times New Roman" w:hAnsi="Times New Roman" w:cs="Times New Roman"/>
          <w:b/>
          <w:bCs/>
          <w:sz w:val="24"/>
          <w:szCs w:val="24"/>
        </w:rPr>
        <w:t>Rectangular tree diagram of disease distribution among inpatients</w:t>
      </w:r>
    </w:p>
    <w:p w:rsidR="00DB7C52" w:rsidRDefault="00DB7C52" w:rsidP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  <w:sectPr w:rsidR="00DB7C5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noProof/>
          <w:sz w:val="22"/>
        </w:rPr>
        <w:drawing>
          <wp:inline distT="0" distB="0" distL="114300" distR="114300">
            <wp:extent cx="9023985" cy="4556125"/>
            <wp:effectExtent l="0" t="0" r="5715" b="0"/>
            <wp:docPr id="3" name="图片 4" descr="652b37a4-9949-4eaf-ba3b-dde2e70093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52b37a4-9949-4eaf-ba3b-dde2e70093b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 t="3296"/>
                    <a:stretch>
                      <a:fillRect/>
                    </a:stretch>
                  </pic:blipFill>
                  <pic:spPr>
                    <a:xfrm>
                      <a:off x="0" y="0"/>
                      <a:ext cx="9056446" cy="4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C52" w:rsidRDefault="00DB7C52" w:rsidP="00DB7C52">
      <w:pPr>
        <w:rPr>
          <w:rFonts w:ascii="Times New Roman" w:eastAsia="宋体" w:hAnsi="Times New Roman" w:cs="Times New Roman"/>
          <w:b/>
          <w:bCs/>
          <w:sz w:val="24"/>
          <w:szCs w:val="32"/>
        </w:rPr>
      </w:pPr>
      <w:r>
        <w:rPr>
          <w:rFonts w:ascii="Times New Roman" w:eastAsia="宋体" w:hAnsi="Times New Roman" w:cs="Times New Roman"/>
          <w:b/>
          <w:bCs/>
          <w:sz w:val="24"/>
          <w:szCs w:val="32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b/>
          <w:bCs/>
          <w:sz w:val="24"/>
          <w:szCs w:val="32"/>
        </w:rPr>
        <w:t>S2. Classification of Disease Patterns Using Louvain Community Detection Algorithm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2"/>
        <w:gridCol w:w="6709"/>
      </w:tblGrid>
      <w:tr w:rsidR="00DB7C52" w:rsidTr="00CE5A63">
        <w:trPr>
          <w:trHeight w:val="567"/>
        </w:trPr>
        <w:tc>
          <w:tcPr>
            <w:tcW w:w="1472" w:type="dxa"/>
            <w:tcBorders>
              <w:bottom w:val="single" w:sz="4" w:space="0" w:color="auto"/>
            </w:tcBorders>
            <w:vAlign w:val="center"/>
          </w:tcPr>
          <w:p w:rsidR="00DB7C52" w:rsidRDefault="00DB7C52" w:rsidP="00CE5A63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</w:rPr>
              <w:t>Category</w:t>
            </w:r>
          </w:p>
        </w:tc>
        <w:tc>
          <w:tcPr>
            <w:tcW w:w="6709" w:type="dxa"/>
            <w:tcBorders>
              <w:bottom w:val="single" w:sz="4" w:space="0" w:color="auto"/>
            </w:tcBorders>
            <w:vAlign w:val="center"/>
          </w:tcPr>
          <w:p w:rsidR="00DB7C52" w:rsidRDefault="00DB7C52" w:rsidP="00CE5A63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</w:rPr>
              <w:t>Disease</w:t>
            </w:r>
          </w:p>
        </w:tc>
      </w:tr>
      <w:tr w:rsidR="00DB7C52" w:rsidTr="00DB7C52">
        <w:tc>
          <w:tcPr>
            <w:tcW w:w="1472" w:type="dxa"/>
            <w:tcBorders>
              <w:top w:val="single" w:sz="4" w:space="0" w:color="auto"/>
            </w:tcBorders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Community1</w:t>
            </w:r>
          </w:p>
        </w:tc>
        <w:tc>
          <w:tcPr>
            <w:tcW w:w="6709" w:type="dxa"/>
            <w:tcBorders>
              <w:top w:val="single" w:sz="4" w:space="0" w:color="auto"/>
            </w:tcBorders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A41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B90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C15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C34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I26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I27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I31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I80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I82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I83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I87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J15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J18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J20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J42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J43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J44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J45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J46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J47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J60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J62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J84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J85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J86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J93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J94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J96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J98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M33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R09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R57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R59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R91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R04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D86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A16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J92</w:t>
            </w:r>
          </w:p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DB7C52" w:rsidTr="00DB7C52">
        <w:tc>
          <w:tcPr>
            <w:tcW w:w="1472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Community2</w:t>
            </w:r>
          </w:p>
        </w:tc>
        <w:tc>
          <w:tcPr>
            <w:tcW w:w="6709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A49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B18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B49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C16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C18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C20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C22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C24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C25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C50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C56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C77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C78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C79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C80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D12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D18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D62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D68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D73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E46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E77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I84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J40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K20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K21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K22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K25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K26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K29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K31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K35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K36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K44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K51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K52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K55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K56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K57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K59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K60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K62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K63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K65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K70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K72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K74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K75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K76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K80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K81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K82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K83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K85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K86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K92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M13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N60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R16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R18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R93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R94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Z51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Z85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Z90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Z98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Z53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B16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N63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Z22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N94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T81</w:t>
            </w:r>
          </w:p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DB7C52" w:rsidTr="00DB7C52">
        <w:tc>
          <w:tcPr>
            <w:tcW w:w="1472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Community3</w:t>
            </w:r>
          </w:p>
        </w:tc>
        <w:tc>
          <w:tcPr>
            <w:tcW w:w="6709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B34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C53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C54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D25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D50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D64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D69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D70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K66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N70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N71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N72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N73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N80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N81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N83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N84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N85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N87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N93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N95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Z87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N76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Z92</w:t>
            </w:r>
          </w:p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DB7C52" w:rsidTr="00DB7C52">
        <w:tc>
          <w:tcPr>
            <w:tcW w:w="1472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Community4</w:t>
            </w:r>
          </w:p>
        </w:tc>
        <w:tc>
          <w:tcPr>
            <w:tcW w:w="6709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C61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C64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C67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I86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K40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N13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N17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N19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N20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N21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N28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N30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N31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N32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N35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N39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N40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N41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N43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N45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N50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R33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R77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Z93</w:t>
            </w:r>
          </w:p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DB7C52" w:rsidTr="00DB7C52">
        <w:tc>
          <w:tcPr>
            <w:tcW w:w="1472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Community5</w:t>
            </w:r>
          </w:p>
        </w:tc>
        <w:tc>
          <w:tcPr>
            <w:tcW w:w="6709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C73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E03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E04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E05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E06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E07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G56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G62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M05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M06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M15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M17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M19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M21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M23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M25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M35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M41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M43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M47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M48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M50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M51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M54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M65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M75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M79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M80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M81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M84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S22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E55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M71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M24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T91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S32</w:t>
            </w:r>
          </w:p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DB7C52" w:rsidTr="00DB7C52">
        <w:tc>
          <w:tcPr>
            <w:tcW w:w="1472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Community6</w:t>
            </w:r>
          </w:p>
        </w:tc>
        <w:tc>
          <w:tcPr>
            <w:tcW w:w="6709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C90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C92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D61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E10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E11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E21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E23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E27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E83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E87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E88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H35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I15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J06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K71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L08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M31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M32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M87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N03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N04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N05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N10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N18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N25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Z49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Z96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M89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B02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E02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E13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H26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Z54</w:t>
            </w:r>
          </w:p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DB7C52" w:rsidTr="00DB7C52">
        <w:tc>
          <w:tcPr>
            <w:tcW w:w="1472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Community7</w:t>
            </w:r>
          </w:p>
        </w:tc>
        <w:tc>
          <w:tcPr>
            <w:tcW w:w="6709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D35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E14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E16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E53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E72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E78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E79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F06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F41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F45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G20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G24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G31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G37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G40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G45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G47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G50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G51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G81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G91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G93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H81</w:t>
            </w:r>
          </w:p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I10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I12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I60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I61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I62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I63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I65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I66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I67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I69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I70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I71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I72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I74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I77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J69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K27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M10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M45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R47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R73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R90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Z86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F32</w:t>
            </w:r>
          </w:p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DB7C52" w:rsidTr="00DB7C52">
        <w:tc>
          <w:tcPr>
            <w:tcW w:w="1472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Community8</w:t>
            </w:r>
          </w:p>
        </w:tc>
        <w:tc>
          <w:tcPr>
            <w:tcW w:w="6709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I05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I08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I09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I11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I20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I21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I24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I25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I34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I35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I38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I42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I44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</w:p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I45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I46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I47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I48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I49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I50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I51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Q21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Q24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R00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Z95</w:t>
            </w:r>
          </w:p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DB7C52" w:rsidTr="00DB7C52">
        <w:trPr>
          <w:trHeight w:val="567"/>
        </w:trPr>
        <w:tc>
          <w:tcPr>
            <w:tcW w:w="1472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Community9</w:t>
            </w:r>
          </w:p>
        </w:tc>
        <w:tc>
          <w:tcPr>
            <w:tcW w:w="6709" w:type="dxa"/>
          </w:tcPr>
          <w:p w:rsidR="00DB7C52" w:rsidRDefault="00DB7C52" w:rsidP="00DB7C52">
            <w:pPr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J30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J31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J32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J33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J34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、</w: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J38</w:t>
            </w:r>
          </w:p>
        </w:tc>
      </w:tr>
    </w:tbl>
    <w:p w:rsidR="00DB7C52" w:rsidRDefault="00DB7C52" w:rsidP="00DB7C52">
      <w:pPr>
        <w:widowControl/>
        <w:jc w:val="left"/>
        <w:rPr>
          <w:rFonts w:ascii="Times New Roman" w:hAnsi="Times New Roman" w:cs="Times New Roman"/>
          <w:b/>
          <w:bCs/>
          <w:sz w:val="22"/>
          <w:szCs w:val="28"/>
        </w:rPr>
      </w:pPr>
    </w:p>
    <w:p w:rsidR="00AC2550" w:rsidRDefault="004B3AC2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S3. Main Structural Characteristics of Male and Female Networks</w:t>
      </w:r>
    </w:p>
    <w:p w:rsidR="00AC2550" w:rsidRDefault="00AC2550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a7"/>
        <w:tblW w:w="4920" w:type="pct"/>
        <w:jc w:val="right"/>
        <w:tblBorders>
          <w:top w:val="single" w:sz="8" w:space="0" w:color="000000" w:themeColor="text1"/>
          <w:left w:val="none" w:sz="0" w:space="0" w:color="auto"/>
          <w:bottom w:val="single" w:sz="8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34"/>
        <w:gridCol w:w="2686"/>
        <w:gridCol w:w="2766"/>
      </w:tblGrid>
      <w:tr w:rsidR="00AC2550">
        <w:trPr>
          <w:trHeight w:val="584"/>
          <w:jc w:val="right"/>
        </w:trPr>
        <w:tc>
          <w:tcPr>
            <w:tcW w:w="1749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Network Metric</w:t>
            </w:r>
          </w:p>
        </w:tc>
        <w:tc>
          <w:tcPr>
            <w:tcW w:w="1601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648" w:type="pct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Male</w:t>
            </w:r>
          </w:p>
        </w:tc>
      </w:tr>
      <w:tr w:rsidR="00AC2550">
        <w:trPr>
          <w:trHeight w:val="584"/>
          <w:jc w:val="right"/>
        </w:trPr>
        <w:tc>
          <w:tcPr>
            <w:tcW w:w="1749" w:type="pct"/>
            <w:tcBorders>
              <w:top w:val="single" w:sz="8" w:space="0" w:color="000000" w:themeColor="text1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 of Nodes</w:t>
            </w:r>
          </w:p>
        </w:tc>
        <w:tc>
          <w:tcPr>
            <w:tcW w:w="1601" w:type="pct"/>
            <w:tcBorders>
              <w:top w:val="single" w:sz="8" w:space="0" w:color="000000" w:themeColor="text1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157</w:t>
            </w:r>
          </w:p>
        </w:tc>
        <w:tc>
          <w:tcPr>
            <w:tcW w:w="1648" w:type="pct"/>
            <w:tcBorders>
              <w:top w:val="single" w:sz="8" w:space="0" w:color="000000" w:themeColor="text1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152</w:t>
            </w:r>
          </w:p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(2 isolated nodes removed)</w:t>
            </w:r>
          </w:p>
        </w:tc>
      </w:tr>
      <w:tr w:rsidR="00AC2550">
        <w:trPr>
          <w:trHeight w:val="584"/>
          <w:jc w:val="right"/>
        </w:trPr>
        <w:tc>
          <w:tcPr>
            <w:tcW w:w="1749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 of Edges</w:t>
            </w:r>
          </w:p>
        </w:tc>
        <w:tc>
          <w:tcPr>
            <w:tcW w:w="1601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613</w:t>
            </w:r>
          </w:p>
        </w:tc>
        <w:tc>
          <w:tcPr>
            <w:tcW w:w="1648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419</w:t>
            </w:r>
          </w:p>
        </w:tc>
      </w:tr>
      <w:tr w:rsidR="00AC2550">
        <w:trPr>
          <w:trHeight w:val="584"/>
          <w:jc w:val="right"/>
        </w:trPr>
        <w:tc>
          <w:tcPr>
            <w:tcW w:w="1749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Average Degree</w:t>
            </w:r>
          </w:p>
        </w:tc>
        <w:tc>
          <w:tcPr>
            <w:tcW w:w="1601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7.81</w:t>
            </w:r>
          </w:p>
        </w:tc>
        <w:tc>
          <w:tcPr>
            <w:tcW w:w="1648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5.44</w:t>
            </w:r>
          </w:p>
        </w:tc>
      </w:tr>
      <w:tr w:rsidR="00AC2550">
        <w:trPr>
          <w:trHeight w:val="584"/>
          <w:jc w:val="right"/>
        </w:trPr>
        <w:tc>
          <w:tcPr>
            <w:tcW w:w="1749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Network Density</w:t>
            </w:r>
          </w:p>
        </w:tc>
        <w:tc>
          <w:tcPr>
            <w:tcW w:w="1601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0.0501</w:t>
            </w:r>
          </w:p>
        </w:tc>
        <w:tc>
          <w:tcPr>
            <w:tcW w:w="1648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0.0356</w:t>
            </w:r>
          </w:p>
        </w:tc>
      </w:tr>
      <w:tr w:rsidR="00AC2550">
        <w:trPr>
          <w:trHeight w:val="584"/>
          <w:jc w:val="right"/>
        </w:trPr>
        <w:tc>
          <w:tcPr>
            <w:tcW w:w="1749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Clustering Coefficient</w:t>
            </w:r>
          </w:p>
        </w:tc>
        <w:tc>
          <w:tcPr>
            <w:tcW w:w="1601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0.215</w:t>
            </w:r>
          </w:p>
        </w:tc>
        <w:tc>
          <w:tcPr>
            <w:tcW w:w="1648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0.282</w:t>
            </w:r>
          </w:p>
        </w:tc>
      </w:tr>
    </w:tbl>
    <w:p w:rsidR="00AC2550" w:rsidRDefault="00AC2550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:rsidR="00AC2550" w:rsidRDefault="00AC2550">
      <w:pPr>
        <w:widowControl/>
        <w:jc w:val="left"/>
        <w:rPr>
          <w:rFonts w:ascii="Times New Roman" w:hAnsi="Times New Roman" w:cs="Times New Roman" w:hint="eastAsia"/>
          <w:b/>
          <w:bCs/>
          <w:sz w:val="22"/>
        </w:rPr>
      </w:pPr>
    </w:p>
    <w:p w:rsidR="00DB7C52" w:rsidRDefault="00DB7C52">
      <w:pPr>
        <w:widowControl/>
        <w:jc w:val="left"/>
        <w:rPr>
          <w:rFonts w:ascii="Times New Roman" w:hAnsi="Times New Roman" w:cs="Times New Roman" w:hint="eastAsia"/>
          <w:b/>
          <w:bCs/>
          <w:sz w:val="22"/>
        </w:rPr>
      </w:pPr>
    </w:p>
    <w:p w:rsidR="00DB7C52" w:rsidRDefault="00DB7C52">
      <w:pPr>
        <w:widowControl/>
        <w:jc w:val="left"/>
        <w:rPr>
          <w:rFonts w:ascii="Times New Roman" w:hAnsi="Times New Roman" w:cs="Times New Roman" w:hint="eastAsia"/>
          <w:b/>
          <w:bCs/>
          <w:sz w:val="22"/>
        </w:rPr>
      </w:pPr>
    </w:p>
    <w:p w:rsidR="00DB7C52" w:rsidRDefault="00DB7C52">
      <w:pPr>
        <w:widowControl/>
        <w:jc w:val="left"/>
        <w:rPr>
          <w:rFonts w:ascii="Times New Roman" w:hAnsi="Times New Roman" w:cs="Times New Roman" w:hint="eastAsia"/>
          <w:b/>
          <w:bCs/>
          <w:sz w:val="22"/>
        </w:rPr>
      </w:pPr>
    </w:p>
    <w:p w:rsidR="00DB7C52" w:rsidRDefault="00DB7C52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:rsidR="00AC2550" w:rsidRDefault="004B3AC2">
      <w:pPr>
        <w:widowControl/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S4.</w:t>
      </w:r>
      <w:r w:rsidR="00DB7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Hub Diseases in Male and Female Networks</w:t>
      </w:r>
    </w:p>
    <w:p w:rsidR="00AC2550" w:rsidRDefault="00AC2550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a7"/>
        <w:tblW w:w="8111" w:type="dxa"/>
        <w:tblInd w:w="111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60"/>
        <w:gridCol w:w="6951"/>
      </w:tblGrid>
      <w:tr w:rsidR="00AC2550">
        <w:trPr>
          <w:trHeight w:val="567"/>
        </w:trPr>
        <w:tc>
          <w:tcPr>
            <w:tcW w:w="1160" w:type="dxa"/>
            <w:tcBorders>
              <w:top w:val="single" w:sz="8" w:space="0" w:color="auto"/>
              <w:bottom w:val="single" w:sz="8" w:space="0" w:color="auto"/>
            </w:tcBorders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Sex</w:t>
            </w:r>
          </w:p>
        </w:tc>
        <w:tc>
          <w:tcPr>
            <w:tcW w:w="6951" w:type="dxa"/>
            <w:tcBorders>
              <w:top w:val="single" w:sz="8" w:space="0" w:color="auto"/>
              <w:bottom w:val="single" w:sz="8" w:space="0" w:color="auto"/>
            </w:tcBorders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Hub Diseases</w:t>
            </w:r>
          </w:p>
        </w:tc>
      </w:tr>
      <w:tr w:rsidR="00AC2550">
        <w:trPr>
          <w:trHeight w:val="567"/>
        </w:trPr>
        <w:tc>
          <w:tcPr>
            <w:tcW w:w="1160" w:type="dxa"/>
            <w:tcBorders>
              <w:top w:val="single" w:sz="8" w:space="0" w:color="auto"/>
            </w:tcBorders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Male</w:t>
            </w:r>
          </w:p>
        </w:tc>
        <w:tc>
          <w:tcPr>
            <w:tcW w:w="6951" w:type="dxa"/>
            <w:tcBorders>
              <w:top w:val="single" w:sz="8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I10, I50, I63, E11, K29, K76, K80, J43, N40, I61</w:t>
            </w:r>
          </w:p>
        </w:tc>
      </w:tr>
      <w:tr w:rsidR="00AC2550">
        <w:trPr>
          <w:trHeight w:val="567"/>
        </w:trPr>
        <w:tc>
          <w:tcPr>
            <w:tcW w:w="1160" w:type="dxa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6951" w:type="dxa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I10, I50, E11, E87, K80, K29, K76, E87, I06, I25</w:t>
            </w:r>
          </w:p>
        </w:tc>
      </w:tr>
    </w:tbl>
    <w:p w:rsidR="00AC2550" w:rsidRDefault="00AC2550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:rsidR="00AC2550" w:rsidRDefault="00AC2550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:rsidR="00AC2550" w:rsidRDefault="00AC2550">
      <w:pPr>
        <w:widowControl/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C2550" w:rsidRDefault="00AC2550">
      <w:pPr>
        <w:widowControl/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C2550" w:rsidRDefault="00AC2550">
      <w:pPr>
        <w:widowControl/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C2550" w:rsidRDefault="00AC2550">
      <w:pPr>
        <w:widowControl/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C2550" w:rsidRDefault="00AC2550">
      <w:pPr>
        <w:widowControl/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C2550" w:rsidRDefault="00AC2550">
      <w:pPr>
        <w:widowControl/>
        <w:spacing w:before="100" w:beforeAutospacing="1" w:after="100" w:afterAutospacing="1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C2550" w:rsidRDefault="004B3AC2">
      <w:pPr>
        <w:widowControl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S5.</w:t>
      </w:r>
      <w:r w:rsidR="00DB7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Main Structural Characteristics of Networks by Age Group</w:t>
      </w:r>
    </w:p>
    <w:p w:rsidR="00AC2550" w:rsidRDefault="00AC2550">
      <w:pPr>
        <w:rPr>
          <w:rFonts w:ascii="Times New Roman" w:hAnsi="Times New Roman" w:cs="Times New Roman"/>
          <w:b/>
          <w:bCs/>
          <w:sz w:val="22"/>
        </w:rPr>
      </w:pPr>
    </w:p>
    <w:tbl>
      <w:tblPr>
        <w:tblStyle w:val="a7"/>
        <w:tblW w:w="5228" w:type="pct"/>
        <w:jc w:val="right"/>
        <w:tblBorders>
          <w:top w:val="single" w:sz="8" w:space="0" w:color="000000" w:themeColor="text1"/>
          <w:left w:val="none" w:sz="0" w:space="0" w:color="auto"/>
          <w:bottom w:val="single" w:sz="8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0"/>
        <w:gridCol w:w="1453"/>
        <w:gridCol w:w="1747"/>
        <w:gridCol w:w="1745"/>
        <w:gridCol w:w="1456"/>
      </w:tblGrid>
      <w:tr w:rsidR="00AC2550">
        <w:trPr>
          <w:trHeight w:val="584"/>
          <w:jc w:val="right"/>
        </w:trPr>
        <w:tc>
          <w:tcPr>
            <w:tcW w:w="1408" w:type="pct"/>
            <w:tcBorders>
              <w:top w:val="single" w:sz="8" w:space="0" w:color="auto"/>
              <w:bottom w:val="single" w:sz="8" w:space="0" w:color="000000" w:themeColor="text1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Network Metric</w:t>
            </w:r>
          </w:p>
        </w:tc>
        <w:tc>
          <w:tcPr>
            <w:tcW w:w="81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40 - 49</w:t>
            </w:r>
          </w:p>
        </w:tc>
        <w:tc>
          <w:tcPr>
            <w:tcW w:w="97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50 - 59</w:t>
            </w:r>
          </w:p>
        </w:tc>
        <w:tc>
          <w:tcPr>
            <w:tcW w:w="978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60 - 69</w:t>
            </w:r>
          </w:p>
        </w:tc>
        <w:tc>
          <w:tcPr>
            <w:tcW w:w="81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≥70</w:t>
            </w:r>
          </w:p>
        </w:tc>
      </w:tr>
      <w:tr w:rsidR="00AC2550">
        <w:trPr>
          <w:trHeight w:val="584"/>
          <w:jc w:val="right"/>
        </w:trPr>
        <w:tc>
          <w:tcPr>
            <w:tcW w:w="1408" w:type="pct"/>
            <w:tcBorders>
              <w:top w:val="single" w:sz="8" w:space="0" w:color="000000" w:themeColor="text1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 of Nodes</w:t>
            </w:r>
          </w:p>
        </w:tc>
        <w:tc>
          <w:tcPr>
            <w:tcW w:w="815" w:type="pct"/>
            <w:tcBorders>
              <w:top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154</w:t>
            </w:r>
          </w:p>
        </w:tc>
        <w:tc>
          <w:tcPr>
            <w:tcW w:w="979" w:type="pct"/>
            <w:tcBorders>
              <w:top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150</w:t>
            </w:r>
          </w:p>
        </w:tc>
        <w:tc>
          <w:tcPr>
            <w:tcW w:w="978" w:type="pct"/>
            <w:tcBorders>
              <w:top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148</w:t>
            </w:r>
          </w:p>
        </w:tc>
        <w:tc>
          <w:tcPr>
            <w:tcW w:w="816" w:type="pct"/>
            <w:tcBorders>
              <w:top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143</w:t>
            </w:r>
          </w:p>
        </w:tc>
      </w:tr>
      <w:tr w:rsidR="00AC2550">
        <w:trPr>
          <w:trHeight w:val="584"/>
          <w:jc w:val="right"/>
        </w:trPr>
        <w:tc>
          <w:tcPr>
            <w:tcW w:w="1408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Number of Edges</w:t>
            </w:r>
          </w:p>
        </w:tc>
        <w:tc>
          <w:tcPr>
            <w:tcW w:w="815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378</w:t>
            </w:r>
          </w:p>
        </w:tc>
        <w:tc>
          <w:tcPr>
            <w:tcW w:w="979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348</w:t>
            </w:r>
          </w:p>
        </w:tc>
        <w:tc>
          <w:tcPr>
            <w:tcW w:w="978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376</w:t>
            </w:r>
          </w:p>
        </w:tc>
        <w:tc>
          <w:tcPr>
            <w:tcW w:w="816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423</w:t>
            </w:r>
          </w:p>
        </w:tc>
      </w:tr>
      <w:tr w:rsidR="00AC2550">
        <w:trPr>
          <w:trHeight w:val="584"/>
          <w:jc w:val="right"/>
        </w:trPr>
        <w:tc>
          <w:tcPr>
            <w:tcW w:w="1408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Average Degree</w:t>
            </w:r>
          </w:p>
        </w:tc>
        <w:tc>
          <w:tcPr>
            <w:tcW w:w="815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0.279</w:t>
            </w:r>
          </w:p>
        </w:tc>
        <w:tc>
          <w:tcPr>
            <w:tcW w:w="979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0.254</w:t>
            </w:r>
          </w:p>
        </w:tc>
        <w:tc>
          <w:tcPr>
            <w:tcW w:w="978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0.288</w:t>
            </w:r>
          </w:p>
        </w:tc>
        <w:tc>
          <w:tcPr>
            <w:tcW w:w="816" w:type="pct"/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0.312</w:t>
            </w:r>
          </w:p>
        </w:tc>
      </w:tr>
      <w:tr w:rsidR="00AC2550" w:rsidTr="00DB7C52">
        <w:trPr>
          <w:trHeight w:val="584"/>
          <w:jc w:val="right"/>
        </w:trPr>
        <w:tc>
          <w:tcPr>
            <w:tcW w:w="1408" w:type="pct"/>
            <w:tcBorders>
              <w:bottom w:val="nil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Network Density</w:t>
            </w:r>
          </w:p>
        </w:tc>
        <w:tc>
          <w:tcPr>
            <w:tcW w:w="815" w:type="pct"/>
            <w:tcBorders>
              <w:bottom w:val="nil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0.032</w:t>
            </w:r>
          </w:p>
        </w:tc>
        <w:tc>
          <w:tcPr>
            <w:tcW w:w="979" w:type="pct"/>
            <w:tcBorders>
              <w:bottom w:val="nil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0.031</w:t>
            </w:r>
          </w:p>
        </w:tc>
        <w:tc>
          <w:tcPr>
            <w:tcW w:w="978" w:type="pct"/>
            <w:tcBorders>
              <w:bottom w:val="nil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0.035</w:t>
            </w:r>
          </w:p>
        </w:tc>
        <w:tc>
          <w:tcPr>
            <w:tcW w:w="816" w:type="pct"/>
            <w:tcBorders>
              <w:bottom w:val="nil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0.042</w:t>
            </w:r>
          </w:p>
        </w:tc>
      </w:tr>
      <w:tr w:rsidR="00AC2550" w:rsidTr="00DB7C52">
        <w:trPr>
          <w:trHeight w:val="584"/>
          <w:jc w:val="right"/>
        </w:trPr>
        <w:tc>
          <w:tcPr>
            <w:tcW w:w="1408" w:type="pct"/>
            <w:tcBorders>
              <w:top w:val="nil"/>
              <w:bottom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Clustering Coefficient</w:t>
            </w:r>
          </w:p>
        </w:tc>
        <w:tc>
          <w:tcPr>
            <w:tcW w:w="815" w:type="pct"/>
            <w:tcBorders>
              <w:top w:val="nil"/>
              <w:bottom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4.91</w:t>
            </w:r>
          </w:p>
        </w:tc>
        <w:tc>
          <w:tcPr>
            <w:tcW w:w="979" w:type="pct"/>
            <w:tcBorders>
              <w:top w:val="nil"/>
              <w:bottom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4.64</w:t>
            </w:r>
          </w:p>
        </w:tc>
        <w:tc>
          <w:tcPr>
            <w:tcW w:w="978" w:type="pct"/>
            <w:tcBorders>
              <w:top w:val="nil"/>
              <w:bottom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5.08</w:t>
            </w:r>
          </w:p>
        </w:tc>
        <w:tc>
          <w:tcPr>
            <w:tcW w:w="816" w:type="pct"/>
            <w:tcBorders>
              <w:top w:val="nil"/>
              <w:bottom w:val="single" w:sz="4" w:space="0" w:color="auto"/>
            </w:tcBorders>
            <w:vAlign w:val="center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5.91</w:t>
            </w:r>
          </w:p>
        </w:tc>
      </w:tr>
    </w:tbl>
    <w:p w:rsidR="00AC2550" w:rsidRDefault="00AC2550">
      <w:pPr>
        <w:widowControl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C2550" w:rsidRDefault="00AC2550">
      <w:pPr>
        <w:widowControl/>
        <w:outlineLvl w:val="2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:rsidR="00DB7C52" w:rsidRDefault="00DB7C52">
      <w:pPr>
        <w:widowControl/>
        <w:outlineLvl w:val="2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:rsidR="00DB7C52" w:rsidRDefault="00DB7C52">
      <w:pPr>
        <w:widowControl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C2550" w:rsidRDefault="00AC2550">
      <w:pPr>
        <w:widowControl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C2550" w:rsidRDefault="00AC2550">
      <w:pPr>
        <w:widowControl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AC2550" w:rsidRDefault="004B3AC2">
      <w:pPr>
        <w:widowControl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TableS6</w:t>
      </w:r>
      <w:r w:rsidR="00DB7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Hub Diseases by Age Group</w:t>
      </w:r>
    </w:p>
    <w:p w:rsidR="00AC2550" w:rsidRDefault="00AC2550">
      <w:pPr>
        <w:widowControl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8790" w:type="dxa"/>
        <w:tblInd w:w="-426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40"/>
        <w:gridCol w:w="6250"/>
      </w:tblGrid>
      <w:tr w:rsidR="00AC2550">
        <w:trPr>
          <w:trHeight w:val="567"/>
        </w:trPr>
        <w:tc>
          <w:tcPr>
            <w:tcW w:w="2540" w:type="dxa"/>
            <w:tcBorders>
              <w:top w:val="single" w:sz="8" w:space="0" w:color="auto"/>
              <w:bottom w:val="single" w:sz="8" w:space="0" w:color="auto"/>
            </w:tcBorders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Style w:val="a8"/>
                <w:rFonts w:ascii="Times New Roman" w:eastAsia="宋体" w:hAnsi="Times New Roman" w:cs="Times New Roman"/>
                <w:kern w:val="0"/>
                <w:sz w:val="22"/>
                <w:lang/>
              </w:rPr>
              <w:t>Age Group</w:t>
            </w:r>
          </w:p>
        </w:tc>
        <w:tc>
          <w:tcPr>
            <w:tcW w:w="6250" w:type="dxa"/>
            <w:tcBorders>
              <w:top w:val="single" w:sz="8" w:space="0" w:color="auto"/>
              <w:bottom w:val="single" w:sz="8" w:space="0" w:color="auto"/>
            </w:tcBorders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Hub Diseases</w:t>
            </w:r>
          </w:p>
        </w:tc>
      </w:tr>
      <w:tr w:rsidR="00AC2550">
        <w:trPr>
          <w:trHeight w:val="567"/>
        </w:trPr>
        <w:tc>
          <w:tcPr>
            <w:tcW w:w="2540" w:type="dxa"/>
            <w:tcBorders>
              <w:top w:val="single" w:sz="8" w:space="0" w:color="auto"/>
            </w:tcBorders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>
              <w:rPr>
                <w:rStyle w:val="a8"/>
                <w:rFonts w:ascii="Times New Roman" w:eastAsia="宋体" w:hAnsi="Times New Roman" w:cs="Times New Roman"/>
                <w:b w:val="0"/>
                <w:bCs/>
                <w:kern w:val="0"/>
                <w:sz w:val="22"/>
                <w:lang/>
              </w:rPr>
              <w:t>40-49</w:t>
            </w:r>
          </w:p>
        </w:tc>
        <w:tc>
          <w:tcPr>
            <w:tcW w:w="6250" w:type="dxa"/>
            <w:tcBorders>
              <w:top w:val="single" w:sz="8" w:space="0" w:color="auto"/>
            </w:tcBorders>
            <w:vAlign w:val="center"/>
          </w:tcPr>
          <w:p w:rsidR="00AC2550" w:rsidRDefault="004B3A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/>
              </w:rPr>
              <w:t>I10, E11, N18, I63, I50, K29, K76, E87, Z98, M17</w:t>
            </w:r>
          </w:p>
        </w:tc>
      </w:tr>
      <w:tr w:rsidR="00AC2550">
        <w:trPr>
          <w:trHeight w:val="567"/>
        </w:trPr>
        <w:tc>
          <w:tcPr>
            <w:tcW w:w="2540" w:type="dxa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>
              <w:rPr>
                <w:rStyle w:val="a8"/>
                <w:rFonts w:ascii="Times New Roman" w:eastAsia="宋体" w:hAnsi="Times New Roman" w:cs="Times New Roman"/>
                <w:b w:val="0"/>
                <w:bCs/>
                <w:kern w:val="0"/>
                <w:sz w:val="22"/>
                <w:lang/>
              </w:rPr>
              <w:t>50-59</w:t>
            </w:r>
          </w:p>
        </w:tc>
        <w:tc>
          <w:tcPr>
            <w:tcW w:w="6250" w:type="dxa"/>
            <w:vAlign w:val="center"/>
          </w:tcPr>
          <w:p w:rsidR="00AC2550" w:rsidRDefault="004B3A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/>
              </w:rPr>
              <w:t>I10, E11, N18, I61, I25, K29, K74, K76, E78, D64</w:t>
            </w:r>
          </w:p>
        </w:tc>
      </w:tr>
      <w:tr w:rsidR="00AC2550">
        <w:trPr>
          <w:trHeight w:val="567"/>
        </w:trPr>
        <w:tc>
          <w:tcPr>
            <w:tcW w:w="2540" w:type="dxa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>
              <w:rPr>
                <w:rStyle w:val="a8"/>
                <w:rFonts w:ascii="Times New Roman" w:eastAsia="宋体" w:hAnsi="Times New Roman" w:cs="Times New Roman"/>
                <w:b w:val="0"/>
                <w:bCs/>
                <w:kern w:val="0"/>
                <w:sz w:val="22"/>
                <w:lang/>
              </w:rPr>
              <w:t xml:space="preserve">60-69 </w:t>
            </w:r>
          </w:p>
        </w:tc>
        <w:tc>
          <w:tcPr>
            <w:tcW w:w="6250" w:type="dxa"/>
            <w:vAlign w:val="center"/>
          </w:tcPr>
          <w:p w:rsidR="00AC2550" w:rsidRDefault="004B3A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/>
              </w:rPr>
              <w:t>I10, E11, N18, I63, K29, K76, K80, E78, M17, N28</w:t>
            </w:r>
          </w:p>
        </w:tc>
      </w:tr>
      <w:tr w:rsidR="00AC2550">
        <w:trPr>
          <w:trHeight w:val="567"/>
        </w:trPr>
        <w:tc>
          <w:tcPr>
            <w:tcW w:w="2540" w:type="dxa"/>
          </w:tcPr>
          <w:p w:rsidR="00AC2550" w:rsidRDefault="004B3AC2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≥70</w:t>
            </w:r>
          </w:p>
        </w:tc>
        <w:tc>
          <w:tcPr>
            <w:tcW w:w="6250" w:type="dxa"/>
            <w:vAlign w:val="center"/>
          </w:tcPr>
          <w:p w:rsidR="00AC2550" w:rsidRDefault="004B3AC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/>
              </w:rPr>
              <w:t>I10, E11, N18, I63, I61, I50, K80, E87, N40, E77</w:t>
            </w:r>
          </w:p>
        </w:tc>
      </w:tr>
    </w:tbl>
    <w:p w:rsidR="00AC2550" w:rsidRDefault="00AC2550">
      <w:pPr>
        <w:rPr>
          <w:rFonts w:ascii="Times New Roman" w:hAnsi="Times New Roman" w:cs="Times New Roman"/>
          <w:sz w:val="22"/>
        </w:rPr>
        <w:sectPr w:rsidR="00AC255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AC2550" w:rsidRPr="00DB7C52" w:rsidRDefault="004B3AC2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B7C52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Table S7</w:t>
      </w:r>
      <w:r w:rsidRPr="00DB7C5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B7C52" w:rsidRPr="00DB7C5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DB7C52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Effect of Covariates on </w:t>
      </w:r>
      <w:r w:rsidRPr="00DB7C5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outcomes</w:t>
      </w:r>
    </w:p>
    <w:p w:rsidR="00DB7C52" w:rsidRDefault="00DB7C52">
      <w:pPr>
        <w:rPr>
          <w:rFonts w:ascii="Times New Roman" w:hAnsi="Times New Roman" w:cs="Times New Roman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440"/>
        <w:gridCol w:w="2122"/>
        <w:gridCol w:w="1273"/>
        <w:gridCol w:w="2122"/>
        <w:gridCol w:w="1273"/>
        <w:gridCol w:w="2122"/>
        <w:gridCol w:w="1273"/>
      </w:tblGrid>
      <w:tr w:rsidR="00AC2550" w:rsidTr="00DB7C52">
        <w:trPr>
          <w:tblHeader/>
          <w:jc w:val="center"/>
        </w:trPr>
        <w:tc>
          <w:tcPr>
            <w:tcW w:w="2440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  <w:t>variable</w:t>
            </w:r>
          </w:p>
        </w:tc>
        <w:tc>
          <w:tcPr>
            <w:tcW w:w="3395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Model1</w:t>
            </w:r>
          </w:p>
        </w:tc>
        <w:tc>
          <w:tcPr>
            <w:tcW w:w="3395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pacing w:val="-2"/>
                <w:kern w:val="0"/>
                <w:sz w:val="22"/>
                <w:lang/>
              </w:rPr>
              <w:t>Model 2</w:t>
            </w:r>
          </w:p>
        </w:tc>
        <w:tc>
          <w:tcPr>
            <w:tcW w:w="3395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pacing w:val="-2"/>
                <w:kern w:val="0"/>
                <w:sz w:val="22"/>
                <w:lang/>
              </w:rPr>
              <w:t>Model 3</w:t>
            </w:r>
          </w:p>
        </w:tc>
      </w:tr>
      <w:tr w:rsidR="00AC2550" w:rsidTr="00DB7C52">
        <w:trPr>
          <w:tblHeader/>
          <w:jc w:val="center"/>
        </w:trPr>
        <w:tc>
          <w:tcPr>
            <w:tcW w:w="2440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AC255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212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  <w:t>OR(95%CI)</w:t>
            </w:r>
          </w:p>
        </w:tc>
        <w:tc>
          <w:tcPr>
            <w:tcW w:w="1273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pacing w:val="-2"/>
                <w:kern w:val="0"/>
                <w:sz w:val="22"/>
                <w:lang/>
              </w:rPr>
              <w:t>P value</w:t>
            </w:r>
          </w:p>
        </w:tc>
        <w:tc>
          <w:tcPr>
            <w:tcW w:w="212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  <w:t>OR(95%CI)</w:t>
            </w:r>
          </w:p>
        </w:tc>
        <w:tc>
          <w:tcPr>
            <w:tcW w:w="1273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pacing w:val="-2"/>
                <w:kern w:val="0"/>
                <w:sz w:val="22"/>
                <w:lang/>
              </w:rPr>
              <w:t>P value</w:t>
            </w:r>
          </w:p>
        </w:tc>
        <w:tc>
          <w:tcPr>
            <w:tcW w:w="2122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  <w:t>OR(95%CI)</w:t>
            </w:r>
          </w:p>
        </w:tc>
        <w:tc>
          <w:tcPr>
            <w:tcW w:w="1273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pacing w:val="-2"/>
                <w:kern w:val="0"/>
                <w:sz w:val="22"/>
                <w:lang/>
              </w:rPr>
              <w:t>P value</w:t>
            </w:r>
          </w:p>
        </w:tc>
      </w:tr>
      <w:tr w:rsidR="00AC2550" w:rsidTr="00DB7C52">
        <w:trPr>
          <w:jc w:val="center"/>
        </w:trPr>
        <w:tc>
          <w:tcPr>
            <w:tcW w:w="12625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2"/>
              </w:rPr>
            </w:pPr>
            <w:r>
              <w:rPr>
                <w:rStyle w:val="a8"/>
                <w:rFonts w:ascii="Times New Roman" w:eastAsia="宋体" w:hAnsi="Times New Roman" w:cs="Times New Roman"/>
                <w:bCs/>
                <w:color w:val="000000"/>
                <w:spacing w:val="-2"/>
                <w:kern w:val="0"/>
                <w:sz w:val="22"/>
                <w:lang/>
              </w:rPr>
              <w:t>Total hospitalization cost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pacing w:val="-2"/>
                <w:kern w:val="0"/>
                <w:sz w:val="22"/>
                <w:lang/>
              </w:rPr>
              <w:t>​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age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 (1 - 1)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 (1 - 1)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 (1 - 1)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gender_female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0.9 (0.9 - 0.9)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0.91 (0.9 - 0.91)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0.91 (0.91 - 0.92)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Urban Residents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1.16 (1.15 - 1.16)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1.15 (1.15 - 1.16)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1.16 (1.15 - 1.16)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Urban Employees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1.1 (1.1 - 1.1)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1.1 (1.09 - 1.1)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1.11 (1.11 - 1.12)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New Rural Cooperative Medical Scheme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1.29 (1.28 - 1.3)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1.29 (1.28 - 1.29)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1.29 (1.28 - 1.29)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marriage_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</w:rPr>
              <w:t>D</w:t>
            </w: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ivorce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1.12 (1.11 - 1.13)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1.12 (1.1 - 1.13)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1.13 (1.11 - 1.14)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marriage_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</w:rPr>
              <w:t>Others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0.84 (0.84 - 0.85)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0.84 (0.84 - 0.85)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0.85 (0.84 - 0.85)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marriage_Unmarried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1.02 (1 - 1.03)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0.026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1.02 (1 - 1.03)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0.029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1.02 (1 - 1.03)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0.026</w:t>
            </w:r>
          </w:p>
        </w:tc>
      </w:tr>
      <w:tr w:rsidR="00AC2550" w:rsidTr="00DB7C52">
        <w:trPr>
          <w:jc w:val="center"/>
        </w:trPr>
        <w:tc>
          <w:tcPr>
            <w:tcW w:w="2440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marriage_Married</w:t>
            </w:r>
            <w:proofErr w:type="spellEnd"/>
          </w:p>
        </w:tc>
        <w:tc>
          <w:tcPr>
            <w:tcW w:w="2122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 (0.99 - 1)</w:t>
            </w:r>
          </w:p>
        </w:tc>
        <w:tc>
          <w:tcPr>
            <w:tcW w:w="1273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0.75</w:t>
            </w:r>
          </w:p>
        </w:tc>
        <w:tc>
          <w:tcPr>
            <w:tcW w:w="2122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1 (0.99 - 1)</w:t>
            </w:r>
          </w:p>
        </w:tc>
        <w:tc>
          <w:tcPr>
            <w:tcW w:w="1273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0.483</w:t>
            </w:r>
          </w:p>
        </w:tc>
        <w:tc>
          <w:tcPr>
            <w:tcW w:w="2122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0.99 (0.99 - 1)</w:t>
            </w:r>
          </w:p>
        </w:tc>
        <w:tc>
          <w:tcPr>
            <w:tcW w:w="1273" w:type="dxa"/>
            <w:tcBorders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2"/>
              </w:rPr>
              <w:t>0.057</w:t>
            </w:r>
          </w:p>
        </w:tc>
      </w:tr>
      <w:tr w:rsidR="00AC2550" w:rsidTr="00DB7C52">
        <w:trPr>
          <w:jc w:val="center"/>
        </w:trPr>
        <w:tc>
          <w:tcPr>
            <w:tcW w:w="12625" w:type="dxa"/>
            <w:gridSpan w:val="7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sz w:val="22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  <w:t>Length of stay (days)</w:t>
            </w:r>
          </w:p>
        </w:tc>
      </w:tr>
      <w:tr w:rsidR="00AC2550" w:rsidTr="00DB7C52">
        <w:trPr>
          <w:jc w:val="center"/>
        </w:trPr>
        <w:tc>
          <w:tcPr>
            <w:tcW w:w="244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age</w:t>
            </w:r>
          </w:p>
        </w:tc>
        <w:tc>
          <w:tcPr>
            <w:tcW w:w="212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 (1 - 1)</w:t>
            </w:r>
          </w:p>
        </w:tc>
        <w:tc>
          <w:tcPr>
            <w:tcW w:w="1273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 (1 - 1)</w:t>
            </w:r>
          </w:p>
        </w:tc>
        <w:tc>
          <w:tcPr>
            <w:tcW w:w="1273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 (1 - 1)</w:t>
            </w:r>
          </w:p>
        </w:tc>
        <w:tc>
          <w:tcPr>
            <w:tcW w:w="1273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0.041</w:t>
            </w:r>
          </w:p>
        </w:tc>
      </w:tr>
      <w:tr w:rsidR="00AC2550">
        <w:trPr>
          <w:jc w:val="center"/>
        </w:trPr>
        <w:tc>
          <w:tcPr>
            <w:tcW w:w="2440" w:type="dxa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lastRenderedPageBreak/>
              <w:t>gender_female</w:t>
            </w:r>
            <w:proofErr w:type="spellEnd"/>
          </w:p>
        </w:tc>
        <w:tc>
          <w:tcPr>
            <w:tcW w:w="2122" w:type="dxa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0.94 (0.94 - 0.95)</w:t>
            </w: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0.95 (0.95 - 0.95)</w:t>
            </w: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0.96 (0.96 - 0.96)</w:t>
            </w:r>
          </w:p>
        </w:tc>
        <w:tc>
          <w:tcPr>
            <w:tcW w:w="1273" w:type="dxa"/>
            <w:tcBorders>
              <w:top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Urban Residents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0.96 (0.96 - 0.97)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0.96 (0.95 - 0.96)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0.96 (0.96 - 0.97)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Urban Employees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0.97 (0.96 - 0.97)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0.96 (0.96 - 0.97)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0.97 (0.97 - 0.97)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New Rural Cooperative Medical Scheme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1.04 (1.04 - 1.05)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1.04 (1.03 - 1.04)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1.04 (1.03 - 1.04)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/>
              </w:rPr>
              <w:t>marriage_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D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/>
              </w:rPr>
              <w:t>ivorce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1.08 (1.07 - 1.09)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1.08 (1.07 - 1.09)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1.07 (1.06 - 1.08)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/>
              </w:rPr>
              <w:t>marriage_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Others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 (0.99 - 1)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0.288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 (0.99 - 1)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0.175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1.01 (1 - 1.01)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0.068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/>
              </w:rPr>
              <w:t>marriage_Unmarried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1.13 (1.12 - 1.14)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1.13 (1.12 - 1.14)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1.12 (1.11 - 1.13)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/>
              </w:rPr>
              <w:t>marriage_Married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0.99 (0.99 - 1)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0.99 (0.99 - 0.99)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 (1 - 1)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0.633</w:t>
            </w:r>
          </w:p>
        </w:tc>
      </w:tr>
      <w:tr w:rsidR="00AC2550">
        <w:trPr>
          <w:jc w:val="center"/>
        </w:trPr>
        <w:tc>
          <w:tcPr>
            <w:tcW w:w="12625" w:type="dxa"/>
            <w:gridSpan w:val="7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</w:rPr>
              <w:t>30-day readmission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age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1.01 (1.01 - 1.01)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 (1 - 1)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0.437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1 (1 - 1)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0.009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gender_female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0.83 (0.82 - 0.84)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0.84 (0.83 - 0.86)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0.82 (0.81 - 0.83)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Urban Residents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0.95 (0.93 - 0.97)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0.94 (0.92 - 0.96)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0.94 (0.92 - 0.96)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Urban Employees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0.93 (0.91 - 0.95)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0.92 (0.9 - 0.94)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0.91 (0.89 - 0.92)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lastRenderedPageBreak/>
              <w:t>New Rural Cooperative Medical Scheme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0.7 (0.68 - 0.72)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0.69 (0.67 - 0.71)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0.7 (0.68 - 0.72)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/>
              </w:rPr>
              <w:t>marriage_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D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/>
              </w:rPr>
              <w:t>ivorce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0.7 (0.66 - 0.74)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0.7 (0.66 - 0.74)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0.69 (0.65 - 0.73)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/>
              </w:rPr>
              <w:t>marriage_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Others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0.77 (0.74 - 0.8)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0.77 (0.74 - 0.8)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0.77 (0.74 - 0.8)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/>
              </w:rPr>
              <w:t>marriage_Unmarried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0.68 (0.64 - 0.72)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0.68 (0.63 - 0.72)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0.67 (0.63 - 0.72)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  <w:tr w:rsidR="00AC2550">
        <w:trPr>
          <w:jc w:val="center"/>
        </w:trPr>
        <w:tc>
          <w:tcPr>
            <w:tcW w:w="244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/>
              </w:rPr>
              <w:t>marriage_Married</w:t>
            </w:r>
            <w:proofErr w:type="spellEnd"/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0.58 (0.56 - 0.59)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0.57 (0.56 - 0.59)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  <w:tc>
          <w:tcPr>
            <w:tcW w:w="212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0.57 (0.56 - 0.59)</w:t>
            </w:r>
          </w:p>
        </w:tc>
        <w:tc>
          <w:tcPr>
            <w:tcW w:w="127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2550" w:rsidRDefault="004B3AC2">
            <w:pPr>
              <w:widowControl/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sz w:val="22"/>
                <w:lang w:eastAsia="en-US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/>
              </w:rPr>
              <w:t>&lt; 0.001</w:t>
            </w:r>
          </w:p>
        </w:tc>
      </w:tr>
    </w:tbl>
    <w:p w:rsidR="00AC2550" w:rsidRDefault="004B3AC2">
      <w:pPr>
        <w:rPr>
          <w:rFonts w:ascii="Times New Roman" w:eastAsia="宋体" w:hAnsi="Times New Roman" w:cs="Times New Roman"/>
          <w:b/>
          <w:bCs/>
          <w:kern w:val="0"/>
          <w:sz w:val="22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</w:rPr>
        <w:br w:type="page"/>
      </w:r>
    </w:p>
    <w:p w:rsidR="00AC2550" w:rsidRDefault="00AC255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  <w:sectPr w:rsidR="00AC255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AC2550" w:rsidRPr="00DB7C52" w:rsidRDefault="004B3AC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DB7C52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Table S</w:t>
      </w:r>
      <w:r w:rsidRPr="00DB7C5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8.</w:t>
      </w:r>
      <w:r w:rsidR="00DB7C52" w:rsidRPr="00DB7C5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Pr="00DB7C5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Community 30-Day Readmission Risk and PAF Ranking</w:t>
      </w:r>
    </w:p>
    <w:tbl>
      <w:tblPr>
        <w:tblW w:w="851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5"/>
        <w:gridCol w:w="1866"/>
        <w:gridCol w:w="2043"/>
        <w:gridCol w:w="1075"/>
        <w:gridCol w:w="2244"/>
      </w:tblGrid>
      <w:tr w:rsidR="00AC2550" w:rsidRPr="00DB7C52">
        <w:trPr>
          <w:tblHeader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b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b/>
                <w:kern w:val="0"/>
                <w:sz w:val="22"/>
                <w:lang/>
              </w:rPr>
              <w:t>Community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b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b/>
                <w:kern w:val="0"/>
                <w:sz w:val="22"/>
                <w:lang/>
              </w:rPr>
              <w:t>OR</w:t>
            </w:r>
            <w:r w:rsidRPr="00DB7C52">
              <w:rPr>
                <w:rFonts w:ascii="Times New Roman" w:eastAsia="Segoe UI" w:hAnsi="Segoe UI" w:cs="Times New Roman"/>
                <w:b/>
                <w:kern w:val="0"/>
                <w:sz w:val="22"/>
                <w:lang/>
              </w:rPr>
              <w:t>（</w:t>
            </w:r>
            <w:proofErr w:type="spellStart"/>
            <w:r w:rsidRPr="00DB7C52">
              <w:rPr>
                <w:rFonts w:ascii="Times New Roman" w:eastAsia="Segoe UI" w:hAnsi="Times New Roman" w:cs="Times New Roman"/>
                <w:b/>
                <w:kern w:val="0"/>
                <w:sz w:val="22"/>
                <w:lang/>
              </w:rPr>
              <w:t>vs</w:t>
            </w:r>
            <w:proofErr w:type="spellEnd"/>
            <w:r w:rsidRPr="00DB7C52">
              <w:rPr>
                <w:rFonts w:ascii="Times New Roman" w:eastAsia="Segoe UI" w:hAnsi="Times New Roman" w:cs="Times New Roman"/>
                <w:b/>
                <w:kern w:val="0"/>
                <w:sz w:val="22"/>
                <w:lang/>
              </w:rPr>
              <w:t xml:space="preserve"> community1</w:t>
            </w:r>
            <w:r w:rsidRPr="00DB7C52">
              <w:rPr>
                <w:rFonts w:ascii="Times New Roman" w:eastAsia="Segoe UI" w:hAnsi="Segoe UI" w:cs="Times New Roman"/>
                <w:b/>
                <w:kern w:val="0"/>
                <w:sz w:val="22"/>
                <w:lang/>
              </w:rPr>
              <w:t>）</w:t>
            </w:r>
          </w:p>
        </w:tc>
        <w:tc>
          <w:tcPr>
            <w:tcW w:w="21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b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b/>
                <w:kern w:val="0"/>
                <w:sz w:val="22"/>
                <w:lang/>
              </w:rPr>
              <w:t>OR Rank (1 = highest risk)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b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b/>
                <w:kern w:val="0"/>
                <w:sz w:val="22"/>
                <w:lang/>
              </w:rPr>
              <w:t>PAF</w:t>
            </w:r>
            <w:r w:rsidRPr="00DB7C52">
              <w:rPr>
                <w:rFonts w:ascii="Times New Roman" w:eastAsia="Segoe UI" w:hAnsi="Segoe UI" w:cs="Times New Roman"/>
                <w:b/>
                <w:kern w:val="0"/>
                <w:sz w:val="22"/>
                <w:lang/>
              </w:rPr>
              <w:t>（</w:t>
            </w:r>
            <w:r w:rsidRPr="00DB7C52">
              <w:rPr>
                <w:rFonts w:ascii="Times New Roman" w:eastAsia="Segoe UI" w:hAnsi="Times New Roman" w:cs="Times New Roman"/>
                <w:b/>
                <w:kern w:val="0"/>
                <w:sz w:val="22"/>
                <w:lang/>
              </w:rPr>
              <w:t>%</w:t>
            </w:r>
            <w:r w:rsidRPr="00DB7C52">
              <w:rPr>
                <w:rFonts w:ascii="Times New Roman" w:eastAsia="Segoe UI" w:hAnsi="Segoe UI" w:cs="Times New Roman"/>
                <w:b/>
                <w:kern w:val="0"/>
                <w:sz w:val="22"/>
                <w:lang/>
              </w:rPr>
              <w:t>）</w:t>
            </w: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b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b/>
                <w:kern w:val="0"/>
                <w:sz w:val="22"/>
                <w:lang/>
              </w:rPr>
              <w:t>PAF Rank (1 = largest burden)</w:t>
            </w:r>
          </w:p>
        </w:tc>
      </w:tr>
      <w:tr w:rsidR="00AC2550" w:rsidRPr="00DB7C52"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community6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1.59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Style w:val="a8"/>
                <w:rFonts w:ascii="Times New Roman" w:eastAsia="Segoe UI" w:hAnsi="Times New Roman" w:cs="Times New Roman"/>
                <w:bCs/>
                <w:kern w:val="0"/>
                <w:sz w:val="22"/>
                <w:lang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+8.22</w:t>
            </w:r>
          </w:p>
        </w:tc>
        <w:tc>
          <w:tcPr>
            <w:tcW w:w="238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Style w:val="a8"/>
                <w:rFonts w:ascii="Times New Roman" w:eastAsia="Segoe UI" w:hAnsi="Times New Roman" w:cs="Times New Roman"/>
                <w:bCs/>
                <w:kern w:val="0"/>
                <w:sz w:val="22"/>
                <w:lang/>
              </w:rPr>
              <w:t>1</w:t>
            </w:r>
          </w:p>
        </w:tc>
      </w:tr>
      <w:tr w:rsidR="00AC2550" w:rsidRPr="00DB7C52">
        <w:tc>
          <w:tcPr>
            <w:tcW w:w="986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community3</w:t>
            </w:r>
          </w:p>
        </w:tc>
        <w:tc>
          <w:tcPr>
            <w:tcW w:w="188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1.08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2</w:t>
            </w:r>
          </w:p>
        </w:tc>
        <w:tc>
          <w:tcPr>
            <w:tcW w:w="108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+0.22</w:t>
            </w:r>
          </w:p>
        </w:tc>
        <w:tc>
          <w:tcPr>
            <w:tcW w:w="238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4</w:t>
            </w:r>
          </w:p>
        </w:tc>
      </w:tr>
      <w:tr w:rsidR="00AC2550" w:rsidRPr="00DB7C52">
        <w:tc>
          <w:tcPr>
            <w:tcW w:w="986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community5</w:t>
            </w:r>
          </w:p>
        </w:tc>
        <w:tc>
          <w:tcPr>
            <w:tcW w:w="188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1.08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2</w:t>
            </w:r>
          </w:p>
        </w:tc>
        <w:tc>
          <w:tcPr>
            <w:tcW w:w="108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+0.59</w:t>
            </w:r>
          </w:p>
        </w:tc>
        <w:tc>
          <w:tcPr>
            <w:tcW w:w="238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3</w:t>
            </w:r>
          </w:p>
        </w:tc>
      </w:tr>
      <w:tr w:rsidR="00AC2550" w:rsidRPr="00DB7C52">
        <w:tc>
          <w:tcPr>
            <w:tcW w:w="986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community1</w:t>
            </w:r>
          </w:p>
        </w:tc>
        <w:tc>
          <w:tcPr>
            <w:tcW w:w="188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1.00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4</w:t>
            </w:r>
          </w:p>
        </w:tc>
        <w:tc>
          <w:tcPr>
            <w:tcW w:w="108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+2.51</w:t>
            </w:r>
          </w:p>
        </w:tc>
        <w:tc>
          <w:tcPr>
            <w:tcW w:w="238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2</w:t>
            </w:r>
          </w:p>
        </w:tc>
      </w:tr>
      <w:tr w:rsidR="00AC2550" w:rsidRPr="00DB7C52">
        <w:tc>
          <w:tcPr>
            <w:tcW w:w="986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community2</w:t>
            </w:r>
          </w:p>
        </w:tc>
        <w:tc>
          <w:tcPr>
            <w:tcW w:w="188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0.82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5</w:t>
            </w:r>
          </w:p>
        </w:tc>
        <w:tc>
          <w:tcPr>
            <w:tcW w:w="108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-1.73</w:t>
            </w:r>
          </w:p>
        </w:tc>
        <w:tc>
          <w:tcPr>
            <w:tcW w:w="238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7</w:t>
            </w:r>
          </w:p>
        </w:tc>
      </w:tr>
      <w:tr w:rsidR="00AC2550" w:rsidRPr="00DB7C52">
        <w:tc>
          <w:tcPr>
            <w:tcW w:w="986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community4</w:t>
            </w:r>
          </w:p>
        </w:tc>
        <w:tc>
          <w:tcPr>
            <w:tcW w:w="188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0.88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6</w:t>
            </w:r>
          </w:p>
        </w:tc>
        <w:tc>
          <w:tcPr>
            <w:tcW w:w="108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-0.04</w:t>
            </w:r>
          </w:p>
        </w:tc>
        <w:tc>
          <w:tcPr>
            <w:tcW w:w="238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5</w:t>
            </w:r>
          </w:p>
        </w:tc>
      </w:tr>
      <w:tr w:rsidR="00AC2550" w:rsidRPr="00DB7C52">
        <w:tc>
          <w:tcPr>
            <w:tcW w:w="986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community7</w:t>
            </w:r>
          </w:p>
        </w:tc>
        <w:tc>
          <w:tcPr>
            <w:tcW w:w="188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0.80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7</w:t>
            </w:r>
          </w:p>
        </w:tc>
        <w:tc>
          <w:tcPr>
            <w:tcW w:w="108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-4.29</w:t>
            </w:r>
          </w:p>
        </w:tc>
        <w:tc>
          <w:tcPr>
            <w:tcW w:w="238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8</w:t>
            </w:r>
          </w:p>
        </w:tc>
      </w:tr>
      <w:tr w:rsidR="00AC2550" w:rsidRPr="00DB7C52">
        <w:tc>
          <w:tcPr>
            <w:tcW w:w="986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community8</w:t>
            </w:r>
          </w:p>
        </w:tc>
        <w:tc>
          <w:tcPr>
            <w:tcW w:w="188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0.68</w:t>
            </w:r>
          </w:p>
        </w:tc>
        <w:tc>
          <w:tcPr>
            <w:tcW w:w="2171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8</w:t>
            </w:r>
          </w:p>
        </w:tc>
        <w:tc>
          <w:tcPr>
            <w:tcW w:w="108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-6.19</w:t>
            </w:r>
          </w:p>
        </w:tc>
        <w:tc>
          <w:tcPr>
            <w:tcW w:w="238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9</w:t>
            </w:r>
          </w:p>
        </w:tc>
      </w:tr>
      <w:tr w:rsidR="00AC2550" w:rsidRPr="00DB7C52">
        <w:tc>
          <w:tcPr>
            <w:tcW w:w="986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community9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0.48</w:t>
            </w:r>
          </w:p>
        </w:tc>
        <w:tc>
          <w:tcPr>
            <w:tcW w:w="217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9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-0.27</w:t>
            </w:r>
          </w:p>
        </w:tc>
        <w:tc>
          <w:tcPr>
            <w:tcW w:w="2386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6</w:t>
            </w:r>
          </w:p>
        </w:tc>
      </w:tr>
    </w:tbl>
    <w:p w:rsidR="00AC2550" w:rsidRDefault="00AC255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 w:hint="eastAsia"/>
          <w:b/>
          <w:bCs/>
          <w:kern w:val="0"/>
          <w:sz w:val="22"/>
        </w:rPr>
      </w:pPr>
    </w:p>
    <w:p w:rsidR="00DB7C52" w:rsidRDefault="00DB7C5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</w:pPr>
    </w:p>
    <w:p w:rsidR="00AC2550" w:rsidRPr="00DB7C52" w:rsidRDefault="004B3AC2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DB7C52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Table S</w:t>
      </w:r>
      <w:r w:rsidRPr="00DB7C5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9.</w:t>
      </w:r>
      <w:r w:rsidR="00DB7C52" w:rsidRPr="00DB7C5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Pr="00DB7C52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Community Prolonged Length of Stay Risk and PAMF Ranking</w:t>
      </w:r>
    </w:p>
    <w:tbl>
      <w:tblPr>
        <w:tblW w:w="91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1"/>
        <w:gridCol w:w="1843"/>
        <w:gridCol w:w="1985"/>
        <w:gridCol w:w="1275"/>
        <w:gridCol w:w="2309"/>
      </w:tblGrid>
      <w:tr w:rsidR="00AC2550" w:rsidRPr="00DB7C52" w:rsidTr="00F32069">
        <w:trPr>
          <w:tblHeader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IRR</w:t>
            </w:r>
            <w:r w:rsidRPr="00DB7C52">
              <w:rPr>
                <w:rFonts w:ascii="Times New Roman" w:eastAsia="Segoe UI" w:hAnsi="Segoe UI" w:cs="Times New Roman"/>
                <w:kern w:val="0"/>
                <w:sz w:val="22"/>
                <w:lang/>
              </w:rPr>
              <w:t>（</w:t>
            </w:r>
            <w:proofErr w:type="spellStart"/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vs</w:t>
            </w:r>
            <w:proofErr w:type="spellEnd"/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 xml:space="preserve"> community1</w:t>
            </w:r>
            <w:r w:rsidRPr="00DB7C52">
              <w:rPr>
                <w:rFonts w:ascii="Times New Roman" w:eastAsia="Segoe UI" w:hAnsi="Segoe UI" w:cs="Times New Roman"/>
                <w:kern w:val="0"/>
                <w:sz w:val="22"/>
                <w:lang/>
              </w:rPr>
              <w:t>）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IRR Rank (1 = longest stay)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PAMF</w:t>
            </w:r>
            <w:r w:rsidRPr="00DB7C52">
              <w:rPr>
                <w:rFonts w:ascii="Times New Roman" w:eastAsia="Segoe UI" w:hAnsi="Segoe UI" w:cs="Times New Roman"/>
                <w:kern w:val="0"/>
                <w:sz w:val="22"/>
                <w:lang/>
              </w:rPr>
              <w:t>（</w:t>
            </w: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%</w:t>
            </w:r>
            <w:r w:rsidRPr="00DB7C52">
              <w:rPr>
                <w:rFonts w:ascii="Times New Roman" w:eastAsia="Segoe UI" w:hAnsi="Segoe UI" w:cs="Times New Roman"/>
                <w:kern w:val="0"/>
                <w:sz w:val="22"/>
                <w:lang/>
              </w:rPr>
              <w:t>）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PAMF Rank (1 = greatest prolongation)</w:t>
            </w:r>
          </w:p>
        </w:tc>
      </w:tr>
      <w:tr w:rsidR="00AC2550" w:rsidRPr="00DB7C52" w:rsidTr="00F32069"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1.028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Style w:val="a8"/>
                <w:rFonts w:ascii="Times New Roman" w:eastAsia="Segoe UI" w:hAnsi="Times New Roman" w:cs="Times New Roman"/>
                <w:bCs/>
                <w:kern w:val="0"/>
                <w:sz w:val="22"/>
                <w:lang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+1.56</w:t>
            </w:r>
          </w:p>
        </w:tc>
        <w:tc>
          <w:tcPr>
            <w:tcW w:w="230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2</w:t>
            </w:r>
          </w:p>
        </w:tc>
      </w:tr>
      <w:tr w:rsidR="00AC2550" w:rsidRPr="00DB7C52" w:rsidTr="00F32069">
        <w:tc>
          <w:tcPr>
            <w:tcW w:w="1701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community7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1.019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2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+2.65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Style w:val="a8"/>
                <w:rFonts w:ascii="Times New Roman" w:eastAsia="Segoe UI" w:hAnsi="Times New Roman" w:cs="Times New Roman"/>
                <w:bCs/>
                <w:kern w:val="0"/>
                <w:sz w:val="22"/>
                <w:lang/>
              </w:rPr>
              <w:t>1</w:t>
            </w:r>
          </w:p>
        </w:tc>
      </w:tr>
      <w:tr w:rsidR="00AC2550" w:rsidRPr="00DB7C52" w:rsidTr="00F32069">
        <w:tc>
          <w:tcPr>
            <w:tcW w:w="1701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community1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1.000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5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+1.61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3</w:t>
            </w:r>
          </w:p>
        </w:tc>
      </w:tr>
      <w:tr w:rsidR="00AC2550" w:rsidRPr="00DB7C52" w:rsidTr="00F32069">
        <w:tc>
          <w:tcPr>
            <w:tcW w:w="1701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community5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0.996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6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+0.74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4</w:t>
            </w:r>
          </w:p>
        </w:tc>
      </w:tr>
      <w:tr w:rsidR="00AC2550" w:rsidRPr="00DB7C52" w:rsidTr="00F32069">
        <w:tc>
          <w:tcPr>
            <w:tcW w:w="1701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community2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0.900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7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-0.39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6</w:t>
            </w:r>
          </w:p>
        </w:tc>
      </w:tr>
      <w:tr w:rsidR="00AC2550" w:rsidRPr="00DB7C52" w:rsidTr="00F32069">
        <w:tc>
          <w:tcPr>
            <w:tcW w:w="1701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community4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0.932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8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+0.09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5</w:t>
            </w:r>
          </w:p>
        </w:tc>
      </w:tr>
      <w:tr w:rsidR="00AC2550" w:rsidRPr="00DB7C52" w:rsidTr="00F32069">
        <w:tc>
          <w:tcPr>
            <w:tcW w:w="1701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community9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0.765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9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-0.12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7</w:t>
            </w:r>
          </w:p>
        </w:tc>
      </w:tr>
      <w:tr w:rsidR="00AC2550" w:rsidRPr="00DB7C52" w:rsidTr="00F32069">
        <w:tc>
          <w:tcPr>
            <w:tcW w:w="1701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community3</w:t>
            </w:r>
          </w:p>
        </w:tc>
        <w:tc>
          <w:tcPr>
            <w:tcW w:w="1843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0.768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3*</w:t>
            </w:r>
          </w:p>
        </w:tc>
        <w:tc>
          <w:tcPr>
            <w:tcW w:w="127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-0.46</w:t>
            </w:r>
          </w:p>
        </w:tc>
        <w:tc>
          <w:tcPr>
            <w:tcW w:w="230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8</w:t>
            </w:r>
          </w:p>
        </w:tc>
      </w:tr>
      <w:tr w:rsidR="00AC2550" w:rsidRPr="00DB7C52" w:rsidTr="00F32069"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0.691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4*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left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-5.85</w:t>
            </w:r>
          </w:p>
        </w:tc>
        <w:tc>
          <w:tcPr>
            <w:tcW w:w="230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DB7C52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DB7C52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9</w:t>
            </w:r>
          </w:p>
        </w:tc>
      </w:tr>
    </w:tbl>
    <w:p w:rsidR="00AC2550" w:rsidRDefault="00AC2550">
      <w:pPr>
        <w:widowControl/>
        <w:spacing w:before="100" w:beforeAutospacing="1" w:after="100" w:afterAutospacing="1"/>
        <w:jc w:val="left"/>
        <w:outlineLvl w:val="2"/>
        <w:rPr>
          <w:rFonts w:ascii="Times New Roman" w:eastAsia="宋体" w:hAnsi="Times New Roman" w:cs="Times New Roman"/>
          <w:b/>
          <w:bCs/>
          <w:kern w:val="0"/>
          <w:sz w:val="22"/>
        </w:rPr>
        <w:sectPr w:rsidR="00AC255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AC2550" w:rsidRPr="00F32069" w:rsidRDefault="004B3AC2">
      <w:pPr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F32069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Table S</w:t>
      </w:r>
      <w:r w:rsidRPr="00F3206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10.</w:t>
      </w:r>
      <w:r w:rsidR="00F3206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r w:rsidRPr="00F32069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Community Cost Ratio and PAMF Ranking</w:t>
      </w:r>
    </w:p>
    <w:p w:rsidR="00AC2550" w:rsidRDefault="00AC2550">
      <w:pPr>
        <w:jc w:val="left"/>
        <w:rPr>
          <w:rFonts w:ascii="Times New Roman" w:eastAsia="宋体" w:hAnsi="Times New Roman" w:cs="Times New Roman"/>
          <w:b/>
          <w:bCs/>
          <w:sz w:val="22"/>
        </w:rPr>
      </w:pPr>
    </w:p>
    <w:tbl>
      <w:tblPr>
        <w:tblW w:w="9486" w:type="dxa"/>
        <w:tblInd w:w="-33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4"/>
        <w:gridCol w:w="2126"/>
        <w:gridCol w:w="2126"/>
        <w:gridCol w:w="1134"/>
        <w:gridCol w:w="2206"/>
      </w:tblGrid>
      <w:tr w:rsidR="00AC2550" w:rsidRPr="00F32069" w:rsidTr="00F32069">
        <w:trPr>
          <w:tblHeader/>
        </w:trPr>
        <w:tc>
          <w:tcPr>
            <w:tcW w:w="1894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Cost Ratio (vs. Community 1)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IRR Rank (1 = highest cost)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PAMF (%)</w:t>
            </w:r>
          </w:p>
        </w:tc>
        <w:tc>
          <w:tcPr>
            <w:tcW w:w="2206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PAMF Rank (1 = largest burden)</w:t>
            </w:r>
          </w:p>
        </w:tc>
      </w:tr>
      <w:tr w:rsidR="00AC2550" w:rsidRPr="00F32069" w:rsidTr="00F32069">
        <w:tc>
          <w:tcPr>
            <w:tcW w:w="1894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community5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1.184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+1.67</w:t>
            </w:r>
          </w:p>
        </w:tc>
        <w:tc>
          <w:tcPr>
            <w:tcW w:w="220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2</w:t>
            </w:r>
          </w:p>
        </w:tc>
      </w:tr>
      <w:tr w:rsidR="00AC2550" w:rsidRPr="00F32069" w:rsidTr="00F32069">
        <w:tc>
          <w:tcPr>
            <w:tcW w:w="1894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community8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1.074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+2.69</w:t>
            </w:r>
          </w:p>
        </w:tc>
        <w:tc>
          <w:tcPr>
            <w:tcW w:w="220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</w:t>
            </w:r>
          </w:p>
        </w:tc>
      </w:tr>
      <w:tr w:rsidR="00AC2550" w:rsidRPr="00F32069" w:rsidTr="00F32069">
        <w:tc>
          <w:tcPr>
            <w:tcW w:w="1894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community1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1.000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3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+0.70</w:t>
            </w:r>
          </w:p>
        </w:tc>
        <w:tc>
          <w:tcPr>
            <w:tcW w:w="220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3</w:t>
            </w:r>
          </w:p>
        </w:tc>
      </w:tr>
      <w:tr w:rsidR="00AC2550" w:rsidRPr="00F32069" w:rsidTr="00F32069">
        <w:tc>
          <w:tcPr>
            <w:tcW w:w="1894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community2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0.966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4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-0.11</w:t>
            </w:r>
          </w:p>
        </w:tc>
        <w:tc>
          <w:tcPr>
            <w:tcW w:w="220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6</w:t>
            </w:r>
          </w:p>
        </w:tc>
      </w:tr>
      <w:tr w:rsidR="00AC2550" w:rsidRPr="00F32069" w:rsidTr="00F32069">
        <w:tc>
          <w:tcPr>
            <w:tcW w:w="1894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community4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0.962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5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-0.12</w:t>
            </w:r>
          </w:p>
        </w:tc>
        <w:tc>
          <w:tcPr>
            <w:tcW w:w="220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7</w:t>
            </w:r>
          </w:p>
        </w:tc>
      </w:tr>
      <w:tr w:rsidR="00AC2550" w:rsidRPr="00F32069" w:rsidTr="00F32069">
        <w:tc>
          <w:tcPr>
            <w:tcW w:w="1894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community7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0.983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6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+0.39</w:t>
            </w:r>
          </w:p>
        </w:tc>
        <w:tc>
          <w:tcPr>
            <w:tcW w:w="220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4</w:t>
            </w:r>
          </w:p>
        </w:tc>
      </w:tr>
      <w:tr w:rsidR="00AC2550" w:rsidRPr="00F32069" w:rsidTr="00F32069">
        <w:tc>
          <w:tcPr>
            <w:tcW w:w="1894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community9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0.853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7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-0.09</w:t>
            </w:r>
          </w:p>
        </w:tc>
        <w:tc>
          <w:tcPr>
            <w:tcW w:w="220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5</w:t>
            </w:r>
          </w:p>
        </w:tc>
      </w:tr>
      <w:tr w:rsidR="00AC2550" w:rsidRPr="00F32069" w:rsidTr="00F32069">
        <w:tc>
          <w:tcPr>
            <w:tcW w:w="1894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community3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0.792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8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-0.51</w:t>
            </w:r>
          </w:p>
        </w:tc>
        <w:tc>
          <w:tcPr>
            <w:tcW w:w="220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8</w:t>
            </w:r>
          </w:p>
        </w:tc>
      </w:tr>
      <w:tr w:rsidR="00AC2550" w:rsidRPr="00F32069" w:rsidTr="00F32069">
        <w:tc>
          <w:tcPr>
            <w:tcW w:w="1894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sz w:val="22"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community6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0.708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9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-3.41</w:t>
            </w:r>
          </w:p>
        </w:tc>
        <w:tc>
          <w:tcPr>
            <w:tcW w:w="2206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:rsidR="00AC2550" w:rsidRPr="00F32069" w:rsidRDefault="004B3AC2">
            <w:pPr>
              <w:widowControl/>
              <w:spacing w:line="250" w:lineRule="atLeast"/>
              <w:jc w:val="center"/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</w:pPr>
            <w:r w:rsidRPr="00F32069">
              <w:rPr>
                <w:rFonts w:ascii="Times New Roman" w:eastAsia="Segoe UI" w:hAnsi="Times New Roman" w:cs="Times New Roman"/>
                <w:kern w:val="0"/>
                <w:sz w:val="22"/>
                <w:lang/>
              </w:rPr>
              <w:t>9</w:t>
            </w:r>
          </w:p>
        </w:tc>
      </w:tr>
    </w:tbl>
    <w:p w:rsidR="00AC2550" w:rsidRDefault="00AC2550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AC2550" w:rsidRDefault="00AC2550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AC2550" w:rsidRDefault="00AC2550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:rsidR="00AC2550" w:rsidRDefault="00AC2550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:rsidR="00AC2550" w:rsidRDefault="00AC2550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:rsidR="00AC2550" w:rsidRDefault="00AC2550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:rsidR="00AC2550" w:rsidRDefault="00AC2550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:rsidR="00AC2550" w:rsidRDefault="00AC2550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:rsidR="00AC2550" w:rsidRDefault="00AC2550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:rsidR="00AC2550" w:rsidRDefault="00AC2550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:rsidR="00AC2550" w:rsidRDefault="00AC2550">
      <w:pPr>
        <w:jc w:val="left"/>
        <w:rPr>
          <w:rFonts w:ascii="Times New Roman" w:hAnsi="Times New Roman" w:cs="Times New Roman"/>
          <w:b/>
          <w:bCs/>
          <w:sz w:val="24"/>
          <w:szCs w:val="28"/>
        </w:rPr>
      </w:pPr>
    </w:p>
    <w:p w:rsidR="00DB7C52" w:rsidRDefault="00DB7C52">
      <w:pPr>
        <w:spacing w:line="360" w:lineRule="auto"/>
        <w:rPr>
          <w:rFonts w:ascii="Times New Roman" w:hAnsi="Times New Roman" w:cs="Times New Roman"/>
          <w:sz w:val="22"/>
        </w:rPr>
      </w:pPr>
    </w:p>
    <w:sectPr w:rsidR="00DB7C52" w:rsidSect="00AC25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088" w:rsidRDefault="00507088" w:rsidP="00AC2550">
      <w:r>
        <w:separator/>
      </w:r>
    </w:p>
  </w:endnote>
  <w:endnote w:type="continuationSeparator" w:id="0">
    <w:p w:rsidR="00507088" w:rsidRDefault="00507088" w:rsidP="00AC25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088" w:rsidRDefault="00507088" w:rsidP="00AC2550">
      <w:r>
        <w:separator/>
      </w:r>
    </w:p>
  </w:footnote>
  <w:footnote w:type="continuationSeparator" w:id="0">
    <w:p w:rsidR="00507088" w:rsidRDefault="00507088" w:rsidP="00AC25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D93F7A"/>
    <w:rsid w:val="000725B3"/>
    <w:rsid w:val="001B2384"/>
    <w:rsid w:val="001D7EEE"/>
    <w:rsid w:val="001F216C"/>
    <w:rsid w:val="002043A0"/>
    <w:rsid w:val="00283FC6"/>
    <w:rsid w:val="00314C3E"/>
    <w:rsid w:val="004B3AC2"/>
    <w:rsid w:val="00507088"/>
    <w:rsid w:val="00517C42"/>
    <w:rsid w:val="00616826"/>
    <w:rsid w:val="00655631"/>
    <w:rsid w:val="006D30D3"/>
    <w:rsid w:val="006E1F3D"/>
    <w:rsid w:val="006F59FC"/>
    <w:rsid w:val="007D6B7C"/>
    <w:rsid w:val="008053E1"/>
    <w:rsid w:val="00853DCC"/>
    <w:rsid w:val="008B5213"/>
    <w:rsid w:val="00AC2550"/>
    <w:rsid w:val="00AC36D3"/>
    <w:rsid w:val="00BB028C"/>
    <w:rsid w:val="00C545E6"/>
    <w:rsid w:val="00CA544E"/>
    <w:rsid w:val="00D15E67"/>
    <w:rsid w:val="00D93F7A"/>
    <w:rsid w:val="00DB7C52"/>
    <w:rsid w:val="00EE7814"/>
    <w:rsid w:val="00F32069"/>
    <w:rsid w:val="00FF0966"/>
    <w:rsid w:val="0B2A00D9"/>
    <w:rsid w:val="0B9C62F8"/>
    <w:rsid w:val="10E91AA3"/>
    <w:rsid w:val="1666640B"/>
    <w:rsid w:val="1BD9327F"/>
    <w:rsid w:val="370E1F2A"/>
    <w:rsid w:val="3C020B69"/>
    <w:rsid w:val="4CC15384"/>
    <w:rsid w:val="4E585619"/>
    <w:rsid w:val="61C756DA"/>
    <w:rsid w:val="66CA0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55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AC25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C2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25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C255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C255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C255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C255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C255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C255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AC25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C25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AC2550"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Char2"/>
    <w:uiPriority w:val="10"/>
    <w:qFormat/>
    <w:rsid w:val="00AC25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qFormat/>
    <w:rsid w:val="00AC25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AC2550"/>
    <w:rPr>
      <w:b/>
    </w:rPr>
  </w:style>
  <w:style w:type="character" w:customStyle="1" w:styleId="1Char">
    <w:name w:val="标题 1 Char"/>
    <w:basedOn w:val="a0"/>
    <w:link w:val="1"/>
    <w:uiPriority w:val="9"/>
    <w:qFormat/>
    <w:rsid w:val="00AC255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sid w:val="00AC25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sid w:val="00AC25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AC2550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sid w:val="00AC2550"/>
    <w:rPr>
      <w:rFonts w:cstheme="majorBidi"/>
      <w:color w:val="2F5496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sid w:val="00AC2550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sid w:val="00AC2550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sid w:val="00AC2550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sid w:val="00AC2550"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sid w:val="00AC2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sid w:val="00AC25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Char3"/>
    <w:uiPriority w:val="29"/>
    <w:qFormat/>
    <w:rsid w:val="00AC25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3">
    <w:name w:val="引用 Char"/>
    <w:basedOn w:val="a0"/>
    <w:link w:val="a9"/>
    <w:uiPriority w:val="29"/>
    <w:qFormat/>
    <w:rsid w:val="00AC2550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AC2550"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sid w:val="00AC25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Char4"/>
    <w:uiPriority w:val="30"/>
    <w:qFormat/>
    <w:rsid w:val="00AC25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4">
    <w:name w:val="明显引用 Char"/>
    <w:basedOn w:val="a0"/>
    <w:link w:val="ab"/>
    <w:uiPriority w:val="30"/>
    <w:qFormat/>
    <w:rsid w:val="00AC2550"/>
    <w:rPr>
      <w:i/>
      <w:iCs/>
      <w:color w:val="2F5496" w:themeColor="accent1" w:themeShade="BF"/>
    </w:rPr>
  </w:style>
  <w:style w:type="character" w:customStyle="1" w:styleId="11">
    <w:name w:val="明显参考1"/>
    <w:basedOn w:val="a0"/>
    <w:uiPriority w:val="32"/>
    <w:qFormat/>
    <w:rsid w:val="00AC2550"/>
    <w:rPr>
      <w:b/>
      <w:bCs/>
      <w:smallCaps/>
      <w:color w:val="2F5496" w:themeColor="accent1" w:themeShade="BF"/>
      <w:spacing w:val="5"/>
    </w:rPr>
  </w:style>
  <w:style w:type="character" w:customStyle="1" w:styleId="Char0">
    <w:name w:val="页眉 Char"/>
    <w:basedOn w:val="a0"/>
    <w:link w:val="a4"/>
    <w:uiPriority w:val="99"/>
    <w:qFormat/>
    <w:rsid w:val="00AC2550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AC255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Balloon Text"/>
    <w:basedOn w:val="a"/>
    <w:link w:val="Char5"/>
    <w:uiPriority w:val="99"/>
    <w:semiHidden/>
    <w:unhideWhenUsed/>
    <w:rsid w:val="004B3AC2"/>
    <w:rPr>
      <w:sz w:val="18"/>
      <w:szCs w:val="18"/>
    </w:rPr>
  </w:style>
  <w:style w:type="character" w:customStyle="1" w:styleId="Char5">
    <w:name w:val="批注框文本 Char"/>
    <w:basedOn w:val="a0"/>
    <w:link w:val="ac"/>
    <w:uiPriority w:val="99"/>
    <w:semiHidden/>
    <w:rsid w:val="004B3AC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19</Pages>
  <Words>2521</Words>
  <Characters>14370</Characters>
  <Application>Microsoft Office Word</Application>
  <DocSecurity>0</DocSecurity>
  <Lines>119</Lines>
  <Paragraphs>33</Paragraphs>
  <ScaleCrop>false</ScaleCrop>
  <Company/>
  <LinksUpToDate>false</LinksUpToDate>
  <CharactersWithSpaces>16858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11</cp:revision>
  <dcterms:created xsi:type="dcterms:W3CDTF">2025-12-16T14:14:00Z</dcterms:created>
  <dcterms:modified xsi:type="dcterms:W3CDTF">2026-09-14T08:18:00Z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eyJoZGlkIjoiYWVhZDBiMWFkNzc0NWIyODExNzgyNTk3NzJjODM3NDQiLCJ1c2VySWQiOiIzMTc3MTc4NjMifQ==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9FCD257249E24E558F76E1FA7EB321B0_13</vt:lpwstr>
  </property>
</Properties>
</file>