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1CBB" w14:textId="3829DAEF" w:rsidR="007D264E" w:rsidRDefault="00143A68" w:rsidP="00143A68">
      <w:pPr>
        <w:jc w:val="center"/>
        <w:rPr>
          <w:rFonts w:asciiTheme="majorBidi" w:hAnsiTheme="majorBidi"/>
          <w:b/>
          <w:bCs/>
          <w:sz w:val="32"/>
          <w:szCs w:val="32"/>
          <w:lang w:val="en-GB"/>
        </w:rPr>
      </w:pPr>
      <w:r w:rsidRPr="00143A68">
        <w:rPr>
          <w:rFonts w:asciiTheme="majorBidi" w:hAnsiTheme="majorBidi"/>
          <w:b/>
          <w:bCs/>
          <w:sz w:val="32"/>
          <w:szCs w:val="32"/>
        </w:rPr>
        <w:t>Additional file 1</w:t>
      </w:r>
    </w:p>
    <w:p w14:paraId="08E46674" w14:textId="005473FD" w:rsidR="6C28A25B" w:rsidRDefault="6C28A25B" w:rsidP="3BAD3C9A">
      <w:pPr>
        <w:rPr>
          <w:rFonts w:asciiTheme="majorBidi" w:hAnsiTheme="majorBidi"/>
          <w:sz w:val="24"/>
          <w:szCs w:val="24"/>
        </w:rPr>
      </w:pPr>
      <w:r w:rsidRPr="3BAD3C9A">
        <w:rPr>
          <w:rFonts w:asciiTheme="majorBidi" w:hAnsiTheme="majorBidi"/>
          <w:sz w:val="24"/>
          <w:szCs w:val="24"/>
        </w:rPr>
        <w:t xml:space="preserve">We </w:t>
      </w:r>
      <w:r w:rsidR="0F8E2501" w:rsidRPr="3BAD3C9A">
        <w:rPr>
          <w:rFonts w:asciiTheme="majorBidi" w:hAnsiTheme="majorBidi"/>
          <w:sz w:val="24"/>
          <w:szCs w:val="24"/>
        </w:rPr>
        <w:t xml:space="preserve">performed </w:t>
      </w:r>
      <w:r w:rsidRPr="3BAD3C9A">
        <w:rPr>
          <w:rFonts w:asciiTheme="majorBidi" w:hAnsiTheme="majorBidi"/>
          <w:sz w:val="24"/>
          <w:szCs w:val="24"/>
        </w:rPr>
        <w:t xml:space="preserve">three sensitivity analyses. In all three sensitivity analyses, we redrew the associated plots to evaluate whether the observed patterns and associations remained consistent.  </w:t>
      </w:r>
    </w:p>
    <w:p w14:paraId="095C43A7" w14:textId="3EF30D95" w:rsidR="00FD0E68" w:rsidRPr="004D12EC" w:rsidRDefault="00FD0E68" w:rsidP="3BAD3C9A">
      <w:pPr>
        <w:pStyle w:val="ListParagraph"/>
        <w:numPr>
          <w:ilvl w:val="0"/>
          <w:numId w:val="1"/>
        </w:numPr>
        <w:rPr>
          <w:rFonts w:asciiTheme="majorBidi" w:hAnsiTheme="majorBidi"/>
          <w:b/>
          <w:bCs/>
          <w:lang w:val="en-GB"/>
        </w:rPr>
      </w:pPr>
      <w:r w:rsidRPr="3BAD3C9A">
        <w:rPr>
          <w:rFonts w:asciiTheme="majorBidi" w:hAnsiTheme="majorBidi"/>
          <w:b/>
          <w:bCs/>
          <w:lang w:val="en-GB"/>
        </w:rPr>
        <w:t xml:space="preserve">Sensitivity analysis </w:t>
      </w:r>
      <w:r w:rsidR="007D1443" w:rsidRPr="3BAD3C9A">
        <w:rPr>
          <w:rFonts w:asciiTheme="majorBidi" w:hAnsiTheme="majorBidi"/>
          <w:b/>
          <w:bCs/>
          <w:lang w:val="en-GB"/>
        </w:rPr>
        <w:t>after</w:t>
      </w:r>
      <w:r w:rsidRPr="3BAD3C9A">
        <w:rPr>
          <w:rFonts w:asciiTheme="majorBidi" w:hAnsiTheme="majorBidi"/>
          <w:b/>
          <w:bCs/>
          <w:lang w:val="en-GB"/>
        </w:rPr>
        <w:t xml:space="preserve"> excluding</w:t>
      </w:r>
      <w:r w:rsidR="00255D82" w:rsidRPr="3BAD3C9A">
        <w:rPr>
          <w:rFonts w:asciiTheme="majorBidi" w:hAnsiTheme="majorBidi"/>
          <w:b/>
          <w:bCs/>
          <w:lang w:val="en-GB"/>
        </w:rPr>
        <w:t xml:space="preserve"> participants with</w:t>
      </w:r>
      <w:r w:rsidRPr="3BAD3C9A">
        <w:rPr>
          <w:rFonts w:asciiTheme="majorBidi" w:hAnsiTheme="majorBidi"/>
          <w:b/>
          <w:bCs/>
          <w:lang w:val="en-GB"/>
        </w:rPr>
        <w:t xml:space="preserve"> chronic diseases</w:t>
      </w:r>
    </w:p>
    <w:p w14:paraId="4EA60A7C" w14:textId="1393927A" w:rsidR="00367765" w:rsidRPr="00945B76" w:rsidRDefault="00423DC7" w:rsidP="00367765">
      <w:pPr>
        <w:keepNext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AA9E75F" wp14:editId="20AFE2CD">
            <wp:extent cx="5954572" cy="6071833"/>
            <wp:effectExtent l="0" t="0" r="8255" b="5715"/>
            <wp:docPr id="1319662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22" cy="608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D0A4B" w14:textId="59C31F45" w:rsidR="00367765" w:rsidRPr="009614EC" w:rsidRDefault="00367765" w:rsidP="00367765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highlight w:val="green"/>
        </w:rPr>
      </w:pP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S1: Percentage of participants in each sleep stage (Awake, Light, Deep, and REM) over time during detected sleep period on weekdays and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, stratified by anxiety and depression </w:t>
      </w:r>
      <w:r w:rsidR="00061BC8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symptoms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levels. Panels (a–h) represent comparisons based on anxiety severity measured using the GAD-7 score, categorized as no anxiety, mild anxiety, and moderate-to-severe anxiety. Panels (i–p) represent comparisons based on the presence or absence of depression and anxiety symptoms measured by the HSCL-25. The top rows (a–d, i–l) show sleep stage percentages for weekdays, and the bottom rows (e–h, m–p) show percentages for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The y-axis indicates the percentage of participants, and the x-axis represents time (minutes) over the sleep period. The number of participants in each group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</w:t>
      </w:r>
    </w:p>
    <w:p w14:paraId="1796FFBB" w14:textId="28F0E6CE" w:rsidR="00367765" w:rsidRDefault="00D97788" w:rsidP="00367765">
      <w:pPr>
        <w:keepNext/>
        <w:jc w:val="center"/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6C85A3C1" wp14:editId="48005A06">
            <wp:extent cx="5603443" cy="7471449"/>
            <wp:effectExtent l="0" t="0" r="0" b="0"/>
            <wp:docPr id="18363569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405" cy="749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D5631" w14:textId="16354C47" w:rsidR="00367765" w:rsidRPr="009614EC" w:rsidRDefault="00367765" w:rsidP="00367765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</w:rPr>
      </w:pP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S2: </w:t>
      </w:r>
      <w:r w:rsidR="00A75181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HR (beats/minute) during detected sleep period on weekdays and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Panels (a–f) show the results based on anxiety severity measured by the GAD-7 scores, categorized as no anxiety, mild anxiety, and moderate-to-severe anxiety. Panels (g–j) show the results based on the no depression and anxiety and depression and anxiety symptoms measured by the HSCL-25.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gray lines represent individual HR trajectories, while the colored lines indicate the </w:t>
      </w:r>
      <w:r w:rsidR="00342F06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HR for each group. The y-axis shows HR (bpm), and the x-axis represents time (minutes) over the 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sleep period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.</w:t>
      </w:r>
    </w:p>
    <w:p w14:paraId="755E4B63" w14:textId="5084787A" w:rsidR="00367765" w:rsidRDefault="00CB6E32" w:rsidP="00367765">
      <w:pPr>
        <w:keepNext/>
        <w:jc w:val="center"/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39E72220" wp14:editId="33E78C32">
            <wp:extent cx="5457139" cy="7276372"/>
            <wp:effectExtent l="0" t="0" r="0" b="1270"/>
            <wp:docPr id="5270270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030" cy="728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F10D2" w14:textId="0E92C8C8" w:rsidR="00367765" w:rsidRPr="009614EC" w:rsidRDefault="00367765" w:rsidP="00367765">
      <w:pPr>
        <w:pStyle w:val="Caption"/>
        <w:jc w:val="both"/>
        <w:rPr>
          <w:rFonts w:asciiTheme="majorBidi" w:hAnsiTheme="majorBidi" w:cstheme="majorBidi"/>
        </w:rPr>
      </w:pP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S3: </w:t>
      </w:r>
      <w:r w:rsidR="00342F06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RMSSD (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milliseconds)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during detected sleep period on weekdays and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Panels (a–f) show the results based on anxiety severity measured by the GAD-7 scores, categorized as no anxiety, mild anxiety, and moderate-to-severe anxiety. Panels (g–j) show the results based on the no depression and anxiety and depression and anxiety </w:t>
      </w:r>
      <w:r w:rsidR="00061BC8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symptoms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measured by the HSCL-25.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gray lines represent individual RMSSD trajectories, while the colored lines indicate the RMSSD for each group. The y-axis shows RMSSD (ms), and the x-axis represents time (minutes) over the 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sleep period.</w:t>
      </w:r>
    </w:p>
    <w:p w14:paraId="1760CCDA" w14:textId="5EB7F7A9" w:rsidR="00367765" w:rsidRDefault="00CB6E32" w:rsidP="00367765">
      <w:pPr>
        <w:keepNext/>
        <w:jc w:val="center"/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2F83F4E3" wp14:editId="71A7229B">
            <wp:extent cx="4426651" cy="7315200"/>
            <wp:effectExtent l="0" t="0" r="0" b="0"/>
            <wp:docPr id="13761661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511" cy="733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98CEF" w14:textId="41153DE8" w:rsidR="004D12EC" w:rsidRDefault="00367765" w:rsidP="00255D82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lang w:val="en-GB"/>
        </w:rPr>
      </w:pPr>
      <w:r w:rsidRPr="001E3FA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S4</w:t>
      </w:r>
      <w:r w:rsidRPr="001E3FA6">
        <w:rPr>
          <w:rFonts w:asciiTheme="majorBidi" w:hAnsiTheme="majorBidi" w:cstheme="majorBidi"/>
          <w:i w:val="0"/>
          <w:iCs w:val="0"/>
          <w:color w:val="auto"/>
          <w:lang w:val="en-GB"/>
        </w:rPr>
        <w:t>:</w:t>
      </w:r>
      <w:r>
        <w:rPr>
          <w:lang w:val="en-GB"/>
        </w:rPr>
        <w:t xml:space="preserve"> </w:t>
      </w:r>
      <w:r w:rsidR="00342F06"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="00342F06"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MET values across 24 hours on weekdays and </w:t>
      </w:r>
      <w:r w:rsidR="00E160FB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Panels (a–b) show the results based on anxiety severity measured by the GAD-7 scores, categorized as no anxiety, mild anxiety, and moderate-to-severe anxiety. Panels (c–d) show the results based on the presence or absence of depression and anxiety </w:t>
      </w:r>
      <w:r w:rsidR="00061BC8">
        <w:rPr>
          <w:rFonts w:asciiTheme="majorBidi" w:hAnsiTheme="majorBidi" w:cstheme="majorBidi"/>
          <w:i w:val="0"/>
          <w:iCs w:val="0"/>
          <w:color w:val="auto"/>
          <w:lang w:val="en-GB"/>
        </w:rPr>
        <w:t>symptoms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measured by the HSCL-25.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colored lines represent the </w:t>
      </w:r>
      <w:r w:rsidR="00342F06"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="00342F06"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MET values for each group, and the shaded areas indicate the 95% confidence intervals. The y-axis shows the </w:t>
      </w:r>
      <w:r w:rsidR="00342F06"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values, and the x-axis represents time of day (hours).</w:t>
      </w:r>
    </w:p>
    <w:p w14:paraId="4263767A" w14:textId="6D074836" w:rsidR="004E48EA" w:rsidRPr="00723D21" w:rsidRDefault="000118D8" w:rsidP="000A7DF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</w:rPr>
      </w:pPr>
      <w:r w:rsidRPr="00723D21">
        <w:rPr>
          <w:rFonts w:asciiTheme="majorBidi" w:hAnsiTheme="majorBidi" w:cstheme="majorBidi"/>
          <w:b/>
          <w:bCs/>
          <w:i w:val="0"/>
          <w:iCs w:val="0"/>
        </w:rPr>
        <w:lastRenderedPageBreak/>
        <w:t xml:space="preserve">Table </w:t>
      </w:r>
      <w:r w:rsidR="00B9772E">
        <w:rPr>
          <w:rFonts w:asciiTheme="majorBidi" w:hAnsiTheme="majorBidi" w:cstheme="majorBidi"/>
          <w:b/>
          <w:bCs/>
          <w:i w:val="0"/>
          <w:iCs w:val="0"/>
        </w:rPr>
        <w:t xml:space="preserve">S1: </w:t>
      </w:r>
      <w:r w:rsidR="00723D21" w:rsidRPr="00723D21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Characteristics of participants who had sufficient Oura Ring data and valid GAD-7 and HSCL-25 scores</w:t>
      </w:r>
      <w:r w:rsidR="00160B1A" w:rsidRPr="00160B1A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 </w:t>
      </w:r>
      <w:r w:rsidR="00160B1A" w:rsidRPr="000A7DFC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after excluding </w:t>
      </w:r>
      <w:r w:rsidR="00160B1A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those</w:t>
      </w:r>
      <w:r w:rsidR="00160B1A" w:rsidRPr="000A7DFC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 with chronic diseases</w:t>
      </w:r>
      <w:r w:rsidR="00160B1A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.</w:t>
      </w:r>
    </w:p>
    <w:tbl>
      <w:tblPr>
        <w:tblStyle w:val="PlainTable21"/>
        <w:tblW w:w="9944" w:type="dxa"/>
        <w:tblLayout w:type="fixed"/>
        <w:tblLook w:val="04A0" w:firstRow="1" w:lastRow="0" w:firstColumn="1" w:lastColumn="0" w:noHBand="0" w:noVBand="1"/>
      </w:tblPr>
      <w:tblGrid>
        <w:gridCol w:w="2660"/>
        <w:gridCol w:w="55"/>
        <w:gridCol w:w="1396"/>
        <w:gridCol w:w="1156"/>
        <w:gridCol w:w="1134"/>
        <w:gridCol w:w="1275"/>
        <w:gridCol w:w="1255"/>
        <w:gridCol w:w="1013"/>
      </w:tblGrid>
      <w:tr w:rsidR="00297E0F" w:rsidRPr="008108BB" w14:paraId="520CA174" w14:textId="77777777" w:rsidTr="00810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  <w:vMerge w:val="restart"/>
          </w:tcPr>
          <w:p w14:paraId="60CD119D" w14:textId="77777777" w:rsidR="00297E0F" w:rsidRPr="00297E0F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sz w:val="16"/>
                <w:szCs w:val="16"/>
              </w:rPr>
              <w:t>Variables</w:t>
            </w:r>
          </w:p>
        </w:tc>
        <w:tc>
          <w:tcPr>
            <w:tcW w:w="1396" w:type="dxa"/>
            <w:vMerge w:val="restart"/>
          </w:tcPr>
          <w:p w14:paraId="36298E06" w14:textId="7F33FCA7" w:rsidR="00297E0F" w:rsidRPr="00297E0F" w:rsidRDefault="00297E0F" w:rsidP="00297E0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sz w:val="16"/>
                <w:szCs w:val="16"/>
              </w:rPr>
              <w:t>Whole sample</w:t>
            </w:r>
            <w:r w:rsidRPr="00297E0F">
              <w:rPr>
                <w:rFonts w:ascii="Times New Roman" w:hAnsi="Times New Roman" w:cs="Times New Roman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(n=962)</m:t>
                </m:r>
              </m:oMath>
            </m:oMathPara>
          </w:p>
        </w:tc>
        <w:tc>
          <w:tcPr>
            <w:tcW w:w="3565" w:type="dxa"/>
            <w:gridSpan w:val="3"/>
          </w:tcPr>
          <w:p w14:paraId="733A5BC9" w14:textId="03156186" w:rsidR="00297E0F" w:rsidRPr="00297E0F" w:rsidRDefault="00297E0F" w:rsidP="00297E0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GAD-7 groups</w:t>
            </w:r>
          </w:p>
        </w:tc>
        <w:tc>
          <w:tcPr>
            <w:tcW w:w="2268" w:type="dxa"/>
            <w:gridSpan w:val="2"/>
          </w:tcPr>
          <w:p w14:paraId="20E02588" w14:textId="695C06D2" w:rsidR="00297E0F" w:rsidRPr="00297E0F" w:rsidRDefault="00297E0F" w:rsidP="00297E0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HSCL-25 groups</w:t>
            </w:r>
          </w:p>
        </w:tc>
      </w:tr>
      <w:tr w:rsidR="00297E0F" w:rsidRPr="008108BB" w14:paraId="0800DD1B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  <w:vMerge/>
          </w:tcPr>
          <w:p w14:paraId="499AD12E" w14:textId="77777777" w:rsidR="00297E0F" w:rsidRPr="00297E0F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vMerge/>
          </w:tcPr>
          <w:p w14:paraId="5357BD15" w14:textId="77777777" w:rsidR="00297E0F" w:rsidRPr="00297E0F" w:rsidRDefault="00297E0F" w:rsidP="00297E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</w:tcPr>
          <w:p w14:paraId="67FDB3A1" w14:textId="34B52251" w:rsidR="00297E0F" w:rsidRPr="00297E0F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anxiety</w:t>
            </w: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(n=569)</w:t>
            </w:r>
          </w:p>
        </w:tc>
        <w:tc>
          <w:tcPr>
            <w:tcW w:w="1134" w:type="dxa"/>
          </w:tcPr>
          <w:p w14:paraId="0AE12200" w14:textId="74B69106" w:rsidR="00297E0F" w:rsidRPr="00297E0F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Mild anxiety</w:t>
            </w: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16"/>
                  <w:szCs w:val="16"/>
                </w:rPr>
                <m:t>n=309</m:t>
              </m:r>
            </m:oMath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14:paraId="79E20CCC" w14:textId="696D879D" w:rsidR="00297E0F" w:rsidRPr="00297E0F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Moderate-to-severe anxiety</w:t>
            </w: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16"/>
                  <w:szCs w:val="16"/>
                </w:rPr>
                <m:t>n=84</m:t>
              </m:r>
            </m:oMath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55" w:type="dxa"/>
          </w:tcPr>
          <w:p w14:paraId="7011F427" w14:textId="4789B0E9" w:rsidR="00297E0F" w:rsidRPr="00297E0F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depression and anxiety</w:t>
            </w: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16"/>
                  <w:szCs w:val="16"/>
                </w:rPr>
                <m:t>n=845</m:t>
              </m:r>
            </m:oMath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13" w:type="dxa"/>
          </w:tcPr>
          <w:p w14:paraId="7BD07AB8" w14:textId="229B4004" w:rsidR="00297E0F" w:rsidRPr="00297E0F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Depression and anxiety</w:t>
            </w:r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16"/>
                  <w:szCs w:val="16"/>
                </w:rPr>
                <m:t>n=117</m:t>
              </m:r>
            </m:oMath>
            <w:r w:rsidRPr="00297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297E0F" w:rsidRPr="008108BB" w14:paraId="01A17754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242F1CD1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Demographics</w:t>
            </w:r>
          </w:p>
        </w:tc>
        <w:tc>
          <w:tcPr>
            <w:tcW w:w="1396" w:type="dxa"/>
          </w:tcPr>
          <w:p w14:paraId="3E7146C2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1AB4493C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16A4496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4D5F46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0F0DD8F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2148D1B3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42A6696F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2A6B86F1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Age, yr</w:t>
            </w:r>
          </w:p>
        </w:tc>
        <w:tc>
          <w:tcPr>
            <w:tcW w:w="1396" w:type="dxa"/>
          </w:tcPr>
          <w:p w14:paraId="7A24929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33.8 (0.6)</w:t>
            </w:r>
          </w:p>
        </w:tc>
        <w:tc>
          <w:tcPr>
            <w:tcW w:w="1156" w:type="dxa"/>
          </w:tcPr>
          <w:p w14:paraId="68184AF6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33.8 (0.6)</w:t>
            </w:r>
          </w:p>
        </w:tc>
        <w:tc>
          <w:tcPr>
            <w:tcW w:w="1134" w:type="dxa"/>
          </w:tcPr>
          <w:p w14:paraId="0700A61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33.9 (0.6)</w:t>
            </w:r>
          </w:p>
        </w:tc>
        <w:tc>
          <w:tcPr>
            <w:tcW w:w="1275" w:type="dxa"/>
          </w:tcPr>
          <w:p w14:paraId="3EF0C1A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33.9 (0.5)</w:t>
            </w:r>
          </w:p>
        </w:tc>
        <w:tc>
          <w:tcPr>
            <w:tcW w:w="1255" w:type="dxa"/>
          </w:tcPr>
          <w:p w14:paraId="35431DA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33.8 (0.6)</w:t>
            </w:r>
          </w:p>
        </w:tc>
        <w:tc>
          <w:tcPr>
            <w:tcW w:w="1013" w:type="dxa"/>
          </w:tcPr>
          <w:p w14:paraId="6AD68482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33.8 (0.6)</w:t>
            </w:r>
          </w:p>
        </w:tc>
      </w:tr>
      <w:tr w:rsidR="00297E0F" w:rsidRPr="008108BB" w14:paraId="040185B4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0527AB0F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451" w:type="dxa"/>
            <w:gridSpan w:val="2"/>
          </w:tcPr>
          <w:p w14:paraId="5DDA08DB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1092B26C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6D38C2F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CB5D4B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46AD808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0928F9BD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2A344F02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49730D27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Female</w:t>
            </w:r>
          </w:p>
        </w:tc>
        <w:tc>
          <w:tcPr>
            <w:tcW w:w="1396" w:type="dxa"/>
          </w:tcPr>
          <w:p w14:paraId="5DCC64F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586 (60.9%)</w:t>
            </w:r>
          </w:p>
        </w:tc>
        <w:tc>
          <w:tcPr>
            <w:tcW w:w="1156" w:type="dxa"/>
          </w:tcPr>
          <w:p w14:paraId="054927E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316 (55.5%)</w:t>
            </w:r>
          </w:p>
        </w:tc>
        <w:tc>
          <w:tcPr>
            <w:tcW w:w="1134" w:type="dxa"/>
          </w:tcPr>
          <w:p w14:paraId="628B8A4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210 (68.0%)</w:t>
            </w:r>
          </w:p>
        </w:tc>
        <w:tc>
          <w:tcPr>
            <w:tcW w:w="1275" w:type="dxa"/>
          </w:tcPr>
          <w:p w14:paraId="1E458238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60 (71.4%)</w:t>
            </w:r>
          </w:p>
        </w:tc>
        <w:tc>
          <w:tcPr>
            <w:tcW w:w="1255" w:type="dxa"/>
          </w:tcPr>
          <w:p w14:paraId="6BA1547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501 (59.3%)</w:t>
            </w:r>
          </w:p>
        </w:tc>
        <w:tc>
          <w:tcPr>
            <w:tcW w:w="1013" w:type="dxa"/>
          </w:tcPr>
          <w:p w14:paraId="2731527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85 (72.6%)</w:t>
            </w:r>
          </w:p>
        </w:tc>
      </w:tr>
      <w:tr w:rsidR="00297E0F" w:rsidRPr="008108BB" w14:paraId="498A4122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3C7BBAC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Education</w:t>
            </w:r>
          </w:p>
        </w:tc>
        <w:tc>
          <w:tcPr>
            <w:tcW w:w="1396" w:type="dxa"/>
          </w:tcPr>
          <w:p w14:paraId="107774F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51CE6259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9FC28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CF698D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6B529492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5A1A99C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17C46ACF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57F18706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Comprehensive school</w:t>
            </w:r>
          </w:p>
        </w:tc>
        <w:tc>
          <w:tcPr>
            <w:tcW w:w="1396" w:type="dxa"/>
          </w:tcPr>
          <w:p w14:paraId="67D5CA9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5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(7.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8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56" w:type="dxa"/>
          </w:tcPr>
          <w:p w14:paraId="0FC9114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9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(6.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9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34" w:type="dxa"/>
          </w:tcPr>
          <w:p w14:paraId="2FA8297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(8.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8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75" w:type="dxa"/>
          </w:tcPr>
          <w:p w14:paraId="614B397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9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10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55" w:type="dxa"/>
          </w:tcPr>
          <w:p w14:paraId="1DE9049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56 (6.6%)</w:t>
            </w:r>
          </w:p>
        </w:tc>
        <w:tc>
          <w:tcPr>
            <w:tcW w:w="1013" w:type="dxa"/>
          </w:tcPr>
          <w:p w14:paraId="0F610333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19 (16.2%)</w:t>
            </w:r>
          </w:p>
        </w:tc>
      </w:tr>
      <w:tr w:rsidR="00297E0F" w:rsidRPr="008108BB" w14:paraId="00470740" w14:textId="77777777" w:rsidTr="00297E0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65425247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Vocational/college level</w:t>
            </w:r>
          </w:p>
        </w:tc>
        <w:tc>
          <w:tcPr>
            <w:tcW w:w="1396" w:type="dxa"/>
          </w:tcPr>
          <w:p w14:paraId="3C5B47C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316 (32.8%)</w:t>
            </w:r>
          </w:p>
        </w:tc>
        <w:tc>
          <w:tcPr>
            <w:tcW w:w="1156" w:type="dxa"/>
          </w:tcPr>
          <w:p w14:paraId="14DDA345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181 (31.8%)</w:t>
            </w:r>
          </w:p>
        </w:tc>
        <w:tc>
          <w:tcPr>
            <w:tcW w:w="1134" w:type="dxa"/>
          </w:tcPr>
          <w:p w14:paraId="15CD38D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103 (33.3%)</w:t>
            </w:r>
          </w:p>
        </w:tc>
        <w:tc>
          <w:tcPr>
            <w:tcW w:w="1275" w:type="dxa"/>
          </w:tcPr>
          <w:p w14:paraId="7D0AD22B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32 (38.1%)</w:t>
            </w:r>
          </w:p>
        </w:tc>
        <w:tc>
          <w:tcPr>
            <w:tcW w:w="1255" w:type="dxa"/>
          </w:tcPr>
          <w:p w14:paraId="232DA6B2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271 (32.1%)</w:t>
            </w:r>
          </w:p>
        </w:tc>
        <w:tc>
          <w:tcPr>
            <w:tcW w:w="1013" w:type="dxa"/>
          </w:tcPr>
          <w:p w14:paraId="2960C3DF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45 (38.5%)</w:t>
            </w:r>
          </w:p>
        </w:tc>
      </w:tr>
      <w:tr w:rsidR="00297E0F" w:rsidRPr="008108BB" w14:paraId="4FF48C3C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FEDCF6F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Polytechnic/university degree</w:t>
            </w:r>
          </w:p>
        </w:tc>
        <w:tc>
          <w:tcPr>
            <w:tcW w:w="1396" w:type="dxa"/>
          </w:tcPr>
          <w:p w14:paraId="213B9D1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571 (59.4%)</w:t>
            </w:r>
          </w:p>
        </w:tc>
        <w:tc>
          <w:tcPr>
            <w:tcW w:w="1156" w:type="dxa"/>
          </w:tcPr>
          <w:p w14:paraId="0706FD7D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349 (61.3%)</w:t>
            </w:r>
          </w:p>
        </w:tc>
        <w:tc>
          <w:tcPr>
            <w:tcW w:w="1134" w:type="dxa"/>
          </w:tcPr>
          <w:p w14:paraId="32374E5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179 (57.9%)</w:t>
            </w:r>
          </w:p>
        </w:tc>
        <w:tc>
          <w:tcPr>
            <w:tcW w:w="1275" w:type="dxa"/>
          </w:tcPr>
          <w:p w14:paraId="0EC6619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43 (51.2%)</w:t>
            </w:r>
          </w:p>
        </w:tc>
        <w:tc>
          <w:tcPr>
            <w:tcW w:w="1255" w:type="dxa"/>
          </w:tcPr>
          <w:p w14:paraId="6B999CFD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518 (61.3%)</w:t>
            </w:r>
          </w:p>
        </w:tc>
        <w:tc>
          <w:tcPr>
            <w:tcW w:w="1013" w:type="dxa"/>
          </w:tcPr>
          <w:p w14:paraId="7F288147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53 (45.3%)</w:t>
            </w:r>
          </w:p>
        </w:tc>
      </w:tr>
      <w:tr w:rsidR="00297E0F" w:rsidRPr="008108BB" w14:paraId="556D36C3" w14:textId="77777777" w:rsidTr="00297E0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73B4B4FB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Employment status</w:t>
            </w:r>
          </w:p>
        </w:tc>
        <w:tc>
          <w:tcPr>
            <w:tcW w:w="1396" w:type="dxa"/>
          </w:tcPr>
          <w:p w14:paraId="7690038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0DE560E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3C2B982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0539049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30D3151D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2CDDD626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77D41823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59DAB134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Employed</w:t>
            </w:r>
          </w:p>
        </w:tc>
        <w:tc>
          <w:tcPr>
            <w:tcW w:w="1396" w:type="dxa"/>
          </w:tcPr>
          <w:p w14:paraId="35CCF3F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791 (82.2%)</w:t>
            </w:r>
          </w:p>
        </w:tc>
        <w:tc>
          <w:tcPr>
            <w:tcW w:w="1156" w:type="dxa"/>
          </w:tcPr>
          <w:p w14:paraId="12B8A0B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485 (85.2%)</w:t>
            </w:r>
          </w:p>
        </w:tc>
        <w:tc>
          <w:tcPr>
            <w:tcW w:w="1134" w:type="dxa"/>
          </w:tcPr>
          <w:p w14:paraId="4FFAD06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244 (79.0%)</w:t>
            </w:r>
          </w:p>
        </w:tc>
        <w:tc>
          <w:tcPr>
            <w:tcW w:w="1275" w:type="dxa"/>
          </w:tcPr>
          <w:p w14:paraId="641A725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62 (73.8%)</w:t>
            </w:r>
          </w:p>
        </w:tc>
        <w:tc>
          <w:tcPr>
            <w:tcW w:w="1255" w:type="dxa"/>
          </w:tcPr>
          <w:p w14:paraId="65A1226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710 (84.0%)</w:t>
            </w:r>
          </w:p>
        </w:tc>
        <w:tc>
          <w:tcPr>
            <w:tcW w:w="1013" w:type="dxa"/>
          </w:tcPr>
          <w:p w14:paraId="71B2EA5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81 (69.2%)</w:t>
            </w:r>
          </w:p>
        </w:tc>
      </w:tr>
      <w:tr w:rsidR="00297E0F" w:rsidRPr="008108BB" w14:paraId="03022027" w14:textId="77777777" w:rsidTr="00297E0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1EAEFA84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Unemployed</w:t>
            </w:r>
          </w:p>
        </w:tc>
        <w:tc>
          <w:tcPr>
            <w:tcW w:w="1396" w:type="dxa"/>
          </w:tcPr>
          <w:p w14:paraId="39CD60E9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50 (5.2%)</w:t>
            </w:r>
          </w:p>
        </w:tc>
        <w:tc>
          <w:tcPr>
            <w:tcW w:w="1156" w:type="dxa"/>
          </w:tcPr>
          <w:p w14:paraId="170BA503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23 (4.0%)</w:t>
            </w:r>
          </w:p>
        </w:tc>
        <w:tc>
          <w:tcPr>
            <w:tcW w:w="1134" w:type="dxa"/>
          </w:tcPr>
          <w:p w14:paraId="34C619D0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18 (5.8%)</w:t>
            </w:r>
          </w:p>
        </w:tc>
        <w:tc>
          <w:tcPr>
            <w:tcW w:w="1275" w:type="dxa"/>
          </w:tcPr>
          <w:p w14:paraId="2ED9237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9 (10.7%)</w:t>
            </w:r>
          </w:p>
        </w:tc>
        <w:tc>
          <w:tcPr>
            <w:tcW w:w="1255" w:type="dxa"/>
          </w:tcPr>
          <w:p w14:paraId="5B32837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37 (4.4%)</w:t>
            </w:r>
          </w:p>
        </w:tc>
        <w:tc>
          <w:tcPr>
            <w:tcW w:w="1013" w:type="dxa"/>
          </w:tcPr>
          <w:p w14:paraId="3BE95F8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13 (11.1%)</w:t>
            </w:r>
          </w:p>
        </w:tc>
      </w:tr>
      <w:tr w:rsidR="00297E0F" w:rsidRPr="008108BB" w14:paraId="283F6305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03981971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Other (e.g., student, homemaker)</w:t>
            </w:r>
          </w:p>
        </w:tc>
        <w:tc>
          <w:tcPr>
            <w:tcW w:w="1396" w:type="dxa"/>
          </w:tcPr>
          <w:p w14:paraId="7D14AA0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21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2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6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56" w:type="dxa"/>
          </w:tcPr>
          <w:p w14:paraId="1CCC35FD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61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10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8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34" w:type="dxa"/>
          </w:tcPr>
          <w:p w14:paraId="613FF8E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5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2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75" w:type="dxa"/>
          </w:tcPr>
          <w:p w14:paraId="6E3CDFD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13 (15.5%)</w:t>
            </w:r>
          </w:p>
        </w:tc>
        <w:tc>
          <w:tcPr>
            <w:tcW w:w="1255" w:type="dxa"/>
          </w:tcPr>
          <w:p w14:paraId="3064ACE6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98 (11.6%)</w:t>
            </w:r>
          </w:p>
        </w:tc>
        <w:tc>
          <w:tcPr>
            <w:tcW w:w="1013" w:type="dxa"/>
          </w:tcPr>
          <w:p w14:paraId="2149D36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23 (19.7%)</w:t>
            </w:r>
          </w:p>
        </w:tc>
      </w:tr>
      <w:tr w:rsidR="00297E0F" w:rsidRPr="008108BB" w14:paraId="51E27D06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22C6796E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Marital status</w:t>
            </w:r>
          </w:p>
        </w:tc>
        <w:tc>
          <w:tcPr>
            <w:tcW w:w="1396" w:type="dxa"/>
          </w:tcPr>
          <w:p w14:paraId="332D36CC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689BEEAC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203006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ADF337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2FC63B8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62E6F8C5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4096EFAB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78E338C0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Married/cohabiting</w:t>
            </w:r>
          </w:p>
        </w:tc>
        <w:tc>
          <w:tcPr>
            <w:tcW w:w="1396" w:type="dxa"/>
          </w:tcPr>
          <w:p w14:paraId="40051B5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756 (78.6%)</w:t>
            </w:r>
          </w:p>
        </w:tc>
        <w:tc>
          <w:tcPr>
            <w:tcW w:w="1156" w:type="dxa"/>
          </w:tcPr>
          <w:p w14:paraId="1EF64FD7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446 (78.4%)</w:t>
            </w:r>
          </w:p>
        </w:tc>
        <w:tc>
          <w:tcPr>
            <w:tcW w:w="1134" w:type="dxa"/>
          </w:tcPr>
          <w:p w14:paraId="6A61BB47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250 (80.9%)</w:t>
            </w:r>
          </w:p>
        </w:tc>
        <w:tc>
          <w:tcPr>
            <w:tcW w:w="1275" w:type="dxa"/>
          </w:tcPr>
          <w:p w14:paraId="425A7A4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60 (71.4%)</w:t>
            </w:r>
          </w:p>
        </w:tc>
        <w:tc>
          <w:tcPr>
            <w:tcW w:w="1255" w:type="dxa"/>
          </w:tcPr>
          <w:p w14:paraId="24117CFD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676 (80.0%)</w:t>
            </w:r>
          </w:p>
        </w:tc>
        <w:tc>
          <w:tcPr>
            <w:tcW w:w="1013" w:type="dxa"/>
          </w:tcPr>
          <w:p w14:paraId="4DF4BA2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80 (68.4%)</w:t>
            </w:r>
          </w:p>
        </w:tc>
      </w:tr>
      <w:tr w:rsidR="00297E0F" w:rsidRPr="008108BB" w14:paraId="3FFBBC95" w14:textId="77777777" w:rsidTr="00297E0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79754A1C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Divorced/widowed</w:t>
            </w:r>
          </w:p>
        </w:tc>
        <w:tc>
          <w:tcPr>
            <w:tcW w:w="1396" w:type="dxa"/>
          </w:tcPr>
          <w:p w14:paraId="23A90FF5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36 (3.7%)</w:t>
            </w:r>
          </w:p>
        </w:tc>
        <w:tc>
          <w:tcPr>
            <w:tcW w:w="1156" w:type="dxa"/>
          </w:tcPr>
          <w:p w14:paraId="27D5E02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17 (3.0%)</w:t>
            </w:r>
          </w:p>
        </w:tc>
        <w:tc>
          <w:tcPr>
            <w:tcW w:w="1134" w:type="dxa"/>
          </w:tcPr>
          <w:p w14:paraId="530604B3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13 (4.2%)</w:t>
            </w:r>
          </w:p>
        </w:tc>
        <w:tc>
          <w:tcPr>
            <w:tcW w:w="1275" w:type="dxa"/>
          </w:tcPr>
          <w:p w14:paraId="28EF2583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 (7.1%)</w:t>
            </w:r>
          </w:p>
        </w:tc>
        <w:tc>
          <w:tcPr>
            <w:tcW w:w="1255" w:type="dxa"/>
          </w:tcPr>
          <w:p w14:paraId="797EEE4D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28 (3.3%)</w:t>
            </w:r>
          </w:p>
        </w:tc>
        <w:tc>
          <w:tcPr>
            <w:tcW w:w="1013" w:type="dxa"/>
          </w:tcPr>
          <w:p w14:paraId="1588E66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 (6.8%)</w:t>
            </w:r>
          </w:p>
        </w:tc>
      </w:tr>
      <w:tr w:rsidR="00297E0F" w:rsidRPr="008108BB" w14:paraId="1BD224C7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77E7EB0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Unmarried</w:t>
            </w:r>
          </w:p>
        </w:tc>
        <w:tc>
          <w:tcPr>
            <w:tcW w:w="1396" w:type="dxa"/>
          </w:tcPr>
          <w:p w14:paraId="0ACF089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70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(17.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56" w:type="dxa"/>
          </w:tcPr>
          <w:p w14:paraId="438A77B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6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(18.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6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34" w:type="dxa"/>
          </w:tcPr>
          <w:p w14:paraId="321F1A38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6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(14.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9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75" w:type="dxa"/>
          </w:tcPr>
          <w:p w14:paraId="6E3DAA6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8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(2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1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5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55" w:type="dxa"/>
          </w:tcPr>
          <w:p w14:paraId="4EBF76B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141 (16.7%)</w:t>
            </w:r>
          </w:p>
        </w:tc>
        <w:tc>
          <w:tcPr>
            <w:tcW w:w="1013" w:type="dxa"/>
          </w:tcPr>
          <w:p w14:paraId="2239BB46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29 (24.8%)</w:t>
            </w:r>
          </w:p>
        </w:tc>
      </w:tr>
      <w:tr w:rsidR="00297E0F" w:rsidRPr="008108BB" w14:paraId="175AEE31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67D9B08B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Household income (€ per year)</w:t>
            </w:r>
          </w:p>
        </w:tc>
        <w:tc>
          <w:tcPr>
            <w:tcW w:w="1396" w:type="dxa"/>
          </w:tcPr>
          <w:p w14:paraId="2556C4ED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0CCD785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8D621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7F8DBB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51116FF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25004B7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29600D88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167093DD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≤50,000</w:t>
            </w:r>
          </w:p>
        </w:tc>
        <w:tc>
          <w:tcPr>
            <w:tcW w:w="1396" w:type="dxa"/>
          </w:tcPr>
          <w:p w14:paraId="77E5326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367 (38.1%)</w:t>
            </w:r>
          </w:p>
        </w:tc>
        <w:tc>
          <w:tcPr>
            <w:tcW w:w="1156" w:type="dxa"/>
          </w:tcPr>
          <w:p w14:paraId="2ECB0D8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208 (36.6%)</w:t>
            </w:r>
          </w:p>
        </w:tc>
        <w:tc>
          <w:tcPr>
            <w:tcW w:w="1134" w:type="dxa"/>
          </w:tcPr>
          <w:p w14:paraId="3ED1EC5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120 (38.8%)</w:t>
            </w:r>
          </w:p>
        </w:tc>
        <w:tc>
          <w:tcPr>
            <w:tcW w:w="1275" w:type="dxa"/>
          </w:tcPr>
          <w:p w14:paraId="1664EE0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39 (46.4%)</w:t>
            </w:r>
          </w:p>
        </w:tc>
        <w:tc>
          <w:tcPr>
            <w:tcW w:w="1255" w:type="dxa"/>
          </w:tcPr>
          <w:p w14:paraId="390D026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303 (35.9%)</w:t>
            </w:r>
          </w:p>
        </w:tc>
        <w:tc>
          <w:tcPr>
            <w:tcW w:w="1013" w:type="dxa"/>
          </w:tcPr>
          <w:p w14:paraId="4322CEB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64 (54.7%)</w:t>
            </w:r>
          </w:p>
        </w:tc>
      </w:tr>
      <w:tr w:rsidR="00297E0F" w:rsidRPr="008108BB" w14:paraId="48553953" w14:textId="77777777" w:rsidTr="00297E0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64F3DAD8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50,001 to 100,000</w:t>
            </w:r>
          </w:p>
        </w:tc>
        <w:tc>
          <w:tcPr>
            <w:tcW w:w="1396" w:type="dxa"/>
          </w:tcPr>
          <w:p w14:paraId="7A1F7266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524 (54.5%)</w:t>
            </w:r>
          </w:p>
        </w:tc>
        <w:tc>
          <w:tcPr>
            <w:tcW w:w="1156" w:type="dxa"/>
          </w:tcPr>
          <w:p w14:paraId="23749C6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315 (55.4%)</w:t>
            </w:r>
          </w:p>
        </w:tc>
        <w:tc>
          <w:tcPr>
            <w:tcW w:w="1134" w:type="dxa"/>
          </w:tcPr>
          <w:p w14:paraId="4BA1043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170 (55.0%)</w:t>
            </w:r>
          </w:p>
        </w:tc>
        <w:tc>
          <w:tcPr>
            <w:tcW w:w="1275" w:type="dxa"/>
          </w:tcPr>
          <w:p w14:paraId="7B2C9CC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39 (46.4%)</w:t>
            </w:r>
          </w:p>
        </w:tc>
        <w:tc>
          <w:tcPr>
            <w:tcW w:w="1255" w:type="dxa"/>
          </w:tcPr>
          <w:p w14:paraId="798791D3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477 (56.4%)</w:t>
            </w:r>
          </w:p>
        </w:tc>
        <w:tc>
          <w:tcPr>
            <w:tcW w:w="1013" w:type="dxa"/>
          </w:tcPr>
          <w:p w14:paraId="60F23E8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47 (40.2%)</w:t>
            </w:r>
          </w:p>
        </w:tc>
      </w:tr>
      <w:tr w:rsidR="00297E0F" w:rsidRPr="008108BB" w14:paraId="01EACE87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08850A29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&gt;100,000</w:t>
            </w:r>
          </w:p>
        </w:tc>
        <w:tc>
          <w:tcPr>
            <w:tcW w:w="1396" w:type="dxa"/>
          </w:tcPr>
          <w:p w14:paraId="72E374A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71 (7.4%)</w:t>
            </w:r>
          </w:p>
        </w:tc>
        <w:tc>
          <w:tcPr>
            <w:tcW w:w="1156" w:type="dxa"/>
          </w:tcPr>
          <w:p w14:paraId="1AFFEA0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46 (8.1%)</w:t>
            </w:r>
          </w:p>
        </w:tc>
        <w:tc>
          <w:tcPr>
            <w:tcW w:w="1134" w:type="dxa"/>
          </w:tcPr>
          <w:p w14:paraId="66C154E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19 (6.1%)</w:t>
            </w:r>
          </w:p>
        </w:tc>
        <w:tc>
          <w:tcPr>
            <w:tcW w:w="1275" w:type="dxa"/>
          </w:tcPr>
          <w:p w14:paraId="21E3C7C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 (7.1%)</w:t>
            </w:r>
          </w:p>
        </w:tc>
        <w:tc>
          <w:tcPr>
            <w:tcW w:w="1255" w:type="dxa"/>
          </w:tcPr>
          <w:p w14:paraId="3A7452F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65 (7.7%)</w:t>
            </w:r>
          </w:p>
        </w:tc>
        <w:tc>
          <w:tcPr>
            <w:tcW w:w="1013" w:type="dxa"/>
          </w:tcPr>
          <w:p w14:paraId="1BA0C67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6 (5.1%)</w:t>
            </w:r>
          </w:p>
        </w:tc>
      </w:tr>
      <w:tr w:rsidR="00297E0F" w:rsidRPr="008108BB" w14:paraId="091C0BFF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2801B7DC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Lifestyle factors</w:t>
            </w:r>
          </w:p>
        </w:tc>
        <w:tc>
          <w:tcPr>
            <w:tcW w:w="1396" w:type="dxa"/>
          </w:tcPr>
          <w:p w14:paraId="64F729D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790D39C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6E803B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93A118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33BE52F0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27808932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63405F37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1404FE65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Alcohol consumption, g·d−1</w:t>
            </w:r>
          </w:p>
        </w:tc>
        <w:tc>
          <w:tcPr>
            <w:tcW w:w="1396" w:type="dxa"/>
          </w:tcPr>
          <w:p w14:paraId="1EA02A7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3.0 (3.7)</w:t>
            </w:r>
          </w:p>
        </w:tc>
        <w:tc>
          <w:tcPr>
            <w:tcW w:w="1156" w:type="dxa"/>
          </w:tcPr>
          <w:p w14:paraId="018A769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3.0 (3.7)</w:t>
            </w:r>
          </w:p>
        </w:tc>
        <w:tc>
          <w:tcPr>
            <w:tcW w:w="1134" w:type="dxa"/>
          </w:tcPr>
          <w:p w14:paraId="37F46AC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2.7 (3.3)</w:t>
            </w:r>
          </w:p>
        </w:tc>
        <w:tc>
          <w:tcPr>
            <w:tcW w:w="1275" w:type="dxa"/>
          </w:tcPr>
          <w:p w14:paraId="36B0372C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3.8 (4.6)</w:t>
            </w:r>
          </w:p>
        </w:tc>
        <w:tc>
          <w:tcPr>
            <w:tcW w:w="1255" w:type="dxa"/>
          </w:tcPr>
          <w:p w14:paraId="214155B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2.9 (3.5)</w:t>
            </w:r>
          </w:p>
        </w:tc>
        <w:tc>
          <w:tcPr>
            <w:tcW w:w="1013" w:type="dxa"/>
          </w:tcPr>
          <w:p w14:paraId="62835428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3.9 (4.8)</w:t>
            </w:r>
          </w:p>
        </w:tc>
      </w:tr>
      <w:tr w:rsidR="00297E0F" w:rsidRPr="008108BB" w14:paraId="7087CF39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791B545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Smoking status</w:t>
            </w:r>
          </w:p>
        </w:tc>
        <w:tc>
          <w:tcPr>
            <w:tcW w:w="1396" w:type="dxa"/>
          </w:tcPr>
          <w:p w14:paraId="6BE3EE4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223A292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49E96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A8CEB2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7B25972C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6C255DA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55E293F3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2525B705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Nonsmoker</w:t>
            </w:r>
          </w:p>
        </w:tc>
        <w:tc>
          <w:tcPr>
            <w:tcW w:w="1396" w:type="dxa"/>
          </w:tcPr>
          <w:p w14:paraId="32EAF14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11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(3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2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4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56" w:type="dxa"/>
          </w:tcPr>
          <w:p w14:paraId="7A377FBE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(32.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9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34" w:type="dxa"/>
          </w:tcPr>
          <w:p w14:paraId="3E2C9063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(31.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3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75" w:type="dxa"/>
          </w:tcPr>
          <w:p w14:paraId="4EAC034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7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(3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2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108BB">
              <w:rPr>
                <w:rFonts w:ascii="Times New Roman" w:hAnsi="Times New Roman" w:cs="Times New Roman"/>
                <w:sz w:val="16"/>
                <w:szCs w:val="16"/>
                <w:rtl/>
              </w:rPr>
              <w:t>1</w:t>
            </w: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55" w:type="dxa"/>
          </w:tcPr>
          <w:p w14:paraId="38058D8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273 (32.3%)</w:t>
            </w:r>
          </w:p>
        </w:tc>
        <w:tc>
          <w:tcPr>
            <w:tcW w:w="1013" w:type="dxa"/>
          </w:tcPr>
          <w:p w14:paraId="48148296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38 (32.5%)</w:t>
            </w:r>
          </w:p>
        </w:tc>
      </w:tr>
      <w:tr w:rsidR="00297E0F" w:rsidRPr="008108BB" w14:paraId="036252B9" w14:textId="77777777" w:rsidTr="00297E0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7052BAD9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Former smoker</w:t>
            </w:r>
          </w:p>
        </w:tc>
        <w:tc>
          <w:tcPr>
            <w:tcW w:w="1396" w:type="dxa"/>
          </w:tcPr>
          <w:p w14:paraId="30D7146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466 (48.4%)</w:t>
            </w:r>
          </w:p>
        </w:tc>
        <w:tc>
          <w:tcPr>
            <w:tcW w:w="1156" w:type="dxa"/>
          </w:tcPr>
          <w:p w14:paraId="4636EA7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267 (46.9%)</w:t>
            </w:r>
          </w:p>
        </w:tc>
        <w:tc>
          <w:tcPr>
            <w:tcW w:w="1134" w:type="dxa"/>
          </w:tcPr>
          <w:p w14:paraId="43CDCDC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163 (52.8%)</w:t>
            </w:r>
          </w:p>
        </w:tc>
        <w:tc>
          <w:tcPr>
            <w:tcW w:w="1275" w:type="dxa"/>
          </w:tcPr>
          <w:p w14:paraId="495BBFA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36 (42.9%)</w:t>
            </w:r>
          </w:p>
        </w:tc>
        <w:tc>
          <w:tcPr>
            <w:tcW w:w="1255" w:type="dxa"/>
          </w:tcPr>
          <w:p w14:paraId="5FD54A2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413 (48.9%)</w:t>
            </w:r>
          </w:p>
        </w:tc>
        <w:tc>
          <w:tcPr>
            <w:tcW w:w="1013" w:type="dxa"/>
          </w:tcPr>
          <w:p w14:paraId="1489BE9D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53 (45.3%)</w:t>
            </w:r>
          </w:p>
        </w:tc>
      </w:tr>
      <w:tr w:rsidR="00297E0F" w:rsidRPr="008108BB" w14:paraId="5FFCFFAF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6E0C33D5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 xml:space="preserve">    Current smoker</w:t>
            </w:r>
          </w:p>
        </w:tc>
        <w:tc>
          <w:tcPr>
            <w:tcW w:w="1396" w:type="dxa"/>
          </w:tcPr>
          <w:p w14:paraId="652D6E2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185 (19.2%)</w:t>
            </w:r>
          </w:p>
        </w:tc>
        <w:tc>
          <w:tcPr>
            <w:tcW w:w="1156" w:type="dxa"/>
          </w:tcPr>
          <w:p w14:paraId="1AE7F76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115 (20.2%)</w:t>
            </w:r>
          </w:p>
        </w:tc>
        <w:tc>
          <w:tcPr>
            <w:tcW w:w="1134" w:type="dxa"/>
          </w:tcPr>
          <w:p w14:paraId="500C1D5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49 (15.9%)</w:t>
            </w:r>
          </w:p>
        </w:tc>
        <w:tc>
          <w:tcPr>
            <w:tcW w:w="1275" w:type="dxa"/>
          </w:tcPr>
          <w:p w14:paraId="7BCD648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21 (25.0%)</w:t>
            </w:r>
          </w:p>
        </w:tc>
        <w:tc>
          <w:tcPr>
            <w:tcW w:w="1255" w:type="dxa"/>
          </w:tcPr>
          <w:p w14:paraId="11972A93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159 (18.8%)</w:t>
            </w:r>
          </w:p>
        </w:tc>
        <w:tc>
          <w:tcPr>
            <w:tcW w:w="1013" w:type="dxa"/>
          </w:tcPr>
          <w:p w14:paraId="6F490977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26 (22.2%)</w:t>
            </w:r>
          </w:p>
        </w:tc>
      </w:tr>
      <w:tr w:rsidR="00297E0F" w:rsidRPr="008108BB" w14:paraId="18AFF042" w14:textId="77777777" w:rsidTr="00297E0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07E9B452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Cardiometabolic biomarkers</w:t>
            </w:r>
          </w:p>
        </w:tc>
        <w:tc>
          <w:tcPr>
            <w:tcW w:w="1396" w:type="dxa"/>
          </w:tcPr>
          <w:p w14:paraId="2BB755CD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3363732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945D5FF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72F52E7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4D8C5BC2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1CA8F446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295F0E9D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0A0CAC0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Fasting glucose, mmol·L−1</w:t>
            </w:r>
          </w:p>
        </w:tc>
        <w:tc>
          <w:tcPr>
            <w:tcW w:w="1396" w:type="dxa"/>
          </w:tcPr>
          <w:p w14:paraId="238EF920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5.0 (0.4)</w:t>
            </w:r>
          </w:p>
        </w:tc>
        <w:tc>
          <w:tcPr>
            <w:tcW w:w="1156" w:type="dxa"/>
          </w:tcPr>
          <w:p w14:paraId="3EF7FE24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5.0 (0.4)</w:t>
            </w:r>
          </w:p>
        </w:tc>
        <w:tc>
          <w:tcPr>
            <w:tcW w:w="1134" w:type="dxa"/>
          </w:tcPr>
          <w:p w14:paraId="4ADD89C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4.9 (0.4)</w:t>
            </w:r>
          </w:p>
        </w:tc>
        <w:tc>
          <w:tcPr>
            <w:tcW w:w="1275" w:type="dxa"/>
          </w:tcPr>
          <w:p w14:paraId="2FFBD4A3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5.0 (0.5)</w:t>
            </w:r>
          </w:p>
        </w:tc>
        <w:tc>
          <w:tcPr>
            <w:tcW w:w="1255" w:type="dxa"/>
          </w:tcPr>
          <w:p w14:paraId="6B194B47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5.0 (0.4)</w:t>
            </w:r>
          </w:p>
        </w:tc>
        <w:tc>
          <w:tcPr>
            <w:tcW w:w="1013" w:type="dxa"/>
          </w:tcPr>
          <w:p w14:paraId="4469C95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5.0 (0.5)</w:t>
            </w:r>
          </w:p>
        </w:tc>
      </w:tr>
      <w:tr w:rsidR="00297E0F" w:rsidRPr="008108BB" w14:paraId="79C9FD21" w14:textId="77777777" w:rsidTr="00297E0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EC0735A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Triglycerides, mmol·L−1</w:t>
            </w:r>
          </w:p>
        </w:tc>
        <w:tc>
          <w:tcPr>
            <w:tcW w:w="1396" w:type="dxa"/>
          </w:tcPr>
          <w:p w14:paraId="7816271F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0.9 (0.6)</w:t>
            </w:r>
          </w:p>
        </w:tc>
        <w:tc>
          <w:tcPr>
            <w:tcW w:w="1156" w:type="dxa"/>
          </w:tcPr>
          <w:p w14:paraId="04E7D1E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0.9 (0.7)</w:t>
            </w:r>
          </w:p>
        </w:tc>
        <w:tc>
          <w:tcPr>
            <w:tcW w:w="1134" w:type="dxa"/>
          </w:tcPr>
          <w:p w14:paraId="4C6BD49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0.9 (0.4)</w:t>
            </w:r>
          </w:p>
        </w:tc>
        <w:tc>
          <w:tcPr>
            <w:tcW w:w="1275" w:type="dxa"/>
          </w:tcPr>
          <w:p w14:paraId="5FC7B0F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0.9 (0.5)</w:t>
            </w:r>
          </w:p>
        </w:tc>
        <w:tc>
          <w:tcPr>
            <w:tcW w:w="1255" w:type="dxa"/>
          </w:tcPr>
          <w:p w14:paraId="0ADD0D90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0.9 (0.6)</w:t>
            </w:r>
          </w:p>
        </w:tc>
        <w:tc>
          <w:tcPr>
            <w:tcW w:w="1013" w:type="dxa"/>
          </w:tcPr>
          <w:p w14:paraId="5D5DFD4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0.9 (0.4)</w:t>
            </w:r>
          </w:p>
        </w:tc>
      </w:tr>
      <w:tr w:rsidR="00297E0F" w:rsidRPr="008108BB" w14:paraId="107C7D26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5500DC9D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Total/HDL cholesterol ratio</w:t>
            </w:r>
          </w:p>
        </w:tc>
        <w:tc>
          <w:tcPr>
            <w:tcW w:w="1396" w:type="dxa"/>
          </w:tcPr>
          <w:p w14:paraId="1D1C562B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3.2 (0.9)</w:t>
            </w:r>
          </w:p>
        </w:tc>
        <w:tc>
          <w:tcPr>
            <w:tcW w:w="1156" w:type="dxa"/>
          </w:tcPr>
          <w:p w14:paraId="63226F02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3.2 (0.9)</w:t>
            </w:r>
          </w:p>
        </w:tc>
        <w:tc>
          <w:tcPr>
            <w:tcW w:w="1134" w:type="dxa"/>
          </w:tcPr>
          <w:p w14:paraId="3B09933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3.2 (0.9)</w:t>
            </w:r>
          </w:p>
        </w:tc>
        <w:tc>
          <w:tcPr>
            <w:tcW w:w="1275" w:type="dxa"/>
          </w:tcPr>
          <w:p w14:paraId="7960951D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3.2 (0.8)</w:t>
            </w:r>
          </w:p>
        </w:tc>
        <w:tc>
          <w:tcPr>
            <w:tcW w:w="1255" w:type="dxa"/>
          </w:tcPr>
          <w:p w14:paraId="0945835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3.2 (0.9)</w:t>
            </w:r>
          </w:p>
        </w:tc>
        <w:tc>
          <w:tcPr>
            <w:tcW w:w="1013" w:type="dxa"/>
          </w:tcPr>
          <w:p w14:paraId="4ACC08DA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3.2 (0.8)</w:t>
            </w:r>
          </w:p>
        </w:tc>
      </w:tr>
      <w:tr w:rsidR="00297E0F" w:rsidRPr="008108BB" w14:paraId="44098E06" w14:textId="77777777" w:rsidTr="00297E0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12D9C824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LDL/HDL cholesterol ratio</w:t>
            </w:r>
          </w:p>
        </w:tc>
        <w:tc>
          <w:tcPr>
            <w:tcW w:w="1396" w:type="dxa"/>
          </w:tcPr>
          <w:p w14:paraId="47DFBC6F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1.9 (0.8)</w:t>
            </w:r>
          </w:p>
        </w:tc>
        <w:tc>
          <w:tcPr>
            <w:tcW w:w="1156" w:type="dxa"/>
          </w:tcPr>
          <w:p w14:paraId="6D4CC05E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1.9 (0.8)</w:t>
            </w:r>
          </w:p>
        </w:tc>
        <w:tc>
          <w:tcPr>
            <w:tcW w:w="1134" w:type="dxa"/>
          </w:tcPr>
          <w:p w14:paraId="347CD261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1.9 (0.8)</w:t>
            </w:r>
          </w:p>
        </w:tc>
        <w:tc>
          <w:tcPr>
            <w:tcW w:w="1275" w:type="dxa"/>
          </w:tcPr>
          <w:p w14:paraId="339FB35F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1.9 (0.7)</w:t>
            </w:r>
          </w:p>
        </w:tc>
        <w:tc>
          <w:tcPr>
            <w:tcW w:w="1255" w:type="dxa"/>
          </w:tcPr>
          <w:p w14:paraId="10B11F1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1.9 (0.8)</w:t>
            </w:r>
          </w:p>
        </w:tc>
        <w:tc>
          <w:tcPr>
            <w:tcW w:w="1013" w:type="dxa"/>
          </w:tcPr>
          <w:p w14:paraId="7601F464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1.9 (0.8)</w:t>
            </w:r>
          </w:p>
        </w:tc>
      </w:tr>
      <w:tr w:rsidR="00297E0F" w:rsidRPr="008108BB" w14:paraId="1D31C1E5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D9A5306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Adiposity measures</w:t>
            </w:r>
          </w:p>
        </w:tc>
        <w:tc>
          <w:tcPr>
            <w:tcW w:w="1396" w:type="dxa"/>
          </w:tcPr>
          <w:p w14:paraId="646FD4A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</w:tcPr>
          <w:p w14:paraId="313E3C2D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B974996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5EEE50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5" w:type="dxa"/>
          </w:tcPr>
          <w:p w14:paraId="28D4CF61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</w:tcPr>
          <w:p w14:paraId="0724788F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E0F" w:rsidRPr="008108BB" w14:paraId="2B640564" w14:textId="77777777" w:rsidTr="00297E0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18E82DA9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BMI, kg·m−2</w:t>
            </w:r>
          </w:p>
        </w:tc>
        <w:tc>
          <w:tcPr>
            <w:tcW w:w="1396" w:type="dxa"/>
          </w:tcPr>
          <w:p w14:paraId="1E2C5A1A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25.6 (4.7)</w:t>
            </w:r>
          </w:p>
        </w:tc>
        <w:tc>
          <w:tcPr>
            <w:tcW w:w="1156" w:type="dxa"/>
          </w:tcPr>
          <w:p w14:paraId="268969A5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25.7 (4.5)</w:t>
            </w:r>
          </w:p>
        </w:tc>
        <w:tc>
          <w:tcPr>
            <w:tcW w:w="1134" w:type="dxa"/>
          </w:tcPr>
          <w:p w14:paraId="00A69C63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25.6 (5.0)</w:t>
            </w:r>
          </w:p>
        </w:tc>
        <w:tc>
          <w:tcPr>
            <w:tcW w:w="1275" w:type="dxa"/>
          </w:tcPr>
          <w:p w14:paraId="12CA335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25.6 (5.0)</w:t>
            </w:r>
          </w:p>
        </w:tc>
        <w:tc>
          <w:tcPr>
            <w:tcW w:w="1255" w:type="dxa"/>
          </w:tcPr>
          <w:p w14:paraId="7220855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25.6 (4.6)</w:t>
            </w:r>
          </w:p>
        </w:tc>
        <w:tc>
          <w:tcPr>
            <w:tcW w:w="1013" w:type="dxa"/>
          </w:tcPr>
          <w:p w14:paraId="64A86628" w14:textId="77777777" w:rsidR="00297E0F" w:rsidRPr="008108BB" w:rsidRDefault="00297E0F" w:rsidP="00297E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26.1 (5.5)</w:t>
            </w:r>
          </w:p>
        </w:tc>
      </w:tr>
      <w:tr w:rsidR="00297E0F" w:rsidRPr="008108BB" w14:paraId="00816E7A" w14:textId="77777777" w:rsidTr="00297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gridSpan w:val="2"/>
          </w:tcPr>
          <w:p w14:paraId="372FA6A5" w14:textId="77777777" w:rsidR="00297E0F" w:rsidRPr="008108BB" w:rsidRDefault="00297E0F" w:rsidP="00297E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Waist circumference, cm</w:t>
            </w:r>
          </w:p>
        </w:tc>
        <w:tc>
          <w:tcPr>
            <w:tcW w:w="1396" w:type="dxa"/>
          </w:tcPr>
          <w:p w14:paraId="3A18CF33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87.2 (12.8)</w:t>
            </w:r>
          </w:p>
        </w:tc>
        <w:tc>
          <w:tcPr>
            <w:tcW w:w="1156" w:type="dxa"/>
          </w:tcPr>
          <w:p w14:paraId="64D1A766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87.4 (12.3)</w:t>
            </w:r>
          </w:p>
        </w:tc>
        <w:tc>
          <w:tcPr>
            <w:tcW w:w="1134" w:type="dxa"/>
          </w:tcPr>
          <w:p w14:paraId="5A0FE605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87.1 (13.6)</w:t>
            </w:r>
          </w:p>
        </w:tc>
        <w:tc>
          <w:tcPr>
            <w:tcW w:w="1275" w:type="dxa"/>
          </w:tcPr>
          <w:p w14:paraId="2EF8323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86.2 (12.9)</w:t>
            </w:r>
          </w:p>
        </w:tc>
        <w:tc>
          <w:tcPr>
            <w:tcW w:w="1255" w:type="dxa"/>
          </w:tcPr>
          <w:p w14:paraId="02AB7779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87.2 (12.6)</w:t>
            </w:r>
          </w:p>
        </w:tc>
        <w:tc>
          <w:tcPr>
            <w:tcW w:w="1013" w:type="dxa"/>
          </w:tcPr>
          <w:p w14:paraId="07130A5E" w14:textId="77777777" w:rsidR="00297E0F" w:rsidRPr="008108BB" w:rsidRDefault="00297E0F" w:rsidP="00297E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08BB">
              <w:rPr>
                <w:rFonts w:ascii="Times New Roman" w:hAnsi="Times New Roman" w:cs="Times New Roman"/>
                <w:sz w:val="16"/>
                <w:szCs w:val="16"/>
              </w:rPr>
              <w:t>87.4 (14.0)</w:t>
            </w:r>
          </w:p>
        </w:tc>
      </w:tr>
    </w:tbl>
    <w:p w14:paraId="33E03FC9" w14:textId="77777777" w:rsidR="003477FA" w:rsidRPr="00346ABC" w:rsidRDefault="003477FA" w:rsidP="003477FA">
      <w:pPr>
        <w:spacing w:line="48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346ABC">
        <w:rPr>
          <w:rFonts w:asciiTheme="majorBidi" w:hAnsiTheme="majorBidi" w:cstheme="majorBidi"/>
          <w:i/>
          <w:iCs/>
          <w:sz w:val="20"/>
          <w:szCs w:val="20"/>
          <w:lang w:val="en-GB"/>
        </w:rPr>
        <w:t>Data are mean (SD) or count (%)</w:t>
      </w:r>
    </w:p>
    <w:p w14:paraId="4DC3391E" w14:textId="77777777" w:rsidR="005B719C" w:rsidRDefault="005B719C" w:rsidP="00E4088D">
      <w:pPr>
        <w:rPr>
          <w:lang w:val="en-GB"/>
        </w:rPr>
      </w:pPr>
    </w:p>
    <w:p w14:paraId="3CB45CDF" w14:textId="77777777" w:rsidR="005B719C" w:rsidRDefault="005B719C" w:rsidP="00E4088D">
      <w:pPr>
        <w:rPr>
          <w:lang w:val="en-GB"/>
        </w:rPr>
      </w:pPr>
    </w:p>
    <w:p w14:paraId="4EC1CB2F" w14:textId="77777777" w:rsidR="005B719C" w:rsidRDefault="005B719C" w:rsidP="00E4088D">
      <w:pPr>
        <w:rPr>
          <w:lang w:val="en-GB"/>
        </w:rPr>
      </w:pPr>
    </w:p>
    <w:p w14:paraId="46B2F25D" w14:textId="77777777" w:rsidR="005B719C" w:rsidRDefault="005B719C" w:rsidP="00E4088D">
      <w:pPr>
        <w:rPr>
          <w:lang w:val="en-GB"/>
        </w:rPr>
      </w:pPr>
    </w:p>
    <w:p w14:paraId="1CCE3C8E" w14:textId="77777777" w:rsidR="005B719C" w:rsidRPr="00E4088D" w:rsidRDefault="005B719C" w:rsidP="00E4088D">
      <w:pPr>
        <w:rPr>
          <w:lang w:val="en-GB"/>
        </w:rPr>
      </w:pPr>
    </w:p>
    <w:p w14:paraId="3C6450C2" w14:textId="1DD3FBC2" w:rsidR="003F510D" w:rsidRPr="007658B3" w:rsidRDefault="003F510D" w:rsidP="3BAD3C9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</w:rPr>
      </w:pPr>
      <w:r w:rsidRPr="3BAD3C9A">
        <w:rPr>
          <w:rFonts w:asciiTheme="majorBidi" w:hAnsiTheme="majorBidi"/>
          <w:b/>
          <w:bCs/>
          <w:sz w:val="28"/>
          <w:szCs w:val="28"/>
          <w:lang w:val="en-GB"/>
        </w:rPr>
        <w:lastRenderedPageBreak/>
        <w:t xml:space="preserve">Sensitivity analysis </w:t>
      </w:r>
      <w:r w:rsidR="00BE3607" w:rsidRPr="3BAD3C9A">
        <w:rPr>
          <w:rFonts w:asciiTheme="majorBidi" w:hAnsiTheme="majorBidi"/>
          <w:b/>
          <w:bCs/>
          <w:sz w:val="28"/>
          <w:szCs w:val="28"/>
        </w:rPr>
        <w:t>using different sleep-period windows</w:t>
      </w:r>
      <w:r w:rsidR="4440FC60" w:rsidRPr="3BAD3C9A">
        <w:rPr>
          <w:rFonts w:asciiTheme="majorBidi" w:hAnsiTheme="majorBidi"/>
          <w:b/>
          <w:bCs/>
          <w:sz w:val="28"/>
          <w:szCs w:val="28"/>
        </w:rPr>
        <w:t xml:space="preserve"> (i.e., 8 hours)</w:t>
      </w:r>
    </w:p>
    <w:p w14:paraId="6F7AE3E3" w14:textId="3849DBEE" w:rsidR="003F510D" w:rsidRDefault="006E5980" w:rsidP="003F510D">
      <w:pPr>
        <w:jc w:val="center"/>
        <w:rPr>
          <w:noProof/>
          <w:lang w:val="en-GB"/>
        </w:rPr>
      </w:pPr>
      <w:r>
        <w:rPr>
          <w:noProof/>
          <w:lang w:val="en-GB"/>
        </w:rPr>
        <w:drawing>
          <wp:inline distT="0" distB="0" distL="0" distR="0" wp14:anchorId="71F64B02" wp14:editId="168C63CB">
            <wp:extent cx="6652845" cy="6783856"/>
            <wp:effectExtent l="0" t="0" r="0" b="0"/>
            <wp:docPr id="3872728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968" cy="679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56B42" w14:textId="25FD6831" w:rsidR="003F510D" w:rsidRDefault="003F510D" w:rsidP="003F510D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lang w:val="en-GB"/>
        </w:rPr>
      </w:pP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S5: Percentage of participants in each sleep stage (Awake, Light, Deep, and REM) over time during detected sleep period (8 hours) on weekdays and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, stratified by anxiety and depression </w:t>
      </w:r>
      <w:r w:rsidR="00061BC8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symptoms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levels. Panels (a–h) represent comparisons based on anxiety severity measured using the GAD-7 score, categorized as no anxiety, mild anxiety, and moderate-to-severe anxiety. Panels (i–p) represent comparisons based on the presence or absence of depression and anxiety symptoms measured by the HSCL-25. The top rows (a–d, i–l) show sleep stage percentages for weekdays, and the bottom rows (e–h, m–p) show percentages for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The y-axis indicates the percentage of participants, and the x-axis represents time (minutes) over the sleep period. The number of participants in each group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</w:t>
      </w:r>
    </w:p>
    <w:p w14:paraId="2B627575" w14:textId="77777777" w:rsidR="002A0556" w:rsidRDefault="002A0556" w:rsidP="002A0556">
      <w:pPr>
        <w:rPr>
          <w:highlight w:val="green"/>
        </w:rPr>
      </w:pPr>
    </w:p>
    <w:p w14:paraId="519A0960" w14:textId="37A015A9" w:rsidR="001D4AB7" w:rsidRPr="00723D21" w:rsidRDefault="00B9772E" w:rsidP="001D4AB7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</w:rPr>
      </w:pPr>
      <w:r w:rsidRPr="00723D21">
        <w:rPr>
          <w:rFonts w:asciiTheme="majorBidi" w:hAnsiTheme="majorBidi" w:cstheme="majorBidi"/>
          <w:b/>
          <w:bCs/>
          <w:i w:val="0"/>
          <w:iCs w:val="0"/>
        </w:rPr>
        <w:t xml:space="preserve">Table </w:t>
      </w:r>
      <w:r>
        <w:rPr>
          <w:rFonts w:asciiTheme="majorBidi" w:hAnsiTheme="majorBidi" w:cstheme="majorBidi"/>
          <w:b/>
          <w:bCs/>
          <w:i w:val="0"/>
          <w:iCs w:val="0"/>
        </w:rPr>
        <w:t xml:space="preserve">S2: </w:t>
      </w:r>
      <w:r w:rsidR="001D4AB7" w:rsidRPr="00723D21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Characteristics of participants who had sufficient Oura Ring data and valid GAD-7 and HSCL-25 scores</w:t>
      </w:r>
      <w:r w:rsidR="001D4AB7" w:rsidRPr="00160B1A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 </w:t>
      </w:r>
      <w:r w:rsidR="001D4AB7" w:rsidRPr="000A7DFC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after excluding </w:t>
      </w:r>
      <w:r w:rsidR="001D4AB7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those</w:t>
      </w:r>
      <w:r w:rsidR="001D4AB7" w:rsidRPr="000A7DFC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 with </w:t>
      </w:r>
      <w:r w:rsidR="007F2B56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lower than 8</w:t>
      </w:r>
      <w:r w:rsidR="00F03739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 xml:space="preserve"> </w:t>
      </w:r>
      <w:r w:rsidR="007F2B56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hour</w:t>
      </w:r>
      <w:r w:rsidR="00F03739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s sleep period</w:t>
      </w:r>
      <w:r w:rsidR="001D4AB7">
        <w:rPr>
          <w:rFonts w:asciiTheme="majorBidi" w:hAnsiTheme="majorBidi" w:cstheme="majorBidi"/>
          <w:b/>
          <w:bCs/>
          <w:i w:val="0"/>
          <w:iCs w:val="0"/>
          <w:color w:val="auto"/>
          <w:lang w:val="en-GB"/>
        </w:rPr>
        <w:t>.</w:t>
      </w:r>
    </w:p>
    <w:tbl>
      <w:tblPr>
        <w:tblStyle w:val="PlainTable22"/>
        <w:tblW w:w="9946" w:type="dxa"/>
        <w:tblLayout w:type="fixed"/>
        <w:tblLook w:val="04A0" w:firstRow="1" w:lastRow="0" w:firstColumn="1" w:lastColumn="0" w:noHBand="0" w:noVBand="1"/>
      </w:tblPr>
      <w:tblGrid>
        <w:gridCol w:w="2717"/>
        <w:gridCol w:w="1275"/>
        <w:gridCol w:w="1134"/>
        <w:gridCol w:w="1134"/>
        <w:gridCol w:w="1276"/>
        <w:gridCol w:w="1276"/>
        <w:gridCol w:w="1134"/>
      </w:tblGrid>
      <w:tr w:rsidR="00E81BA3" w:rsidRPr="00E81BA3" w14:paraId="6ED3F3FD" w14:textId="77777777" w:rsidTr="00B94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  <w:vMerge w:val="restart"/>
          </w:tcPr>
          <w:p w14:paraId="66AE9A10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Variables</w:t>
            </w:r>
          </w:p>
        </w:tc>
        <w:tc>
          <w:tcPr>
            <w:tcW w:w="1275" w:type="dxa"/>
            <w:vMerge w:val="restart"/>
          </w:tcPr>
          <w:p w14:paraId="53593A91" w14:textId="5B402796" w:rsidR="00E81BA3" w:rsidRPr="00E81BA3" w:rsidRDefault="00E81BA3" w:rsidP="00E81BA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Whole sample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16"/>
                    <w:szCs w:val="16"/>
                  </w:rPr>
                  <m:t>(n=1,044)</m:t>
                </m:r>
              </m:oMath>
            </m:oMathPara>
          </w:p>
        </w:tc>
        <w:tc>
          <w:tcPr>
            <w:tcW w:w="3544" w:type="dxa"/>
            <w:gridSpan w:val="3"/>
          </w:tcPr>
          <w:p w14:paraId="2128B5F4" w14:textId="77777777" w:rsidR="00E81BA3" w:rsidRPr="00E81BA3" w:rsidRDefault="00E81BA3" w:rsidP="00E81BA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GAD-7 groups</w:t>
            </w:r>
          </w:p>
        </w:tc>
        <w:tc>
          <w:tcPr>
            <w:tcW w:w="2410" w:type="dxa"/>
            <w:gridSpan w:val="2"/>
          </w:tcPr>
          <w:p w14:paraId="31D90CFC" w14:textId="77777777" w:rsidR="00E81BA3" w:rsidRPr="00E81BA3" w:rsidRDefault="00E81BA3" w:rsidP="00E81BA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HSCL-25 groups</w:t>
            </w:r>
          </w:p>
        </w:tc>
      </w:tr>
      <w:tr w:rsidR="00E81BA3" w:rsidRPr="00E81BA3" w14:paraId="483CE26C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  <w:vMerge/>
          </w:tcPr>
          <w:p w14:paraId="544425F2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5570AAA0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E4EA3AD" w14:textId="26535A2F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No anxiety</w:t>
            </w: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16"/>
                    <w:szCs w:val="16"/>
                  </w:rPr>
                  <m:t>(n=608)</m:t>
                </m:r>
              </m:oMath>
            </m:oMathPara>
          </w:p>
        </w:tc>
        <w:tc>
          <w:tcPr>
            <w:tcW w:w="1134" w:type="dxa"/>
          </w:tcPr>
          <w:p w14:paraId="09E9FEBD" w14:textId="2690C0F5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Mild anxiety</w:t>
            </w: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16"/>
                    <w:szCs w:val="16"/>
                  </w:rPr>
                  <m:t>(n=336)</m:t>
                </m:r>
              </m:oMath>
            </m:oMathPara>
          </w:p>
        </w:tc>
        <w:tc>
          <w:tcPr>
            <w:tcW w:w="1276" w:type="dxa"/>
          </w:tcPr>
          <w:p w14:paraId="70DE58CC" w14:textId="39604965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Moderate-to-severe anxiety</w:t>
            </w: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16"/>
                    <w:szCs w:val="16"/>
                  </w:rPr>
                  <m:t>(n=100)</m:t>
                </m:r>
              </m:oMath>
            </m:oMathPara>
          </w:p>
        </w:tc>
        <w:tc>
          <w:tcPr>
            <w:tcW w:w="1276" w:type="dxa"/>
          </w:tcPr>
          <w:p w14:paraId="1D017688" w14:textId="36AA9F23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No depression and anxiety</w:t>
            </w: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16"/>
                    <w:szCs w:val="16"/>
                  </w:rPr>
                  <m:t>(n=903)</m:t>
                </m:r>
              </m:oMath>
            </m:oMathPara>
          </w:p>
        </w:tc>
        <w:tc>
          <w:tcPr>
            <w:tcW w:w="1134" w:type="dxa"/>
          </w:tcPr>
          <w:p w14:paraId="5C2D12F3" w14:textId="24230DD2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Depression and anxiety</w:t>
            </w:r>
            <w:r w:rsidRPr="00E81BA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br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16"/>
                    <w:szCs w:val="16"/>
                  </w:rPr>
                  <m:t>(n=141)</m:t>
                </m:r>
              </m:oMath>
            </m:oMathPara>
          </w:p>
        </w:tc>
      </w:tr>
      <w:tr w:rsidR="00E81BA3" w:rsidRPr="00E81BA3" w14:paraId="3EF6F881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2C72385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Demographics</w:t>
            </w:r>
          </w:p>
        </w:tc>
        <w:tc>
          <w:tcPr>
            <w:tcW w:w="1275" w:type="dxa"/>
          </w:tcPr>
          <w:p w14:paraId="0CAAA0C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E79924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EAA430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A9A26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9C8F308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206607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75948502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3A83E2A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Age, yr</w:t>
            </w:r>
          </w:p>
        </w:tc>
        <w:tc>
          <w:tcPr>
            <w:tcW w:w="1275" w:type="dxa"/>
          </w:tcPr>
          <w:p w14:paraId="086587CF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33.8 (0.6)</w:t>
            </w:r>
          </w:p>
        </w:tc>
        <w:tc>
          <w:tcPr>
            <w:tcW w:w="1134" w:type="dxa"/>
          </w:tcPr>
          <w:p w14:paraId="3A17CCAB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33.8 (0.6)</w:t>
            </w:r>
          </w:p>
        </w:tc>
        <w:tc>
          <w:tcPr>
            <w:tcW w:w="1134" w:type="dxa"/>
          </w:tcPr>
          <w:p w14:paraId="3E138600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33.8 (0.6)</w:t>
            </w:r>
          </w:p>
        </w:tc>
        <w:tc>
          <w:tcPr>
            <w:tcW w:w="1276" w:type="dxa"/>
          </w:tcPr>
          <w:p w14:paraId="0E088B9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33.9 (0.6)</w:t>
            </w:r>
          </w:p>
        </w:tc>
        <w:tc>
          <w:tcPr>
            <w:tcW w:w="1276" w:type="dxa"/>
          </w:tcPr>
          <w:p w14:paraId="78DFCE4F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33.8 (0.6)</w:t>
            </w:r>
          </w:p>
        </w:tc>
        <w:tc>
          <w:tcPr>
            <w:tcW w:w="1134" w:type="dxa"/>
          </w:tcPr>
          <w:p w14:paraId="3CFA9E3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33.8 (0.5)</w:t>
            </w:r>
          </w:p>
        </w:tc>
      </w:tr>
      <w:tr w:rsidR="00E81BA3" w:rsidRPr="00E81BA3" w14:paraId="72E51298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DBFA68B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1275" w:type="dxa"/>
          </w:tcPr>
          <w:p w14:paraId="1C65166A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D1993E8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94C1C5A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E85FEB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B48F31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1E615F5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6A783515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9075312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Female</w:t>
            </w:r>
          </w:p>
        </w:tc>
        <w:tc>
          <w:tcPr>
            <w:tcW w:w="1275" w:type="dxa"/>
          </w:tcPr>
          <w:p w14:paraId="090AC211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 (64.7%)</w:t>
            </w:r>
          </w:p>
        </w:tc>
        <w:tc>
          <w:tcPr>
            <w:tcW w:w="1134" w:type="dxa"/>
          </w:tcPr>
          <w:p w14:paraId="7CC3C88F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 (59.4%)</w:t>
            </w:r>
          </w:p>
        </w:tc>
        <w:tc>
          <w:tcPr>
            <w:tcW w:w="1134" w:type="dxa"/>
          </w:tcPr>
          <w:p w14:paraId="7DF2139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 (72.0%)</w:t>
            </w:r>
          </w:p>
        </w:tc>
        <w:tc>
          <w:tcPr>
            <w:tcW w:w="1276" w:type="dxa"/>
          </w:tcPr>
          <w:p w14:paraId="4AE6EC50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(72.0%)</w:t>
            </w:r>
          </w:p>
        </w:tc>
        <w:tc>
          <w:tcPr>
            <w:tcW w:w="1276" w:type="dxa"/>
          </w:tcPr>
          <w:p w14:paraId="18048C2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566 (62.7%)</w:t>
            </w:r>
          </w:p>
        </w:tc>
        <w:tc>
          <w:tcPr>
            <w:tcW w:w="1134" w:type="dxa"/>
          </w:tcPr>
          <w:p w14:paraId="0181C53C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(77.3%)</w:t>
            </w:r>
          </w:p>
        </w:tc>
      </w:tr>
      <w:tr w:rsidR="00E81BA3" w:rsidRPr="00E81BA3" w14:paraId="6DE75A18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0995FDE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Education</w:t>
            </w:r>
          </w:p>
        </w:tc>
        <w:tc>
          <w:tcPr>
            <w:tcW w:w="1275" w:type="dxa"/>
          </w:tcPr>
          <w:p w14:paraId="36FF828B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3FDF7F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6DCC2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3EA74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A5145B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0AC9AA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70E7090F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F7834AA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Comprehensive school</w:t>
            </w:r>
          </w:p>
        </w:tc>
        <w:tc>
          <w:tcPr>
            <w:tcW w:w="1275" w:type="dxa"/>
          </w:tcPr>
          <w:p w14:paraId="218957F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(7.5%)</w:t>
            </w:r>
          </w:p>
        </w:tc>
        <w:tc>
          <w:tcPr>
            <w:tcW w:w="1134" w:type="dxa"/>
          </w:tcPr>
          <w:p w14:paraId="2D00826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(6.5%)</w:t>
            </w:r>
          </w:p>
        </w:tc>
        <w:tc>
          <w:tcPr>
            <w:tcW w:w="1134" w:type="dxa"/>
          </w:tcPr>
          <w:p w14:paraId="0796D9C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(8.7%)</w:t>
            </w:r>
          </w:p>
        </w:tc>
        <w:tc>
          <w:tcPr>
            <w:tcW w:w="1276" w:type="dxa"/>
          </w:tcPr>
          <w:p w14:paraId="412D312F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(9.0%)</w:t>
            </w:r>
          </w:p>
        </w:tc>
        <w:tc>
          <w:tcPr>
            <w:tcW w:w="1276" w:type="dxa"/>
          </w:tcPr>
          <w:p w14:paraId="7DC4B10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(6.4%)</w:t>
            </w:r>
          </w:p>
        </w:tc>
        <w:tc>
          <w:tcPr>
            <w:tcW w:w="1134" w:type="dxa"/>
          </w:tcPr>
          <w:p w14:paraId="7DC7B13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(14.2%)</w:t>
            </w:r>
          </w:p>
        </w:tc>
      </w:tr>
      <w:tr w:rsidR="00E81BA3" w:rsidRPr="00E81BA3" w14:paraId="30976E6A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A53828D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Vocational/college level</w:t>
            </w:r>
          </w:p>
        </w:tc>
        <w:tc>
          <w:tcPr>
            <w:tcW w:w="1275" w:type="dxa"/>
          </w:tcPr>
          <w:p w14:paraId="20C4500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 (34.5%)</w:t>
            </w:r>
          </w:p>
        </w:tc>
        <w:tc>
          <w:tcPr>
            <w:tcW w:w="1134" w:type="dxa"/>
          </w:tcPr>
          <w:p w14:paraId="263F49EE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(33.1%)</w:t>
            </w:r>
          </w:p>
        </w:tc>
        <w:tc>
          <w:tcPr>
            <w:tcW w:w="1134" w:type="dxa"/>
          </w:tcPr>
          <w:p w14:paraId="6503EF13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(33.3%)</w:t>
            </w:r>
          </w:p>
        </w:tc>
        <w:tc>
          <w:tcPr>
            <w:tcW w:w="1276" w:type="dxa"/>
          </w:tcPr>
          <w:p w14:paraId="62F78DE8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(47.0%)</w:t>
            </w:r>
          </w:p>
        </w:tc>
        <w:tc>
          <w:tcPr>
            <w:tcW w:w="1276" w:type="dxa"/>
          </w:tcPr>
          <w:p w14:paraId="4E0BED99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 (33.0%)</w:t>
            </w:r>
          </w:p>
        </w:tc>
        <w:tc>
          <w:tcPr>
            <w:tcW w:w="1134" w:type="dxa"/>
          </w:tcPr>
          <w:p w14:paraId="3AA6EB23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(44.0%)</w:t>
            </w:r>
          </w:p>
        </w:tc>
      </w:tr>
      <w:tr w:rsidR="00E81BA3" w:rsidRPr="00E81BA3" w14:paraId="70454164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3C73A409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Polytechnic/university degree</w:t>
            </w:r>
          </w:p>
        </w:tc>
        <w:tc>
          <w:tcPr>
            <w:tcW w:w="1275" w:type="dxa"/>
          </w:tcPr>
          <w:p w14:paraId="3B68CAB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 (58.0%)</w:t>
            </w:r>
          </w:p>
        </w:tc>
        <w:tc>
          <w:tcPr>
            <w:tcW w:w="1134" w:type="dxa"/>
          </w:tcPr>
          <w:p w14:paraId="3E3548A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 (60.4%)</w:t>
            </w:r>
          </w:p>
        </w:tc>
        <w:tc>
          <w:tcPr>
            <w:tcW w:w="1134" w:type="dxa"/>
          </w:tcPr>
          <w:p w14:paraId="1D30689D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 (58.0%)</w:t>
            </w:r>
          </w:p>
        </w:tc>
        <w:tc>
          <w:tcPr>
            <w:tcW w:w="1276" w:type="dxa"/>
          </w:tcPr>
          <w:p w14:paraId="652A08E1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(44.0%)</w:t>
            </w:r>
          </w:p>
        </w:tc>
        <w:tc>
          <w:tcPr>
            <w:tcW w:w="1276" w:type="dxa"/>
          </w:tcPr>
          <w:p w14:paraId="18A3824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 (60.6%)</w:t>
            </w:r>
          </w:p>
        </w:tc>
        <w:tc>
          <w:tcPr>
            <w:tcW w:w="1134" w:type="dxa"/>
          </w:tcPr>
          <w:p w14:paraId="53C9656F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(41.8%)</w:t>
            </w:r>
          </w:p>
        </w:tc>
      </w:tr>
      <w:tr w:rsidR="00E81BA3" w:rsidRPr="00E81BA3" w14:paraId="633BF940" w14:textId="77777777" w:rsidTr="00B944B3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BEA9303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Employment status</w:t>
            </w:r>
          </w:p>
        </w:tc>
        <w:tc>
          <w:tcPr>
            <w:tcW w:w="1275" w:type="dxa"/>
          </w:tcPr>
          <w:p w14:paraId="6116B354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EEA842B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5DD399E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F82DA0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FB3B0E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2153916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59B48E4C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0ED5FA8C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Employed</w:t>
            </w:r>
          </w:p>
        </w:tc>
        <w:tc>
          <w:tcPr>
            <w:tcW w:w="1275" w:type="dxa"/>
          </w:tcPr>
          <w:p w14:paraId="41F98EB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 (80.7%)</w:t>
            </w:r>
          </w:p>
        </w:tc>
        <w:tc>
          <w:tcPr>
            <w:tcW w:w="1134" w:type="dxa"/>
          </w:tcPr>
          <w:p w14:paraId="1DE51C1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 (85.0%)</w:t>
            </w:r>
          </w:p>
        </w:tc>
        <w:tc>
          <w:tcPr>
            <w:tcW w:w="1134" w:type="dxa"/>
          </w:tcPr>
          <w:p w14:paraId="7973396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 (75.3%)</w:t>
            </w:r>
          </w:p>
        </w:tc>
        <w:tc>
          <w:tcPr>
            <w:tcW w:w="1276" w:type="dxa"/>
          </w:tcPr>
          <w:p w14:paraId="546E143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(72.0%)</w:t>
            </w:r>
          </w:p>
        </w:tc>
        <w:tc>
          <w:tcPr>
            <w:tcW w:w="1276" w:type="dxa"/>
          </w:tcPr>
          <w:p w14:paraId="1E0A35C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749 (82.9%)</w:t>
            </w:r>
          </w:p>
        </w:tc>
        <w:tc>
          <w:tcPr>
            <w:tcW w:w="1134" w:type="dxa"/>
          </w:tcPr>
          <w:p w14:paraId="08BD1AA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(66.0%)</w:t>
            </w:r>
          </w:p>
        </w:tc>
      </w:tr>
      <w:tr w:rsidR="00E81BA3" w:rsidRPr="00E81BA3" w14:paraId="253CEDC2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7EC3EFB1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Unemployed</w:t>
            </w:r>
          </w:p>
        </w:tc>
        <w:tc>
          <w:tcPr>
            <w:tcW w:w="1275" w:type="dxa"/>
          </w:tcPr>
          <w:p w14:paraId="3DCF63B2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(5.8%)</w:t>
            </w:r>
          </w:p>
        </w:tc>
        <w:tc>
          <w:tcPr>
            <w:tcW w:w="1134" w:type="dxa"/>
          </w:tcPr>
          <w:p w14:paraId="58306A05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(3.8%)</w:t>
            </w:r>
          </w:p>
        </w:tc>
        <w:tc>
          <w:tcPr>
            <w:tcW w:w="1134" w:type="dxa"/>
          </w:tcPr>
          <w:p w14:paraId="54603129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(6.8%)</w:t>
            </w:r>
          </w:p>
        </w:tc>
        <w:tc>
          <w:tcPr>
            <w:tcW w:w="1276" w:type="dxa"/>
          </w:tcPr>
          <w:p w14:paraId="094AC897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(15.0%)</w:t>
            </w:r>
          </w:p>
        </w:tc>
        <w:tc>
          <w:tcPr>
            <w:tcW w:w="1276" w:type="dxa"/>
          </w:tcPr>
          <w:p w14:paraId="14FE0267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(4.4%)</w:t>
            </w:r>
          </w:p>
        </w:tc>
        <w:tc>
          <w:tcPr>
            <w:tcW w:w="1134" w:type="dxa"/>
          </w:tcPr>
          <w:p w14:paraId="6FAEF013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(14.9%)</w:t>
            </w:r>
          </w:p>
        </w:tc>
      </w:tr>
      <w:tr w:rsidR="00E81BA3" w:rsidRPr="00E81BA3" w14:paraId="222AFC0C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D79F1D6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Other (e.g., student, homemaker)</w:t>
            </w:r>
          </w:p>
        </w:tc>
        <w:tc>
          <w:tcPr>
            <w:tcW w:w="1275" w:type="dxa"/>
          </w:tcPr>
          <w:p w14:paraId="3A3F67B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(13.5%)</w:t>
            </w:r>
          </w:p>
        </w:tc>
        <w:tc>
          <w:tcPr>
            <w:tcW w:w="1134" w:type="dxa"/>
          </w:tcPr>
          <w:p w14:paraId="2D7AFAE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(11.2%)</w:t>
            </w:r>
          </w:p>
        </w:tc>
        <w:tc>
          <w:tcPr>
            <w:tcW w:w="1134" w:type="dxa"/>
          </w:tcPr>
          <w:p w14:paraId="61F8297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(17.9%)</w:t>
            </w:r>
          </w:p>
        </w:tc>
        <w:tc>
          <w:tcPr>
            <w:tcW w:w="1276" w:type="dxa"/>
          </w:tcPr>
          <w:p w14:paraId="085B80E4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(13.0%)</w:t>
            </w:r>
          </w:p>
        </w:tc>
        <w:tc>
          <w:tcPr>
            <w:tcW w:w="1276" w:type="dxa"/>
          </w:tcPr>
          <w:p w14:paraId="396C695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(12.6%)</w:t>
            </w:r>
          </w:p>
        </w:tc>
        <w:tc>
          <w:tcPr>
            <w:tcW w:w="1134" w:type="dxa"/>
          </w:tcPr>
          <w:p w14:paraId="0F113500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(19.1%)</w:t>
            </w:r>
          </w:p>
        </w:tc>
      </w:tr>
      <w:tr w:rsidR="00E81BA3" w:rsidRPr="00E81BA3" w14:paraId="0A661EBC" w14:textId="77777777" w:rsidTr="00B944B3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61410EE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Marital status</w:t>
            </w:r>
          </w:p>
        </w:tc>
        <w:tc>
          <w:tcPr>
            <w:tcW w:w="1275" w:type="dxa"/>
          </w:tcPr>
          <w:p w14:paraId="2ADA599F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ACF677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77F492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EE4780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39D7C3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171AA6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7F14E966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0AB5D044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Married/cohabiting</w:t>
            </w:r>
          </w:p>
        </w:tc>
        <w:tc>
          <w:tcPr>
            <w:tcW w:w="1275" w:type="dxa"/>
          </w:tcPr>
          <w:p w14:paraId="7C037C7E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824 (78.9%)</w:t>
            </w:r>
          </w:p>
        </w:tc>
        <w:tc>
          <w:tcPr>
            <w:tcW w:w="1134" w:type="dxa"/>
          </w:tcPr>
          <w:p w14:paraId="2CCBEC0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472 (77.6%)</w:t>
            </w:r>
          </w:p>
        </w:tc>
        <w:tc>
          <w:tcPr>
            <w:tcW w:w="1134" w:type="dxa"/>
          </w:tcPr>
          <w:p w14:paraId="262AA4EE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 (81.0%)</w:t>
            </w:r>
          </w:p>
        </w:tc>
        <w:tc>
          <w:tcPr>
            <w:tcW w:w="1276" w:type="dxa"/>
          </w:tcPr>
          <w:p w14:paraId="4D0616E0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(80.0%)</w:t>
            </w:r>
          </w:p>
        </w:tc>
        <w:tc>
          <w:tcPr>
            <w:tcW w:w="1276" w:type="dxa"/>
          </w:tcPr>
          <w:p w14:paraId="7DA8761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719 (79.6%)</w:t>
            </w:r>
          </w:p>
        </w:tc>
        <w:tc>
          <w:tcPr>
            <w:tcW w:w="1134" w:type="dxa"/>
          </w:tcPr>
          <w:p w14:paraId="42C79E6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(74.5%)</w:t>
            </w:r>
          </w:p>
        </w:tc>
      </w:tr>
      <w:tr w:rsidR="00E81BA3" w:rsidRPr="00E81BA3" w14:paraId="09A0C05C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04AE44A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Divorced/widowed</w:t>
            </w:r>
          </w:p>
        </w:tc>
        <w:tc>
          <w:tcPr>
            <w:tcW w:w="1275" w:type="dxa"/>
          </w:tcPr>
          <w:p w14:paraId="3424DD00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(3.7%)</w:t>
            </w:r>
          </w:p>
        </w:tc>
        <w:tc>
          <w:tcPr>
            <w:tcW w:w="1134" w:type="dxa"/>
          </w:tcPr>
          <w:p w14:paraId="053F14FB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(3.3%)</w:t>
            </w:r>
          </w:p>
        </w:tc>
        <w:tc>
          <w:tcPr>
            <w:tcW w:w="1134" w:type="dxa"/>
          </w:tcPr>
          <w:p w14:paraId="60149BB3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(4.2%)</w:t>
            </w:r>
          </w:p>
        </w:tc>
        <w:tc>
          <w:tcPr>
            <w:tcW w:w="1276" w:type="dxa"/>
          </w:tcPr>
          <w:p w14:paraId="11A61CE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(5.0%)</w:t>
            </w:r>
          </w:p>
        </w:tc>
        <w:tc>
          <w:tcPr>
            <w:tcW w:w="1276" w:type="dxa"/>
          </w:tcPr>
          <w:p w14:paraId="2CAFEC4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(3.5%)</w:t>
            </w:r>
          </w:p>
        </w:tc>
        <w:tc>
          <w:tcPr>
            <w:tcW w:w="1134" w:type="dxa"/>
          </w:tcPr>
          <w:p w14:paraId="74089DF5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(5.0%)</w:t>
            </w:r>
          </w:p>
        </w:tc>
      </w:tr>
      <w:tr w:rsidR="00E81BA3" w:rsidRPr="00E81BA3" w14:paraId="5E1F76AE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770042BD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Unmarried</w:t>
            </w:r>
          </w:p>
        </w:tc>
        <w:tc>
          <w:tcPr>
            <w:tcW w:w="1275" w:type="dxa"/>
          </w:tcPr>
          <w:p w14:paraId="600D4B2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(17.4%)</w:t>
            </w:r>
          </w:p>
        </w:tc>
        <w:tc>
          <w:tcPr>
            <w:tcW w:w="1134" w:type="dxa"/>
          </w:tcPr>
          <w:p w14:paraId="79086EEE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(19.1%)</w:t>
            </w:r>
          </w:p>
        </w:tc>
        <w:tc>
          <w:tcPr>
            <w:tcW w:w="1134" w:type="dxa"/>
          </w:tcPr>
          <w:p w14:paraId="53948BE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(14.8%)</w:t>
            </w:r>
          </w:p>
        </w:tc>
        <w:tc>
          <w:tcPr>
            <w:tcW w:w="1276" w:type="dxa"/>
          </w:tcPr>
          <w:p w14:paraId="04C82F6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(15.0%)</w:t>
            </w:r>
          </w:p>
        </w:tc>
        <w:tc>
          <w:tcPr>
            <w:tcW w:w="1276" w:type="dxa"/>
          </w:tcPr>
          <w:p w14:paraId="0ECF606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 (16.9%)</w:t>
            </w:r>
          </w:p>
        </w:tc>
        <w:tc>
          <w:tcPr>
            <w:tcW w:w="1134" w:type="dxa"/>
          </w:tcPr>
          <w:p w14:paraId="44B13A8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(20.6%)</w:t>
            </w:r>
          </w:p>
        </w:tc>
      </w:tr>
      <w:tr w:rsidR="00E81BA3" w:rsidRPr="00E81BA3" w14:paraId="3CE8446D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7818D40A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Household income (€ per year)</w:t>
            </w:r>
          </w:p>
        </w:tc>
        <w:tc>
          <w:tcPr>
            <w:tcW w:w="1275" w:type="dxa"/>
          </w:tcPr>
          <w:p w14:paraId="6B8B73E0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E9361C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0CDB301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E58F73E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11E31B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427DFE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033C914B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3595EA8E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≤50,000</w:t>
            </w:r>
          </w:p>
        </w:tc>
        <w:tc>
          <w:tcPr>
            <w:tcW w:w="1275" w:type="dxa"/>
          </w:tcPr>
          <w:p w14:paraId="5354251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 (39.3%)</w:t>
            </w:r>
          </w:p>
        </w:tc>
        <w:tc>
          <w:tcPr>
            <w:tcW w:w="1134" w:type="dxa"/>
          </w:tcPr>
          <w:p w14:paraId="5E1F1B6C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 (37.8%)</w:t>
            </w:r>
          </w:p>
        </w:tc>
        <w:tc>
          <w:tcPr>
            <w:tcW w:w="1134" w:type="dxa"/>
          </w:tcPr>
          <w:p w14:paraId="6A6BF00C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(40.2%)</w:t>
            </w:r>
          </w:p>
        </w:tc>
        <w:tc>
          <w:tcPr>
            <w:tcW w:w="1276" w:type="dxa"/>
          </w:tcPr>
          <w:p w14:paraId="49E4F931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(45.0%)</w:t>
            </w:r>
          </w:p>
        </w:tc>
        <w:tc>
          <w:tcPr>
            <w:tcW w:w="1276" w:type="dxa"/>
          </w:tcPr>
          <w:p w14:paraId="703897CD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 (37.3%)</w:t>
            </w:r>
          </w:p>
        </w:tc>
        <w:tc>
          <w:tcPr>
            <w:tcW w:w="1134" w:type="dxa"/>
          </w:tcPr>
          <w:p w14:paraId="46248CDB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(51.8%)</w:t>
            </w:r>
          </w:p>
        </w:tc>
      </w:tr>
      <w:tr w:rsidR="00E81BA3" w:rsidRPr="00E81BA3" w14:paraId="5EF98C88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59E94A8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50,001 to 100,000</w:t>
            </w:r>
          </w:p>
        </w:tc>
        <w:tc>
          <w:tcPr>
            <w:tcW w:w="1275" w:type="dxa"/>
          </w:tcPr>
          <w:p w14:paraId="6FB9C387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562 (53.8%)</w:t>
            </w:r>
          </w:p>
        </w:tc>
        <w:tc>
          <w:tcPr>
            <w:tcW w:w="1134" w:type="dxa"/>
          </w:tcPr>
          <w:p w14:paraId="448F025C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 (54.4%)</w:t>
            </w:r>
          </w:p>
        </w:tc>
        <w:tc>
          <w:tcPr>
            <w:tcW w:w="1134" w:type="dxa"/>
          </w:tcPr>
          <w:p w14:paraId="3D5A680D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(53.9%)</w:t>
            </w:r>
          </w:p>
        </w:tc>
        <w:tc>
          <w:tcPr>
            <w:tcW w:w="1276" w:type="dxa"/>
          </w:tcPr>
          <w:p w14:paraId="50569263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(50.0%)</w:t>
            </w:r>
          </w:p>
        </w:tc>
        <w:tc>
          <w:tcPr>
            <w:tcW w:w="1276" w:type="dxa"/>
          </w:tcPr>
          <w:p w14:paraId="243ACDBD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501 (55.5%)</w:t>
            </w:r>
          </w:p>
        </w:tc>
        <w:tc>
          <w:tcPr>
            <w:tcW w:w="1134" w:type="dxa"/>
          </w:tcPr>
          <w:p w14:paraId="7EF3831B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(43.3%)</w:t>
            </w:r>
          </w:p>
        </w:tc>
      </w:tr>
      <w:tr w:rsidR="00E81BA3" w:rsidRPr="00E81BA3" w14:paraId="11D232E3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69122A3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&gt;100,000</w:t>
            </w:r>
          </w:p>
        </w:tc>
        <w:tc>
          <w:tcPr>
            <w:tcW w:w="1275" w:type="dxa"/>
          </w:tcPr>
          <w:p w14:paraId="28EA89E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(6.9%)</w:t>
            </w:r>
          </w:p>
        </w:tc>
        <w:tc>
          <w:tcPr>
            <w:tcW w:w="1134" w:type="dxa"/>
          </w:tcPr>
          <w:p w14:paraId="48B92FB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(7.7%)</w:t>
            </w:r>
          </w:p>
        </w:tc>
        <w:tc>
          <w:tcPr>
            <w:tcW w:w="1134" w:type="dxa"/>
          </w:tcPr>
          <w:p w14:paraId="036886A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(6.0%)</w:t>
            </w:r>
          </w:p>
        </w:tc>
        <w:tc>
          <w:tcPr>
            <w:tcW w:w="1276" w:type="dxa"/>
          </w:tcPr>
          <w:p w14:paraId="5C02823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(5.0%)</w:t>
            </w:r>
          </w:p>
        </w:tc>
        <w:tc>
          <w:tcPr>
            <w:tcW w:w="1276" w:type="dxa"/>
          </w:tcPr>
          <w:p w14:paraId="674A781B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(7.2%)</w:t>
            </w:r>
          </w:p>
        </w:tc>
        <w:tc>
          <w:tcPr>
            <w:tcW w:w="1134" w:type="dxa"/>
          </w:tcPr>
          <w:p w14:paraId="2EEE94E0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(5.0%)</w:t>
            </w:r>
          </w:p>
        </w:tc>
      </w:tr>
      <w:tr w:rsidR="00E81BA3" w:rsidRPr="00E81BA3" w14:paraId="37F7DA1C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7F6FC51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Lifestyle factors</w:t>
            </w:r>
          </w:p>
        </w:tc>
        <w:tc>
          <w:tcPr>
            <w:tcW w:w="1275" w:type="dxa"/>
          </w:tcPr>
          <w:p w14:paraId="693A7EB3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1B799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D1534AF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192DD57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421C30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401F26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19214944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3A772DD4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consumption, g·d−1</w:t>
            </w:r>
          </w:p>
        </w:tc>
        <w:tc>
          <w:tcPr>
            <w:tcW w:w="1275" w:type="dxa"/>
          </w:tcPr>
          <w:p w14:paraId="0925E6B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 (3.5)</w:t>
            </w:r>
          </w:p>
        </w:tc>
        <w:tc>
          <w:tcPr>
            <w:tcW w:w="1134" w:type="dxa"/>
          </w:tcPr>
          <w:p w14:paraId="0E101BD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 (3.4)</w:t>
            </w:r>
          </w:p>
        </w:tc>
        <w:tc>
          <w:tcPr>
            <w:tcW w:w="1134" w:type="dxa"/>
          </w:tcPr>
          <w:p w14:paraId="1B091DDD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 (3.3)</w:t>
            </w:r>
          </w:p>
        </w:tc>
        <w:tc>
          <w:tcPr>
            <w:tcW w:w="1276" w:type="dxa"/>
          </w:tcPr>
          <w:p w14:paraId="47CB6C7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 (4.6)</w:t>
            </w:r>
          </w:p>
        </w:tc>
        <w:tc>
          <w:tcPr>
            <w:tcW w:w="1276" w:type="dxa"/>
          </w:tcPr>
          <w:p w14:paraId="620C1DFD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 (3.3)</w:t>
            </w:r>
          </w:p>
        </w:tc>
        <w:tc>
          <w:tcPr>
            <w:tcW w:w="1134" w:type="dxa"/>
          </w:tcPr>
          <w:p w14:paraId="05E7652E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 (4.5)</w:t>
            </w:r>
          </w:p>
        </w:tc>
      </w:tr>
      <w:tr w:rsidR="00E81BA3" w:rsidRPr="00E81BA3" w14:paraId="2BC7317C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D0467FB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Smoking status</w:t>
            </w:r>
          </w:p>
        </w:tc>
        <w:tc>
          <w:tcPr>
            <w:tcW w:w="1275" w:type="dxa"/>
          </w:tcPr>
          <w:p w14:paraId="1D15DD74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DD79B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943641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F23959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8EEE16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250AB44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5E235369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13C23D76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Nonsmoker</w:t>
            </w:r>
          </w:p>
        </w:tc>
        <w:tc>
          <w:tcPr>
            <w:tcW w:w="1275" w:type="dxa"/>
          </w:tcPr>
          <w:p w14:paraId="1DBCA26C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42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(32.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8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34" w:type="dxa"/>
          </w:tcPr>
          <w:p w14:paraId="68AFD8CE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9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(3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4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3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34" w:type="dxa"/>
          </w:tcPr>
          <w:p w14:paraId="3D1D534B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3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(30.4%)</w:t>
            </w:r>
          </w:p>
        </w:tc>
        <w:tc>
          <w:tcPr>
            <w:tcW w:w="1276" w:type="dxa"/>
          </w:tcPr>
          <w:p w14:paraId="291132C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30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  <w:t>30</w:t>
            </w: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.0%)</w:t>
            </w:r>
          </w:p>
        </w:tc>
        <w:tc>
          <w:tcPr>
            <w:tcW w:w="1276" w:type="dxa"/>
          </w:tcPr>
          <w:p w14:paraId="13D5973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 (33.3%)</w:t>
            </w:r>
          </w:p>
        </w:tc>
        <w:tc>
          <w:tcPr>
            <w:tcW w:w="1134" w:type="dxa"/>
          </w:tcPr>
          <w:p w14:paraId="041614A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(29.1%)</w:t>
            </w:r>
          </w:p>
        </w:tc>
      </w:tr>
      <w:tr w:rsidR="00E81BA3" w:rsidRPr="00E81BA3" w14:paraId="4B4E57C6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0C43CFF2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Former smoker</w:t>
            </w:r>
          </w:p>
        </w:tc>
        <w:tc>
          <w:tcPr>
            <w:tcW w:w="1275" w:type="dxa"/>
          </w:tcPr>
          <w:p w14:paraId="208D2080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 (49.0%)</w:t>
            </w:r>
          </w:p>
        </w:tc>
        <w:tc>
          <w:tcPr>
            <w:tcW w:w="1134" w:type="dxa"/>
          </w:tcPr>
          <w:p w14:paraId="6124A112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288 (47.4%)</w:t>
            </w:r>
          </w:p>
        </w:tc>
        <w:tc>
          <w:tcPr>
            <w:tcW w:w="1134" w:type="dxa"/>
          </w:tcPr>
          <w:p w14:paraId="55440FD2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(53.3%)</w:t>
            </w:r>
          </w:p>
        </w:tc>
        <w:tc>
          <w:tcPr>
            <w:tcW w:w="1276" w:type="dxa"/>
          </w:tcPr>
          <w:p w14:paraId="2F1FD4C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(45.0%)</w:t>
            </w:r>
          </w:p>
        </w:tc>
        <w:tc>
          <w:tcPr>
            <w:tcW w:w="1276" w:type="dxa"/>
          </w:tcPr>
          <w:p w14:paraId="733319A1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 (49.1%)</w:t>
            </w:r>
          </w:p>
        </w:tc>
        <w:tc>
          <w:tcPr>
            <w:tcW w:w="1134" w:type="dxa"/>
          </w:tcPr>
          <w:p w14:paraId="0A6B23F0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(48.9%)</w:t>
            </w:r>
          </w:p>
        </w:tc>
      </w:tr>
      <w:tr w:rsidR="00E81BA3" w:rsidRPr="00E81BA3" w14:paraId="66F12306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178A1981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Current smoker</w:t>
            </w:r>
          </w:p>
        </w:tc>
        <w:tc>
          <w:tcPr>
            <w:tcW w:w="1275" w:type="dxa"/>
          </w:tcPr>
          <w:p w14:paraId="280123C9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(18.2%)</w:t>
            </w:r>
          </w:p>
        </w:tc>
        <w:tc>
          <w:tcPr>
            <w:tcW w:w="1134" w:type="dxa"/>
          </w:tcPr>
          <w:p w14:paraId="4EC6992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 (18.3%)</w:t>
            </w:r>
          </w:p>
        </w:tc>
        <w:tc>
          <w:tcPr>
            <w:tcW w:w="1134" w:type="dxa"/>
          </w:tcPr>
          <w:p w14:paraId="33EE63C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(16.1%)</w:t>
            </w:r>
          </w:p>
        </w:tc>
        <w:tc>
          <w:tcPr>
            <w:tcW w:w="1276" w:type="dxa"/>
          </w:tcPr>
          <w:p w14:paraId="5B76B7BC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(25.0%)</w:t>
            </w:r>
          </w:p>
        </w:tc>
        <w:tc>
          <w:tcPr>
            <w:tcW w:w="1276" w:type="dxa"/>
          </w:tcPr>
          <w:p w14:paraId="74739D7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 (17.6%)</w:t>
            </w:r>
          </w:p>
        </w:tc>
        <w:tc>
          <w:tcPr>
            <w:tcW w:w="1134" w:type="dxa"/>
          </w:tcPr>
          <w:p w14:paraId="126C7C81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(22.0%)</w:t>
            </w:r>
          </w:p>
        </w:tc>
      </w:tr>
      <w:tr w:rsidR="00E81BA3" w:rsidRPr="00E81BA3" w14:paraId="5730E783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BD985EE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Chronic disease</w:t>
            </w:r>
          </w:p>
        </w:tc>
        <w:tc>
          <w:tcPr>
            <w:tcW w:w="1275" w:type="dxa"/>
          </w:tcPr>
          <w:p w14:paraId="72F3D2C0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E9010B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D9CF0D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DE8E737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FAD304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37E1679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4689CAD6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0A2E7857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1275" w:type="dxa"/>
          </w:tcPr>
          <w:p w14:paraId="33CB5CB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(2.1%)</w:t>
            </w:r>
          </w:p>
        </w:tc>
        <w:tc>
          <w:tcPr>
            <w:tcW w:w="1134" w:type="dxa"/>
          </w:tcPr>
          <w:p w14:paraId="1BB10B1D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(1.5%)</w:t>
            </w:r>
          </w:p>
        </w:tc>
        <w:tc>
          <w:tcPr>
            <w:tcW w:w="1134" w:type="dxa"/>
          </w:tcPr>
          <w:p w14:paraId="72040C3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(3.0%)</w:t>
            </w:r>
          </w:p>
        </w:tc>
        <w:tc>
          <w:tcPr>
            <w:tcW w:w="1276" w:type="dxa"/>
          </w:tcPr>
          <w:p w14:paraId="205541B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(3.0%)</w:t>
            </w:r>
          </w:p>
        </w:tc>
        <w:tc>
          <w:tcPr>
            <w:tcW w:w="1276" w:type="dxa"/>
          </w:tcPr>
          <w:p w14:paraId="01C607A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(3.2%)</w:t>
            </w:r>
          </w:p>
        </w:tc>
        <w:tc>
          <w:tcPr>
            <w:tcW w:w="1134" w:type="dxa"/>
          </w:tcPr>
          <w:p w14:paraId="251F8DA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(3.5%)</w:t>
            </w:r>
          </w:p>
        </w:tc>
      </w:tr>
      <w:tr w:rsidR="00E81BA3" w:rsidRPr="00E81BA3" w14:paraId="0D4F7E6E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F3740B2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Congenital heart disease</w:t>
            </w:r>
          </w:p>
        </w:tc>
        <w:tc>
          <w:tcPr>
            <w:tcW w:w="1275" w:type="dxa"/>
          </w:tcPr>
          <w:p w14:paraId="75B9B50B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(2.0%)</w:t>
            </w:r>
          </w:p>
        </w:tc>
        <w:tc>
          <w:tcPr>
            <w:tcW w:w="1134" w:type="dxa"/>
          </w:tcPr>
          <w:p w14:paraId="706352A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(1.8%)</w:t>
            </w:r>
          </w:p>
        </w:tc>
        <w:tc>
          <w:tcPr>
            <w:tcW w:w="1134" w:type="dxa"/>
          </w:tcPr>
          <w:p w14:paraId="2D6744B6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(2.4%)</w:t>
            </w:r>
          </w:p>
        </w:tc>
        <w:tc>
          <w:tcPr>
            <w:tcW w:w="1276" w:type="dxa"/>
          </w:tcPr>
          <w:p w14:paraId="6DC3C4D1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(2.0%)</w:t>
            </w:r>
          </w:p>
        </w:tc>
        <w:tc>
          <w:tcPr>
            <w:tcW w:w="1276" w:type="dxa"/>
          </w:tcPr>
          <w:p w14:paraId="0A6289CE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(3.1%)</w:t>
            </w:r>
          </w:p>
        </w:tc>
        <w:tc>
          <w:tcPr>
            <w:tcW w:w="1134" w:type="dxa"/>
          </w:tcPr>
          <w:p w14:paraId="014D4B54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(3.5%)</w:t>
            </w:r>
          </w:p>
        </w:tc>
      </w:tr>
      <w:tr w:rsidR="00E81BA3" w:rsidRPr="00E81BA3" w14:paraId="15C96FAB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3DB1FC2F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Type 2 diabetes</w:t>
            </w:r>
          </w:p>
        </w:tc>
        <w:tc>
          <w:tcPr>
            <w:tcW w:w="1275" w:type="dxa"/>
          </w:tcPr>
          <w:p w14:paraId="70245B38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(0.9%)</w:t>
            </w:r>
          </w:p>
        </w:tc>
        <w:tc>
          <w:tcPr>
            <w:tcW w:w="1134" w:type="dxa"/>
          </w:tcPr>
          <w:p w14:paraId="3DCC681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(0.3%)</w:t>
            </w:r>
          </w:p>
        </w:tc>
        <w:tc>
          <w:tcPr>
            <w:tcW w:w="1134" w:type="dxa"/>
          </w:tcPr>
          <w:p w14:paraId="65C1C77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(1.8%)</w:t>
            </w:r>
          </w:p>
        </w:tc>
        <w:tc>
          <w:tcPr>
            <w:tcW w:w="1276" w:type="dxa"/>
          </w:tcPr>
          <w:p w14:paraId="560E1844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(1.0%)</w:t>
            </w:r>
          </w:p>
        </w:tc>
        <w:tc>
          <w:tcPr>
            <w:tcW w:w="1276" w:type="dxa"/>
          </w:tcPr>
          <w:p w14:paraId="75C5C21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(2.0%)</w:t>
            </w:r>
          </w:p>
        </w:tc>
        <w:tc>
          <w:tcPr>
            <w:tcW w:w="1134" w:type="dxa"/>
          </w:tcPr>
          <w:p w14:paraId="3EB3E0F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(2.1%)</w:t>
            </w:r>
          </w:p>
        </w:tc>
      </w:tr>
      <w:tr w:rsidR="00E81BA3" w:rsidRPr="00E81BA3" w14:paraId="1F2433B8" w14:textId="77777777" w:rsidTr="00B944B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BCDBF19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Cardiometabolic biomarkers</w:t>
            </w:r>
          </w:p>
        </w:tc>
        <w:tc>
          <w:tcPr>
            <w:tcW w:w="1275" w:type="dxa"/>
          </w:tcPr>
          <w:p w14:paraId="4F2902F7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639252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F156C3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E9A6429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015342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1E3E711" w14:textId="77777777" w:rsidR="00E81BA3" w:rsidRPr="00E81BA3" w:rsidRDefault="00E81BA3" w:rsidP="00E81B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32A08C69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AE0EAB2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Fasting glucose, mmol·L−1</w:t>
            </w:r>
          </w:p>
        </w:tc>
        <w:tc>
          <w:tcPr>
            <w:tcW w:w="1275" w:type="dxa"/>
          </w:tcPr>
          <w:p w14:paraId="319878C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 (0.7)</w:t>
            </w:r>
          </w:p>
        </w:tc>
        <w:tc>
          <w:tcPr>
            <w:tcW w:w="1134" w:type="dxa"/>
          </w:tcPr>
          <w:p w14:paraId="415DE9B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 (0.8)</w:t>
            </w:r>
          </w:p>
        </w:tc>
        <w:tc>
          <w:tcPr>
            <w:tcW w:w="1134" w:type="dxa"/>
          </w:tcPr>
          <w:p w14:paraId="4ADB1A1F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 (0.4)</w:t>
            </w:r>
          </w:p>
        </w:tc>
        <w:tc>
          <w:tcPr>
            <w:tcW w:w="1276" w:type="dxa"/>
          </w:tcPr>
          <w:p w14:paraId="5285E38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 (0.5)</w:t>
            </w:r>
          </w:p>
        </w:tc>
        <w:tc>
          <w:tcPr>
            <w:tcW w:w="1276" w:type="dxa"/>
          </w:tcPr>
          <w:p w14:paraId="7576FB86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 (0.6)</w:t>
            </w:r>
          </w:p>
        </w:tc>
        <w:tc>
          <w:tcPr>
            <w:tcW w:w="1134" w:type="dxa"/>
          </w:tcPr>
          <w:p w14:paraId="709C2E13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 (0.9)</w:t>
            </w:r>
          </w:p>
        </w:tc>
      </w:tr>
      <w:tr w:rsidR="00E81BA3" w:rsidRPr="00E81BA3" w14:paraId="2125E89C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4375536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Triglycerides, mmol·L−1</w:t>
            </w:r>
          </w:p>
        </w:tc>
        <w:tc>
          <w:tcPr>
            <w:tcW w:w="1275" w:type="dxa"/>
          </w:tcPr>
          <w:p w14:paraId="69CCD3E1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 (0.6)</w:t>
            </w:r>
          </w:p>
        </w:tc>
        <w:tc>
          <w:tcPr>
            <w:tcW w:w="1134" w:type="dxa"/>
          </w:tcPr>
          <w:p w14:paraId="71E941B7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 (0.7)</w:t>
            </w:r>
          </w:p>
        </w:tc>
        <w:tc>
          <w:tcPr>
            <w:tcW w:w="1134" w:type="dxa"/>
          </w:tcPr>
          <w:p w14:paraId="1C8B07A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 (0.6)</w:t>
            </w:r>
          </w:p>
        </w:tc>
        <w:tc>
          <w:tcPr>
            <w:tcW w:w="1276" w:type="dxa"/>
          </w:tcPr>
          <w:p w14:paraId="1CB1B3BE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 (0.5)</w:t>
            </w:r>
          </w:p>
        </w:tc>
        <w:tc>
          <w:tcPr>
            <w:tcW w:w="1276" w:type="dxa"/>
          </w:tcPr>
          <w:p w14:paraId="68492F3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 (0.6)</w:t>
            </w:r>
          </w:p>
        </w:tc>
        <w:tc>
          <w:tcPr>
            <w:tcW w:w="1134" w:type="dxa"/>
          </w:tcPr>
          <w:p w14:paraId="5AA5AE8B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 (0.5)</w:t>
            </w:r>
          </w:p>
        </w:tc>
      </w:tr>
      <w:tr w:rsidR="00E81BA3" w:rsidRPr="00E81BA3" w14:paraId="7EBDF05A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659618B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Total/HDL cholesterol ratio</w:t>
            </w:r>
          </w:p>
        </w:tc>
        <w:tc>
          <w:tcPr>
            <w:tcW w:w="1275" w:type="dxa"/>
          </w:tcPr>
          <w:p w14:paraId="6DFFE62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 (0.9)</w:t>
            </w:r>
          </w:p>
        </w:tc>
        <w:tc>
          <w:tcPr>
            <w:tcW w:w="1134" w:type="dxa"/>
          </w:tcPr>
          <w:p w14:paraId="0D2DBCD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 (0.9)</w:t>
            </w:r>
          </w:p>
        </w:tc>
        <w:tc>
          <w:tcPr>
            <w:tcW w:w="1134" w:type="dxa"/>
          </w:tcPr>
          <w:p w14:paraId="2EB2470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 (0.9)</w:t>
            </w:r>
          </w:p>
        </w:tc>
        <w:tc>
          <w:tcPr>
            <w:tcW w:w="1276" w:type="dxa"/>
          </w:tcPr>
          <w:p w14:paraId="085B462A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 (0.9)</w:t>
            </w:r>
          </w:p>
        </w:tc>
        <w:tc>
          <w:tcPr>
            <w:tcW w:w="1276" w:type="dxa"/>
          </w:tcPr>
          <w:p w14:paraId="309F675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 (0.9)</w:t>
            </w:r>
          </w:p>
        </w:tc>
        <w:tc>
          <w:tcPr>
            <w:tcW w:w="1134" w:type="dxa"/>
          </w:tcPr>
          <w:p w14:paraId="6E4C434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 (0.9)</w:t>
            </w:r>
          </w:p>
        </w:tc>
      </w:tr>
      <w:tr w:rsidR="00E81BA3" w:rsidRPr="00E81BA3" w14:paraId="55939C73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7BAACBF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LDL/HDL cholesterol ratio</w:t>
            </w:r>
          </w:p>
        </w:tc>
        <w:tc>
          <w:tcPr>
            <w:tcW w:w="1275" w:type="dxa"/>
          </w:tcPr>
          <w:p w14:paraId="2F820590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 (0.8)</w:t>
            </w:r>
          </w:p>
        </w:tc>
        <w:tc>
          <w:tcPr>
            <w:tcW w:w="1134" w:type="dxa"/>
          </w:tcPr>
          <w:p w14:paraId="2A1C278D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 (0.8)</w:t>
            </w:r>
          </w:p>
        </w:tc>
        <w:tc>
          <w:tcPr>
            <w:tcW w:w="1134" w:type="dxa"/>
          </w:tcPr>
          <w:p w14:paraId="15261595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 (0.8)</w:t>
            </w:r>
          </w:p>
        </w:tc>
        <w:tc>
          <w:tcPr>
            <w:tcW w:w="1276" w:type="dxa"/>
          </w:tcPr>
          <w:p w14:paraId="7116A1EF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 (0.8)</w:t>
            </w:r>
          </w:p>
        </w:tc>
        <w:tc>
          <w:tcPr>
            <w:tcW w:w="1276" w:type="dxa"/>
          </w:tcPr>
          <w:p w14:paraId="0C4F3F7E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 (0.8)</w:t>
            </w:r>
          </w:p>
        </w:tc>
        <w:tc>
          <w:tcPr>
            <w:tcW w:w="1134" w:type="dxa"/>
          </w:tcPr>
          <w:p w14:paraId="57438D61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 (0.8)</w:t>
            </w:r>
          </w:p>
        </w:tc>
      </w:tr>
      <w:tr w:rsidR="00E81BA3" w:rsidRPr="00E81BA3" w14:paraId="6C88DB74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1AE5DC4B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Adiposity measures</w:t>
            </w:r>
          </w:p>
        </w:tc>
        <w:tc>
          <w:tcPr>
            <w:tcW w:w="1275" w:type="dxa"/>
          </w:tcPr>
          <w:p w14:paraId="7F40EE07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8F87900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F46FBF1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3C5200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2290CE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1A21A1" w14:textId="77777777" w:rsidR="00E81BA3" w:rsidRPr="00E81BA3" w:rsidRDefault="00E81BA3" w:rsidP="00E81B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1BA3" w:rsidRPr="00E81BA3" w14:paraId="7B8913F8" w14:textId="77777777" w:rsidTr="00B944B3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957D34C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BMI, kg·m−2</w:t>
            </w:r>
          </w:p>
        </w:tc>
        <w:tc>
          <w:tcPr>
            <w:tcW w:w="1275" w:type="dxa"/>
          </w:tcPr>
          <w:p w14:paraId="1951E2A7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26.0 (5.0)</w:t>
            </w:r>
          </w:p>
        </w:tc>
        <w:tc>
          <w:tcPr>
            <w:tcW w:w="1134" w:type="dxa"/>
          </w:tcPr>
          <w:p w14:paraId="7570E48D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26.1 (4.8)</w:t>
            </w:r>
          </w:p>
        </w:tc>
        <w:tc>
          <w:tcPr>
            <w:tcW w:w="1134" w:type="dxa"/>
          </w:tcPr>
          <w:p w14:paraId="06FCE4CB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25.9 (5.2)</w:t>
            </w:r>
          </w:p>
        </w:tc>
        <w:tc>
          <w:tcPr>
            <w:tcW w:w="1276" w:type="dxa"/>
          </w:tcPr>
          <w:p w14:paraId="2EE2050E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26.1 (5.5)</w:t>
            </w:r>
          </w:p>
        </w:tc>
        <w:tc>
          <w:tcPr>
            <w:tcW w:w="1276" w:type="dxa"/>
          </w:tcPr>
          <w:p w14:paraId="2FE8C49A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26.0 (4.9)</w:t>
            </w:r>
          </w:p>
        </w:tc>
        <w:tc>
          <w:tcPr>
            <w:tcW w:w="1134" w:type="dxa"/>
          </w:tcPr>
          <w:p w14:paraId="0FCB0B9C" w14:textId="77777777" w:rsidR="00E81BA3" w:rsidRPr="00E81BA3" w:rsidRDefault="00E81BA3" w:rsidP="00E81BA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26.3 (5.8)</w:t>
            </w:r>
          </w:p>
        </w:tc>
      </w:tr>
      <w:tr w:rsidR="00E81BA3" w:rsidRPr="00E81BA3" w14:paraId="10B07F42" w14:textId="77777777" w:rsidTr="00B9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4D0090E" w14:textId="77777777" w:rsidR="00E81BA3" w:rsidRPr="00E81BA3" w:rsidRDefault="00E81BA3" w:rsidP="00E81BA3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Waist circumference, cm</w:t>
            </w:r>
          </w:p>
        </w:tc>
        <w:tc>
          <w:tcPr>
            <w:tcW w:w="1275" w:type="dxa"/>
          </w:tcPr>
          <w:p w14:paraId="4BF8309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87.8 (13.1)</w:t>
            </w:r>
          </w:p>
        </w:tc>
        <w:tc>
          <w:tcPr>
            <w:tcW w:w="1134" w:type="dxa"/>
          </w:tcPr>
          <w:p w14:paraId="0B6C9D72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88.2 (12.6)</w:t>
            </w:r>
          </w:p>
        </w:tc>
        <w:tc>
          <w:tcPr>
            <w:tcW w:w="1134" w:type="dxa"/>
          </w:tcPr>
          <w:p w14:paraId="60E0E5AB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87.4 (13.7)</w:t>
            </w:r>
          </w:p>
        </w:tc>
        <w:tc>
          <w:tcPr>
            <w:tcW w:w="1276" w:type="dxa"/>
          </w:tcPr>
          <w:p w14:paraId="2ED7C75C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87.0 (13.7)</w:t>
            </w:r>
          </w:p>
        </w:tc>
        <w:tc>
          <w:tcPr>
            <w:tcW w:w="1276" w:type="dxa"/>
          </w:tcPr>
          <w:p w14:paraId="2707E007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87.9 (12.9)</w:t>
            </w:r>
          </w:p>
        </w:tc>
        <w:tc>
          <w:tcPr>
            <w:tcW w:w="1134" w:type="dxa"/>
          </w:tcPr>
          <w:p w14:paraId="742A2A95" w14:textId="77777777" w:rsidR="00E81BA3" w:rsidRPr="00E81BA3" w:rsidRDefault="00E81BA3" w:rsidP="00E81B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81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87.5 (14.4)</w:t>
            </w:r>
          </w:p>
        </w:tc>
      </w:tr>
    </w:tbl>
    <w:p w14:paraId="44561DEE" w14:textId="77777777" w:rsidR="001D4AB7" w:rsidRPr="00346ABC" w:rsidRDefault="001D4AB7" w:rsidP="001D4AB7">
      <w:pPr>
        <w:spacing w:line="48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346ABC">
        <w:rPr>
          <w:rFonts w:asciiTheme="majorBidi" w:hAnsiTheme="majorBidi" w:cstheme="majorBidi"/>
          <w:i/>
          <w:iCs/>
          <w:sz w:val="20"/>
          <w:szCs w:val="20"/>
          <w:lang w:val="en-GB"/>
        </w:rPr>
        <w:t>Data are mean (SD) or count (%)</w:t>
      </w:r>
    </w:p>
    <w:p w14:paraId="7ACB8C67" w14:textId="77777777" w:rsidR="00FA132A" w:rsidRDefault="00FA132A" w:rsidP="002A0556">
      <w:pPr>
        <w:rPr>
          <w:highlight w:val="green"/>
        </w:rPr>
      </w:pPr>
    </w:p>
    <w:p w14:paraId="0D4E19B0" w14:textId="77777777" w:rsidR="001D4AB7" w:rsidRDefault="001D4AB7" w:rsidP="002A0556">
      <w:pPr>
        <w:rPr>
          <w:highlight w:val="green"/>
        </w:rPr>
      </w:pPr>
    </w:p>
    <w:p w14:paraId="0A5114DE" w14:textId="77777777" w:rsidR="001D4AB7" w:rsidRPr="00FA132A" w:rsidRDefault="001D4AB7" w:rsidP="002A0556">
      <w:pPr>
        <w:rPr>
          <w:highlight w:val="green"/>
        </w:rPr>
      </w:pPr>
    </w:p>
    <w:p w14:paraId="383CD216" w14:textId="62D4C4F0" w:rsidR="00740CC3" w:rsidRPr="00255D82" w:rsidRDefault="004D12EC" w:rsidP="003F510D">
      <w:pPr>
        <w:pStyle w:val="ListParagraph"/>
        <w:numPr>
          <w:ilvl w:val="0"/>
          <w:numId w:val="1"/>
        </w:numPr>
        <w:rPr>
          <w:rFonts w:asciiTheme="majorBidi" w:hAnsiTheme="majorBidi"/>
          <w:b/>
          <w:bCs/>
          <w:sz w:val="28"/>
          <w:szCs w:val="28"/>
          <w:lang w:val="en-GB"/>
        </w:rPr>
      </w:pPr>
      <w:r w:rsidRPr="3BAD3C9A">
        <w:rPr>
          <w:rFonts w:asciiTheme="majorBidi" w:hAnsiTheme="majorBidi"/>
          <w:b/>
          <w:bCs/>
          <w:sz w:val="28"/>
          <w:szCs w:val="28"/>
          <w:lang w:val="en-GB"/>
        </w:rPr>
        <w:t>Sensitivity analysis for different cu</w:t>
      </w:r>
      <w:r w:rsidR="0002439C" w:rsidRPr="3BAD3C9A">
        <w:rPr>
          <w:rFonts w:asciiTheme="majorBidi" w:hAnsiTheme="majorBidi"/>
          <w:b/>
          <w:bCs/>
          <w:sz w:val="28"/>
          <w:szCs w:val="28"/>
          <w:lang w:val="en-GB"/>
        </w:rPr>
        <w:t>toff points for GAD-7 scores</w:t>
      </w:r>
    </w:p>
    <w:p w14:paraId="2E4127A0" w14:textId="71A54034" w:rsidR="00740CC3" w:rsidRDefault="00A8066A" w:rsidP="00740CC3">
      <w:pPr>
        <w:tabs>
          <w:tab w:val="left" w:pos="1800"/>
        </w:tabs>
        <w:rPr>
          <w:rFonts w:asciiTheme="majorBidi" w:hAnsiTheme="majorBidi" w:cstheme="majorBidi"/>
          <w:b/>
          <w:bCs/>
          <w:noProof/>
        </w:rPr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0F833083" wp14:editId="3CDBDFE6">
            <wp:extent cx="6034201" cy="3090541"/>
            <wp:effectExtent l="0" t="0" r="5080" b="0"/>
            <wp:docPr id="15349162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76" cy="310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F7E69" w14:textId="715AA770" w:rsidR="001C5EC8" w:rsidRPr="009614EC" w:rsidRDefault="001C5EC8" w:rsidP="001C5EC8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highlight w:val="green"/>
        </w:rPr>
      </w:pPr>
      <w:r w:rsidRPr="002B6F5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S</w:t>
      </w:r>
      <w:r w:rsidR="003F510D">
        <w:rPr>
          <w:rFonts w:asciiTheme="majorBidi" w:hAnsiTheme="majorBidi" w:cstheme="majorBidi"/>
          <w:i w:val="0"/>
          <w:iCs w:val="0"/>
          <w:color w:val="auto"/>
          <w:lang w:val="en-GB"/>
        </w:rPr>
        <w:t>6</w:t>
      </w:r>
      <w:r w:rsidRPr="002B6F5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: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Percentage of participants in each sleep stage (Awake,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Light, Deep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, and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REM) over time during detected sleep period on weekdays and </w:t>
      </w:r>
      <w:r w:rsidR="00E160FB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, stratified by anxiety and depression </w:t>
      </w:r>
      <w:r w:rsidR="00061BC8">
        <w:rPr>
          <w:rFonts w:asciiTheme="majorBidi" w:hAnsiTheme="majorBidi" w:cstheme="majorBidi"/>
          <w:i w:val="0"/>
          <w:iCs w:val="0"/>
          <w:color w:val="auto"/>
          <w:lang w:val="en-GB"/>
        </w:rPr>
        <w:t>symptoms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levels. Panels (a–h) represent comparisons based on anxiety severity measured using the GAD-7 score, categorized as no anxiety</w:t>
      </w:r>
      <w:r w:rsidR="001520A8">
        <w:rPr>
          <w:rFonts w:asciiTheme="majorBidi" w:hAnsiTheme="majorBidi" w:cstheme="majorBidi"/>
          <w:i w:val="0"/>
          <w:iCs w:val="0"/>
          <w:color w:val="auto"/>
          <w:lang w:val="en-GB"/>
        </w:rPr>
        <w:t>:</w:t>
      </w:r>
      <w:r w:rsidR="00D2792B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="001520A8">
        <w:rPr>
          <w:rFonts w:asciiTheme="majorBidi" w:hAnsiTheme="majorBidi" w:cstheme="majorBidi"/>
          <w:i w:val="0"/>
          <w:iCs w:val="0"/>
          <w:color w:val="auto"/>
          <w:lang w:val="en-GB"/>
        </w:rPr>
        <w:t>GAD-7 score ≤ 4 and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anxiety</w:t>
      </w:r>
      <w:r w:rsidR="001520A8"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&gt; 4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The y-axis indicates the percentage of participants, and the x-axis represents time (minutes) over the sleep period. The number of participants in each group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</w:t>
      </w:r>
    </w:p>
    <w:p w14:paraId="11FA2FE2" w14:textId="6AE0B14F" w:rsidR="001E20EC" w:rsidRDefault="0016467F" w:rsidP="00A27E14">
      <w:pPr>
        <w:keepNext/>
        <w:rPr>
          <w:rFonts w:asciiTheme="majorBidi" w:hAnsiTheme="majorBidi" w:cstheme="majorBidi"/>
          <w:b/>
          <w:bCs/>
          <w:noProof/>
          <w:sz w:val="28"/>
          <w:szCs w:val="28"/>
          <w:lang w:val="en-GB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GB"/>
        </w:rPr>
        <w:drawing>
          <wp:inline distT="0" distB="0" distL="0" distR="0" wp14:anchorId="5F50A011" wp14:editId="190DAE13">
            <wp:extent cx="6137452" cy="3136015"/>
            <wp:effectExtent l="0" t="0" r="0" b="7620"/>
            <wp:docPr id="408089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738" cy="313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5452E" w14:textId="172E978E" w:rsidR="001E20EC" w:rsidRDefault="00734546" w:rsidP="004173CA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lang w:val="en-GB"/>
        </w:rPr>
      </w:pPr>
      <w:r w:rsidRPr="002B6F5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S</w:t>
      </w:r>
      <w:r w:rsidR="003F510D">
        <w:rPr>
          <w:rFonts w:asciiTheme="majorBidi" w:hAnsiTheme="majorBidi" w:cstheme="majorBidi"/>
          <w:i w:val="0"/>
          <w:iCs w:val="0"/>
          <w:color w:val="auto"/>
          <w:lang w:val="en-GB"/>
        </w:rPr>
        <w:t>7</w:t>
      </w:r>
      <w:r w:rsidRPr="002B6F5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: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Percentage of participants in each sleep stage (Awake,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Light, Deep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, and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REM) over time during detected sleep period on weekdays and </w:t>
      </w:r>
      <w:r w:rsidR="00E160FB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, stratified by anxiety and depression </w:t>
      </w:r>
      <w:r w:rsidR="00061BC8">
        <w:rPr>
          <w:rFonts w:asciiTheme="majorBidi" w:hAnsiTheme="majorBidi" w:cstheme="majorBidi"/>
          <w:i w:val="0"/>
          <w:iCs w:val="0"/>
          <w:color w:val="auto"/>
          <w:lang w:val="en-GB"/>
        </w:rPr>
        <w:t>symptoms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levels. Panels (a–h) represent comparisons based on anxiety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lastRenderedPageBreak/>
        <w:t>severity measured using the GAD-7 score, categorized as no anxiety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: GAD-7 score ≤ </w:t>
      </w:r>
      <w:r w:rsidR="00303299">
        <w:rPr>
          <w:rFonts w:asciiTheme="majorBidi" w:hAnsiTheme="majorBidi" w:cstheme="majorBidi"/>
          <w:i w:val="0"/>
          <w:iCs w:val="0"/>
          <w:color w:val="auto"/>
          <w:lang w:val="en-GB"/>
        </w:rPr>
        <w:t>9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and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="00FB1B00">
        <w:rPr>
          <w:rFonts w:asciiTheme="majorBidi" w:hAnsiTheme="majorBidi" w:cstheme="majorBidi"/>
          <w:i w:val="0"/>
          <w:iCs w:val="0"/>
          <w:color w:val="auto"/>
          <w:lang w:val="en-GB"/>
        </w:rPr>
        <w:t>m</w:t>
      </w:r>
      <w:r w:rsidR="004173C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oderate-to-severe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anxiety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: GAD-7 score &gt; </w:t>
      </w:r>
      <w:r w:rsidR="00303299">
        <w:rPr>
          <w:rFonts w:asciiTheme="majorBidi" w:hAnsiTheme="majorBidi" w:cstheme="majorBidi"/>
          <w:i w:val="0"/>
          <w:iCs w:val="0"/>
          <w:color w:val="auto"/>
          <w:lang w:val="en-GB"/>
        </w:rPr>
        <w:t>9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. The y</w:t>
      </w:r>
      <w:r w:rsidR="00E9565F">
        <w:rPr>
          <w:rFonts w:asciiTheme="majorBidi" w:hAnsiTheme="majorBidi" w:cstheme="majorBidi"/>
          <w:i w:val="0"/>
          <w:iCs w:val="0"/>
          <w:color w:val="auto"/>
          <w:lang w:val="en-GB"/>
        </w:rPr>
        <w:t>-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axis indicates the percentage of participants, and the x-axis represents time (minutes) over the sleep period. The number of participants in each group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</w:t>
      </w:r>
    </w:p>
    <w:p w14:paraId="6F235DAF" w14:textId="77777777" w:rsidR="00CB4B95" w:rsidRDefault="003F4761" w:rsidP="000C3BD7">
      <w:pPr>
        <w:jc w:val="both"/>
        <w:rPr>
          <w:rFonts w:asciiTheme="majorBidi" w:hAnsiTheme="majorBidi" w:cstheme="majorBidi"/>
          <w:sz w:val="18"/>
          <w:szCs w:val="18"/>
          <w:lang w:val="en-GB"/>
        </w:rPr>
      </w:pPr>
      <w:r>
        <w:rPr>
          <w:rFonts w:asciiTheme="majorBidi" w:hAnsiTheme="majorBidi" w:cstheme="majorBidi"/>
          <w:b/>
          <w:bCs/>
          <w:noProof/>
          <w:sz w:val="18"/>
          <w:szCs w:val="18"/>
          <w:lang w:val="en-GB"/>
        </w:rPr>
        <w:drawing>
          <wp:anchor distT="0" distB="0" distL="114300" distR="114300" simplePos="0" relativeHeight="251658240" behindDoc="0" locked="0" layoutInCell="1" allowOverlap="1" wp14:anchorId="00400DDB" wp14:editId="4265D800">
            <wp:simplePos x="0" y="0"/>
            <wp:positionH relativeFrom="column">
              <wp:posOffset>1078840</wp:posOffset>
            </wp:positionH>
            <wp:positionV relativeFrom="paragraph">
              <wp:posOffset>80467</wp:posOffset>
            </wp:positionV>
            <wp:extent cx="4140200" cy="3972560"/>
            <wp:effectExtent l="0" t="0" r="0" b="8890"/>
            <wp:wrapTopAndBottom/>
            <wp:docPr id="15079865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397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142BE2" w14:textId="25E8CD94" w:rsidR="0054763A" w:rsidRPr="000C3BD7" w:rsidRDefault="0054763A" w:rsidP="000C3BD7">
      <w:pPr>
        <w:jc w:val="both"/>
        <w:rPr>
          <w:rFonts w:asciiTheme="majorBidi" w:hAnsiTheme="majorBidi" w:cstheme="majorBidi"/>
          <w:sz w:val="18"/>
          <w:szCs w:val="18"/>
          <w:lang w:val="en-GB"/>
        </w:rPr>
      </w:pPr>
      <w:r w:rsidRPr="000C3BD7">
        <w:rPr>
          <w:rFonts w:asciiTheme="majorBidi" w:hAnsiTheme="majorBidi" w:cstheme="majorBidi"/>
          <w:sz w:val="18"/>
          <w:szCs w:val="18"/>
          <w:lang w:val="en-GB"/>
        </w:rPr>
        <w:t>Figure S</w:t>
      </w:r>
      <w:r w:rsidR="003F510D" w:rsidRPr="000C3BD7">
        <w:rPr>
          <w:rFonts w:asciiTheme="majorBidi" w:hAnsiTheme="majorBidi" w:cstheme="majorBidi"/>
          <w:sz w:val="18"/>
          <w:szCs w:val="18"/>
          <w:lang w:val="en-GB"/>
        </w:rPr>
        <w:t>8</w:t>
      </w:r>
      <w:r w:rsidRPr="000C3BD7">
        <w:rPr>
          <w:rFonts w:asciiTheme="majorBidi" w:hAnsiTheme="majorBidi" w:cstheme="majorBidi"/>
          <w:sz w:val="18"/>
          <w:szCs w:val="18"/>
          <w:lang w:val="en-GB"/>
        </w:rPr>
        <w:t xml:space="preserve">: Mean HR (beats/minute) during detected sleep period on weekdays and </w:t>
      </w:r>
      <w:r w:rsidR="00E160FB" w:rsidRPr="000C3BD7">
        <w:rPr>
          <w:rFonts w:asciiTheme="majorBidi" w:hAnsiTheme="majorBidi" w:cstheme="majorBidi"/>
          <w:sz w:val="18"/>
          <w:szCs w:val="18"/>
          <w:lang w:val="en-GB"/>
        </w:rPr>
        <w:t>weekend days</w:t>
      </w:r>
      <w:r w:rsidRPr="000C3BD7">
        <w:rPr>
          <w:rFonts w:asciiTheme="majorBidi" w:hAnsiTheme="majorBidi" w:cstheme="majorBidi"/>
          <w:sz w:val="18"/>
          <w:szCs w:val="18"/>
          <w:lang w:val="en-GB"/>
        </w:rPr>
        <w:t xml:space="preserve">. Panels (a–f) show the results based on anxiety severity measured by the GAD-7 scores, </w:t>
      </w:r>
      <w:r w:rsidR="00837E4A" w:rsidRPr="000C3BD7">
        <w:rPr>
          <w:rFonts w:asciiTheme="majorBidi" w:hAnsiTheme="majorBidi" w:cstheme="majorBidi"/>
          <w:sz w:val="18"/>
          <w:szCs w:val="18"/>
          <w:lang w:val="en-GB"/>
        </w:rPr>
        <w:t>categorized as no anxiety: GAD-7 score ≤ 4 and anxiety: GAD-7 score &gt; 4</w:t>
      </w:r>
      <w:r w:rsidRPr="000C3BD7">
        <w:rPr>
          <w:rFonts w:asciiTheme="majorBidi" w:hAnsiTheme="majorBidi" w:cstheme="majorBidi"/>
          <w:sz w:val="18"/>
          <w:szCs w:val="18"/>
          <w:lang w:val="en-GB"/>
        </w:rPr>
        <w:t xml:space="preserve">. The number of participants in each category is indicated by </w:t>
      </w:r>
      <m:oMath>
        <m:r>
          <w:rPr>
            <w:rFonts w:ascii="Cambria Math" w:hAnsi="Cambria Math" w:cstheme="majorBidi"/>
            <w:sz w:val="18"/>
            <w:szCs w:val="18"/>
            <w:lang w:val="en-GB"/>
          </w:rPr>
          <m:t>n</m:t>
        </m:r>
      </m:oMath>
      <w:r w:rsidRPr="000C3BD7">
        <w:rPr>
          <w:rFonts w:asciiTheme="majorBidi" w:hAnsiTheme="majorBidi" w:cstheme="majorBidi"/>
          <w:sz w:val="18"/>
          <w:szCs w:val="18"/>
          <w:lang w:val="en-GB"/>
        </w:rPr>
        <w:t xml:space="preserve"> in the panel legends. The gray lines represent individual HR trajectories, while the colored lines indicate the mean HR for each group. The y-axis shows HR (bpm), and the x-axis represents time (minutes) over the sleep period.</w:t>
      </w:r>
    </w:p>
    <w:p w14:paraId="71830CB6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45FBDFAD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03C0B730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2702CD50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44A56F35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61DF2D28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6E346723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3265F9E3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0E8ED054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3FDE8E7C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03DAE8A9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5AFEBC2E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28048FA0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666561EC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42FB2692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7C5BDDC0" w14:textId="77777777" w:rsidR="00837E4A" w:rsidRDefault="00837E4A" w:rsidP="00837E4A">
      <w:pPr>
        <w:pStyle w:val="ListParagraph"/>
        <w:rPr>
          <w:rFonts w:asciiTheme="majorBidi" w:hAnsiTheme="majorBidi" w:cstheme="majorBidi"/>
          <w:b/>
          <w:bCs/>
          <w:lang w:val="en-GB"/>
        </w:rPr>
      </w:pPr>
    </w:p>
    <w:p w14:paraId="18D713EE" w14:textId="3D2E7CCA" w:rsidR="00A94FF3" w:rsidRPr="00837E4A" w:rsidRDefault="00CB4B95" w:rsidP="00837E4A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0F83EF98" wp14:editId="47A591C7">
            <wp:simplePos x="0" y="0"/>
            <wp:positionH relativeFrom="margin">
              <wp:posOffset>1114501</wp:posOffset>
            </wp:positionH>
            <wp:positionV relativeFrom="paragraph">
              <wp:posOffset>254</wp:posOffset>
            </wp:positionV>
            <wp:extent cx="4184294" cy="3995759"/>
            <wp:effectExtent l="0" t="0" r="6985" b="5080"/>
            <wp:wrapTopAndBottom/>
            <wp:docPr id="12568012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294" cy="399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DDD948" w14:textId="12CB7B4B" w:rsidR="00837E4A" w:rsidRPr="009614EC" w:rsidRDefault="00837E4A" w:rsidP="00837E4A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</w:rPr>
      </w:pPr>
      <w:r w:rsidRPr="00C117B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S</w:t>
      </w:r>
      <w:r w:rsidR="003F510D">
        <w:rPr>
          <w:rFonts w:asciiTheme="majorBidi" w:hAnsiTheme="majorBidi" w:cstheme="majorBidi"/>
          <w:i w:val="0"/>
          <w:iCs w:val="0"/>
          <w:color w:val="auto"/>
          <w:lang w:val="en-GB"/>
        </w:rPr>
        <w:t>9</w:t>
      </w:r>
      <w:r w:rsidRPr="00C117B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: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HR (beats/minute) </w:t>
      </w:r>
      <w:r w:rsidRPr="00E370DF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during detected sleep period on weekdays and </w:t>
      </w:r>
      <w:r w:rsidR="00E160FB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00E370DF">
        <w:rPr>
          <w:rFonts w:asciiTheme="majorBidi" w:hAnsiTheme="majorBidi" w:cstheme="majorBidi"/>
          <w:i w:val="0"/>
          <w:iCs w:val="0"/>
          <w:color w:val="auto"/>
          <w:lang w:val="en-GB"/>
        </w:rPr>
        <w:t>.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Panels (a–f) show the results based on anxiety severity measured by the GAD-7 scores, categorized as no anxiety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≤ 9 and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="00CE7751">
        <w:rPr>
          <w:rFonts w:asciiTheme="majorBidi" w:hAnsiTheme="majorBidi" w:cstheme="majorBidi"/>
          <w:i w:val="0"/>
          <w:iCs w:val="0"/>
          <w:color w:val="auto"/>
          <w:lang w:val="en-GB"/>
        </w:rPr>
        <w:t>m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oderate-to-severe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anxiety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&gt; 9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gray lines represent individual HR trajectories, while the colored lines indicate the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HR for each group. The y-axis shows HR (bpm), and the x-axis represents time (minutes) over the </w:t>
      </w:r>
      <w:r w:rsidRPr="009614EC">
        <w:rPr>
          <w:rFonts w:asciiTheme="majorBidi" w:hAnsiTheme="majorBidi" w:cstheme="majorBidi"/>
          <w:i w:val="0"/>
          <w:iCs w:val="0"/>
          <w:color w:val="auto"/>
        </w:rPr>
        <w:t>sleep period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.</w:t>
      </w:r>
    </w:p>
    <w:p w14:paraId="387C34FA" w14:textId="77777777" w:rsidR="0099034C" w:rsidRPr="00837E4A" w:rsidRDefault="0099034C" w:rsidP="00A91681">
      <w:pPr>
        <w:jc w:val="center"/>
      </w:pPr>
    </w:p>
    <w:p w14:paraId="3E3F9170" w14:textId="318B7810" w:rsidR="00F316A1" w:rsidRDefault="005B0697" w:rsidP="00DF29C7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3C20CA8A" wp14:editId="544FF020">
            <wp:extent cx="4257446" cy="4070315"/>
            <wp:effectExtent l="0" t="0" r="0" b="6985"/>
            <wp:docPr id="118487749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444" cy="409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1F312" w14:textId="1DC8D9FF" w:rsidR="00122B35" w:rsidRPr="009614EC" w:rsidRDefault="00122B35" w:rsidP="3BAD3C9A">
      <w:pPr>
        <w:pStyle w:val="Caption"/>
        <w:jc w:val="both"/>
        <w:rPr>
          <w:rFonts w:asciiTheme="majorBidi" w:hAnsiTheme="majorBidi" w:cstheme="majorBidi"/>
        </w:rPr>
      </w:pP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Figure S</w:t>
      </w:r>
      <w:r w:rsidR="003F510D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10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: Mean RMSSD (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milliseconds)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during detected sleep period on weekdays and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Panels (a–f) show the results based on anxiety severity measured by the GAD-7 scores, categorized as no anxiety: GAD-7 score ≤ 4 and anxiety: GAD-7 score &gt; 4.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gray lines represent individual RMSSD trajectories, while the colored lines indicate the RMSSD for each group. The y-axis shows RMSSD (ms), and the x-axis represents time (minutes) over the 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sleep period.</w:t>
      </w:r>
    </w:p>
    <w:p w14:paraId="54C92DCB" w14:textId="0CFCE562" w:rsidR="3BAD3C9A" w:rsidRDefault="3BAD3C9A" w:rsidP="3BAD3C9A"/>
    <w:p w14:paraId="2E2F742D" w14:textId="29A0B6AB" w:rsidR="3BAD3C9A" w:rsidRDefault="3BAD3C9A" w:rsidP="3BAD3C9A"/>
    <w:p w14:paraId="7968A645" w14:textId="53C259D8" w:rsidR="3BAD3C9A" w:rsidRDefault="3BAD3C9A" w:rsidP="3BAD3C9A"/>
    <w:p w14:paraId="5671EDC4" w14:textId="77777777" w:rsidR="00DF29C7" w:rsidRDefault="00DF29C7" w:rsidP="00DF29C7">
      <w:pPr>
        <w:jc w:val="center"/>
        <w:rPr>
          <w:rFonts w:asciiTheme="majorBidi" w:hAnsiTheme="majorBidi" w:cstheme="majorBidi"/>
          <w:b/>
          <w:bCs/>
        </w:rPr>
      </w:pPr>
    </w:p>
    <w:p w14:paraId="0B6FAB5F" w14:textId="117166EC" w:rsidR="00DF29C7" w:rsidRDefault="007B2A3D" w:rsidP="00DF29C7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12AA083D" wp14:editId="3B6BF27B">
            <wp:extent cx="4133088" cy="3956400"/>
            <wp:effectExtent l="0" t="0" r="1270" b="6350"/>
            <wp:docPr id="7973758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394" cy="39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18FF4" w14:textId="43BC4EF8" w:rsidR="00DF29C7" w:rsidRPr="00122B35" w:rsidRDefault="00122B35" w:rsidP="00122B35">
      <w:pPr>
        <w:pStyle w:val="Caption"/>
        <w:jc w:val="both"/>
        <w:rPr>
          <w:rFonts w:asciiTheme="majorBidi" w:hAnsiTheme="majorBidi" w:cstheme="majorBidi"/>
        </w:rPr>
      </w:pP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Figure S</w:t>
      </w:r>
      <w:r w:rsidR="003F510D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11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: Mean RMSSD (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milliseconds)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during detected sleep period on weekdays and </w:t>
      </w:r>
      <w:r w:rsidR="00E160FB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Panels (a–f) show the results based on anxiety severity measured by the GAD-7 scores, categorized as no anxiety: GAD-7 score ≤ 9 and </w:t>
      </w:r>
      <w:r w:rsidR="00CE7751"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>m</w:t>
      </w:r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oderate-to-severe anxiety: GAD-7 score &gt; 9.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3BAD3C9A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gray lines represent individual RMSSD trajectories, while the colored lines indicate the RMSSD for each group. The y-axis shows RMSSD (ms), and the x-axis represents time (minutes) over the </w:t>
      </w:r>
      <w:r w:rsidRPr="3BAD3C9A">
        <w:rPr>
          <w:rFonts w:asciiTheme="majorBidi" w:hAnsiTheme="majorBidi" w:cstheme="majorBidi"/>
          <w:i w:val="0"/>
          <w:iCs w:val="0"/>
          <w:color w:val="auto"/>
        </w:rPr>
        <w:t>sleep period.</w:t>
      </w:r>
    </w:p>
    <w:p w14:paraId="6374D275" w14:textId="23439AD0" w:rsidR="3BAD3C9A" w:rsidRDefault="3BAD3C9A" w:rsidP="3BAD3C9A">
      <w:pPr>
        <w:jc w:val="center"/>
      </w:pPr>
    </w:p>
    <w:p w14:paraId="37A6A174" w14:textId="77777777" w:rsidR="00D27B6D" w:rsidRDefault="00D27B6D" w:rsidP="3BAD3C9A">
      <w:pPr>
        <w:jc w:val="center"/>
      </w:pPr>
    </w:p>
    <w:p w14:paraId="201E768A" w14:textId="0E799A54" w:rsidR="00DF29C7" w:rsidRDefault="00E4277D" w:rsidP="00DF29C7">
      <w:pPr>
        <w:jc w:val="center"/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364D7D27" wp14:editId="64241F79">
            <wp:extent cx="4520793" cy="3741362"/>
            <wp:effectExtent l="0" t="0" r="0" b="0"/>
            <wp:docPr id="14562761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643" cy="375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EF480" w14:textId="66F4CF10" w:rsidR="00122B35" w:rsidRPr="00255D82" w:rsidRDefault="00122B35" w:rsidP="00122B35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lang w:val="en-GB"/>
        </w:rPr>
      </w:pPr>
      <w:r w:rsidRPr="001E3FA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S</w:t>
      </w:r>
      <w:r w:rsidR="003F510D">
        <w:rPr>
          <w:rFonts w:asciiTheme="majorBidi" w:hAnsiTheme="majorBidi" w:cstheme="majorBidi"/>
          <w:i w:val="0"/>
          <w:iCs w:val="0"/>
          <w:color w:val="auto"/>
          <w:lang w:val="en-GB"/>
        </w:rPr>
        <w:t>12</w:t>
      </w:r>
      <w:r w:rsidRPr="001E3FA6">
        <w:rPr>
          <w:rFonts w:asciiTheme="majorBidi" w:hAnsiTheme="majorBidi" w:cstheme="majorBidi"/>
          <w:i w:val="0"/>
          <w:iCs w:val="0"/>
          <w:color w:val="auto"/>
          <w:lang w:val="en-GB"/>
        </w:rPr>
        <w:t>:</w:t>
      </w:r>
      <w:r>
        <w:rPr>
          <w:lang w:val="en-GB"/>
        </w:rPr>
        <w:t xml:space="preserve">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 across 24 hours on weekdays and </w:t>
      </w:r>
      <w:r w:rsidR="00E160FB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Panels (a–b) show the results based on anxiety severity measured by the GAD-7 scores, </w:t>
      </w:r>
      <w:r w:rsidR="00D32610"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categorized as no anxiety</w:t>
      </w:r>
      <w:r w:rsidR="00D32610"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≤ 4 and</w:t>
      </w:r>
      <w:r w:rsidR="00D32610"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anxiety</w:t>
      </w:r>
      <w:r w:rsidR="00D32610"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&gt; 4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colored lines represent the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 for each group, and the shaded areas indicate the 95% confidence intervals. The y-axis shows the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values, and the x-axis represents time of day (hours).</w:t>
      </w:r>
    </w:p>
    <w:p w14:paraId="1C12B87A" w14:textId="77777777" w:rsidR="00DF29C7" w:rsidRDefault="00DF29C7" w:rsidP="00DF29C7">
      <w:pPr>
        <w:jc w:val="center"/>
        <w:rPr>
          <w:lang w:val="en-GB"/>
        </w:rPr>
      </w:pPr>
    </w:p>
    <w:p w14:paraId="48B81A50" w14:textId="77777777" w:rsidR="00D27B6D" w:rsidRPr="00122B35" w:rsidRDefault="00D27B6D" w:rsidP="00DF29C7">
      <w:pPr>
        <w:jc w:val="center"/>
        <w:rPr>
          <w:lang w:val="en-GB"/>
        </w:rPr>
      </w:pPr>
    </w:p>
    <w:p w14:paraId="33448A44" w14:textId="52593697" w:rsidR="00DF29C7" w:rsidRDefault="00E4277D" w:rsidP="00DF29C7">
      <w:pPr>
        <w:jc w:val="center"/>
      </w:pPr>
      <w:r>
        <w:rPr>
          <w:noProof/>
        </w:rPr>
        <w:lastRenderedPageBreak/>
        <w:drawing>
          <wp:inline distT="0" distB="0" distL="0" distR="0" wp14:anchorId="79E55B27" wp14:editId="4D12C533">
            <wp:extent cx="4535424" cy="3707078"/>
            <wp:effectExtent l="0" t="0" r="0" b="8255"/>
            <wp:docPr id="112581812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613" cy="372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72CDA" w14:textId="58B87439" w:rsidR="00711ABE" w:rsidRPr="00255D82" w:rsidRDefault="00711ABE" w:rsidP="00711ABE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lang w:val="en-GB"/>
        </w:rPr>
      </w:pPr>
      <w:r w:rsidRPr="001E3FA6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Figure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S</w:t>
      </w:r>
      <w:r w:rsidR="003F510D">
        <w:rPr>
          <w:rFonts w:asciiTheme="majorBidi" w:hAnsiTheme="majorBidi" w:cstheme="majorBidi"/>
          <w:i w:val="0"/>
          <w:iCs w:val="0"/>
          <w:color w:val="auto"/>
          <w:lang w:val="en-GB"/>
        </w:rPr>
        <w:t>13</w:t>
      </w:r>
      <w:r w:rsidRPr="001E3FA6">
        <w:rPr>
          <w:rFonts w:asciiTheme="majorBidi" w:hAnsiTheme="majorBidi" w:cstheme="majorBidi"/>
          <w:i w:val="0"/>
          <w:iCs w:val="0"/>
          <w:color w:val="auto"/>
          <w:lang w:val="en-GB"/>
        </w:rPr>
        <w:t>:</w:t>
      </w:r>
      <w:r>
        <w:rPr>
          <w:lang w:val="en-GB"/>
        </w:rPr>
        <w:t xml:space="preserve">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 across 24 hours on weekdays and </w:t>
      </w:r>
      <w:r w:rsidR="00E160FB">
        <w:rPr>
          <w:rFonts w:asciiTheme="majorBidi" w:hAnsiTheme="majorBidi" w:cstheme="majorBidi"/>
          <w:i w:val="0"/>
          <w:iCs w:val="0"/>
          <w:color w:val="auto"/>
          <w:lang w:val="en-GB"/>
        </w:rPr>
        <w:t>weekend days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. Panels (a–b) show the results based on anxiety severity measured by the GAD-7 scores, categorized as no anxiety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≤ 9 and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</w:t>
      </w:r>
      <w:r w:rsidR="00CE7751">
        <w:rPr>
          <w:rFonts w:asciiTheme="majorBidi" w:hAnsiTheme="majorBidi" w:cstheme="majorBidi"/>
          <w:i w:val="0"/>
          <w:iCs w:val="0"/>
          <w:color w:val="auto"/>
          <w:lang w:val="en-GB"/>
        </w:rPr>
        <w:t>m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oderate-to-severe 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>anxiety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: GAD-7 score &gt; 9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. The number of participants in each category is indicated by </w:t>
      </w:r>
      <m:oMath>
        <m:r>
          <w:rPr>
            <w:rFonts w:ascii="Cambria Math" w:hAnsi="Cambria Math" w:cstheme="majorBidi"/>
            <w:color w:val="auto"/>
            <w:lang w:val="en-GB"/>
          </w:rPr>
          <m:t>n</m:t>
        </m:r>
      </m:oMath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in the panel legends. The colored lines represent the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 for each group, and the shaded areas indicate the 95% confidence intervals. The y-axis shows the </w:t>
      </w:r>
      <w:r>
        <w:rPr>
          <w:rFonts w:asciiTheme="majorBidi" w:hAnsiTheme="majorBidi" w:cstheme="majorBidi"/>
          <w:i w:val="0"/>
          <w:iCs w:val="0"/>
          <w:color w:val="auto"/>
          <w:lang w:val="en-GB"/>
        </w:rPr>
        <w:t>mean</w:t>
      </w:r>
      <w:r w:rsidRPr="009614EC">
        <w:rPr>
          <w:rFonts w:asciiTheme="majorBidi" w:hAnsiTheme="majorBidi" w:cstheme="majorBidi"/>
          <w:i w:val="0"/>
          <w:iCs w:val="0"/>
          <w:color w:val="auto"/>
          <w:lang w:val="en-GB"/>
        </w:rPr>
        <w:t xml:space="preserve"> MET values, and the x-axis represents time of day (hours).</w:t>
      </w:r>
    </w:p>
    <w:p w14:paraId="7BEF36DB" w14:textId="77777777" w:rsidR="00851602" w:rsidRPr="00711ABE" w:rsidRDefault="00851602" w:rsidP="00DF29C7">
      <w:pPr>
        <w:jc w:val="center"/>
        <w:rPr>
          <w:lang w:val="en-GB"/>
        </w:rPr>
      </w:pPr>
    </w:p>
    <w:sectPr w:rsidR="00851602" w:rsidRPr="00711ABE" w:rsidSect="00367765">
      <w:footerReference w:type="default" r:id="rId20"/>
      <w:footerReference w:type="first" r:id="rId21"/>
      <w:pgSz w:w="12240" w:h="15840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1A3D3" w14:textId="77777777" w:rsidR="00E36F91" w:rsidRDefault="00E36F91">
      <w:pPr>
        <w:spacing w:after="0" w:line="240" w:lineRule="auto"/>
      </w:pPr>
      <w:r>
        <w:separator/>
      </w:r>
    </w:p>
  </w:endnote>
  <w:endnote w:type="continuationSeparator" w:id="0">
    <w:p w14:paraId="75A6B982" w14:textId="77777777" w:rsidR="00E36F91" w:rsidRDefault="00E3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838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A44A37" w14:textId="77777777" w:rsidR="00367765" w:rsidRDefault="00367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BFD70E" w14:textId="77777777" w:rsidR="00367765" w:rsidRPr="00E82251" w:rsidRDefault="00367765" w:rsidP="008E54F0">
    <w:pPr>
      <w:pStyle w:val="Footer"/>
      <w:rPr>
        <w:rFonts w:asciiTheme="majorBidi" w:hAnsiTheme="majorBidi" w:cstheme="majorBidi"/>
        <w:sz w:val="24"/>
        <w:szCs w:val="24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77787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0DCF7E" w14:textId="77777777" w:rsidR="00367765" w:rsidRDefault="00367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DDCE9E" w14:textId="77777777" w:rsidR="00367765" w:rsidRDefault="00367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C3D1" w14:textId="77777777" w:rsidR="00E36F91" w:rsidRDefault="00E36F91">
      <w:pPr>
        <w:spacing w:after="0" w:line="240" w:lineRule="auto"/>
      </w:pPr>
      <w:r>
        <w:separator/>
      </w:r>
    </w:p>
  </w:footnote>
  <w:footnote w:type="continuationSeparator" w:id="0">
    <w:p w14:paraId="491FC5A1" w14:textId="77777777" w:rsidR="00E36F91" w:rsidRDefault="00E36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1D3E"/>
    <w:multiLevelType w:val="hybridMultilevel"/>
    <w:tmpl w:val="08863BF6"/>
    <w:lvl w:ilvl="0" w:tplc="1DE8B2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D097A"/>
    <w:multiLevelType w:val="hybridMultilevel"/>
    <w:tmpl w:val="08863B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60BDF"/>
    <w:multiLevelType w:val="hybridMultilevel"/>
    <w:tmpl w:val="08863B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50498">
    <w:abstractNumId w:val="0"/>
  </w:num>
  <w:num w:numId="2" w16cid:durableId="1000813315">
    <w:abstractNumId w:val="1"/>
  </w:num>
  <w:num w:numId="3" w16cid:durableId="536896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65"/>
    <w:rsid w:val="000118D8"/>
    <w:rsid w:val="00021717"/>
    <w:rsid w:val="0002439C"/>
    <w:rsid w:val="00025B93"/>
    <w:rsid w:val="00032E84"/>
    <w:rsid w:val="00061BC8"/>
    <w:rsid w:val="00084339"/>
    <w:rsid w:val="000963C9"/>
    <w:rsid w:val="000A18B6"/>
    <w:rsid w:val="000A7DFC"/>
    <w:rsid w:val="000B6745"/>
    <w:rsid w:val="000C3BD7"/>
    <w:rsid w:val="000D3824"/>
    <w:rsid w:val="000F1D11"/>
    <w:rsid w:val="000F2389"/>
    <w:rsid w:val="0010790F"/>
    <w:rsid w:val="00122B35"/>
    <w:rsid w:val="00143A68"/>
    <w:rsid w:val="001520A8"/>
    <w:rsid w:val="00160B1A"/>
    <w:rsid w:val="0016467F"/>
    <w:rsid w:val="001C5EC8"/>
    <w:rsid w:val="001D4AB7"/>
    <w:rsid w:val="001D4E0A"/>
    <w:rsid w:val="001E20EC"/>
    <w:rsid w:val="001F7A65"/>
    <w:rsid w:val="00203583"/>
    <w:rsid w:val="00255D82"/>
    <w:rsid w:val="00285570"/>
    <w:rsid w:val="00297E0F"/>
    <w:rsid w:val="002A0556"/>
    <w:rsid w:val="002A4CA1"/>
    <w:rsid w:val="002B5C7F"/>
    <w:rsid w:val="002C094A"/>
    <w:rsid w:val="002D1D13"/>
    <w:rsid w:val="00302972"/>
    <w:rsid w:val="00303299"/>
    <w:rsid w:val="00342F06"/>
    <w:rsid w:val="003477FA"/>
    <w:rsid w:val="00367765"/>
    <w:rsid w:val="003F4523"/>
    <w:rsid w:val="003F4761"/>
    <w:rsid w:val="003F510D"/>
    <w:rsid w:val="004173CA"/>
    <w:rsid w:val="00423DC7"/>
    <w:rsid w:val="004624BD"/>
    <w:rsid w:val="0047528F"/>
    <w:rsid w:val="004D12EC"/>
    <w:rsid w:val="004E48EA"/>
    <w:rsid w:val="00507917"/>
    <w:rsid w:val="00533401"/>
    <w:rsid w:val="0054763A"/>
    <w:rsid w:val="00577C3C"/>
    <w:rsid w:val="00580310"/>
    <w:rsid w:val="00585373"/>
    <w:rsid w:val="005B0697"/>
    <w:rsid w:val="005B0754"/>
    <w:rsid w:val="005B0C04"/>
    <w:rsid w:val="005B719C"/>
    <w:rsid w:val="00614507"/>
    <w:rsid w:val="00640697"/>
    <w:rsid w:val="00646B6E"/>
    <w:rsid w:val="00647F66"/>
    <w:rsid w:val="00677C77"/>
    <w:rsid w:val="0068017F"/>
    <w:rsid w:val="006E5980"/>
    <w:rsid w:val="00711ABE"/>
    <w:rsid w:val="00723D21"/>
    <w:rsid w:val="00734546"/>
    <w:rsid w:val="00740CC3"/>
    <w:rsid w:val="007658B3"/>
    <w:rsid w:val="00792520"/>
    <w:rsid w:val="007942FA"/>
    <w:rsid w:val="007B2A3D"/>
    <w:rsid w:val="007C4FFF"/>
    <w:rsid w:val="007C682D"/>
    <w:rsid w:val="007D1443"/>
    <w:rsid w:val="007D264E"/>
    <w:rsid w:val="007D2F7E"/>
    <w:rsid w:val="007F2B56"/>
    <w:rsid w:val="008108BB"/>
    <w:rsid w:val="00827CC5"/>
    <w:rsid w:val="00832DAE"/>
    <w:rsid w:val="00837E4A"/>
    <w:rsid w:val="00851602"/>
    <w:rsid w:val="00863FC5"/>
    <w:rsid w:val="00866786"/>
    <w:rsid w:val="0087242B"/>
    <w:rsid w:val="008B4977"/>
    <w:rsid w:val="008E54F0"/>
    <w:rsid w:val="00945B76"/>
    <w:rsid w:val="009879D3"/>
    <w:rsid w:val="0099034C"/>
    <w:rsid w:val="009D32A0"/>
    <w:rsid w:val="00A0767F"/>
    <w:rsid w:val="00A16984"/>
    <w:rsid w:val="00A26D44"/>
    <w:rsid w:val="00A27E14"/>
    <w:rsid w:val="00A303C3"/>
    <w:rsid w:val="00A34B68"/>
    <w:rsid w:val="00A75181"/>
    <w:rsid w:val="00A8066A"/>
    <w:rsid w:val="00A91681"/>
    <w:rsid w:val="00A946A8"/>
    <w:rsid w:val="00A94FF3"/>
    <w:rsid w:val="00AE5AB7"/>
    <w:rsid w:val="00B357BE"/>
    <w:rsid w:val="00B944B3"/>
    <w:rsid w:val="00B9772E"/>
    <w:rsid w:val="00BE3607"/>
    <w:rsid w:val="00BE4532"/>
    <w:rsid w:val="00C20777"/>
    <w:rsid w:val="00C215E2"/>
    <w:rsid w:val="00C4215D"/>
    <w:rsid w:val="00C63D0F"/>
    <w:rsid w:val="00C8585D"/>
    <w:rsid w:val="00CA3E4E"/>
    <w:rsid w:val="00CA77A8"/>
    <w:rsid w:val="00CB4B95"/>
    <w:rsid w:val="00CB6E32"/>
    <w:rsid w:val="00CE710F"/>
    <w:rsid w:val="00CE7751"/>
    <w:rsid w:val="00D21352"/>
    <w:rsid w:val="00D2792B"/>
    <w:rsid w:val="00D27B6D"/>
    <w:rsid w:val="00D32610"/>
    <w:rsid w:val="00D43F36"/>
    <w:rsid w:val="00D453F8"/>
    <w:rsid w:val="00D63187"/>
    <w:rsid w:val="00D6520C"/>
    <w:rsid w:val="00D97788"/>
    <w:rsid w:val="00DD6F18"/>
    <w:rsid w:val="00DF29C7"/>
    <w:rsid w:val="00E160FB"/>
    <w:rsid w:val="00E234A7"/>
    <w:rsid w:val="00E34D17"/>
    <w:rsid w:val="00E36F91"/>
    <w:rsid w:val="00E404DF"/>
    <w:rsid w:val="00E4088D"/>
    <w:rsid w:val="00E4277D"/>
    <w:rsid w:val="00E81BA3"/>
    <w:rsid w:val="00E9565F"/>
    <w:rsid w:val="00EC13BA"/>
    <w:rsid w:val="00EC4DE3"/>
    <w:rsid w:val="00ED76FE"/>
    <w:rsid w:val="00EF32BE"/>
    <w:rsid w:val="00F03739"/>
    <w:rsid w:val="00F316A1"/>
    <w:rsid w:val="00F509C1"/>
    <w:rsid w:val="00FA132A"/>
    <w:rsid w:val="00FB1B00"/>
    <w:rsid w:val="00FD0E68"/>
    <w:rsid w:val="00FD636A"/>
    <w:rsid w:val="0F8E2501"/>
    <w:rsid w:val="285A9A54"/>
    <w:rsid w:val="3BAD3C9A"/>
    <w:rsid w:val="3C51090F"/>
    <w:rsid w:val="4440FC60"/>
    <w:rsid w:val="6C28A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81C9F"/>
  <w15:chartTrackingRefBased/>
  <w15:docId w15:val="{7A0F4533-4D94-4BDC-BE09-72D72C3C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76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7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7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7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7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7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7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7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7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7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67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76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76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67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76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67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76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6776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765"/>
    <w:rPr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3677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0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34C"/>
    <w:rPr>
      <w:sz w:val="22"/>
      <w:szCs w:val="22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PlainTable21">
    <w:name w:val="Plain Table 21"/>
    <w:basedOn w:val="TableNormal"/>
    <w:next w:val="PlainTable2"/>
    <w:uiPriority w:val="99"/>
    <w:rsid w:val="00203583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2035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next w:val="PlainTable2"/>
    <w:uiPriority w:val="99"/>
    <w:rsid w:val="00E81BA3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f9ce49a-5101-4aa3-8c75-0d5935ad6525}" enabled="0" method="" siteId="{9f9ce49a-5101-4aa3-8c75-0d5935ad652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14</Pages>
  <Words>2147</Words>
  <Characters>12243</Characters>
  <Application>Microsoft Office Word</Application>
  <DocSecurity>0</DocSecurity>
  <Lines>102</Lines>
  <Paragraphs>28</Paragraphs>
  <ScaleCrop>false</ScaleCrop>
  <Company>University of Oulu</Company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Azadifar</dc:creator>
  <cp:keywords/>
  <dc:description/>
  <cp:lastModifiedBy>Saeid Azadifar</cp:lastModifiedBy>
  <cp:revision>123</cp:revision>
  <dcterms:created xsi:type="dcterms:W3CDTF">2026-02-04T17:40:00Z</dcterms:created>
  <dcterms:modified xsi:type="dcterms:W3CDTF">2026-09-14T07:32:00Z</dcterms:modified>
</cp:coreProperties>
</file>