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37699">
      <w:pPr>
        <w:spacing w:line="360" w:lineRule="auto"/>
        <w:jc w:val="center"/>
        <w:rPr>
          <w:rFonts w:ascii="Times New Roman" w:hAnsi="Times New Roman" w:cs="Times New Roman"/>
          <w:b/>
          <w:bCs/>
          <w:highlight w:val="none"/>
        </w:rPr>
      </w:pPr>
      <w:r>
        <w:rPr>
          <w:rFonts w:ascii="Times New Roman" w:hAnsi="Times New Roman" w:cs="Times New Roman"/>
          <w:b/>
          <w:bCs/>
          <w:highlight w:val="none"/>
        </w:rPr>
        <w:t xml:space="preserve">Additional file 2: Supplementary Methods</w:t>
      </w:r>
      <w:bookmarkStart w:id="0" w:name="_GoBack"/>
      <w:bookmarkEnd w:id="0"/>
    </w:p>
    <w:p w14:paraId="404917E1">
      <w:pPr>
        <w:spacing w:line="360" w:lineRule="auto"/>
        <w:rPr>
          <w:rFonts w:ascii="Times New Roman" w:hAnsi="Times New Roman" w:cs="Times New Roman"/>
          <w:b/>
          <w:bCs/>
          <w:highlight w:val="none"/>
        </w:rPr>
      </w:pPr>
      <w:r>
        <w:rPr>
          <w:rFonts w:ascii="Times New Roman" w:hAnsi="Times New Roman" w:cs="Times New Roman"/>
          <w:b/>
          <w:bCs/>
          <w:highlight w:val="none"/>
        </w:rPr>
        <w:t>1. Candidate predictor harmonization and variable screening</w:t>
      </w:r>
    </w:p>
    <w:p w14:paraId="007FB419">
      <w:pPr>
        <w:spacing w:line="360" w:lineRule="auto"/>
        <w:rPr>
          <w:rFonts w:ascii="Times New Roman" w:hAnsi="Times New Roman" w:cs="Times New Roman"/>
          <w:highlight w:val="none"/>
        </w:rPr>
      </w:pPr>
      <w:r>
        <w:rPr>
          <w:rFonts w:ascii="Times New Roman" w:hAnsi="Times New Roman" w:cs="Times New Roman"/>
          <w:highlight w:val="none"/>
        </w:rPr>
        <w:t>Clinical data were retrospectively extracted from the electronic medical record systems of the four participating centers. Because the number and structure of recorded variables differed across institutions (61, 62, 132, and 48 variables, respectively), variable harmonization was performed before model development. Only variables routinely collected and consistently defined across all four centers were considered eligible for pooled analysis, yielding 21 shared variables.</w:t>
      </w:r>
    </w:p>
    <w:p w14:paraId="2006F013">
      <w:pPr>
        <w:spacing w:line="360" w:lineRule="auto"/>
        <w:ind w:firstLine="420" w:firstLineChars="200"/>
        <w:rPr>
          <w:rFonts w:ascii="Times New Roman" w:hAnsi="Times New Roman" w:cs="Times New Roman"/>
          <w:highlight w:val="none"/>
        </w:rPr>
      </w:pPr>
      <w:r>
        <w:rPr>
          <w:rFonts w:ascii="Times New Roman" w:hAnsi="Times New Roman" w:cs="Times New Roman"/>
          <w:highlight w:val="none"/>
        </w:rPr>
        <w:t>Variables with more than 10% missingness in the pooled dataset were excluded before model development to reduce sparsity and unnecessary model complexity. Although no universally accepted threshold exists for excluding variables solely on the basis of missingness, exclusion was further informed by clinical relevance and overlap with retained predictors. Lactate dehydrogenase (LDH; missingness 16.8%) was excluded because it mainly reflects systemic inflammation and tissue injury, and its information was considered to be largely represented by other inflammatory markers retained in the model, such as white blood cell count and C-reactive protein. Creatine kinase-MB (CKMB; missingness 19.2%) was also excluded because it is not a routinely used predictor in Kawasaki disease IVIG resistance models and its relatively high missingness would have required a larger number of imputations, thereby increasing computational burden and model complexity.</w:t>
      </w:r>
    </w:p>
    <w:p w14:paraId="25BFD5F2">
      <w:pPr>
        <w:spacing w:line="360" w:lineRule="auto"/>
        <w:ind w:firstLine="420" w:firstLineChars="200"/>
        <w:rPr>
          <w:rFonts w:ascii="Times New Roman" w:hAnsi="Times New Roman" w:cs="Times New Roman"/>
          <w:highlight w:val="none"/>
        </w:rPr>
      </w:pPr>
      <w:r>
        <w:rPr>
          <w:rFonts w:hint="eastAsia" w:ascii="Times New Roman" w:hAnsi="Times New Roman" w:cs="Times New Roman"/>
          <w:highlight w:val="none"/>
        </w:rPr>
        <w:t>The final predictor set is detailed in the main Methods and comprised 15 prespecified clinical and laboratory predictors together with Center. Center was represented as a four-level categorical predictor, contributing three indicator parameters and resulting in 18 candidate parameters for sample size estimation.</w:t>
      </w:r>
    </w:p>
    <w:p w14:paraId="3804003C">
      <w:pPr>
        <w:spacing w:line="360" w:lineRule="auto"/>
        <w:rPr>
          <w:rFonts w:ascii="Times New Roman" w:hAnsi="Times New Roman" w:cs="Times New Roman"/>
          <w:highlight w:val="none"/>
        </w:rPr>
      </w:pPr>
      <w:r>
        <w:rPr>
          <w:rFonts w:ascii="Times New Roman" w:hAnsi="Times New Roman" w:cs="Times New Roman"/>
          <w:b/>
          <w:bCs/>
          <w:highlight w:val="none"/>
        </w:rPr>
        <w:t>2. Sample size estimation</w:t>
      </w:r>
    </w:p>
    <w:p w14:paraId="0D71D551">
      <w:pPr>
        <w:spacing w:line="360" w:lineRule="auto"/>
        <w:rPr>
          <w:rFonts w:ascii="Times New Roman" w:hAnsi="Times New Roman" w:cs="Times New Roman"/>
          <w:highlight w:val="none"/>
        </w:rPr>
      </w:pPr>
      <w:r>
        <w:rPr>
          <w:rFonts w:hint="eastAsia" w:ascii="Times New Roman" w:hAnsi="Times New Roman" w:cs="Times New Roman"/>
          <w:highlight w:val="none"/>
        </w:rPr>
        <w:t>Using the assumptions specified in the main Methods, the largest sample size requirement across the recommended pmsampsize criteria was 1,371 patients, including 138 IVIGR events.</w:t>
      </w:r>
    </w:p>
    <w:p w14:paraId="0AA38364">
      <w:pPr>
        <w:spacing w:line="360" w:lineRule="auto"/>
        <w:rPr>
          <w:rFonts w:ascii="Times New Roman" w:hAnsi="Times New Roman" w:cs="Times New Roman"/>
          <w:b/>
          <w:bCs/>
          <w:highlight w:val="none"/>
        </w:rPr>
      </w:pPr>
      <w:r>
        <w:rPr>
          <w:rFonts w:ascii="Times New Roman" w:hAnsi="Times New Roman" w:cs="Times New Roman"/>
          <w:b/>
          <w:bCs/>
          <w:highlight w:val="none"/>
        </w:rPr>
        <w:t xml:space="preserve">3. Missing data handling </w:t>
      </w:r>
    </w:p>
    <w:p w14:paraId="745355C5">
      <w:pPr>
        <w:spacing w:line="360" w:lineRule="auto"/>
        <w:ind w:firstLine="0" w:firstLineChars="0"/>
        <w:rPr>
          <w:rFonts w:ascii="Times New Roman" w:hAnsi="Times New Roman" w:cs="Times New Roman"/>
          <w:highlight w:val="none"/>
        </w:rPr>
      </w:pPr>
      <w:r>
        <w:rPr>
          <w:rFonts w:hint="eastAsia" w:ascii="Times New Roman" w:hAnsi="Times New Roman" w:cs="Times New Roman"/>
          <w:highlight w:val="none"/>
        </w:rPr>
        <w:t>Each phase-specific imputation procedure described in the main Methods used 20 iterations. The choice of 10 imputed datasets was informed by the maximum proportion of missingness among the retained candidate predictors, which was below 10%.</w:t>
      </w:r>
    </w:p>
    <w:p w14:paraId="76EABF16">
      <w:pPr>
        <w:spacing w:line="360" w:lineRule="auto"/>
        <w:ind w:firstLine="420" w:firstLineChars="200"/>
        <w:rPr>
          <w:rFonts w:ascii="Times New Roman" w:hAnsi="Times New Roman" w:cs="Times New Roman"/>
          <w:highlight w:val="none"/>
        </w:rPr>
      </w:pPr>
      <w:r>
        <w:rPr>
          <w:rFonts w:ascii="Times New Roman" w:hAnsi="Times New Roman" w:cs="Times New Roman"/>
          <w:highlight w:val="none"/>
        </w:rPr>
        <w:t>Ten imputed datasets were generated within each phase</w:t>
      </w:r>
      <w:r>
        <w:rPr>
          <w:rFonts w:hint="eastAsia" w:ascii="Times New Roman" w:hAnsi="Times New Roman" w:cs="Times New Roman"/>
          <w:highlight w:val="none"/>
        </w:rPr>
        <w:t>, with 20 iterations for each imputation procedure</w:t>
      </w:r>
      <w:r>
        <w:rPr>
          <w:rFonts w:ascii="Times New Roman" w:hAnsi="Times New Roman" w:cs="Times New Roman"/>
          <w:highlight w:val="none"/>
        </w:rPr>
        <w:t xml:space="preserve">. The number of imputations was </w:t>
      </w:r>
      <w:r>
        <w:rPr>
          <w:rFonts w:hint="eastAsia" w:ascii="Times New Roman" w:hAnsi="Times New Roman" w:cs="Times New Roman"/>
          <w:highlight w:val="none"/>
        </w:rPr>
        <w:t>selected with reference to the maximum proportion of missingness among the retained candidate predictors, which was below 10%</w:t>
      </w:r>
      <w:r>
        <w:rPr>
          <w:rFonts w:ascii="Times New Roman" w:hAnsi="Times New Roman" w:cs="Times New Roman"/>
          <w:highlight w:val="none"/>
        </w:rPr>
        <w:t xml:space="preserve">. Continuous laboratory variables were imputed using predictive mean matching, whereas binary clinical features were imputed using logistic regression models. </w:t>
      </w:r>
      <w:r>
        <w:rPr>
          <w:rFonts w:hint="eastAsia" w:ascii="Times New Roman" w:hAnsi="Times New Roman" w:cs="Times New Roman"/>
          <w:highlight w:val="none"/>
        </w:rPr>
        <w:t>IVIG resistance and coronary artery lesions were not imputed but were included as auxiliary variables in the imputation models. Age, gender, and center were fully observed and were also included as predictors in the imputation models</w:t>
      </w:r>
      <w:r>
        <w:rPr>
          <w:rFonts w:ascii="Times New Roman" w:hAnsi="Times New Roman" w:cs="Times New Roman"/>
          <w:highlight w:val="none"/>
        </w:rPr>
        <w:t>.</w:t>
      </w:r>
    </w:p>
    <w:p w14:paraId="4995A1C3">
      <w:pPr>
        <w:spacing w:line="360" w:lineRule="auto"/>
        <w:ind w:firstLine="420" w:firstLineChars="200"/>
        <w:rPr>
          <w:rFonts w:ascii="Times New Roman" w:hAnsi="Times New Roman" w:cs="Times New Roman"/>
          <w:highlight w:val="none"/>
        </w:rPr>
      </w:pPr>
      <w:r>
        <w:rPr>
          <w:rFonts w:hint="eastAsia" w:ascii="Times New Roman" w:hAnsi="Times New Roman" w:cs="Times New Roman"/>
          <w:highlight w:val="none"/>
        </w:rPr>
        <w:t>Model development, algorithm comparison, temporal validation, recalibration, and model updating</w:t>
      </w:r>
      <w:r>
        <w:rPr>
          <w:rFonts w:ascii="Times New Roman" w:hAnsi="Times New Roman" w:cs="Times New Roman"/>
          <w:highlight w:val="none"/>
        </w:rPr>
        <w:t xml:space="preserve"> were performed separately within each imputed dataset. For </w:t>
      </w:r>
      <w:r>
        <w:rPr>
          <w:rFonts w:hint="eastAsia" w:ascii="Times New Roman" w:hAnsi="Times New Roman" w:cs="Times New Roman"/>
          <w:highlight w:val="none"/>
        </w:rPr>
        <w:t>the logistic regression model</w:t>
      </w:r>
      <w:r>
        <w:rPr>
          <w:rFonts w:ascii="Times New Roman" w:hAnsi="Times New Roman" w:cs="Times New Roman"/>
          <w:highlight w:val="none"/>
        </w:rPr>
        <w:t xml:space="preserve">, regression coefficients and standard errors were combined across imputations using Rubin’s rules. </w:t>
      </w:r>
      <w:r>
        <w:rPr>
          <w:rFonts w:hint="eastAsia" w:ascii="Times New Roman" w:hAnsi="Times New Roman" w:cs="Times New Roman"/>
          <w:highlight w:val="none"/>
        </w:rPr>
        <w:t>For the machine learning models, model fitting and evaluation were conducted independently within each of the 10 imputed datasets. For each performance measure, the overall point estimate was calculated as the arithmetic mean of the estimates from the 10 imputed datasets. To quantify uncertainty, paired observed outcomes and predicted probabilities in each evaluation dataset were resampled 500 times. The bootstrap estimates from all 10 imputed datasets were then pooled, and the 2.5th and 97.5th percentiles of the pooled bootstrap distribution were used as the 95% confidence interval.</w:t>
      </w:r>
    </w:p>
    <w:p w14:paraId="214CD72B">
      <w:pPr>
        <w:spacing w:line="360" w:lineRule="auto"/>
        <w:ind w:firstLine="420" w:firstLineChars="200"/>
        <w:rPr>
          <w:rFonts w:ascii="Times New Roman" w:hAnsi="Times New Roman" w:cs="Times New Roman"/>
          <w:highlight w:val="none"/>
        </w:rPr>
      </w:pPr>
      <w:r>
        <w:rPr>
          <w:rFonts w:hint="eastAsia" w:ascii="Times New Roman" w:hAnsi="Times New Roman" w:cs="Times New Roman"/>
          <w:highlight w:val="none"/>
        </w:rPr>
        <w:t>All primary analyses were conducted under the multiple imputation framework, assuming that data were missing at random.</w:t>
      </w:r>
    </w:p>
    <w:p w14:paraId="27C0744F">
      <w:pPr>
        <w:spacing w:line="360" w:lineRule="auto"/>
        <w:rPr>
          <w:rFonts w:ascii="Times New Roman" w:hAnsi="Times New Roman" w:cs="Times New Roman"/>
          <w:b/>
          <w:bCs/>
          <w:highlight w:val="none"/>
        </w:rPr>
      </w:pPr>
      <w:r>
        <w:rPr>
          <w:rFonts w:ascii="Times New Roman" w:hAnsi="Times New Roman" w:cs="Times New Roman"/>
          <w:b/>
          <w:bCs/>
          <w:highlight w:val="none"/>
        </w:rPr>
        <w:t>4. Detailed model development and performance evaluation</w:t>
      </w:r>
    </w:p>
    <w:p w14:paraId="6062FFBB">
      <w:pPr>
        <w:spacing w:line="360" w:lineRule="auto"/>
        <w:ind w:firstLine="0" w:firstLineChars="0"/>
        <w:rPr>
          <w:rFonts w:ascii="Times New Roman" w:hAnsi="Times New Roman" w:cs="Times New Roman"/>
          <w:highlight w:val="none"/>
        </w:rPr>
      </w:pPr>
      <w:r>
        <w:rPr>
          <w:rFonts w:hint="eastAsia" w:ascii="Times New Roman" w:hAnsi="Times New Roman" w:cs="Times New Roman"/>
          <w:highlight w:val="none"/>
        </w:rPr>
        <w:t xml:space="preserve">The candidate models were implemented and tuned as follows. </w:t>
      </w:r>
      <w:r>
        <w:rPr>
          <w:rFonts w:ascii="Times New Roman" w:hAnsi="Times New Roman" w:cs="Times New Roman"/>
          <w:highlight w:val="none"/>
        </w:rPr>
        <w:t xml:space="preserve">Logistic regression did not require hyperparameter tuning. LASSO and Elastic Net were implemented using the glmnet package in R with 10-fold cross-validation and AUC as the optimization criterion. For LASSO, α was fixed at 1. For Elastic Net, α was fixed at 0.5. In both models, λ was selected as λ_min. </w:t>
      </w:r>
      <w:r>
        <w:rPr>
          <w:rFonts w:hint="eastAsia" w:ascii="Times New Roman" w:hAnsi="Times New Roman" w:cs="Times New Roman"/>
          <w:highlight w:val="none"/>
        </w:rPr>
        <w:t>RF models and SVM models</w:t>
      </w:r>
      <w:r>
        <w:rPr>
          <w:rFonts w:ascii="Times New Roman" w:hAnsi="Times New Roman" w:cs="Times New Roman"/>
          <w:highlight w:val="none"/>
        </w:rPr>
        <w:t xml:space="preserve"> with a radial basis function kernel were trained using </w:t>
      </w:r>
      <w:r>
        <w:rPr>
          <w:rFonts w:hint="eastAsia" w:ascii="Times New Roman" w:hAnsi="Times New Roman" w:cs="Times New Roman"/>
          <w:highlight w:val="none"/>
        </w:rPr>
        <w:t>the caret package in R</w:t>
      </w:r>
      <w:r>
        <w:rPr>
          <w:rFonts w:ascii="Times New Roman" w:hAnsi="Times New Roman" w:cs="Times New Roman"/>
          <w:highlight w:val="none"/>
        </w:rPr>
        <w:t xml:space="preserve">, with hyperparameters tuned by 10-fold cross-validation to maximize AUC. </w:t>
      </w:r>
      <w:r>
        <w:rPr>
          <w:rFonts w:hint="eastAsia" w:ascii="Times New Roman" w:hAnsi="Times New Roman" w:cs="Times New Roman"/>
          <w:highlight w:val="none"/>
        </w:rPr>
        <w:t xml:space="preserve">For RF, the candidate mtry values were defined according to the effective number of predictor columns after categorical variable encoding. For radial basis function SVM, the candidate sigma values were 0.001, 0.005, 0.01, 0.05, and 0.1, and the candidate C values were 0.01, 0.1, 1, 10, and 100. </w:t>
      </w:r>
      <w:r>
        <w:rPr>
          <w:rFonts w:hint="eastAsia" w:ascii="Times New Roman" w:hAnsi="Times New Roman" w:cs="Times New Roman"/>
          <w:highlight w:val="none"/>
          <w:lang w:eastAsia="zh-CN"/>
        </w:rPr>
        <w:t xml:space="preserve">Selected RF and SVM hyperparameters for each of the 10 imputed development datasets are provided in the corresponding worksheets of the Supplementary Data workbook deposited in Figshare (https://doi.org/10.6084/m9.figshare.33049982).</w:t>
      </w:r>
      <w:r>
        <w:rPr>
          <w:rFonts w:hint="eastAsia" w:ascii="Times New Roman" w:hAnsi="Times New Roman" w:cs="Times New Roman"/>
          <w:highlight w:val="none"/>
          <w:lang w:val="en-US" w:eastAsia="zh-CN"/>
        </w:rPr>
        <w:t xml:space="preserve"> </w:t>
      </w:r>
      <w:r>
        <w:rPr>
          <w:rFonts w:hint="eastAsia" w:ascii="Times New Roman" w:hAnsi="Times New Roman" w:cs="Times New Roman"/>
          <w:highlight w:val="none"/>
        </w:rPr>
        <w:t xml:space="preserve">RF models used 500 trees, and predictors were centered and scaled before SVM fitting. </w:t>
      </w:r>
      <w:r>
        <w:rPr>
          <w:rFonts w:ascii="Times New Roman" w:hAnsi="Times New Roman" w:cs="Times New Roman"/>
          <w:highlight w:val="none"/>
        </w:rPr>
        <w:t xml:space="preserve">Predicted probabilities from the final fitted models were used for </w:t>
      </w:r>
      <w:r>
        <w:rPr>
          <w:rFonts w:hint="eastAsia" w:ascii="Times New Roman" w:hAnsi="Times New Roman" w:cs="Times New Roman"/>
          <w:highlight w:val="none"/>
        </w:rPr>
        <w:t>model performance evaluation</w:t>
      </w:r>
      <w:r>
        <w:rPr>
          <w:rFonts w:ascii="Times New Roman" w:hAnsi="Times New Roman" w:cs="Times New Roman"/>
          <w:highlight w:val="none"/>
        </w:rPr>
        <w:t>.</w:t>
      </w:r>
    </w:p>
    <w:p w14:paraId="2EBD9AE9">
      <w:pPr>
        <w:spacing w:line="360" w:lineRule="auto"/>
        <w:ind w:firstLine="420" w:firstLineChars="200"/>
        <w:rPr>
          <w:rFonts w:hint="eastAsia" w:ascii="Times New Roman" w:hAnsi="Times New Roman" w:cs="Times New Roman"/>
          <w:highlight w:val="none"/>
        </w:rPr>
      </w:pPr>
      <w:r>
        <w:rPr>
          <w:rFonts w:hint="eastAsia" w:ascii="Times New Roman" w:hAnsi="Times New Roman" w:cs="Times New Roman"/>
          <w:highlight w:val="none"/>
        </w:rPr>
        <w:t xml:space="preserve">Each model developed in the pre-COVID cohort was applied without refitting to the during-COVID and after-COVID cohorts. The five candidate algorithms were then compared across the two temporal validation cohorts. Based on overall performance across discrimination, Brier score, and calibration, RF was selected as the reference model for subsequent recalibration, annual updating, and other model updating analyses. To examine the influence of center, the RF model was also retrained, tuned, and temporally validated after excluding </w:t>
      </w:r>
      <w:r>
        <w:rPr>
          <w:rFonts w:hint="eastAsia" w:ascii="Times New Roman" w:hAnsi="Times New Roman" w:cs="Times New Roman"/>
          <w:highlight w:val="none"/>
          <w:lang w:val="en-US" w:eastAsia="zh-CN"/>
        </w:rPr>
        <w:t>C</w:t>
      </w:r>
      <w:r>
        <w:rPr>
          <w:rFonts w:hint="eastAsia" w:ascii="Times New Roman" w:hAnsi="Times New Roman" w:cs="Times New Roman"/>
          <w:highlight w:val="none"/>
        </w:rPr>
        <w:t>enter from the predictor set.</w:t>
      </w:r>
    </w:p>
    <w:p w14:paraId="5414BAF2">
      <w:pPr>
        <w:spacing w:line="360" w:lineRule="auto"/>
        <w:ind w:firstLine="420" w:firstLineChars="200"/>
        <w:rPr>
          <w:rFonts w:hint="eastAsia" w:ascii="Times New Roman" w:hAnsi="Times New Roman" w:cs="Times New Roman"/>
          <w:highlight w:val="none"/>
        </w:rPr>
      </w:pPr>
      <w:r>
        <w:rPr>
          <w:rFonts w:hint="eastAsia" w:ascii="Times New Roman" w:hAnsi="Times New Roman" w:cs="Times New Roman"/>
          <w:highlight w:val="none"/>
        </w:rPr>
        <w:t>A leave-one-center-out sensitivity analysis was additionally conducted to examine center-related model transportability and temporal performance within individual centers. The analysis was performed separately within each of the 10 imputed datasets. One center was held out at a time, and an RF model excluding Center as a predictor was trained using pre-COVID observations from the remaining three centers. The fitted model was then evaluated separately in each available calendar phase of the held-out center.</w:t>
      </w:r>
    </w:p>
    <w:p w14:paraId="06039A50">
      <w:pPr>
        <w:spacing w:line="360" w:lineRule="auto"/>
        <w:ind w:firstLine="420" w:firstLineChars="200"/>
        <w:rPr>
          <w:rFonts w:hint="eastAsia" w:ascii="Times New Roman" w:hAnsi="Times New Roman" w:cs="Times New Roman"/>
          <w:highlight w:val="none"/>
        </w:rPr>
      </w:pPr>
      <w:r>
        <w:rPr>
          <w:rFonts w:hint="eastAsia" w:ascii="Times New Roman" w:hAnsi="Times New Roman" w:cs="Times New Roman"/>
          <w:highlight w:val="none"/>
        </w:rPr>
        <w:t>The RF models used 500 trees and a fixed mtry value of 3. Performance was estimated only for center-phase cohorts containing at least 30 patients, at least five IVIGR events, and both IVIG-responsive and IVIG-resistant patients. Discrimination was evaluated using AUC, overall prediction error using the Brier score, and calibration using the calibration intercept, calibration slope, and observed-to-expected ratio.</w:t>
      </w:r>
    </w:p>
    <w:p w14:paraId="1F40E182">
      <w:pPr>
        <w:spacing w:line="360" w:lineRule="auto"/>
        <w:ind w:firstLine="420" w:firstLineChars="200"/>
        <w:rPr>
          <w:rFonts w:hint="eastAsia" w:ascii="Times New Roman" w:hAnsi="Times New Roman" w:cs="Times New Roman"/>
          <w:highlight w:val="none"/>
        </w:rPr>
      </w:pPr>
      <w:r>
        <w:rPr>
          <w:rFonts w:hint="eastAsia" w:ascii="Times New Roman" w:hAnsi="Times New Roman" w:cs="Times New Roman"/>
          <w:highlight w:val="none"/>
        </w:rPr>
        <w:t xml:space="preserve">Within each imputed center-phase evaluation cohort, 500 patient-level bootstrap resamples were generated with replacement. Point estimates were calculated as the arithmetic mean of the 10 imputation-specific estimates. The 95% confidence intervals were obtained from the 2.5th and 97.5th percentiles of the pooled bootstrap distributions across the 10 imputed datasets. Center-phase cohorts that did not satisfy the minimum sample-size or event-count criteria were considered unsuitable for stable performance estimation. Complete summary results, imputation-specific estimates, and bootstrap-level outputs are available in the Supplementary Data workbook deposited in Figshare (https://doi.org/10.6084/m9.figshare.33049982)</w:t>
      </w:r>
      <w:r>
        <w:rPr>
          <w:rFonts w:hint="eastAsia" w:ascii="Times New Roman" w:hAnsi="Times New Roman" w:cs="Times New Roman"/>
          <w:highlight w:val="none"/>
          <w:lang w:val="en-US" w:eastAsia="zh-CN"/>
        </w:rPr>
        <w:t>.</w:t>
      </w:r>
    </w:p>
    <w:p w14:paraId="7A63CDEC">
      <w:pPr>
        <w:spacing w:line="360" w:lineRule="auto"/>
        <w:ind w:firstLine="420" w:firstLineChars="200"/>
        <w:rPr>
          <w:rFonts w:ascii="Times New Roman" w:hAnsi="Times New Roman" w:cs="Times New Roman"/>
          <w:highlight w:val="none"/>
        </w:rPr>
      </w:pPr>
      <w:r>
        <w:rPr>
          <w:rFonts w:ascii="Times New Roman" w:hAnsi="Times New Roman" w:cs="Times New Roman"/>
          <w:highlight w:val="none"/>
        </w:rPr>
        <w:t xml:space="preserve">Model performance was evaluated in terms of discrimination, calibration, classification performance, overall prediction </w:t>
      </w:r>
      <w:r>
        <w:rPr>
          <w:rFonts w:hint="eastAsia" w:ascii="Times New Roman" w:hAnsi="Times New Roman" w:cs="Times New Roman"/>
          <w:highlight w:val="none"/>
        </w:rPr>
        <w:t>error</w:t>
      </w:r>
      <w:r>
        <w:rPr>
          <w:rFonts w:ascii="Times New Roman" w:hAnsi="Times New Roman" w:cs="Times New Roman"/>
          <w:highlight w:val="none"/>
        </w:rPr>
        <w:t xml:space="preserve">, and clinical utility. Discrimination was quantified using the area under the receiver operating characteristic curve (AUC). For multiply imputed datasets, AUC values were calculated within each imputed dataset and summarized </w:t>
      </w:r>
      <w:r>
        <w:rPr>
          <w:rFonts w:hint="eastAsia" w:ascii="Times New Roman" w:hAnsi="Times New Roman" w:cs="Times New Roman"/>
          <w:highlight w:val="none"/>
        </w:rPr>
        <w:t>across imputations</w:t>
      </w:r>
      <w:r>
        <w:rPr>
          <w:rFonts w:ascii="Times New Roman" w:hAnsi="Times New Roman" w:cs="Times New Roman"/>
          <w:highlight w:val="none"/>
        </w:rPr>
        <w:t xml:space="preserve">. </w:t>
      </w:r>
    </w:p>
    <w:p w14:paraId="49216106">
      <w:pPr>
        <w:spacing w:line="360" w:lineRule="auto"/>
        <w:ind w:firstLine="420" w:firstLineChars="200"/>
        <w:rPr>
          <w:rFonts w:ascii="Times New Roman" w:hAnsi="Times New Roman" w:cs="Times New Roman"/>
          <w:highlight w:val="none"/>
        </w:rPr>
      </w:pPr>
      <w:r>
        <w:rPr>
          <w:rFonts w:ascii="Times New Roman" w:hAnsi="Times New Roman" w:cs="Times New Roman"/>
          <w:highlight w:val="none"/>
        </w:rPr>
        <w:t>Calibration was evaluated using the calibration intercept, calibration slope, observed-to-expected ratio, and graphical calibration plots. Calibration metrics were estimated within each imputed dataset and averaged across imputations. Perfect calibration was defined as an intercept of 0</w:t>
      </w:r>
      <w:r>
        <w:rPr>
          <w:rFonts w:hint="eastAsia" w:ascii="Times New Roman" w:hAnsi="Times New Roman" w:cs="Times New Roman"/>
          <w:highlight w:val="none"/>
        </w:rPr>
        <w:t xml:space="preserve">, </w:t>
      </w:r>
      <w:r>
        <w:rPr>
          <w:rFonts w:ascii="Times New Roman" w:hAnsi="Times New Roman" w:cs="Times New Roman"/>
          <w:highlight w:val="none"/>
        </w:rPr>
        <w:t>a slope of 1</w:t>
      </w:r>
      <w:r>
        <w:rPr>
          <w:rFonts w:hint="eastAsia" w:ascii="Times New Roman" w:hAnsi="Times New Roman" w:cs="Times New Roman"/>
          <w:highlight w:val="none"/>
        </w:rPr>
        <w:t xml:space="preserve">, </w:t>
      </w:r>
      <w:r>
        <w:rPr>
          <w:rFonts w:ascii="Times New Roman" w:hAnsi="Times New Roman" w:cs="Times New Roman"/>
          <w:highlight w:val="none"/>
        </w:rPr>
        <w:t>and an observed-to-expected ratio of 1. Classification performance was assessed using sensitivity, specificity, positive predictive value, and negative predictive value. These metrics were calculated using</w:t>
      </w:r>
      <w:r>
        <w:rPr>
          <w:rFonts w:hint="eastAsia" w:ascii="Times New Roman" w:hAnsi="Times New Roman" w:cs="Times New Roman"/>
          <w:highlight w:val="none"/>
        </w:rPr>
        <w:t xml:space="preserve"> the IVIGR event rate in the pre-COVID development cohort as the probability threshold within each imputed dataset.</w:t>
      </w:r>
    </w:p>
    <w:p w14:paraId="09BD328E">
      <w:pPr>
        <w:spacing w:line="360" w:lineRule="auto"/>
        <w:ind w:firstLine="420" w:firstLineChars="200"/>
        <w:rPr>
          <w:rFonts w:ascii="Times New Roman" w:hAnsi="Times New Roman" w:cs="Times New Roman"/>
          <w:highlight w:val="none"/>
        </w:rPr>
      </w:pPr>
      <w:r>
        <w:rPr>
          <w:rFonts w:ascii="Times New Roman" w:hAnsi="Times New Roman" w:cs="Times New Roman"/>
          <w:highlight w:val="none"/>
        </w:rPr>
        <w:t xml:space="preserve">Overall prediction performance was assessed using the Brier score. Clinical usefulness was evaluated using decision curve analysis across threshold probabilities ranging from </w:t>
      </w:r>
      <w:r>
        <w:rPr>
          <w:rFonts w:hint="eastAsia" w:ascii="Times New Roman" w:hAnsi="Times New Roman" w:cs="Times New Roman"/>
          <w:highlight w:val="none"/>
        </w:rPr>
        <w:t>0.01 to 0.30</w:t>
      </w:r>
      <w:r>
        <w:rPr>
          <w:rFonts w:ascii="Times New Roman" w:hAnsi="Times New Roman" w:cs="Times New Roman"/>
          <w:highlight w:val="none"/>
        </w:rPr>
        <w:t>. Net benefit of the original and updated models was compared with the treat-all and treat-none strategies.</w:t>
      </w:r>
    </w:p>
    <w:p w14:paraId="32571EF3">
      <w:pPr>
        <w:spacing w:line="360" w:lineRule="auto"/>
        <w:rPr>
          <w:rFonts w:ascii="Times New Roman" w:hAnsi="Times New Roman" w:cs="Times New Roman"/>
          <w:highlight w:val="none"/>
        </w:rPr>
      </w:pPr>
      <w:r>
        <w:rPr>
          <w:rFonts w:ascii="Times New Roman" w:hAnsi="Times New Roman" w:cs="Times New Roman"/>
          <w:b/>
          <w:bCs/>
          <w:highlight w:val="none"/>
        </w:rPr>
        <w:t xml:space="preserve">5. </w:t>
      </w:r>
      <w:r>
        <w:rPr>
          <w:rFonts w:hint="eastAsia" w:ascii="Times New Roman" w:hAnsi="Times New Roman" w:cs="Times New Roman"/>
          <w:b/>
          <w:bCs/>
          <w:highlight w:val="none"/>
        </w:rPr>
        <w:t>Annual temporal monitoring and recalibration</w:t>
      </w:r>
    </w:p>
    <w:p w14:paraId="0563968F">
      <w:pPr>
        <w:spacing w:line="360" w:lineRule="auto"/>
        <w:rPr>
          <w:rFonts w:hint="eastAsia" w:ascii="Times New Roman" w:hAnsi="Times New Roman" w:cs="Times New Roman"/>
          <w:highlight w:val="none"/>
        </w:rPr>
      </w:pPr>
      <w:r>
        <w:rPr>
          <w:rFonts w:hint="eastAsia" w:ascii="Times New Roman" w:hAnsi="Times New Roman" w:cs="Times New Roman"/>
          <w:highlight w:val="none"/>
        </w:rPr>
        <w:t>Annual temporal monitoring followed the all history refitting strategy described in Section 7. For each target year from 2015 to 2024, the RF model was fitted using all observations admitted before that year and evaluated exclusively in patients admitted during the target year. Within each imputed dataset, target-year observations were excluded from model fitting for the corresponding annual evaluation.</w:t>
      </w:r>
    </w:p>
    <w:p w14:paraId="4FE67AA8">
      <w:pPr>
        <w:spacing w:line="360" w:lineRule="auto"/>
        <w:ind w:firstLine="420" w:firstLineChars="200"/>
        <w:rPr>
          <w:rFonts w:ascii="Times New Roman" w:hAnsi="Times New Roman" w:cs="Times New Roman"/>
          <w:b/>
          <w:bCs/>
          <w:highlight w:val="none"/>
        </w:rPr>
      </w:pPr>
      <w:r>
        <w:rPr>
          <w:rFonts w:hint="eastAsia" w:ascii="Times New Roman" w:hAnsi="Times New Roman" w:cs="Times New Roman"/>
          <w:highlight w:val="none"/>
        </w:rPr>
        <w:t>Recalibration was implemented separately within each imputed dataset by fitting a logistic regression model to the observed outcome using the logit of the original predicted probability. For intercept-only recalibration, the slope was fixed at 1, whereas for intercept-and-slope recalibration, both parameters were estimated. The apparent and temporally separated estimation and evaluation windows followed the definitions provided in the main Methods. RF was evaluated as the primary model, and the same procedures were applied to the other candidate models as secondary analyses. Uncertainty was estimated using the bootstrap procedure described in Section 3. All history refitting and the other RF updating strategies are described in Section 7.</w:t>
      </w:r>
    </w:p>
    <w:p w14:paraId="354E5CF8">
      <w:pPr>
        <w:spacing w:line="360" w:lineRule="auto"/>
        <w:rPr>
          <w:rFonts w:ascii="Times New Roman" w:hAnsi="Times New Roman" w:cs="Times New Roman"/>
          <w:b/>
          <w:bCs/>
          <w:highlight w:val="none"/>
        </w:rPr>
      </w:pPr>
      <w:r>
        <w:rPr>
          <w:rFonts w:ascii="Times New Roman" w:hAnsi="Times New Roman" w:cs="Times New Roman"/>
          <w:b/>
          <w:bCs/>
          <w:highlight w:val="none"/>
        </w:rPr>
        <w:t>6. Exploratory analyses of temporal heterogeneity across yearly cohorts</w:t>
      </w:r>
    </w:p>
    <w:p w14:paraId="51351D6C">
      <w:pPr>
        <w:spacing w:line="360" w:lineRule="auto"/>
        <w:rPr>
          <w:rFonts w:ascii="Times New Roman" w:hAnsi="Times New Roman" w:cs="Times New Roman"/>
          <w:highlight w:val="none"/>
        </w:rPr>
      </w:pPr>
      <w:r>
        <w:rPr>
          <w:rFonts w:ascii="Times New Roman" w:hAnsi="Times New Roman" w:cs="Times New Roman"/>
          <w:highlight w:val="none"/>
        </w:rPr>
        <w:t xml:space="preserve">To further characterize temporal heterogeneity in model performance, additional exploratory analyses were conducted across yearly evaluation cohorts. For each </w:t>
      </w:r>
      <w:r>
        <w:rPr>
          <w:rFonts w:hint="eastAsia" w:ascii="Times New Roman" w:hAnsi="Times New Roman" w:cs="Times New Roman"/>
          <w:highlight w:val="none"/>
        </w:rPr>
        <w:t>target</w:t>
      </w:r>
      <w:r>
        <w:rPr>
          <w:rFonts w:ascii="Times New Roman" w:hAnsi="Times New Roman" w:cs="Times New Roman"/>
          <w:highlight w:val="none"/>
        </w:rPr>
        <w:t xml:space="preserve"> year from 2015 to 2024, the corresponding </w:t>
      </w:r>
      <w:r>
        <w:rPr>
          <w:rFonts w:hint="eastAsia" w:ascii="Times New Roman" w:hAnsi="Times New Roman" w:cs="Times New Roman"/>
          <w:highlight w:val="none"/>
        </w:rPr>
        <w:t>target year cohort</w:t>
      </w:r>
      <w:r>
        <w:rPr>
          <w:rFonts w:ascii="Times New Roman" w:hAnsi="Times New Roman" w:cs="Times New Roman"/>
          <w:highlight w:val="none"/>
        </w:rPr>
        <w:t xml:space="preserve"> comprised patients admitted in that calendar year, whereas the </w:t>
      </w:r>
      <w:r>
        <w:rPr>
          <w:rFonts w:hint="eastAsia" w:ascii="Times New Roman" w:hAnsi="Times New Roman" w:cs="Times New Roman"/>
          <w:highlight w:val="none"/>
        </w:rPr>
        <w:t>historical training cohort</w:t>
      </w:r>
      <w:r>
        <w:rPr>
          <w:rFonts w:ascii="Times New Roman" w:hAnsi="Times New Roman" w:cs="Times New Roman"/>
          <w:highlight w:val="none"/>
        </w:rPr>
        <w:t xml:space="preserve"> comprised all eligible patients </w:t>
      </w:r>
      <w:r>
        <w:rPr>
          <w:rFonts w:hint="eastAsia" w:ascii="Times New Roman" w:hAnsi="Times New Roman" w:cs="Times New Roman"/>
          <w:highlight w:val="none"/>
        </w:rPr>
        <w:t>admitted before the target year</w:t>
      </w:r>
      <w:r>
        <w:rPr>
          <w:rFonts w:ascii="Times New Roman" w:hAnsi="Times New Roman" w:cs="Times New Roman"/>
          <w:highlight w:val="none"/>
        </w:rPr>
        <w:t xml:space="preserve">, consistent with the </w:t>
      </w:r>
      <w:r>
        <w:rPr>
          <w:rFonts w:hint="eastAsia" w:ascii="Times New Roman" w:hAnsi="Times New Roman" w:cs="Times New Roman"/>
          <w:highlight w:val="none"/>
        </w:rPr>
        <w:t>temporally separated evaluation framework</w:t>
      </w:r>
      <w:r>
        <w:rPr>
          <w:rFonts w:ascii="Times New Roman" w:hAnsi="Times New Roman" w:cs="Times New Roman"/>
          <w:highlight w:val="none"/>
        </w:rPr>
        <w:t>.</w:t>
      </w:r>
    </w:p>
    <w:p w14:paraId="1891C05B">
      <w:pPr>
        <w:spacing w:line="360" w:lineRule="auto"/>
        <w:ind w:firstLine="420" w:firstLineChars="200"/>
        <w:rPr>
          <w:rFonts w:ascii="Times New Roman" w:hAnsi="Times New Roman" w:cs="Times New Roman"/>
          <w:highlight w:val="none"/>
        </w:rPr>
      </w:pPr>
      <w:r>
        <w:rPr>
          <w:rFonts w:ascii="Times New Roman" w:hAnsi="Times New Roman" w:cs="Times New Roman"/>
          <w:highlight w:val="none"/>
        </w:rPr>
        <w:t>Year</w:t>
      </w:r>
      <w:r>
        <w:rPr>
          <w:rFonts w:hint="eastAsia" w:ascii="Times New Roman" w:hAnsi="Times New Roman" w:cs="Times New Roman"/>
          <w:highlight w:val="none"/>
        </w:rPr>
        <w:t xml:space="preserve"> </w:t>
      </w:r>
      <w:r>
        <w:rPr>
          <w:rFonts w:ascii="Times New Roman" w:hAnsi="Times New Roman" w:cs="Times New Roman"/>
          <w:highlight w:val="none"/>
        </w:rPr>
        <w:t xml:space="preserve">specific </w:t>
      </w:r>
      <w:r>
        <w:rPr>
          <w:rFonts w:hint="eastAsia" w:ascii="Times New Roman" w:hAnsi="Times New Roman" w:cs="Times New Roman"/>
          <w:highlight w:val="none"/>
        </w:rPr>
        <w:t>IVIGR</w:t>
      </w:r>
      <w:r>
        <w:rPr>
          <w:rFonts w:ascii="Times New Roman" w:hAnsi="Times New Roman" w:cs="Times New Roman"/>
          <w:highlight w:val="none"/>
        </w:rPr>
        <w:t xml:space="preserve"> event rates were calculated for both the historical training cohort and the target year cohorts. The annual event rate difference was defined as the event rate in the target year cohort minus that in the corresponding historical training cohort. To descriptively examine </w:t>
      </w:r>
      <w:r>
        <w:rPr>
          <w:rFonts w:ascii="Times New Roman" w:hAnsi="Times New Roman" w:cs="Times New Roman"/>
          <w:highlight w:val="none"/>
        </w:rPr>
        <w:t>whether differences in baseline outcome frequency were associated with model performance, annual event</w:t>
      </w:r>
      <w:r>
        <w:rPr>
          <w:rFonts w:hint="eastAsia" w:ascii="Times New Roman" w:hAnsi="Times New Roman" w:cs="Times New Roman"/>
          <w:highlight w:val="none"/>
        </w:rPr>
        <w:t xml:space="preserve"> </w:t>
      </w:r>
      <w:r>
        <w:rPr>
          <w:rFonts w:ascii="Times New Roman" w:hAnsi="Times New Roman" w:cs="Times New Roman"/>
          <w:highlight w:val="none"/>
        </w:rPr>
        <w:t>rate differences were plotted against AUC, calibration intercept, and calibration slope, and simple linear regression lines were overlaid for visualization (Figure 5</w:t>
      </w:r>
      <w:r>
        <w:rPr>
          <w:rFonts w:hint="eastAsia" w:ascii="Times New Roman" w:hAnsi="Times New Roman" w:cs="Times New Roman"/>
          <w:highlight w:val="none"/>
          <w:lang w:val="en-US" w:eastAsia="zh-CN"/>
        </w:rPr>
        <w:t>B</w:t>
      </w:r>
      <w:r>
        <w:rPr>
          <w:rFonts w:ascii="Times New Roman" w:hAnsi="Times New Roman" w:cs="Times New Roman"/>
          <w:highlight w:val="none"/>
        </w:rPr>
        <w:t>–</w:t>
      </w:r>
      <w:r>
        <w:rPr>
          <w:rFonts w:hint="eastAsia" w:ascii="Times New Roman" w:hAnsi="Times New Roman" w:cs="Times New Roman"/>
          <w:highlight w:val="none"/>
          <w:lang w:val="en-US" w:eastAsia="zh-CN"/>
        </w:rPr>
        <w:t>D</w:t>
      </w:r>
      <w:r>
        <w:rPr>
          <w:rFonts w:ascii="Times New Roman" w:hAnsi="Times New Roman" w:cs="Times New Roman"/>
          <w:highlight w:val="none"/>
        </w:rPr>
        <w:t>).</w:t>
      </w:r>
      <w:r>
        <w:rPr>
          <w:rFonts w:hint="eastAsia" w:ascii="Times New Roman" w:hAnsi="Times New Roman" w:cs="Times New Roman"/>
          <w:highlight w:val="none"/>
        </w:rPr>
        <w:t xml:space="preserve"> Annual IVIGR rates were also calculated separately for each participating center as the proportion of IVIGR events among eligible patients within each center and calendar year</w:t>
      </w:r>
      <w:r>
        <w:rPr>
          <w:rFonts w:ascii="Times New Roman" w:hAnsi="Times New Roman" w:cs="Times New Roman"/>
          <w:highlight w:val="none"/>
        </w:rPr>
        <w:t xml:space="preserve"> (Additional file 4: Fig. S1)</w:t>
      </w:r>
      <w:r>
        <w:rPr>
          <w:rFonts w:hint="eastAsia" w:ascii="Times New Roman" w:hAnsi="Times New Roman" w:cs="Times New Roman"/>
          <w:highlight w:val="none"/>
        </w:rPr>
        <w:t>.</w:t>
      </w:r>
    </w:p>
    <w:p w14:paraId="54738F56">
      <w:pPr>
        <w:spacing w:line="360" w:lineRule="auto"/>
        <w:ind w:firstLine="420" w:firstLineChars="200"/>
        <w:rPr>
          <w:rFonts w:ascii="Times New Roman" w:hAnsi="Times New Roman" w:cs="Times New Roman"/>
          <w:highlight w:val="none"/>
        </w:rPr>
      </w:pPr>
      <w:r>
        <w:rPr>
          <w:rFonts w:ascii="Times New Roman" w:hAnsi="Times New Roman" w:cs="Times New Roman"/>
          <w:highlight w:val="none"/>
        </w:rPr>
        <w:t xml:space="preserve">To assess whether the clinical profile associated with </w:t>
      </w:r>
      <w:r>
        <w:rPr>
          <w:rFonts w:hint="eastAsia" w:ascii="Times New Roman" w:hAnsi="Times New Roman" w:cs="Times New Roman"/>
          <w:highlight w:val="none"/>
        </w:rPr>
        <w:t>IVIGR</w:t>
      </w:r>
      <w:r>
        <w:rPr>
          <w:rFonts w:ascii="Times New Roman" w:hAnsi="Times New Roman" w:cs="Times New Roman"/>
          <w:highlight w:val="none"/>
        </w:rPr>
        <w:t xml:space="preserve"> changed over time, year-specific comparisons between IVIG</w:t>
      </w:r>
      <w:r>
        <w:rPr>
          <w:rFonts w:hint="eastAsia" w:ascii="Times New Roman" w:hAnsi="Times New Roman" w:cs="Times New Roman"/>
          <w:highlight w:val="none"/>
          <w:lang w:eastAsia="zh-CN"/>
        </w:rPr>
        <w:t>-</w:t>
      </w:r>
      <w:r>
        <w:rPr>
          <w:rFonts w:ascii="Times New Roman" w:hAnsi="Times New Roman" w:cs="Times New Roman"/>
          <w:highlight w:val="none"/>
        </w:rPr>
        <w:t xml:space="preserve">resistant and </w:t>
      </w:r>
      <w:r>
        <w:rPr>
          <w:rFonts w:hint="eastAsia" w:ascii="Times New Roman" w:hAnsi="Times New Roman" w:cs="Times New Roman"/>
          <w:highlight w:val="none"/>
          <w:lang w:eastAsia="zh-CN"/>
        </w:rPr>
        <w:t>IVIG-responsive patients</w:t>
      </w:r>
      <w:r>
        <w:rPr>
          <w:rFonts w:ascii="Times New Roman" w:hAnsi="Times New Roman" w:cs="Times New Roman"/>
          <w:highlight w:val="none"/>
        </w:rPr>
        <w:t xml:space="preserve"> were performed for selected clinical variables</w:t>
      </w:r>
      <w:r>
        <w:rPr>
          <w:rFonts w:hint="eastAsia" w:ascii="Times New Roman" w:hAnsi="Times New Roman" w:cs="Times New Roman"/>
          <w:highlight w:val="none"/>
        </w:rPr>
        <w:t xml:space="preserve"> from 2006 to 2024</w:t>
      </w:r>
      <w:r>
        <w:rPr>
          <w:rFonts w:ascii="Times New Roman" w:hAnsi="Times New Roman" w:cs="Times New Roman"/>
          <w:highlight w:val="none"/>
        </w:rPr>
        <w:t xml:space="preserve">. Continuous variables were compared using the Mann–Whitney U test, and categorical variables were compared using Fisher’s exact test, as appropriate. </w:t>
      </w:r>
      <w:r>
        <w:rPr>
          <w:rFonts w:hint="eastAsia" w:ascii="Times New Roman" w:hAnsi="Times New Roman" w:cs="Times New Roman"/>
          <w:highlight w:val="none"/>
        </w:rPr>
        <w:t xml:space="preserve">Comparisons were considered non-estimable when either group contained fewer than three patients or when the corresponding contingency table could not be estimated. </w:t>
      </w:r>
      <w:r>
        <w:rPr>
          <w:rFonts w:ascii="Times New Roman" w:hAnsi="Times New Roman" w:cs="Times New Roman"/>
          <w:highlight w:val="none"/>
        </w:rPr>
        <w:t>Results were summarized in a heatmap according to both the direction and statistical significance of group differences (Figure 5</w:t>
      </w:r>
      <w:r>
        <w:rPr>
          <w:rFonts w:hint="eastAsia" w:ascii="Times New Roman" w:hAnsi="Times New Roman" w:cs="Times New Roman"/>
          <w:highlight w:val="none"/>
          <w:lang w:val="en-US" w:eastAsia="zh-CN"/>
        </w:rPr>
        <w:t>E</w:t>
      </w:r>
      <w:r>
        <w:rPr>
          <w:rFonts w:ascii="Times New Roman" w:hAnsi="Times New Roman" w:cs="Times New Roman"/>
          <w:highlight w:val="none"/>
        </w:rPr>
        <w:t>). Variables significantly higher or more frequent in IVIG-resistant patients were coded in red, variables significantly lower or less frequent were coded in blue, non-significant comparisons were coded in white, and non-estimable comparisons were coded in gray.</w:t>
      </w:r>
    </w:p>
    <w:p w14:paraId="2D329799">
      <w:pPr>
        <w:spacing w:line="360" w:lineRule="auto"/>
        <w:ind w:firstLine="420" w:firstLineChars="200"/>
        <w:rPr>
          <w:rFonts w:ascii="Times New Roman" w:hAnsi="Times New Roman" w:cs="Times New Roman"/>
          <w:highlight w:val="none"/>
        </w:rPr>
      </w:pPr>
      <w:r>
        <w:rPr>
          <w:rFonts w:hint="eastAsia" w:ascii="Times New Roman" w:hAnsi="Times New Roman" w:cs="Times New Roman"/>
          <w:highlight w:val="none"/>
        </w:rPr>
        <w:t xml:space="preserve">Because these analyses were exploratory, </w:t>
      </w:r>
      <w:r>
        <w:rPr>
          <w:rFonts w:hint="eastAsia" w:ascii="Times New Roman" w:hAnsi="Times New Roman" w:cs="Times New Roman"/>
          <w:i/>
          <w:iCs/>
          <w:highlight w:val="none"/>
        </w:rPr>
        <w:t>p</w:t>
      </w:r>
      <w:r>
        <w:rPr>
          <w:rFonts w:hint="eastAsia" w:ascii="Times New Roman" w:hAnsi="Times New Roman" w:cs="Times New Roman"/>
          <w:highlight w:val="none"/>
        </w:rPr>
        <w:t xml:space="preserve"> values were not adjusted for multiple testing and were interpreted descriptively. The yearly event rate and heatmap analyses were based on available observations in the original dataset.</w:t>
      </w:r>
    </w:p>
    <w:p w14:paraId="03B55085">
      <w:pPr>
        <w:spacing w:line="360" w:lineRule="auto"/>
        <w:rPr>
          <w:rFonts w:ascii="Times New Roman" w:hAnsi="Times New Roman" w:cs="Times New Roman"/>
          <w:b/>
          <w:bCs/>
          <w:highlight w:val="none"/>
        </w:rPr>
      </w:pPr>
      <w:r>
        <w:rPr>
          <w:rFonts w:ascii="Times New Roman" w:hAnsi="Times New Roman" w:cs="Times New Roman"/>
          <w:b/>
          <w:bCs/>
          <w:highlight w:val="none"/>
        </w:rPr>
        <w:t>7. RF model updating strategies</w:t>
      </w:r>
    </w:p>
    <w:p w14:paraId="7545705C">
      <w:pPr>
        <w:spacing w:line="360" w:lineRule="auto"/>
        <w:rPr>
          <w:rFonts w:ascii="Times New Roman" w:hAnsi="Times New Roman" w:cs="Times New Roman"/>
          <w:highlight w:val="none"/>
        </w:rPr>
      </w:pPr>
      <w:r>
        <w:rPr>
          <w:rFonts w:ascii="Times New Roman" w:hAnsi="Times New Roman" w:cs="Times New Roman"/>
          <w:highlight w:val="none"/>
        </w:rPr>
        <w:t>Annual updating and additional RF updating strategies were evaluated for the RF model from 2015 to 2024 using a temporally ordered annual evaluation framework. All strategies were implemented separately within each imputed dataset.</w:t>
      </w:r>
    </w:p>
    <w:p w14:paraId="1AF9918F">
      <w:pPr>
        <w:spacing w:line="360" w:lineRule="auto"/>
        <w:ind w:firstLine="420" w:firstLineChars="200"/>
        <w:rPr>
          <w:rFonts w:ascii="Times New Roman" w:hAnsi="Times New Roman" w:cs="Times New Roman"/>
          <w:highlight w:val="none"/>
        </w:rPr>
      </w:pPr>
      <w:r>
        <w:rPr>
          <w:rFonts w:hint="eastAsia" w:ascii="Times New Roman" w:hAnsi="Times New Roman" w:cs="Times New Roman"/>
          <w:highlight w:val="none"/>
        </w:rPr>
        <w:t xml:space="preserve">For annual updating, three strategies were compared. First, all history refitting retrained the RF model for each target year using all observations admitted before that year. </w:t>
      </w:r>
      <w:r>
        <w:rPr>
          <w:rFonts w:hint="eastAsia" w:ascii="Times New Roman" w:hAnsi="Times New Roman" w:cs="Times New Roman"/>
          <w:highlight w:val="none"/>
        </w:rPr>
        <w:t xml:space="preserve">Second, prior year intercept recalibration trained the RF model using observations admitted before the prior year, estimated the recalibration intercept in the year immediately preceding the target year, and applied the recalibrated model to the target year. Third, prior year intercept and slope recalibration used the same temporally separated structure but estimated both the recalibration intercept and slope in the prior year before applying the model to the target year. </w:t>
      </w:r>
      <w:r>
        <w:rPr>
          <w:rFonts w:ascii="Times New Roman" w:hAnsi="Times New Roman" w:cs="Times New Roman"/>
          <w:highlight w:val="none"/>
        </w:rPr>
        <w:t>Within each completed imputed dataset, target year observations were excluded from RF fitting and recalibration parameter estimation for the corresponding annual evaluation.</w:t>
      </w:r>
    </w:p>
    <w:p w14:paraId="76D17FC1">
      <w:pPr>
        <w:spacing w:line="360" w:lineRule="auto"/>
        <w:ind w:firstLine="420" w:firstLineChars="200"/>
        <w:rPr>
          <w:rFonts w:ascii="Times New Roman" w:hAnsi="Times New Roman" w:cs="Times New Roman"/>
          <w:highlight w:val="none"/>
        </w:rPr>
      </w:pPr>
      <w:r>
        <w:rPr>
          <w:rFonts w:hint="eastAsia" w:ascii="Times New Roman" w:hAnsi="Times New Roman" w:cs="Times New Roman"/>
          <w:highlight w:val="none"/>
        </w:rPr>
        <w:t>All history refitting served as the reference strategy for comparisons of the additional RF updating approaches. For half-life weighted RF, the time-decay weights defined in the main Methods were normalized to have a mean of 1 within each training set and used as sampling probabilities to generate a weighted resampled training set for RF fitting. Thus, the half-life weights affected RF training through weighted resampling rather than through direct case weighting in the RF fitting algorithm.</w:t>
      </w:r>
    </w:p>
    <w:p w14:paraId="6578FA9B">
      <w:pPr>
        <w:pStyle w:val="5"/>
        <w:widowControl/>
        <w:spacing w:line="360" w:lineRule="auto"/>
        <w:ind w:firstLine="420" w:firstLineChars="200"/>
        <w:jc w:val="both"/>
        <w:rPr>
          <w:rFonts w:ascii="Times New Roman" w:hAnsi="Times New Roman"/>
          <w:sz w:val="21"/>
          <w:szCs w:val="21"/>
          <w:highlight w:val="none"/>
        </w:rPr>
      </w:pPr>
      <w:r>
        <w:rPr>
          <w:rFonts w:hint="eastAsia" w:ascii="Times New Roman" w:hAnsi="Times New Roman"/>
          <w:sz w:val="21"/>
          <w:szCs w:val="21"/>
          <w:highlight w:val="none"/>
        </w:rPr>
        <w:t xml:space="preserve">Half-life values from 1 to 6 years were evaluated. Shorter half-life values placed greater emphasis on recent observations, whereas longer half-life values produced training samples closer to all history refitting. Rolling window RF used only observations from the 3 or 5 years preceding each target year. </w:t>
      </w:r>
      <w:r>
        <w:rPr>
          <w:rFonts w:hint="eastAsia" w:ascii="Times New Roman" w:hAnsi="Times New Roman"/>
          <w:sz w:val="21"/>
          <w:szCs w:val="21"/>
          <w:highlight w:val="none"/>
        </w:rPr>
        <w:t xml:space="preserve">Calendar year adjusted RF used all historical observations before the target year and incorporated admission year as a continuous predictor to retain annual temporal resolution. </w:t>
      </w:r>
    </w:p>
    <w:p w14:paraId="2BBF41A5">
      <w:pPr>
        <w:pStyle w:val="5"/>
        <w:widowControl/>
        <w:spacing w:line="360" w:lineRule="auto"/>
        <w:ind w:firstLine="420" w:firstLineChars="200"/>
        <w:jc w:val="both"/>
        <w:rPr>
          <w:rFonts w:ascii="Times New Roman" w:hAnsi="Times New Roman"/>
          <w:sz w:val="21"/>
          <w:szCs w:val="21"/>
          <w:highlight w:val="none"/>
        </w:rPr>
      </w:pPr>
      <w:r>
        <w:rPr>
          <w:rFonts w:hint="eastAsia" w:ascii="Times New Roman" w:hAnsi="Times New Roman"/>
          <w:sz w:val="21"/>
          <w:szCs w:val="21"/>
          <w:highlight w:val="none"/>
        </w:rPr>
        <w:t>Mean annual AUC across the target years was used as a descriptive summary of discrimination for each updating strategy.</w:t>
      </w:r>
    </w:p>
    <w:p w14:paraId="076120F8">
      <w:pPr>
        <w:pStyle w:val="5"/>
        <w:widowControl/>
        <w:spacing w:line="360" w:lineRule="auto"/>
        <w:ind w:firstLine="420" w:firstLineChars="200"/>
        <w:jc w:val="both"/>
        <w:rPr>
          <w:rFonts w:hint="eastAsia" w:ascii="Times New Roman" w:hAnsi="Times New Roman" w:eastAsiaTheme="minorEastAsia"/>
          <w:sz w:val="21"/>
          <w:szCs w:val="21"/>
          <w:highlight w:val="none"/>
          <w:lang w:val="en-US" w:eastAsia="zh-CN"/>
        </w:rPr>
      </w:pPr>
      <w:r>
        <w:rPr>
          <w:rFonts w:ascii="Times New Roman" w:hAnsi="Times New Roman"/>
          <w:sz w:val="21"/>
          <w:szCs w:val="21"/>
          <w:highlight w:val="none"/>
        </w:rPr>
        <w:t>For each annual evaluation, RF fitting and updating used observations from years preceding the target year within each completed imputed dataset. However, because multiple imputation was performed within broader calendar phases and the fixed mtry value was derived from the primary pre-COVID analysis, these analyses should be interpreted as retrospective temporally ordered evaluations rather than fully prospective deployment simulations.</w:t>
      </w:r>
      <w:r>
        <w:rPr>
          <w:rFonts w:hint="eastAsia" w:ascii="Times New Roman" w:hAnsi="Times New Roman"/>
          <w:sz w:val="21"/>
          <w:szCs w:val="21"/>
          <w:highlight w:val="none"/>
        </w:rPr>
        <w:t xml:space="preserve"> RF models used 500 trees, and a fixed mtry value of 3, corresponding to the median of the optimal mtry values selected across the 10 imputed datasets in the primary RF analysis, was used for all annual and time aware RF updating strategies. Performance was evaluated in the corresponding target year cohort using AUC, Brier score, calibration intercept, calibration slope, and observed-to-expected ratio. </w:t>
      </w:r>
      <w:r>
        <w:rPr>
          <w:rFonts w:hint="eastAsia" w:ascii="Times New Roman" w:hAnsi="Times New Roman"/>
          <w:sz w:val="21"/>
          <w:szCs w:val="21"/>
          <w:highlight w:val="none"/>
        </w:rPr>
        <w:t>Decision curve analysis was additionally performed for all history refitting, half-life weighted, rolling window, and calendar year adjusted RF strategies.</w:t>
      </w:r>
      <w:r>
        <w:rPr>
          <w:rFonts w:hint="eastAsia" w:ascii="Times New Roman" w:hAnsi="Times New Roman"/>
          <w:sz w:val="21"/>
          <w:szCs w:val="21"/>
          <w:highlight w:val="none"/>
          <w:lang w:val="en-US" w:eastAsia="zh-CN"/>
        </w:rPr>
        <w:t xml:space="preserve"> </w:t>
      </w:r>
      <w:r>
        <w:rPr>
          <w:rFonts w:hint="eastAsia" w:ascii="Times New Roman" w:hAnsi="Times New Roman"/>
          <w:sz w:val="21"/>
          <w:szCs w:val="21"/>
          <w:highlight w:val="none"/>
        </w:rPr>
        <w:t xml:space="preserve">Decision curve analysis was evaluated at threshold probabilities from 0.01 to 0.30 at 0.01 intervals. Patient level net benefit contributions were calculated for each updating strategy within each imputed dataset and then averaged across the 10 imputed datasets. To preserve the annual composition of the evaluation data, 500 bootstrap samples were generated by resampling patients with replacement within each target year. </w:t>
      </w:r>
      <w:r>
        <w:rPr>
          <w:rFonts w:hint="eastAsia" w:ascii="Times New Roman" w:hAnsi="Times New Roman"/>
          <w:sz w:val="21"/>
          <w:szCs w:val="21"/>
          <w:highlight w:val="none"/>
        </w:rPr>
        <w:t>The same bootstrap samples were applied to all updating strategies. Paired differences in net benefit were calculated as each updating strategy minus the all history RF at each threshold probability.</w:t>
      </w:r>
      <w:r>
        <w:rPr>
          <w:rFonts w:hint="eastAsia" w:ascii="Times New Roman" w:hAnsi="Times New Roman"/>
          <w:sz w:val="21"/>
          <w:szCs w:val="21"/>
          <w:highlight w:val="none"/>
        </w:rPr>
        <w:t xml:space="preserve"> Percentile 95% confidence intervals for net benefit and paired differences were obtained from the 2.5th and 97.5th percentiles of the corresponding bootstrap distributions. The treat all and treat none strategies were included as reference approaches; because treat none has a net benefit of zero at all threshold probabilities, it was omitted from Additional file 3: Table S9.</w:t>
      </w:r>
    </w:p>
    <w:p w14:paraId="0EB2DB3F">
      <w:pPr>
        <w:pStyle w:val="5"/>
        <w:widowControl/>
        <w:spacing w:line="360" w:lineRule="auto"/>
        <w:ind w:firstLine="420" w:firstLineChars="200"/>
        <w:jc w:val="both"/>
        <w:rPr>
          <w:rFonts w:hint="eastAsia" w:ascii="Times New Roman" w:hAnsi="Times New Roman"/>
          <w:sz w:val="21"/>
          <w:szCs w:val="21"/>
          <w:highlight w:val="none"/>
        </w:rPr>
      </w:pPr>
      <w:r>
        <w:rPr>
          <w:rFonts w:hint="eastAsia" w:ascii="Times New Roman" w:hAnsi="Times New Roman"/>
          <w:sz w:val="21"/>
          <w:szCs w:val="21"/>
          <w:highlight w:val="none"/>
        </w:rPr>
        <w:t>For comparisons with the all history RF, differences in AUC and Brier score were calculated as each updating strategy minus the all history RF. Thus, a positive difference in AUC and a negative difference in Brier score indicated improvement relative to the all history RF. Differences in calibration intercept, calibration slope, and observed-to-expected ratio were calculated as the absolute deviation from the ideal value for each updating strategy minus the corresponding absolute deviation for the all history RF. Negative values therefore indicated calibration closer to the ideal value than the all history RF, whereas positive values indicated greater deviation from the ideal value.</w:t>
      </w:r>
    </w:p>
    <w:p w14:paraId="3E8BC538">
      <w:pPr>
        <w:pStyle w:val="5"/>
        <w:widowControl/>
        <w:spacing w:line="360" w:lineRule="auto"/>
        <w:ind w:firstLine="420" w:firstLineChars="200"/>
        <w:jc w:val="both"/>
        <w:rPr>
          <w:rFonts w:hint="eastAsia" w:ascii="Times New Roman" w:hAnsi="Times New Roman"/>
          <w:sz w:val="21"/>
          <w:szCs w:val="21"/>
          <w:highlight w:val="none"/>
          <w:lang w:val="en-US" w:eastAsia="zh-CN"/>
        </w:rPr>
      </w:pPr>
      <w:r>
        <w:rPr>
          <w:rFonts w:hint="eastAsia" w:ascii="Times New Roman" w:hAnsi="Times New Roman"/>
          <w:sz w:val="21"/>
          <w:szCs w:val="21"/>
          <w:highlight w:val="none"/>
          <w:lang w:val="en-US" w:eastAsia="zh-CN"/>
        </w:rPr>
        <w:t>Uncertainty in these performance differences was quantified using paired bootstrap resampling. Within each imputed target year cohort, the same bootstrap sample of patients was used to evaluate each updating strategy and the all history RF reference. Differences in AUC, Brier score, and calibration deviation measures were calculated within each bootstrap sample. Each imputed target year cohort was resampled 500 times, and 95% confidence intervals were obtained from the 2.5th and 97.5th percentiles of the pooled bootstrap difference distribution across the 10 imputed datasets.</w:t>
      </w:r>
    </w:p>
    <w:p w14:paraId="545F943B">
      <w:pPr>
        <w:spacing w:line="360" w:lineRule="auto"/>
        <w:rPr>
          <w:rFonts w:ascii="Times New Roman" w:hAnsi="Times New Roman" w:cs="Times New Roman"/>
          <w:b/>
          <w:bCs/>
          <w:highlight w:val="none"/>
        </w:rPr>
      </w:pPr>
      <w:r>
        <w:rPr>
          <w:rFonts w:ascii="Times New Roman" w:hAnsi="Times New Roman" w:cs="Times New Roman"/>
          <w:b/>
          <w:bCs/>
          <w:highlight w:val="none"/>
        </w:rPr>
        <w:t>8. Software and statistical environment</w:t>
      </w:r>
    </w:p>
    <w:p w14:paraId="6392676A">
      <w:pPr>
        <w:spacing w:line="360" w:lineRule="auto"/>
        <w:rPr>
          <w:rFonts w:ascii="Times New Roman" w:hAnsi="Times New Roman" w:cs="Times New Roman"/>
          <w:highlight w:val="none"/>
        </w:rPr>
      </w:pPr>
      <w:r>
        <w:rPr>
          <w:rFonts w:ascii="Times New Roman" w:hAnsi="Times New Roman" w:cs="Times New Roman"/>
          <w:highlight w:val="none"/>
        </w:rPr>
        <w:t xml:space="preserve">Continuous variables were summarized as mean ± standard deviation or median (interquartile range), as appropriate. Categorical variables were presented as counts and percentages. Between-group comparisons were conducted using Student’s t-test, Mann–Whitney U test, chi-square test, or Fisher’s exact test, as appropriate. </w:t>
      </w:r>
      <w:r>
        <w:rPr>
          <w:rFonts w:hint="eastAsia" w:ascii="Times New Roman" w:hAnsi="Times New Roman" w:cs="Times New Roman"/>
          <w:highlight w:val="none"/>
        </w:rPr>
        <w:t>All statistical tests were two sided. For the between group comparisons described above, P &lt;0.05 was considered statistically significant</w:t>
      </w:r>
      <w:r>
        <w:rPr>
          <w:rFonts w:ascii="Times New Roman" w:hAnsi="Times New Roman" w:cs="Times New Roman"/>
          <w:highlight w:val="none"/>
        </w:rPr>
        <w:t>.</w:t>
      </w:r>
    </w:p>
    <w:p w14:paraId="11DBF5EE">
      <w:pPr>
        <w:spacing w:line="360" w:lineRule="auto"/>
        <w:ind w:firstLine="420" w:firstLineChars="200"/>
        <w:rPr>
          <w:rFonts w:ascii="Times New Roman" w:hAnsi="Times New Roman" w:cs="Times New Roman"/>
          <w:highlight w:val="none"/>
        </w:rPr>
      </w:pPr>
      <w:r>
        <w:rPr>
          <w:rFonts w:hint="eastAsia" w:ascii="Times New Roman" w:hAnsi="Times New Roman" w:cs="Times New Roman"/>
          <w:highlight w:val="none"/>
        </w:rPr>
        <w:t xml:space="preserve">Performance estimates were calculated separately within each imputed dataset and then summarized across imputations. For individual model performance estimates, 500 bootstrap resamples were generated within each imputed evaluation dataset. The bootstrap estimates from the 10 imputed datasets were pooled, and the 2.5th and 97.5th percentiles of the pooled bootstrap distribution were used as the 95% confidence interval. For differences between updating strategies and all history RF, paired bootstrap resampling was used as described in Section 7. </w:t>
      </w:r>
      <w:r>
        <w:rPr>
          <w:rFonts w:ascii="Times New Roman" w:hAnsi="Times New Roman" w:cs="Times New Roman"/>
          <w:highlight w:val="none"/>
        </w:rPr>
        <w:t xml:space="preserve">For comparisons of updating strategies with all history refitting, paired DeLong tests were performed separately within each imputed dataset. The resulting </w:t>
      </w:r>
      <w:r>
        <w:rPr>
          <w:rFonts w:hint="eastAsia" w:ascii="Times New Roman" w:hAnsi="Times New Roman" w:cs="Times New Roman"/>
          <w:i/>
          <w:iCs/>
          <w:highlight w:val="none"/>
        </w:rPr>
        <w:t xml:space="preserve">P </w:t>
      </w:r>
      <w:r>
        <w:rPr>
          <w:rFonts w:hint="eastAsia" w:ascii="Times New Roman" w:hAnsi="Times New Roman" w:cs="Times New Roman"/>
          <w:i w:val="0"/>
          <w:iCs w:val="0"/>
          <w:highlight w:val="none"/>
        </w:rPr>
        <w:t>values were summarized descriptively using the median and interquartile range and were not formally pooled across imputations</w:t>
      </w:r>
      <w:r>
        <w:rPr>
          <w:rFonts w:ascii="Times New Roman" w:hAnsi="Times New Roman" w:cs="Times New Roman"/>
          <w:highlight w:val="none"/>
        </w:rPr>
        <w:t>.</w:t>
      </w:r>
    </w:p>
    <w:p w14:paraId="139ED870">
      <w:pPr>
        <w:spacing w:line="360" w:lineRule="auto"/>
        <w:ind w:firstLine="420" w:firstLineChars="200"/>
        <w:rPr>
          <w:rFonts w:ascii="Times New Roman" w:hAnsi="Times New Roman" w:cs="Times New Roman"/>
          <w:highlight w:val="none"/>
        </w:rPr>
      </w:pPr>
      <w:r>
        <w:rPr>
          <w:rFonts w:ascii="Times New Roman" w:hAnsi="Times New Roman" w:cs="Times New Roman"/>
          <w:highlight w:val="none"/>
        </w:rPr>
        <w:t xml:space="preserve">All analyses were conducted using R (version 4.4.2; R Foundation for Statistical Computing, Vienna, Austria). Key packages included pmsampsize for sample size estimation, mice for multiple imputation, glmnet for penalized regression modeling, </w:t>
      </w:r>
      <w:r>
        <w:rPr>
          <w:rFonts w:hint="eastAsia" w:ascii="Times New Roman" w:hAnsi="Times New Roman" w:cs="Times New Roman"/>
          <w:highlight w:val="none"/>
        </w:rPr>
        <w:t>caret for model training and cross-validation, randomForest for RF modeling, kernlab for radial basis function SVM modeling</w:t>
      </w:r>
      <w:r>
        <w:rPr>
          <w:rFonts w:ascii="Times New Roman" w:hAnsi="Times New Roman" w:cs="Times New Roman"/>
          <w:highlight w:val="none"/>
        </w:rPr>
        <w:t xml:space="preserve">, </w:t>
      </w:r>
      <w:r>
        <w:rPr>
          <w:rFonts w:hint="eastAsia" w:ascii="Times New Roman" w:hAnsi="Times New Roman" w:cs="Times New Roman"/>
          <w:highlight w:val="none"/>
        </w:rPr>
        <w:t xml:space="preserve">and </w:t>
      </w:r>
      <w:r>
        <w:rPr>
          <w:rFonts w:ascii="Times New Roman" w:hAnsi="Times New Roman" w:cs="Times New Roman"/>
          <w:highlight w:val="none"/>
        </w:rPr>
        <w:t>pROC for receiver operating characteristic analysis</w:t>
      </w:r>
      <w:r>
        <w:rPr>
          <w:rFonts w:hint="eastAsia" w:ascii="Times New Roman" w:hAnsi="Times New Roman" w:cs="Times New Roman"/>
          <w:highlight w:val="none"/>
        </w:rPr>
        <w:t xml:space="preserve"> and DeLong tests. Decision curve analysis was implemented using custom functions based on the standard net benefit formula. Parallel computation was implemented using doParallel and foreach where applicable.</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MS Mincho">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65B0"/>
    <w:rsid w:val="0006295A"/>
    <w:rsid w:val="00140F08"/>
    <w:rsid w:val="001504EE"/>
    <w:rsid w:val="001652B4"/>
    <w:rsid w:val="00172A27"/>
    <w:rsid w:val="00241E20"/>
    <w:rsid w:val="00307F76"/>
    <w:rsid w:val="004A2C5D"/>
    <w:rsid w:val="004D5385"/>
    <w:rsid w:val="004E4C0A"/>
    <w:rsid w:val="0052206A"/>
    <w:rsid w:val="005B13B6"/>
    <w:rsid w:val="005E1525"/>
    <w:rsid w:val="00705BC3"/>
    <w:rsid w:val="00771F6E"/>
    <w:rsid w:val="00790F49"/>
    <w:rsid w:val="00794AD4"/>
    <w:rsid w:val="007A2C05"/>
    <w:rsid w:val="00851E31"/>
    <w:rsid w:val="008B234B"/>
    <w:rsid w:val="008F4482"/>
    <w:rsid w:val="00910F3E"/>
    <w:rsid w:val="00A157BB"/>
    <w:rsid w:val="00A15B48"/>
    <w:rsid w:val="00B85496"/>
    <w:rsid w:val="00BC0EFF"/>
    <w:rsid w:val="00D63DCA"/>
    <w:rsid w:val="00D861F4"/>
    <w:rsid w:val="00EE77CE"/>
    <w:rsid w:val="00F903D7"/>
    <w:rsid w:val="00FE04A5"/>
    <w:rsid w:val="00FF2DC7"/>
    <w:rsid w:val="040B6450"/>
    <w:rsid w:val="05A8133D"/>
    <w:rsid w:val="11210BEE"/>
    <w:rsid w:val="179F6914"/>
    <w:rsid w:val="1AF079B3"/>
    <w:rsid w:val="1F7C1C3A"/>
    <w:rsid w:val="21130FE1"/>
    <w:rsid w:val="28B5472C"/>
    <w:rsid w:val="2AE26B69"/>
    <w:rsid w:val="2F5F42E6"/>
    <w:rsid w:val="36A84721"/>
    <w:rsid w:val="37AC319E"/>
    <w:rsid w:val="3B800BCA"/>
    <w:rsid w:val="402A1D2C"/>
    <w:rsid w:val="421D0D04"/>
    <w:rsid w:val="4B9B4DAA"/>
    <w:rsid w:val="4D03293E"/>
    <w:rsid w:val="4ED817CF"/>
    <w:rsid w:val="4EE90083"/>
    <w:rsid w:val="525C0CB6"/>
    <w:rsid w:val="53777C98"/>
    <w:rsid w:val="54B81BBC"/>
    <w:rsid w:val="55E05135"/>
    <w:rsid w:val="565E3895"/>
    <w:rsid w:val="57B549FC"/>
    <w:rsid w:val="5C167252"/>
    <w:rsid w:val="5D805774"/>
    <w:rsid w:val="63275C4B"/>
    <w:rsid w:val="636429FB"/>
    <w:rsid w:val="644A6117"/>
    <w:rsid w:val="654B3E73"/>
    <w:rsid w:val="6884523B"/>
    <w:rsid w:val="69622C3E"/>
    <w:rsid w:val="6A7833B8"/>
    <w:rsid w:val="76EC61C6"/>
    <w:rsid w:val="7763329E"/>
    <w:rsid w:val="782F4F2E"/>
    <w:rsid w:val="796B08A3"/>
    <w:rsid w:val="7D751DBB"/>
    <w:rsid w:val="7F4511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0"/>
    <w:pPr>
      <w:jc w:val="left"/>
    </w:pPr>
  </w:style>
  <w:style w:type="paragraph" w:styleId="3">
    <w:name w:val="footer"/>
    <w:basedOn w:val="1"/>
    <w:link w:val="13"/>
    <w:qFormat/>
    <w:uiPriority w:val="0"/>
    <w:pPr>
      <w:tabs>
        <w:tab w:val="center" w:pos="4153"/>
        <w:tab w:val="right" w:pos="8306"/>
      </w:tabs>
      <w:snapToGrid w:val="0"/>
      <w:jc w:val="left"/>
    </w:pPr>
    <w:rPr>
      <w:sz w:val="18"/>
      <w:szCs w:val="18"/>
    </w:rPr>
  </w:style>
  <w:style w:type="paragraph" w:styleId="4">
    <w:name w:val="header"/>
    <w:basedOn w:val="1"/>
    <w:link w:val="12"/>
    <w:qFormat/>
    <w:uiPriority w:val="0"/>
    <w:pP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paragraph" w:styleId="6">
    <w:name w:val="annotation subject"/>
    <w:basedOn w:val="2"/>
    <w:next w:val="2"/>
    <w:link w:val="15"/>
    <w:qFormat/>
    <w:uiPriority w:val="0"/>
    <w:rPr>
      <w:b/>
      <w:bCs/>
    </w:rPr>
  </w:style>
  <w:style w:type="character" w:styleId="9">
    <w:name w:val="Strong"/>
    <w:basedOn w:val="8"/>
    <w:qFormat/>
    <w:uiPriority w:val="0"/>
    <w:rPr>
      <w:b/>
    </w:rPr>
  </w:style>
  <w:style w:type="character" w:styleId="10">
    <w:name w:val="HTML Code"/>
    <w:basedOn w:val="8"/>
    <w:qFormat/>
    <w:uiPriority w:val="0"/>
    <w:rPr>
      <w:rFonts w:ascii="Courier New" w:hAnsi="Courier New"/>
      <w:sz w:val="20"/>
    </w:rPr>
  </w:style>
  <w:style w:type="character" w:styleId="11">
    <w:name w:val="annotation reference"/>
    <w:basedOn w:val="8"/>
    <w:qFormat/>
    <w:uiPriority w:val="0"/>
    <w:rPr>
      <w:sz w:val="21"/>
      <w:szCs w:val="21"/>
    </w:rPr>
  </w:style>
  <w:style w:type="character" w:customStyle="1" w:styleId="12">
    <w:name w:val="页眉 字符"/>
    <w:basedOn w:val="8"/>
    <w:link w:val="4"/>
    <w:qFormat/>
    <w:uiPriority w:val="0"/>
    <w:rPr>
      <w:kern w:val="2"/>
      <w:sz w:val="18"/>
      <w:szCs w:val="18"/>
    </w:rPr>
  </w:style>
  <w:style w:type="character" w:customStyle="1" w:styleId="13">
    <w:name w:val="页脚 字符"/>
    <w:basedOn w:val="8"/>
    <w:link w:val="3"/>
    <w:qFormat/>
    <w:uiPriority w:val="0"/>
    <w:rPr>
      <w:kern w:val="2"/>
      <w:sz w:val="18"/>
      <w:szCs w:val="18"/>
    </w:rPr>
  </w:style>
  <w:style w:type="character" w:customStyle="1" w:styleId="14">
    <w:name w:val="批注文字 字符"/>
    <w:basedOn w:val="8"/>
    <w:link w:val="2"/>
    <w:qFormat/>
    <w:uiPriority w:val="0"/>
    <w:rPr>
      <w:kern w:val="2"/>
      <w:sz w:val="21"/>
      <w:szCs w:val="24"/>
    </w:rPr>
  </w:style>
  <w:style w:type="character" w:customStyle="1" w:styleId="15">
    <w:name w:val="批注主题 字符"/>
    <w:basedOn w:val="14"/>
    <w:link w:val="6"/>
    <w:qFormat/>
    <w:uiPriority w:val="0"/>
    <w:rPr>
      <w:b/>
      <w:bCs/>
      <w:kern w:val="2"/>
      <w:sz w:val="21"/>
      <w:szCs w:val="24"/>
    </w:rPr>
  </w:style>
  <w:style w:type="paragraph" w:customStyle="1" w:styleId="16">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7">
    <w:name w:val="修订2"/>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8">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459</Words>
  <Characters>2894</Characters>
  <Lines>239</Lines>
  <Paragraphs>56</Paragraphs>
  <TotalTime>11</TotalTime>
  <ScaleCrop>false</ScaleCrop>
  <LinksUpToDate>false</LinksUpToDate>
  <CharactersWithSpaces>3343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2026-04-18T14:55:00Z</dcterms:created>
  <dc:creator>米赖赖</dc:creator>
  <cp:lastModifiedBy>米赖赖</cp:lastModifiedBy>
  <dcterms:modified xsi:type="dcterms:W3CDTF">2026-07-23T01:43:27Z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CE19ED16EE074BAD8E520801C26DAA8B_13</vt:lpwstr>
  </property>
  <property fmtid="{D5CDD505-2E9C-101B-9397-08002B2CF9AE}" pid="4" name="KSOTemplateDocerSaveRecord">
    <vt:lpwstr>eyJoZGlkIjoiNTU0ZmIwYTQ3NzlmZGUxZmU3Zjk0M2IyZTNmM2IxNjAiLCJ1c2VySWQiOiI0MjI0NDgxNjgifQ==</vt:lpwstr>
  </property>
</Properties>
</file>