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188A0">
      <w:pPr>
        <w:pBdr>
          <w:top w:val="none" w:color="000000" w:sz="0" w:space="0"/>
          <w:left w:val="none" w:color="000000" w:sz="0" w:space="0"/>
          <w:bottom w:val="none" w:color="000000" w:sz="0" w:space="0"/>
          <w:right w:val="none" w:color="000000" w:sz="0" w:space="0"/>
        </w:pBdr>
        <w:spacing w:line="360" w:lineRule="auto"/>
        <w:jc w:val="center"/>
        <w:rPr>
          <w:rFonts w:hint="eastAsia"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Additional file 3: Tables S1–S9</w:t>
      </w:r>
    </w:p>
    <w:p w14:paraId="194188A0">
      <w:pPr>
        <w:pBdr>
          <w:top w:val="none" w:color="000000" w:sz="0" w:space="0"/>
          <w:left w:val="none" w:color="000000" w:sz="0" w:space="0"/>
          <w:bottom w:val="none" w:color="000000" w:sz="0" w:space="0"/>
          <w:right w:val="none" w:color="000000" w:sz="0" w:space="0"/>
        </w:pBdr>
        <w:spacing w:line="360" w:lineRule="auto"/>
        <w:jc w:val="center"/>
        <w:rPr>
          <w:rFonts w:hint="eastAsia"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 xml:space="preserve">Table S1.</w:t>
      </w:r>
      <w:r>
        <w:rPr>
          <w:rFonts w:hint="eastAsia" w:ascii="Times New Roman" w:hAnsi="Times New Roman" w:eastAsia="宋体" w:cs="Times New Roman"/>
          <w:b/>
          <w:color w:val="000000"/>
          <w:sz w:val="21"/>
          <w:szCs w:val="21"/>
          <w:lang w:eastAsia="zh-CN"/>
        </w:rPr>
        <w:t/>
      </w:r>
      <w:r>
        <w:rPr>
          <w:rFonts w:ascii="Times New Roman" w:hAnsi="Times New Roman" w:eastAsia="Times New Roman" w:cs="Times New Roman"/>
          <w:b/>
          <w:color w:val="000000"/>
          <w:sz w:val="21"/>
          <w:szCs w:val="21"/>
        </w:rPr>
        <w:t xml:space="preserve"> </w:t>
      </w:r>
      <w:r>
        <w:rPr>
          <w:rFonts w:hint="eastAsia" w:ascii="Times New Roman" w:hAnsi="Times New Roman" w:eastAsia="Times New Roman" w:cs="Times New Roman"/>
          <w:b/>
          <w:color w:val="000000"/>
          <w:sz w:val="21"/>
          <w:szCs w:val="21"/>
        </w:rPr>
        <w:t>Temporally separated recalibration performance of candidate models.</w:t>
      </w:r>
    </w:p>
    <w:p w14:paraId="3D2C3902">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 xml:space="preserve">Panel A. </w:t>
      </w:r>
      <w:r>
        <w:rPr>
          <w:rFonts w:hint="eastAsia" w:ascii="Times New Roman" w:hAnsi="Times New Roman" w:eastAsia="Times New Roman" w:cs="Times New Roman"/>
          <w:b/>
          <w:color w:val="000000"/>
          <w:sz w:val="21"/>
          <w:szCs w:val="21"/>
        </w:rPr>
        <w:t>Performance in the after-COVID cohort using recalibration parameters estimated in the during-COVID cohort</w:t>
      </w:r>
      <w:r>
        <w:rPr>
          <w:rFonts w:ascii="Times New Roman" w:hAnsi="Times New Roman" w:eastAsia="Times New Roman" w:cs="Times New Roman"/>
          <w:b/>
          <w:color w:val="000000"/>
          <w:sz w:val="21"/>
          <w:szCs w:val="21"/>
        </w:rPr>
        <w:t>.</w:t>
      </w:r>
    </w:p>
    <w:tbl>
      <w:tblPr>
        <w:tblStyle w:val="10"/>
        <w:tblW w:w="4998" w:type="pct"/>
        <w:jc w:val="center"/>
        <w:tblLayout w:type="autofit"/>
        <w:tblCellMar>
          <w:top w:w="0" w:type="dxa"/>
          <w:left w:w="108" w:type="dxa"/>
          <w:bottom w:w="0" w:type="dxa"/>
          <w:right w:w="108" w:type="dxa"/>
        </w:tblCellMar>
      </w:tblPr>
      <w:tblGrid>
        <w:gridCol w:w="1940"/>
        <w:gridCol w:w="3063"/>
        <w:gridCol w:w="2068"/>
        <w:gridCol w:w="2068"/>
        <w:gridCol w:w="2261"/>
        <w:gridCol w:w="2068"/>
        <w:gridCol w:w="2068"/>
      </w:tblGrid>
      <w:tr w14:paraId="0F12FB68">
        <w:trPr>
          <w:tblHeader/>
          <w:jc w:val="center"/>
        </w:trPr>
        <w:tc>
          <w:tcPr>
            <w:tcW w:w="62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76C4CC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Model</w:t>
            </w:r>
          </w:p>
        </w:tc>
        <w:tc>
          <w:tcPr>
            <w:tcW w:w="98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F2EE2C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Model strategy</w:t>
            </w:r>
          </w:p>
        </w:tc>
        <w:tc>
          <w:tcPr>
            <w:tcW w:w="66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75CAE0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AUC</w:t>
            </w:r>
          </w:p>
        </w:tc>
        <w:tc>
          <w:tcPr>
            <w:tcW w:w="66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7B4ED1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Brier</w:t>
            </w:r>
          </w:p>
        </w:tc>
        <w:tc>
          <w:tcPr>
            <w:tcW w:w="72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5DA7D8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Cal Int</w:t>
            </w:r>
          </w:p>
        </w:tc>
        <w:tc>
          <w:tcPr>
            <w:tcW w:w="66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EC27D5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Cal Slope</w:t>
            </w:r>
          </w:p>
        </w:tc>
        <w:tc>
          <w:tcPr>
            <w:tcW w:w="66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86A66A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hint="eastAsia" w:ascii="Times New Roman" w:hAnsi="Times New Roman" w:eastAsia="宋体" w:cs="Times New Roman"/>
                <w:b/>
                <w:color w:val="000000"/>
                <w:sz w:val="15"/>
                <w:szCs w:val="15"/>
                <w:lang w:eastAsia="zh-CN"/>
              </w:rPr>
            </w:pPr>
            <w:r>
              <w:rPr>
                <w:rFonts w:hint="eastAsia" w:ascii="Times New Roman" w:hAnsi="Times New Roman" w:eastAsia="宋体" w:cs="Times New Roman"/>
                <w:b/>
                <w:color w:val="000000"/>
                <w:sz w:val="15"/>
                <w:szCs w:val="15"/>
                <w:lang w:eastAsia="zh-CN"/>
              </w:rPr>
              <w:t>O/E</w:t>
            </w:r>
          </w:p>
        </w:tc>
      </w:tr>
      <w:tr w14:paraId="1273DCB7">
        <w:tblPrEx>
          <w:tblCellMar>
            <w:top w:w="0" w:type="dxa"/>
            <w:left w:w="108" w:type="dxa"/>
            <w:bottom w:w="0" w:type="dxa"/>
            <w:right w:w="108" w:type="dxa"/>
          </w:tblCellMar>
        </w:tblPrEx>
        <w:trPr>
          <w:jc w:val="center"/>
        </w:trPr>
        <w:tc>
          <w:tcPr>
            <w:tcW w:w="624" w:type="pct"/>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E1D30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Logistic regression</w:t>
            </w:r>
          </w:p>
        </w:tc>
        <w:tc>
          <w:tcPr>
            <w:tcW w:w="98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324C6D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Original model</w:t>
            </w:r>
          </w:p>
        </w:tc>
        <w:tc>
          <w:tcPr>
            <w:tcW w:w="66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509EA4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0.641 (0.575–0.704)</w:t>
            </w:r>
          </w:p>
        </w:tc>
        <w:tc>
          <w:tcPr>
            <w:tcW w:w="66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45EB6B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(0.074–0.110)</w:t>
            </w:r>
          </w:p>
        </w:tc>
        <w:tc>
          <w:tcPr>
            <w:tcW w:w="72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967C5A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-0.373 (-1.217–0.415)</w:t>
            </w:r>
          </w:p>
        </w:tc>
        <w:tc>
          <w:tcPr>
            <w:tcW w:w="66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11FD30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0.604 (0.329–0.881)</w:t>
            </w:r>
          </w:p>
        </w:tc>
        <w:tc>
          <w:tcPr>
            <w:tcW w:w="66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444DB0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1.848 (1.479–2.237)</w:t>
            </w:r>
          </w:p>
        </w:tc>
      </w:tr>
      <w:tr w14:paraId="6DD0FD8B">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0F8D949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42E1BE5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FCFA0B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0.641 (0.574–0.704)</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902F3F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(0.077–0.107)</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19EF168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-0.938 (-1.549–-0.381)</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075463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0.604 (0.329–0.879)</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1126A1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0.834 (0.670–1.009)</w:t>
            </w:r>
          </w:p>
        </w:tc>
      </w:tr>
      <w:tr w14:paraId="569A294E">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7463121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1CAE927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and slope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07FC18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0.641 (0.576–0.706)</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1E791F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0.090 (0.076–0.105)</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5A7FF2C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-0.447 (-1.225–0.353)</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7BE10B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0.896 (0.501–1.326)</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E7BD04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0.802 (0.646–0.970)</w:t>
            </w:r>
          </w:p>
        </w:tc>
      </w:tr>
      <w:tr w14:paraId="39C36603">
        <w:tblPrEx>
          <w:tblCellMar>
            <w:top w:w="0" w:type="dxa"/>
            <w:left w:w="108" w:type="dxa"/>
            <w:bottom w:w="0" w:type="dxa"/>
            <w:right w:w="108" w:type="dxa"/>
          </w:tblCellMar>
        </w:tblPrEx>
        <w:trPr>
          <w:jc w:val="center"/>
        </w:trPr>
        <w:tc>
          <w:tcPr>
            <w:tcW w:w="624" w:type="pct"/>
            <w:vMerge w:val="restart"/>
            <w:tcBorders>
              <w:top w:val="nil"/>
              <w:left w:val="nil"/>
              <w:bottom w:val="nil"/>
              <w:right w:val="nil"/>
            </w:tcBorders>
            <w:shd w:val="clear" w:color="auto" w:fill="FFFFFF"/>
            <w:tcMar>
              <w:top w:w="0" w:type="dxa"/>
              <w:left w:w="0" w:type="dxa"/>
              <w:bottom w:w="0" w:type="dxa"/>
              <w:right w:w="0" w:type="dxa"/>
            </w:tcMar>
            <w:vAlign w:val="center"/>
          </w:tcPr>
          <w:p w14:paraId="61CB31E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LASSO</w:t>
            </w: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49BE6CF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Original model</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FA44D7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(0.538–0.692)</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38A9A7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(0.074–0.110)</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609658A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-0.286 (-1.356–0.816)</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08675B8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0.661 (0.296–1.088)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5034D5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1.746 (1.382–2.155)</w:t>
            </w:r>
          </w:p>
        </w:tc>
      </w:tr>
      <w:tr w14:paraId="1F740444">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346FB29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6C6B1F0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8AF425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(0.538–0.691)</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1C956CC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(0.076–0.107)</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246C0BA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-0.883 (-1.642–-0.115)</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2FD1E3F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0.661 (0.300–1.093)</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D5E8F9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0.795 (0.630–0.969)</w:t>
            </w:r>
          </w:p>
        </w:tc>
      </w:tr>
      <w:tr w14:paraId="75192D7B">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0F4B808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0BDE00C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and slope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2F210C0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(0.537–0.692)</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957B15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0.090 (0.076–0.106)</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5F9C1E0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-0.479 (-1.481–0.491)</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84B2C4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0.896 (0.380–1.443)</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B3D0C8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0.779 (0.624–0.943)</w:t>
            </w:r>
          </w:p>
        </w:tc>
      </w:tr>
      <w:tr w14:paraId="53E5A2B3">
        <w:tblPrEx>
          <w:tblCellMar>
            <w:top w:w="0" w:type="dxa"/>
            <w:left w:w="108" w:type="dxa"/>
            <w:bottom w:w="0" w:type="dxa"/>
            <w:right w:w="108" w:type="dxa"/>
          </w:tblCellMar>
        </w:tblPrEx>
        <w:trPr>
          <w:jc w:val="center"/>
        </w:trPr>
        <w:tc>
          <w:tcPr>
            <w:tcW w:w="624" w:type="pct"/>
            <w:vMerge w:val="restart"/>
            <w:tcBorders>
              <w:top w:val="nil"/>
              <w:left w:val="nil"/>
              <w:bottom w:val="nil"/>
              <w:right w:val="nil"/>
            </w:tcBorders>
            <w:shd w:val="clear" w:color="auto" w:fill="FFFFFF"/>
            <w:tcMar>
              <w:top w:w="0" w:type="dxa"/>
              <w:left w:w="0" w:type="dxa"/>
              <w:bottom w:w="0" w:type="dxa"/>
              <w:right w:w="0" w:type="dxa"/>
            </w:tcMar>
            <w:vAlign w:val="center"/>
          </w:tcPr>
          <w:p w14:paraId="0966F4A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Elastic Net</w:t>
            </w: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2A1CD7A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Original model</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199273E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(0.535–0.689)</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0ED5E5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(0.074–0.110)</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7433987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-0.078 (-1.290–1.384)</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652016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0.745 (0.331–1.309)</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2C87AB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1.721 (1.357–2.137)</w:t>
            </w:r>
          </w:p>
        </w:tc>
      </w:tr>
      <w:tr w14:paraId="5B94DD68">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4B984DE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16D0E7B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A03638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(0.538–0.688)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0ABA04B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0.091 (0.077–0.107)</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6BD33A4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-0.738 (-1.559–0.269)</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0EE584D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0.745 (0.327–1.307)</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10A079B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0.791 (0.623–0.970)</w:t>
            </w:r>
          </w:p>
        </w:tc>
      </w:tr>
      <w:tr w14:paraId="1083BA84">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4F4914F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15114BC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and slope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8E488F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0.616 (0.537–0.691)</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CAB5C9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0.090 (0.076–0.106)</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49EC425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-0.489 (-1.459–0.464)</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B2FDA5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0.891 (0.405–1.416)</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2BA4B0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0.778 (0.625–0.942)</w:t>
            </w:r>
          </w:p>
        </w:tc>
      </w:tr>
      <w:tr w14:paraId="23519E9C">
        <w:tblPrEx>
          <w:tblCellMar>
            <w:top w:w="0" w:type="dxa"/>
            <w:left w:w="108" w:type="dxa"/>
            <w:bottom w:w="0" w:type="dxa"/>
            <w:right w:w="108" w:type="dxa"/>
          </w:tblCellMar>
        </w:tblPrEx>
        <w:trPr>
          <w:jc w:val="center"/>
        </w:trPr>
        <w:tc>
          <w:tcPr>
            <w:tcW w:w="624" w:type="pct"/>
            <w:vMerge w:val="restart"/>
            <w:tcBorders>
              <w:top w:val="nil"/>
              <w:left w:val="nil"/>
              <w:bottom w:val="nil"/>
              <w:right w:val="nil"/>
            </w:tcBorders>
            <w:shd w:val="clear" w:color="auto" w:fill="FFFFFF"/>
            <w:tcMar>
              <w:top w:w="0" w:type="dxa"/>
              <w:left w:w="0" w:type="dxa"/>
              <w:bottom w:w="0" w:type="dxa"/>
              <w:right w:w="0" w:type="dxa"/>
            </w:tcMar>
            <w:vAlign w:val="center"/>
          </w:tcPr>
          <w:p w14:paraId="5BED572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Random forest</w:t>
            </w: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217E43C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Original model</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76EC97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0.629 (0.561–0.697)</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7F5188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0.089 (0.073–0.107)</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3E1BC14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-0.904 (-1.771–-0.065)</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A08184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0.431 (0.133–0.728)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14E4F6F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1.590 (1.184–2.079)</w:t>
            </w:r>
          </w:p>
        </w:tc>
      </w:tr>
      <w:tr w14:paraId="1BB4F987">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0BADDE7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40B365A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2FD082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0.629 (0.561–0.697)</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78360EC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0.093 (0.079–0.108)</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3F6F9C1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-1.306 (-1.918–-0.768)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1DA567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0.431 (0.139–0.733)</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44D1159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0.738 (0.593–0.889)</w:t>
            </w:r>
          </w:p>
        </w:tc>
      </w:tr>
      <w:tr w14:paraId="66F45F45">
        <w:tblPrEx>
          <w:tblCellMar>
            <w:top w:w="0" w:type="dxa"/>
            <w:left w:w="108" w:type="dxa"/>
            <w:bottom w:w="0" w:type="dxa"/>
            <w:right w:w="108" w:type="dxa"/>
          </w:tblCellMar>
        </w:tblPrEx>
        <w:trPr>
          <w:jc w:val="center"/>
        </w:trPr>
        <w:tc>
          <w:tcPr>
            <w:tcW w:w="624" w:type="pct"/>
            <w:vMerge w:val="continue"/>
            <w:tcBorders>
              <w:top w:val="nil"/>
              <w:left w:val="nil"/>
              <w:bottom w:val="nil"/>
              <w:right w:val="nil"/>
            </w:tcBorders>
            <w:shd w:val="clear" w:color="auto" w:fill="FFFFFF"/>
            <w:tcMar>
              <w:top w:w="0" w:type="dxa"/>
              <w:left w:w="0" w:type="dxa"/>
              <w:bottom w:w="0" w:type="dxa"/>
              <w:right w:w="0" w:type="dxa"/>
            </w:tcMar>
            <w:vAlign w:val="center"/>
          </w:tcPr>
          <w:p w14:paraId="31E5BB0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5B8F5B7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and slope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CF7602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0.629 (0.559–0.698)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218B836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0.092 (0.078–0.108)</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4948232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-1.225 (-1.905–-0.675)</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89F69C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0.485 (0.145–0.801)</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8B5D6E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0.737 (0.589–0.897)</w:t>
            </w:r>
          </w:p>
        </w:tc>
      </w:tr>
      <w:tr w14:paraId="3A08478C">
        <w:tblPrEx>
          <w:tblCellMar>
            <w:top w:w="0" w:type="dxa"/>
            <w:left w:w="108" w:type="dxa"/>
            <w:bottom w:w="0" w:type="dxa"/>
            <w:right w:w="108" w:type="dxa"/>
          </w:tblCellMar>
        </w:tblPrEx>
        <w:trPr>
          <w:jc w:val="center"/>
        </w:trPr>
        <w:tc>
          <w:tcPr>
            <w:tcW w:w="624" w:type="pct"/>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5742FB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SVM</w:t>
            </w: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6AB282F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Original model</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6CFFD1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0.571 (0.504–0.637)</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1AB0E53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0.094 (0.076–0.112)</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53B8087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-1.293 (-2.146–-0.366)</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3F9C88B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0.315 (0.030–0.649)</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CCF166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1.557 (1.232–1.912)</w:t>
            </w:r>
          </w:p>
        </w:tc>
      </w:tr>
      <w:tr w14:paraId="7A4B37E7">
        <w:tblPrEx>
          <w:tblCellMar>
            <w:top w:w="0" w:type="dxa"/>
            <w:left w:w="108" w:type="dxa"/>
            <w:bottom w:w="0" w:type="dxa"/>
            <w:right w:w="108" w:type="dxa"/>
          </w:tblCellMar>
        </w:tblPrEx>
        <w:trPr>
          <w:jc w:val="center"/>
        </w:trPr>
        <w:tc>
          <w:tcPr>
            <w:tcW w:w="624" w:type="pct"/>
            <w:vMerge w:val="continue"/>
            <w:tcBorders>
              <w:top w:val="single" w:color="666666" w:sz="12" w:space="0"/>
              <w:left w:val="nil"/>
              <w:bottom w:val="nil"/>
              <w:right w:val="nil"/>
            </w:tcBorders>
            <w:shd w:val="clear" w:color="auto" w:fill="FFFFFF"/>
            <w:tcMar>
              <w:top w:w="0" w:type="dxa"/>
              <w:left w:w="0" w:type="dxa"/>
              <w:bottom w:w="0" w:type="dxa"/>
              <w:right w:w="0" w:type="dxa"/>
            </w:tcMar>
            <w:vAlign w:val="center"/>
          </w:tcPr>
          <w:p w14:paraId="279D3A4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nil"/>
              <w:right w:val="nil"/>
            </w:tcBorders>
            <w:shd w:val="clear" w:color="auto" w:fill="FFFFFF"/>
            <w:tcMar>
              <w:top w:w="0" w:type="dxa"/>
              <w:left w:w="0" w:type="dxa"/>
              <w:bottom w:w="0" w:type="dxa"/>
              <w:right w:w="0" w:type="dxa"/>
            </w:tcMar>
            <w:vAlign w:val="center"/>
          </w:tcPr>
          <w:p w14:paraId="2E8A40E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recalibration</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388459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0.571 (0.503–0.637)</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DC2BFA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0.096 (0.081–0.112)</w:t>
            </w:r>
          </w:p>
        </w:tc>
        <w:tc>
          <w:tcPr>
            <w:tcW w:w="727" w:type="pct"/>
            <w:tcBorders>
              <w:top w:val="nil"/>
              <w:left w:val="nil"/>
              <w:bottom w:val="nil"/>
              <w:right w:val="nil"/>
            </w:tcBorders>
            <w:shd w:val="clear" w:color="auto" w:fill="FFFFFF"/>
            <w:tcMar>
              <w:top w:w="0" w:type="dxa"/>
              <w:left w:w="0" w:type="dxa"/>
              <w:bottom w:w="0" w:type="dxa"/>
              <w:right w:w="0" w:type="dxa"/>
            </w:tcMar>
            <w:vAlign w:val="center"/>
          </w:tcPr>
          <w:p w14:paraId="7AE9B20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-1.554 (-2.172–-0.918)</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6EBFB31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0.315 (0.035–0.645)</w:t>
            </w:r>
          </w:p>
        </w:tc>
        <w:tc>
          <w:tcPr>
            <w:tcW w:w="665" w:type="pct"/>
            <w:tcBorders>
              <w:top w:val="nil"/>
              <w:left w:val="nil"/>
              <w:bottom w:val="nil"/>
              <w:right w:val="nil"/>
            </w:tcBorders>
            <w:shd w:val="clear" w:color="auto" w:fill="FFFFFF"/>
            <w:tcMar>
              <w:top w:w="0" w:type="dxa"/>
              <w:left w:w="0" w:type="dxa"/>
              <w:bottom w:w="0" w:type="dxa"/>
              <w:right w:w="0" w:type="dxa"/>
            </w:tcMar>
            <w:vAlign w:val="center"/>
          </w:tcPr>
          <w:p w14:paraId="5FB8F39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0.766 (0.613–0.928)</w:t>
            </w:r>
          </w:p>
        </w:tc>
      </w:tr>
      <w:tr w14:paraId="5B1073BC">
        <w:tblPrEx>
          <w:tblCellMar>
            <w:top w:w="0" w:type="dxa"/>
            <w:left w:w="108" w:type="dxa"/>
            <w:bottom w:w="0" w:type="dxa"/>
            <w:right w:w="108" w:type="dxa"/>
          </w:tblCellMar>
        </w:tblPrEx>
        <w:trPr>
          <w:jc w:val="center"/>
        </w:trPr>
        <w:tc>
          <w:tcPr>
            <w:tcW w:w="624" w:type="pct"/>
            <w:vMerge w:val="continue"/>
            <w:tcBorders>
              <w:top w:val="nil"/>
              <w:left w:val="nil"/>
              <w:bottom w:val="single" w:color="666666" w:sz="12" w:space="0"/>
              <w:right w:val="nil"/>
            </w:tcBorders>
            <w:shd w:val="clear" w:color="auto" w:fill="FFFFFF"/>
            <w:tcMar>
              <w:top w:w="0" w:type="dxa"/>
              <w:left w:w="0" w:type="dxa"/>
              <w:bottom w:w="0" w:type="dxa"/>
              <w:right w:w="0" w:type="dxa"/>
            </w:tcMar>
            <w:vAlign w:val="center"/>
          </w:tcPr>
          <w:p w14:paraId="5E39903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p>
        </w:tc>
        <w:tc>
          <w:tcPr>
            <w:tcW w:w="98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70C94F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Intercept and slope recalibration</w:t>
            </w:r>
          </w:p>
        </w:tc>
        <w:tc>
          <w:tcPr>
            <w:tcW w:w="66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FDB21A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0.571 (0.503–0.639)</w:t>
            </w:r>
          </w:p>
        </w:tc>
        <w:tc>
          <w:tcPr>
            <w:tcW w:w="66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A7D8A4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0.096 (0.081–0.111)</w:t>
            </w:r>
          </w:p>
        </w:tc>
        <w:tc>
          <w:tcPr>
            <w:tcW w:w="72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FD8513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-1.544 (-2.176–-0.852)</w:t>
            </w:r>
          </w:p>
        </w:tc>
        <w:tc>
          <w:tcPr>
            <w:tcW w:w="66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40F20C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0.321 (0.027–0.682)</w:t>
            </w:r>
          </w:p>
        </w:tc>
        <w:tc>
          <w:tcPr>
            <w:tcW w:w="66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CE651A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0.768 (0.610–0.931)</w:t>
            </w:r>
          </w:p>
        </w:tc>
      </w:tr>
    </w:tbl>
    <w:p w14:paraId="422034A4">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181332BB">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05C8A635">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58E6A505">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61888B70">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0D9047DF">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20EF25A8">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p>
    <w:p w14:paraId="26373961">
      <w:pPr>
        <w:jc w:val="center"/>
        <w:rPr>
          <w:sz w:val="21"/>
          <w:szCs w:val="21"/>
        </w:rPr>
      </w:pPr>
      <w:r>
        <w:rPr>
          <w:rFonts w:ascii="Times New Roman" w:hAnsi="Times New Roman" w:eastAsia="Times New Roman" w:cs="Times New Roman"/>
          <w:b/>
          <w:color w:val="000000"/>
          <w:sz w:val="21"/>
          <w:szCs w:val="21"/>
        </w:rPr>
        <w:t xml:space="preserve">Panel B. </w:t>
      </w:r>
      <w:r>
        <w:rPr>
          <w:rFonts w:hint="eastAsia" w:ascii="Times New Roman" w:hAnsi="Times New Roman" w:eastAsia="Times New Roman" w:cs="Times New Roman"/>
          <w:b/>
          <w:color w:val="000000"/>
          <w:sz w:val="21"/>
          <w:szCs w:val="21"/>
        </w:rPr>
        <w:t>Recalibration parameters estimated in the during-COVID cohort</w:t>
      </w:r>
      <w:r>
        <w:rPr>
          <w:rFonts w:ascii="Times New Roman" w:hAnsi="Times New Roman" w:eastAsia="Times New Roman" w:cs="Times New Roman"/>
          <w:b/>
          <w:color w:val="000000"/>
          <w:sz w:val="21"/>
          <w:szCs w:val="21"/>
        </w:rPr>
        <w:t>.</w:t>
      </w:r>
    </w:p>
    <w:tbl>
      <w:tblPr>
        <w:tblStyle w:val="10"/>
        <w:tblpPr w:leftFromText="180" w:rightFromText="180" w:vertAnchor="text" w:horzAnchor="page" w:tblpX="718" w:tblpY="80"/>
        <w:tblOverlap w:val="never"/>
        <w:tblW w:w="4998" w:type="pct"/>
        <w:jc w:val="center"/>
        <w:tblLayout w:type="autofit"/>
        <w:tblCellMar>
          <w:top w:w="0" w:type="dxa"/>
          <w:left w:w="108" w:type="dxa"/>
          <w:bottom w:w="0" w:type="dxa"/>
          <w:right w:w="108" w:type="dxa"/>
        </w:tblCellMar>
      </w:tblPr>
      <w:tblGrid>
        <w:gridCol w:w="2108"/>
        <w:gridCol w:w="3342"/>
        <w:gridCol w:w="3861"/>
        <w:gridCol w:w="3756"/>
        <w:gridCol w:w="2469"/>
      </w:tblGrid>
      <w:tr w14:paraId="05DC269E">
        <w:tblPrEx>
          <w:tblCellMar>
            <w:top w:w="0" w:type="dxa"/>
            <w:left w:w="108" w:type="dxa"/>
            <w:bottom w:w="0" w:type="dxa"/>
            <w:right w:w="108" w:type="dxa"/>
          </w:tblCellMar>
        </w:tblPrEx>
        <w:trPr>
          <w:tblHeader/>
          <w:jc w:val="center"/>
        </w:trPr>
        <w:tc>
          <w:tcPr>
            <w:tcW w:w="67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E2CE45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Model</w:t>
            </w:r>
          </w:p>
        </w:tc>
        <w:tc>
          <w:tcPr>
            <w:tcW w:w="107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839308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Intercept only alpha, mean ± SD</w:t>
            </w:r>
          </w:p>
        </w:tc>
        <w:tc>
          <w:tcPr>
            <w:tcW w:w="1242"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BE074A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Intercept and slope alpha, mean ± SD</w:t>
            </w:r>
          </w:p>
        </w:tc>
        <w:tc>
          <w:tcPr>
            <w:tcW w:w="120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8EA0C7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Intercept and slope beta, mean ± SD</w:t>
            </w:r>
          </w:p>
        </w:tc>
        <w:tc>
          <w:tcPr>
            <w:tcW w:w="79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D9641B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Number of imputations</w:t>
            </w:r>
          </w:p>
        </w:tc>
      </w:tr>
      <w:tr w14:paraId="2CC9E7B3">
        <w:tblPrEx>
          <w:tblCellMar>
            <w:top w:w="0" w:type="dxa"/>
            <w:left w:w="108" w:type="dxa"/>
            <w:bottom w:w="0" w:type="dxa"/>
            <w:right w:w="108" w:type="dxa"/>
          </w:tblCellMar>
        </w:tblPrEx>
        <w:trPr>
          <w:jc w:val="center"/>
        </w:trPr>
        <w:tc>
          <w:tcPr>
            <w:tcW w:w="67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4DD34A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Logistic regression</w:t>
            </w:r>
          </w:p>
        </w:tc>
        <w:tc>
          <w:tcPr>
            <w:tcW w:w="107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8F3B98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0.936 ± 0.008</w:t>
            </w:r>
          </w:p>
        </w:tc>
        <w:tc>
          <w:tcPr>
            <w:tcW w:w="1242"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83C353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0.083 ± 0.025</w:t>
            </w:r>
          </w:p>
        </w:tc>
        <w:tc>
          <w:tcPr>
            <w:tcW w:w="120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F4D009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0.674 ± 0.010</w:t>
            </w:r>
          </w:p>
        </w:tc>
        <w:tc>
          <w:tcPr>
            <w:tcW w:w="79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2533C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w:t>
            </w:r>
          </w:p>
        </w:tc>
      </w:tr>
      <w:tr w14:paraId="2FDFD1E7">
        <w:tblPrEx>
          <w:tblCellMar>
            <w:top w:w="0" w:type="dxa"/>
            <w:left w:w="108" w:type="dxa"/>
            <w:bottom w:w="0" w:type="dxa"/>
            <w:right w:w="108" w:type="dxa"/>
          </w:tblCellMar>
        </w:tblPrEx>
        <w:trPr>
          <w:jc w:val="center"/>
        </w:trPr>
        <w:tc>
          <w:tcPr>
            <w:tcW w:w="678" w:type="pct"/>
            <w:tcBorders>
              <w:top w:val="nil"/>
              <w:left w:val="nil"/>
              <w:bottom w:val="nil"/>
              <w:right w:val="nil"/>
            </w:tcBorders>
            <w:shd w:val="clear" w:color="auto" w:fill="FFFFFF"/>
            <w:tcMar>
              <w:top w:w="0" w:type="dxa"/>
              <w:left w:w="0" w:type="dxa"/>
              <w:bottom w:w="0" w:type="dxa"/>
              <w:right w:w="0" w:type="dxa"/>
            </w:tcMar>
            <w:vAlign w:val="center"/>
          </w:tcPr>
          <w:p w14:paraId="0154F5F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LASSO</w:t>
            </w:r>
          </w:p>
        </w:tc>
        <w:tc>
          <w:tcPr>
            <w:tcW w:w="1075" w:type="pct"/>
            <w:tcBorders>
              <w:top w:val="nil"/>
              <w:left w:val="nil"/>
              <w:bottom w:val="nil"/>
              <w:right w:val="nil"/>
            </w:tcBorders>
            <w:shd w:val="clear" w:color="auto" w:fill="FFFFFF"/>
            <w:tcMar>
              <w:top w:w="0" w:type="dxa"/>
              <w:left w:w="0" w:type="dxa"/>
              <w:bottom w:w="0" w:type="dxa"/>
              <w:right w:w="0" w:type="dxa"/>
            </w:tcMar>
            <w:vAlign w:val="center"/>
          </w:tcPr>
          <w:p w14:paraId="761C0B8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0.905 ± 0.025</w:t>
            </w:r>
          </w:p>
        </w:tc>
        <w:tc>
          <w:tcPr>
            <w:tcW w:w="1242" w:type="pct"/>
            <w:tcBorders>
              <w:top w:val="nil"/>
              <w:left w:val="nil"/>
              <w:bottom w:val="nil"/>
              <w:right w:val="nil"/>
            </w:tcBorders>
            <w:shd w:val="clear" w:color="auto" w:fill="FFFFFF"/>
            <w:tcMar>
              <w:top w:w="0" w:type="dxa"/>
              <w:left w:w="0" w:type="dxa"/>
              <w:bottom w:w="0" w:type="dxa"/>
              <w:right w:w="0" w:type="dxa"/>
            </w:tcMar>
            <w:vAlign w:val="center"/>
          </w:tcPr>
          <w:p w14:paraId="172E8C9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0.217 ± 0.079</w:t>
            </w:r>
          </w:p>
        </w:tc>
        <w:tc>
          <w:tcPr>
            <w:tcW w:w="1208" w:type="pct"/>
            <w:tcBorders>
              <w:top w:val="nil"/>
              <w:left w:val="nil"/>
              <w:bottom w:val="nil"/>
              <w:right w:val="nil"/>
            </w:tcBorders>
            <w:shd w:val="clear" w:color="auto" w:fill="FFFFFF"/>
            <w:tcMar>
              <w:top w:w="0" w:type="dxa"/>
              <w:left w:w="0" w:type="dxa"/>
              <w:bottom w:w="0" w:type="dxa"/>
              <w:right w:w="0" w:type="dxa"/>
            </w:tcMar>
            <w:vAlign w:val="center"/>
          </w:tcPr>
          <w:p w14:paraId="2538CE7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0.738 ± 0.037</w:t>
            </w:r>
          </w:p>
        </w:tc>
        <w:tc>
          <w:tcPr>
            <w:tcW w:w="794" w:type="pct"/>
            <w:tcBorders>
              <w:top w:val="nil"/>
              <w:left w:val="nil"/>
              <w:bottom w:val="nil"/>
              <w:right w:val="nil"/>
            </w:tcBorders>
            <w:shd w:val="clear" w:color="auto" w:fill="FFFFFF"/>
            <w:tcMar>
              <w:top w:w="0" w:type="dxa"/>
              <w:left w:w="0" w:type="dxa"/>
              <w:bottom w:w="0" w:type="dxa"/>
              <w:right w:w="0" w:type="dxa"/>
            </w:tcMar>
            <w:vAlign w:val="center"/>
          </w:tcPr>
          <w:p w14:paraId="42C4484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w:t>
            </w:r>
          </w:p>
        </w:tc>
      </w:tr>
      <w:tr w14:paraId="46DF642E">
        <w:tblPrEx>
          <w:tblCellMar>
            <w:top w:w="0" w:type="dxa"/>
            <w:left w:w="108" w:type="dxa"/>
            <w:bottom w:w="0" w:type="dxa"/>
            <w:right w:w="108" w:type="dxa"/>
          </w:tblCellMar>
        </w:tblPrEx>
        <w:trPr>
          <w:jc w:val="center"/>
        </w:trPr>
        <w:tc>
          <w:tcPr>
            <w:tcW w:w="678" w:type="pct"/>
            <w:tcBorders>
              <w:top w:val="nil"/>
              <w:left w:val="nil"/>
              <w:bottom w:val="nil"/>
              <w:right w:val="nil"/>
            </w:tcBorders>
            <w:shd w:val="clear" w:color="auto" w:fill="FFFFFF"/>
            <w:tcMar>
              <w:top w:w="0" w:type="dxa"/>
              <w:left w:w="0" w:type="dxa"/>
              <w:bottom w:w="0" w:type="dxa"/>
              <w:right w:w="0" w:type="dxa"/>
            </w:tcMar>
            <w:vAlign w:val="center"/>
          </w:tcPr>
          <w:p w14:paraId="2BECF36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Elastic Net</w:t>
            </w:r>
          </w:p>
        </w:tc>
        <w:tc>
          <w:tcPr>
            <w:tcW w:w="1075" w:type="pct"/>
            <w:tcBorders>
              <w:top w:val="nil"/>
              <w:left w:val="nil"/>
              <w:bottom w:val="nil"/>
              <w:right w:val="nil"/>
            </w:tcBorders>
            <w:shd w:val="clear" w:color="auto" w:fill="FFFFFF"/>
            <w:tcMar>
              <w:top w:w="0" w:type="dxa"/>
              <w:left w:w="0" w:type="dxa"/>
              <w:bottom w:w="0" w:type="dxa"/>
              <w:right w:w="0" w:type="dxa"/>
            </w:tcMar>
            <w:vAlign w:val="center"/>
          </w:tcPr>
          <w:p w14:paraId="70FEA75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0.890 ± 0.037</w:t>
            </w:r>
          </w:p>
        </w:tc>
        <w:tc>
          <w:tcPr>
            <w:tcW w:w="1242" w:type="pct"/>
            <w:tcBorders>
              <w:top w:val="nil"/>
              <w:left w:val="nil"/>
              <w:bottom w:val="nil"/>
              <w:right w:val="nil"/>
            </w:tcBorders>
            <w:shd w:val="clear" w:color="auto" w:fill="FFFFFF"/>
            <w:tcMar>
              <w:top w:w="0" w:type="dxa"/>
              <w:left w:w="0" w:type="dxa"/>
              <w:bottom w:w="0" w:type="dxa"/>
              <w:right w:w="0" w:type="dxa"/>
            </w:tcMar>
            <w:vAlign w:val="center"/>
          </w:tcPr>
          <w:p w14:paraId="0B58226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0.459 ± 0.281</w:t>
            </w:r>
          </w:p>
        </w:tc>
        <w:tc>
          <w:tcPr>
            <w:tcW w:w="1208" w:type="pct"/>
            <w:tcBorders>
              <w:top w:val="nil"/>
              <w:left w:val="nil"/>
              <w:bottom w:val="nil"/>
              <w:right w:val="nil"/>
            </w:tcBorders>
            <w:shd w:val="clear" w:color="auto" w:fill="FFFFFF"/>
            <w:tcMar>
              <w:top w:w="0" w:type="dxa"/>
              <w:left w:w="0" w:type="dxa"/>
              <w:bottom w:w="0" w:type="dxa"/>
              <w:right w:w="0" w:type="dxa"/>
            </w:tcMar>
            <w:vAlign w:val="center"/>
          </w:tcPr>
          <w:p w14:paraId="643E691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0.836 ± 0.121</w:t>
            </w:r>
          </w:p>
        </w:tc>
        <w:tc>
          <w:tcPr>
            <w:tcW w:w="794" w:type="pct"/>
            <w:tcBorders>
              <w:top w:val="nil"/>
              <w:left w:val="nil"/>
              <w:bottom w:val="nil"/>
              <w:right w:val="nil"/>
            </w:tcBorders>
            <w:shd w:val="clear" w:color="auto" w:fill="FFFFFF"/>
            <w:tcMar>
              <w:top w:w="0" w:type="dxa"/>
              <w:left w:w="0" w:type="dxa"/>
              <w:bottom w:w="0" w:type="dxa"/>
              <w:right w:w="0" w:type="dxa"/>
            </w:tcMar>
            <w:vAlign w:val="center"/>
          </w:tcPr>
          <w:p w14:paraId="40CA020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w:t>
            </w:r>
          </w:p>
        </w:tc>
      </w:tr>
      <w:tr w14:paraId="46D6FA34">
        <w:tblPrEx>
          <w:tblCellMar>
            <w:top w:w="0" w:type="dxa"/>
            <w:left w:w="108" w:type="dxa"/>
            <w:bottom w:w="0" w:type="dxa"/>
            <w:right w:w="108" w:type="dxa"/>
          </w:tblCellMar>
        </w:tblPrEx>
        <w:trPr>
          <w:jc w:val="center"/>
        </w:trPr>
        <w:tc>
          <w:tcPr>
            <w:tcW w:w="678" w:type="pct"/>
            <w:tcBorders>
              <w:top w:val="nil"/>
              <w:left w:val="nil"/>
              <w:bottom w:val="nil"/>
              <w:right w:val="nil"/>
            </w:tcBorders>
            <w:shd w:val="clear" w:color="auto" w:fill="FFFFFF"/>
            <w:tcMar>
              <w:top w:w="0" w:type="dxa"/>
              <w:left w:w="0" w:type="dxa"/>
              <w:bottom w:w="0" w:type="dxa"/>
              <w:right w:w="0" w:type="dxa"/>
            </w:tcMar>
            <w:vAlign w:val="center"/>
          </w:tcPr>
          <w:p w14:paraId="7E1DDB0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Random forest</w:t>
            </w:r>
          </w:p>
        </w:tc>
        <w:tc>
          <w:tcPr>
            <w:tcW w:w="1075" w:type="pct"/>
            <w:tcBorders>
              <w:top w:val="nil"/>
              <w:left w:val="nil"/>
              <w:bottom w:val="nil"/>
              <w:right w:val="nil"/>
            </w:tcBorders>
            <w:shd w:val="clear" w:color="auto" w:fill="FFFFFF"/>
            <w:tcMar>
              <w:top w:w="0" w:type="dxa"/>
              <w:left w:w="0" w:type="dxa"/>
              <w:bottom w:w="0" w:type="dxa"/>
              <w:right w:w="0" w:type="dxa"/>
            </w:tcMar>
            <w:vAlign w:val="center"/>
          </w:tcPr>
          <w:p w14:paraId="6340E9A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0.932 ± 0.125</w:t>
            </w:r>
          </w:p>
        </w:tc>
        <w:tc>
          <w:tcPr>
            <w:tcW w:w="1242" w:type="pct"/>
            <w:tcBorders>
              <w:top w:val="nil"/>
              <w:left w:val="nil"/>
              <w:bottom w:val="nil"/>
              <w:right w:val="nil"/>
            </w:tcBorders>
            <w:shd w:val="clear" w:color="auto" w:fill="FFFFFF"/>
            <w:tcMar>
              <w:top w:w="0" w:type="dxa"/>
              <w:left w:w="0" w:type="dxa"/>
              <w:bottom w:w="0" w:type="dxa"/>
              <w:right w:w="0" w:type="dxa"/>
            </w:tcMar>
            <w:vAlign w:val="center"/>
          </w:tcPr>
          <w:p w14:paraId="3EDCC8B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0.681 ± 0.301</w:t>
            </w:r>
          </w:p>
        </w:tc>
        <w:tc>
          <w:tcPr>
            <w:tcW w:w="1208" w:type="pct"/>
            <w:tcBorders>
              <w:top w:val="nil"/>
              <w:left w:val="nil"/>
              <w:bottom w:val="nil"/>
              <w:right w:val="nil"/>
            </w:tcBorders>
            <w:shd w:val="clear" w:color="auto" w:fill="FFFFFF"/>
            <w:tcMar>
              <w:top w:w="0" w:type="dxa"/>
              <w:left w:w="0" w:type="dxa"/>
              <w:bottom w:w="0" w:type="dxa"/>
              <w:right w:w="0" w:type="dxa"/>
            </w:tcMar>
            <w:vAlign w:val="center"/>
          </w:tcPr>
          <w:p w14:paraId="7B4955F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0.894 ± 0.080</w:t>
            </w:r>
          </w:p>
        </w:tc>
        <w:tc>
          <w:tcPr>
            <w:tcW w:w="794" w:type="pct"/>
            <w:tcBorders>
              <w:top w:val="nil"/>
              <w:left w:val="nil"/>
              <w:bottom w:val="nil"/>
              <w:right w:val="nil"/>
            </w:tcBorders>
            <w:shd w:val="clear" w:color="auto" w:fill="FFFFFF"/>
            <w:tcMar>
              <w:top w:w="0" w:type="dxa"/>
              <w:left w:w="0" w:type="dxa"/>
              <w:bottom w:w="0" w:type="dxa"/>
              <w:right w:w="0" w:type="dxa"/>
            </w:tcMar>
            <w:vAlign w:val="center"/>
          </w:tcPr>
          <w:p w14:paraId="542552E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w:t>
            </w:r>
          </w:p>
        </w:tc>
      </w:tr>
      <w:tr w14:paraId="31B28FCA">
        <w:tblPrEx>
          <w:tblCellMar>
            <w:top w:w="0" w:type="dxa"/>
            <w:left w:w="108" w:type="dxa"/>
            <w:bottom w:w="0" w:type="dxa"/>
            <w:right w:w="108" w:type="dxa"/>
          </w:tblCellMar>
        </w:tblPrEx>
        <w:trPr>
          <w:jc w:val="center"/>
        </w:trPr>
        <w:tc>
          <w:tcPr>
            <w:tcW w:w="67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34D71B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SVM</w:t>
            </w:r>
          </w:p>
        </w:tc>
        <w:tc>
          <w:tcPr>
            <w:tcW w:w="107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5E6C94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0.830 ± 0.029</w:t>
            </w:r>
          </w:p>
        </w:tc>
        <w:tc>
          <w:tcPr>
            <w:tcW w:w="1242"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93AA4E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0.831 ± 0.330</w:t>
            </w:r>
          </w:p>
        </w:tc>
        <w:tc>
          <w:tcPr>
            <w:tcW w:w="120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1E6995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1.000 ± 0.131</w:t>
            </w:r>
          </w:p>
        </w:tc>
        <w:tc>
          <w:tcPr>
            <w:tcW w:w="79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B325DD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Cs/>
                <w:color w:val="000000"/>
                <w:sz w:val="15"/>
                <w:szCs w:val="15"/>
              </w:rPr>
            </w:pPr>
            <w:r>
              <w:rPr>
                <w:rFonts w:ascii="Times New Roman" w:hAnsi="Times New Roman" w:eastAsia="Arial" w:cs="Times New Roman"/>
                <w:bCs/>
                <w:color w:val="000000"/>
                <w:sz w:val="15"/>
                <w:szCs w:val="15"/>
              </w:rPr>
              <w:t>10</w:t>
            </w:r>
          </w:p>
        </w:tc>
      </w:tr>
    </w:tbl>
    <w:p w14:paraId="5C970718">
      <w:pPr>
        <w:rPr>
          <w:rFonts w:ascii="Times New Roman" w:hAnsi="Times New Roman" w:cs="Times New Roman"/>
          <w:sz w:val="15"/>
          <w:szCs w:val="15"/>
        </w:rPr>
      </w:pPr>
      <w:r>
        <w:rPr>
          <w:rFonts w:hint="eastAsia" w:ascii="Times New Roman" w:hAnsi="Times New Roman" w:cs="Times New Roman"/>
          <w:sz w:val="15"/>
          <w:szCs w:val="15"/>
        </w:rPr>
        <w:t>Values in Panel A are presented as point estimates with bootstrap 95% confidence intervals in parentheses. Original model rows show temporal validation performance in the after-COVID cohort before recalibration. For temporally separated recalibration, recalibration parameters were estimated in the during-COVID cohort and applied to the after-COVID cohort for evaluation. In Panel B, recalibration parameters are summarized as mean ± SD across the 10 imputed datasets. Confidence intervals in Panel A were obtained from the pooled percentile distribution of 500 bootstrap resamples across the imputed validation cohorts. AUC, area under the receiver operating characteristic curve; Brier, Brier score; Cal Int, calibration intercept; Cal Slope, calibration slope; O/E, observed-to-expected ratio; SVM, support vector machine.</w:t>
      </w:r>
      <w:r>
        <w:rPr>
          <w:rFonts w:ascii="Times New Roman" w:hAnsi="Times New Roman" w:cs="Times New Roman"/>
          <w:sz w:val="15"/>
          <w:szCs w:val="15"/>
        </w:rPr>
        <w:br w:type="page"/>
      </w:r>
    </w:p>
    <w:p w14:paraId="505A639A">
      <w:pPr>
        <w:pStyle w:val="3"/>
        <w:numPr>
          <w:ilvl w:val="1"/>
          <w:numId w:val="0"/>
        </w:numPr>
        <w:spacing w:line="360" w:lineRule="auto"/>
        <w:ind w:left="792" w:hanging="432"/>
        <w:jc w:val="center"/>
        <w:rPr>
          <w:rFonts w:ascii="Times New Roman" w:hAnsi="Times New Roman" w:cs="Times New Roman"/>
        </w:rPr>
      </w:pPr>
      <w:r>
        <w:rPr>
          <w:rFonts w:ascii="Times New Roman" w:hAnsi="Times New Roman" w:cs="Times New Roman"/>
        </w:rPr>
        <w:t xml:space="preserve">Table S2. Analysis datasets, sample sizes, and IVIG resistance events used in each analysis.</w:t>
      </w:r>
    </w:p>
    <w:p w14:paraId="3066AB10">
      <w:pPr>
        <w:pStyle w:val="3"/>
        <w:numPr>
          <w:ilvl w:val="1"/>
          <w:numId w:val="0"/>
        </w:numPr>
        <w:spacing w:line="360" w:lineRule="auto"/>
        <w:ind w:left="792" w:hanging="432"/>
        <w:jc w:val="center"/>
        <w:rPr>
          <w:rFonts w:ascii="Times New Roman" w:hAnsi="Times New Roman" w:cs="Times New Roman"/>
        </w:rPr>
      </w:pPr>
      <w:r>
        <w:rPr>
          <w:rFonts w:ascii="Times New Roman" w:hAnsi="Times New Roman" w:cs="Times New Roman"/>
        </w:rPr>
        <w:t>Panel A. Calendar period datasets.</w:t>
      </w:r>
    </w:p>
    <w:tbl>
      <w:tblPr>
        <w:tblStyle w:val="10"/>
        <w:tblW w:w="4999" w:type="pct"/>
        <w:jc w:val="center"/>
        <w:tblLayout w:type="autofit"/>
        <w:tblCellMar>
          <w:top w:w="0" w:type="dxa"/>
          <w:left w:w="108" w:type="dxa"/>
          <w:bottom w:w="0" w:type="dxa"/>
          <w:right w:w="108" w:type="dxa"/>
        </w:tblCellMar>
      </w:tblPr>
      <w:tblGrid>
        <w:gridCol w:w="6022"/>
        <w:gridCol w:w="4026"/>
        <w:gridCol w:w="1809"/>
        <w:gridCol w:w="3682"/>
      </w:tblGrid>
      <w:tr w14:paraId="3EF4956B">
        <w:tblPrEx>
          <w:tblCellMar>
            <w:top w:w="0" w:type="dxa"/>
            <w:left w:w="108" w:type="dxa"/>
            <w:bottom w:w="0" w:type="dxa"/>
            <w:right w:w="108" w:type="dxa"/>
          </w:tblCellMar>
        </w:tblPrEx>
        <w:trPr>
          <w:tblHeader/>
          <w:jc w:val="center"/>
        </w:trPr>
        <w:tc>
          <w:tcPr>
            <w:tcW w:w="193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E721F3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6"/>
                <w:szCs w:val="16"/>
              </w:rPr>
            </w:pPr>
            <w:r>
              <w:rPr>
                <w:rFonts w:ascii="Times New Roman" w:hAnsi="Times New Roman" w:eastAsia="Arial" w:cs="Times New Roman"/>
                <w:b/>
                <w:color w:val="000000"/>
                <w:sz w:val="16"/>
                <w:szCs w:val="16"/>
              </w:rPr>
              <w:t>Data segment</w:t>
            </w:r>
          </w:p>
        </w:tc>
        <w:tc>
          <w:tcPr>
            <w:tcW w:w="129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F9313D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6"/>
                <w:szCs w:val="16"/>
              </w:rPr>
            </w:pPr>
            <w:r>
              <w:rPr>
                <w:rFonts w:ascii="Times New Roman" w:hAnsi="Times New Roman" w:eastAsia="Arial" w:cs="Times New Roman"/>
                <w:b/>
                <w:color w:val="000000"/>
                <w:sz w:val="16"/>
                <w:szCs w:val="16"/>
              </w:rPr>
              <w:t>Calendar years</w:t>
            </w:r>
          </w:p>
        </w:tc>
        <w:tc>
          <w:tcPr>
            <w:tcW w:w="582"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E3B6F9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6"/>
                <w:szCs w:val="16"/>
              </w:rPr>
            </w:pPr>
            <w:r>
              <w:rPr>
                <w:rFonts w:ascii="Times New Roman" w:hAnsi="Times New Roman" w:eastAsia="Arial" w:cs="Times New Roman"/>
                <w:b/>
                <w:color w:val="000000"/>
                <w:sz w:val="16"/>
                <w:szCs w:val="16"/>
              </w:rPr>
              <w:t>N</w:t>
            </w:r>
          </w:p>
        </w:tc>
        <w:tc>
          <w:tcPr>
            <w:tcW w:w="118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84C9EF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6"/>
                <w:szCs w:val="16"/>
              </w:rPr>
            </w:pPr>
            <w:r>
              <w:rPr>
                <w:rFonts w:ascii="Times New Roman" w:hAnsi="Times New Roman" w:eastAsia="Arial" w:cs="Times New Roman"/>
                <w:b/>
                <w:color w:val="000000"/>
                <w:sz w:val="16"/>
                <w:szCs w:val="16"/>
              </w:rPr>
              <w:t>Events, n (%)</w:t>
            </w:r>
          </w:p>
        </w:tc>
      </w:tr>
      <w:tr w14:paraId="685A746B">
        <w:tblPrEx>
          <w:tblCellMar>
            <w:top w:w="0" w:type="dxa"/>
            <w:left w:w="108" w:type="dxa"/>
            <w:bottom w:w="0" w:type="dxa"/>
            <w:right w:w="108" w:type="dxa"/>
          </w:tblCellMar>
        </w:tblPrEx>
        <w:trPr>
          <w:jc w:val="center"/>
        </w:trPr>
        <w:tc>
          <w:tcPr>
            <w:tcW w:w="193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4F3DAE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hint="eastAsia" w:ascii="Times New Roman" w:hAnsi="Times New Roman" w:eastAsia="宋体" w:cs="Times New Roman"/>
                <w:color w:val="000000"/>
                <w:sz w:val="16"/>
                <w:szCs w:val="16"/>
                <w:lang w:val="en-US" w:eastAsia="zh-CN"/>
              </w:rPr>
              <w:t>pre-COVID</w:t>
            </w:r>
            <w:r>
              <w:rPr>
                <w:rFonts w:ascii="Times New Roman" w:hAnsi="Times New Roman" w:eastAsia="Arial" w:cs="Times New Roman"/>
                <w:color w:val="000000"/>
                <w:sz w:val="16"/>
                <w:szCs w:val="16"/>
              </w:rPr>
              <w:t xml:space="preserve"> cohort</w:t>
            </w:r>
          </w:p>
        </w:tc>
        <w:tc>
          <w:tcPr>
            <w:tcW w:w="129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02A092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2006–2019</w:t>
            </w:r>
          </w:p>
        </w:tc>
        <w:tc>
          <w:tcPr>
            <w:tcW w:w="582"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16197C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3,788</w:t>
            </w:r>
          </w:p>
        </w:tc>
        <w:tc>
          <w:tcPr>
            <w:tcW w:w="118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6B24FC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265 (7.0%)</w:t>
            </w:r>
          </w:p>
        </w:tc>
      </w:tr>
      <w:tr w14:paraId="5CC0AA86">
        <w:tblPrEx>
          <w:tblCellMar>
            <w:top w:w="0" w:type="dxa"/>
            <w:left w:w="108" w:type="dxa"/>
            <w:bottom w:w="0" w:type="dxa"/>
            <w:right w:w="108" w:type="dxa"/>
          </w:tblCellMar>
        </w:tblPrEx>
        <w:trPr>
          <w:jc w:val="center"/>
        </w:trPr>
        <w:tc>
          <w:tcPr>
            <w:tcW w:w="1937" w:type="pct"/>
            <w:tcBorders>
              <w:top w:val="nil"/>
              <w:left w:val="nil"/>
              <w:bottom w:val="nil"/>
              <w:right w:val="nil"/>
            </w:tcBorders>
            <w:shd w:val="clear" w:color="auto" w:fill="FFFFFF"/>
            <w:tcMar>
              <w:top w:w="0" w:type="dxa"/>
              <w:left w:w="0" w:type="dxa"/>
              <w:bottom w:w="0" w:type="dxa"/>
              <w:right w:w="0" w:type="dxa"/>
            </w:tcMar>
            <w:vAlign w:val="center"/>
          </w:tcPr>
          <w:p w14:paraId="26CA831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hint="eastAsia" w:ascii="Times New Roman" w:hAnsi="Times New Roman" w:eastAsia="宋体" w:cs="Times New Roman"/>
                <w:color w:val="000000"/>
                <w:sz w:val="16"/>
                <w:szCs w:val="16"/>
                <w:lang w:val="en-US" w:eastAsia="zh-CN"/>
              </w:rPr>
              <w:t>d</w:t>
            </w:r>
            <w:r>
              <w:rPr>
                <w:rFonts w:ascii="Times New Roman" w:hAnsi="Times New Roman" w:eastAsia="Arial" w:cs="Times New Roman"/>
                <w:color w:val="000000"/>
                <w:sz w:val="16"/>
                <w:szCs w:val="16"/>
              </w:rPr>
              <w:t>uring</w:t>
            </w:r>
            <w:r>
              <w:rPr>
                <w:rFonts w:hint="eastAsia" w:ascii="Times New Roman" w:hAnsi="Times New Roman" w:eastAsia="宋体" w:cs="Times New Roman"/>
                <w:color w:val="000000"/>
                <w:sz w:val="16"/>
                <w:szCs w:val="16"/>
                <w:lang w:val="en-US" w:eastAsia="zh-CN"/>
              </w:rPr>
              <w:t>-</w:t>
            </w:r>
            <w:r>
              <w:rPr>
                <w:rFonts w:ascii="Times New Roman" w:hAnsi="Times New Roman" w:eastAsia="Arial" w:cs="Times New Roman"/>
                <w:color w:val="000000"/>
                <w:sz w:val="16"/>
                <w:szCs w:val="16"/>
              </w:rPr>
              <w:t>COVID cohort</w:t>
            </w:r>
          </w:p>
        </w:tc>
        <w:tc>
          <w:tcPr>
            <w:tcW w:w="1295" w:type="pct"/>
            <w:tcBorders>
              <w:top w:val="nil"/>
              <w:left w:val="nil"/>
              <w:bottom w:val="nil"/>
              <w:right w:val="nil"/>
            </w:tcBorders>
            <w:shd w:val="clear" w:color="auto" w:fill="FFFFFF"/>
            <w:tcMar>
              <w:top w:w="0" w:type="dxa"/>
              <w:left w:w="0" w:type="dxa"/>
              <w:bottom w:w="0" w:type="dxa"/>
              <w:right w:w="0" w:type="dxa"/>
            </w:tcMar>
            <w:vAlign w:val="center"/>
          </w:tcPr>
          <w:p w14:paraId="1FA7404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2020–2022</w:t>
            </w:r>
          </w:p>
        </w:tc>
        <w:tc>
          <w:tcPr>
            <w:tcW w:w="582" w:type="pct"/>
            <w:tcBorders>
              <w:top w:val="nil"/>
              <w:left w:val="nil"/>
              <w:bottom w:val="nil"/>
              <w:right w:val="nil"/>
            </w:tcBorders>
            <w:shd w:val="clear" w:color="auto" w:fill="FFFFFF"/>
            <w:tcMar>
              <w:top w:w="0" w:type="dxa"/>
              <w:left w:w="0" w:type="dxa"/>
              <w:bottom w:w="0" w:type="dxa"/>
              <w:right w:w="0" w:type="dxa"/>
            </w:tcMar>
            <w:vAlign w:val="center"/>
          </w:tcPr>
          <w:p w14:paraId="492C700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1,837</w:t>
            </w:r>
          </w:p>
        </w:tc>
        <w:tc>
          <w:tcPr>
            <w:tcW w:w="1184" w:type="pct"/>
            <w:tcBorders>
              <w:top w:val="nil"/>
              <w:left w:val="nil"/>
              <w:bottom w:val="nil"/>
              <w:right w:val="nil"/>
            </w:tcBorders>
            <w:shd w:val="clear" w:color="auto" w:fill="FFFFFF"/>
            <w:tcMar>
              <w:top w:w="0" w:type="dxa"/>
              <w:left w:w="0" w:type="dxa"/>
              <w:bottom w:w="0" w:type="dxa"/>
              <w:right w:w="0" w:type="dxa"/>
            </w:tcMar>
            <w:vAlign w:val="center"/>
          </w:tcPr>
          <w:p w14:paraId="579B15C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256 (13.9%)</w:t>
            </w:r>
          </w:p>
        </w:tc>
      </w:tr>
      <w:tr w14:paraId="3A66D809">
        <w:tblPrEx>
          <w:tblCellMar>
            <w:top w:w="0" w:type="dxa"/>
            <w:left w:w="108" w:type="dxa"/>
            <w:bottom w:w="0" w:type="dxa"/>
            <w:right w:w="108" w:type="dxa"/>
          </w:tblCellMar>
        </w:tblPrEx>
        <w:trPr>
          <w:jc w:val="center"/>
        </w:trPr>
        <w:tc>
          <w:tcPr>
            <w:tcW w:w="193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E45249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hint="eastAsia" w:ascii="Times New Roman" w:hAnsi="Times New Roman" w:eastAsia="宋体" w:cs="Times New Roman"/>
                <w:color w:val="000000"/>
                <w:sz w:val="16"/>
                <w:szCs w:val="16"/>
                <w:lang w:val="en-US" w:eastAsia="zh-CN"/>
              </w:rPr>
              <w:t>a</w:t>
            </w:r>
            <w:r>
              <w:rPr>
                <w:rFonts w:ascii="Times New Roman" w:hAnsi="Times New Roman" w:eastAsia="Arial" w:cs="Times New Roman"/>
                <w:color w:val="000000"/>
                <w:sz w:val="16"/>
                <w:szCs w:val="16"/>
              </w:rPr>
              <w:t>fter</w:t>
            </w:r>
            <w:r>
              <w:rPr>
                <w:rFonts w:hint="eastAsia" w:ascii="Times New Roman" w:hAnsi="Times New Roman" w:eastAsia="宋体" w:cs="Times New Roman"/>
                <w:color w:val="000000"/>
                <w:sz w:val="16"/>
                <w:szCs w:val="16"/>
                <w:lang w:val="en-US" w:eastAsia="zh-CN"/>
              </w:rPr>
              <w:t>-</w:t>
            </w:r>
            <w:r>
              <w:rPr>
                <w:rFonts w:ascii="Times New Roman" w:hAnsi="Times New Roman" w:eastAsia="Arial" w:cs="Times New Roman"/>
                <w:color w:val="000000"/>
                <w:sz w:val="16"/>
                <w:szCs w:val="16"/>
              </w:rPr>
              <w:t>COVID cohort</w:t>
            </w:r>
          </w:p>
        </w:tc>
        <w:tc>
          <w:tcPr>
            <w:tcW w:w="129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8D680B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2023–2024</w:t>
            </w:r>
          </w:p>
        </w:tc>
        <w:tc>
          <w:tcPr>
            <w:tcW w:w="582"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8AAE7F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818</w:t>
            </w:r>
          </w:p>
        </w:tc>
        <w:tc>
          <w:tcPr>
            <w:tcW w:w="118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0F713A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6"/>
                <w:szCs w:val="16"/>
              </w:rPr>
            </w:pPr>
            <w:r>
              <w:rPr>
                <w:rFonts w:ascii="Times New Roman" w:hAnsi="Times New Roman" w:eastAsia="Arial" w:cs="Times New Roman"/>
                <w:color w:val="000000"/>
                <w:sz w:val="16"/>
                <w:szCs w:val="16"/>
              </w:rPr>
              <w:t>83 (10.1%)</w:t>
            </w:r>
          </w:p>
        </w:tc>
      </w:tr>
    </w:tbl>
    <w:p w14:paraId="3F6DA148">
      <w:pPr>
        <w:pStyle w:val="3"/>
        <w:numPr>
          <w:ilvl w:val="1"/>
          <w:numId w:val="0"/>
        </w:numPr>
        <w:spacing w:line="360" w:lineRule="auto"/>
        <w:ind w:left="792" w:hanging="432"/>
        <w:jc w:val="center"/>
        <w:rPr>
          <w:rFonts w:ascii="Times New Roman" w:hAnsi="Times New Roman" w:cs="Times New Roman"/>
        </w:rPr>
      </w:pPr>
      <w:r>
        <w:rPr>
          <w:rFonts w:ascii="Times New Roman" w:hAnsi="Times New Roman" w:cs="Times New Roman"/>
        </w:rPr>
        <w:t>Panel B. Analysis level dataset mapping.</w:t>
      </w:r>
    </w:p>
    <w:tbl>
      <w:tblPr>
        <w:tblStyle w:val="10"/>
        <w:tblW w:w="0" w:type="auto"/>
        <w:jc w:val="center"/>
        <w:tblLayout w:type="autofit"/>
        <w:tblCellMar>
          <w:top w:w="0" w:type="dxa"/>
          <w:left w:w="108" w:type="dxa"/>
          <w:bottom w:w="0" w:type="dxa"/>
          <w:right w:w="108" w:type="dxa"/>
        </w:tblCellMar>
      </w:tblPr>
      <w:tblGrid>
        <w:gridCol w:w="2027"/>
        <w:gridCol w:w="1975"/>
        <w:gridCol w:w="2358"/>
        <w:gridCol w:w="2533"/>
        <w:gridCol w:w="1857"/>
        <w:gridCol w:w="1891"/>
        <w:gridCol w:w="2901"/>
      </w:tblGrid>
      <w:tr w14:paraId="226B7B86">
        <w:tblPrEx>
          <w:tblCellMar>
            <w:top w:w="0" w:type="dxa"/>
            <w:left w:w="108" w:type="dxa"/>
            <w:bottom w:w="0" w:type="dxa"/>
            <w:right w:w="108" w:type="dxa"/>
          </w:tblCellMar>
        </w:tblPrEx>
        <w:trPr>
          <w:tblHeader/>
          <w:jc w:val="center"/>
        </w:trPr>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F65583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Analysis</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E14498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Model fitting data</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BB8562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Recalibration data</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8C049F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Evaluation data</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12D917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Model fitting N; events, n (%)</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C338FC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Recalibration N; events, n (%)</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CB3A84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3"/>
                <w:szCs w:val="13"/>
              </w:rPr>
            </w:pPr>
            <w:r>
              <w:rPr>
                <w:rFonts w:ascii="Times New Roman" w:hAnsi="Times New Roman" w:eastAsia="Arial" w:cs="Times New Roman"/>
                <w:b/>
                <w:color w:val="000000"/>
                <w:sz w:val="13"/>
                <w:szCs w:val="13"/>
              </w:rPr>
              <w:t>Evaluation N; events, n (%)</w:t>
            </w:r>
          </w:p>
        </w:tc>
      </w:tr>
      <w:tr w14:paraId="6BF00123">
        <w:tblPrEx>
          <w:tblCellMar>
            <w:top w:w="0" w:type="dxa"/>
            <w:left w:w="108" w:type="dxa"/>
            <w:bottom w:w="0" w:type="dxa"/>
            <w:right w:w="108" w:type="dxa"/>
          </w:tblCellMar>
        </w:tblPrEx>
        <w:trPr>
          <w:jc w:val="center"/>
        </w:trPr>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4908391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Candidate static model comparison</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679135E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pre-COVID</w:t>
            </w:r>
            <w:r>
              <w:rPr>
                <w:rFonts w:ascii="Times New Roman" w:hAnsi="Times New Roman" w:eastAsia="Arial" w:cs="Times New Roman"/>
                <w:color w:val="000000"/>
                <w:sz w:val="13"/>
                <w:szCs w:val="13"/>
              </w:rPr>
              <w:t xml:space="preserve"> cohort, 2006–2019</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1D48DFB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None</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105FD64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d</w:t>
            </w:r>
            <w:r>
              <w:rPr>
                <w:rFonts w:ascii="Times New Roman" w:hAnsi="Times New Roman" w:eastAsia="Arial" w:cs="Times New Roman"/>
                <w:color w:val="000000"/>
                <w:sz w:val="16"/>
                <w:szCs w:val="16"/>
              </w:rPr>
              <w:t>uring</w:t>
            </w:r>
            <w:r>
              <w:rPr>
                <w:rFonts w:hint="eastAsia" w:ascii="Times New Roman" w:hAnsi="Times New Roman" w:eastAsia="宋体" w:cs="Times New Roman"/>
                <w:color w:val="000000"/>
                <w:sz w:val="16"/>
                <w:szCs w:val="16"/>
                <w:lang w:val="en-US" w:eastAsia="zh-CN"/>
              </w:rPr>
              <w:t>-</w:t>
            </w:r>
            <w:r>
              <w:rPr>
                <w:rFonts w:ascii="Times New Roman" w:hAnsi="Times New Roman" w:eastAsia="Arial" w:cs="Times New Roman"/>
                <w:color w:val="000000"/>
                <w:sz w:val="16"/>
                <w:szCs w:val="16"/>
              </w:rPr>
              <w:t>COVID</w:t>
            </w:r>
            <w:r>
              <w:rPr>
                <w:rFonts w:ascii="Times New Roman" w:hAnsi="Times New Roman" w:eastAsia="Arial" w:cs="Times New Roman"/>
                <w:color w:val="000000"/>
                <w:sz w:val="13"/>
                <w:szCs w:val="13"/>
              </w:rPr>
              <w:t xml:space="preserve"> and</w:t>
            </w:r>
            <w:r>
              <w:rPr>
                <w:rFonts w:hint="eastAsia" w:ascii="Times New Roman" w:hAnsi="Times New Roman" w:eastAsia="宋体" w:cs="Times New Roman"/>
                <w:color w:val="000000"/>
                <w:sz w:val="13"/>
                <w:szCs w:val="13"/>
                <w:lang w:val="en-US" w:eastAsia="zh-CN"/>
              </w:rPr>
              <w:t xml:space="preserve"> </w:t>
            </w:r>
            <w:r>
              <w:rPr>
                <w:rFonts w:hint="eastAsia" w:ascii="Times New Roman" w:hAnsi="Times New Roman" w:eastAsia="Arial" w:cs="Times New Roman"/>
                <w:color w:val="000000"/>
                <w:sz w:val="13"/>
                <w:szCs w:val="13"/>
              </w:rPr>
              <w:t>after-COVID</w:t>
            </w:r>
            <w:r>
              <w:rPr>
                <w:rFonts w:ascii="Times New Roman" w:hAnsi="Times New Roman" w:eastAsia="Arial" w:cs="Times New Roman"/>
                <w:color w:val="000000"/>
                <w:sz w:val="13"/>
                <w:szCs w:val="13"/>
              </w:rPr>
              <w:t xml:space="preserve"> cohorts</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28207F9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3,788; 265 (7.0%)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3D18F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Not applicable</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8033B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During: 1,837; 256 (13.9%); After: 818; 83 (10.1%)</w:t>
            </w:r>
          </w:p>
        </w:tc>
      </w:tr>
      <w:tr w14:paraId="3DB71B14">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270D85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Primary RF temporal validation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DF3B9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pre-COVID</w:t>
            </w:r>
            <w:r>
              <w:rPr>
                <w:rFonts w:ascii="Times New Roman" w:hAnsi="Times New Roman" w:eastAsia="Arial" w:cs="Times New Roman"/>
                <w:color w:val="000000"/>
                <w:sz w:val="13"/>
                <w:szCs w:val="13"/>
              </w:rPr>
              <w:t xml:space="preserve"> cohort, 2006–2019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228BC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None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0059C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d</w:t>
            </w:r>
            <w:r>
              <w:rPr>
                <w:rFonts w:ascii="Times New Roman" w:hAnsi="Times New Roman" w:eastAsia="Arial" w:cs="Times New Roman"/>
                <w:color w:val="000000"/>
                <w:sz w:val="16"/>
                <w:szCs w:val="16"/>
              </w:rPr>
              <w:t>uring</w:t>
            </w:r>
            <w:r>
              <w:rPr>
                <w:rFonts w:hint="eastAsia" w:ascii="Times New Roman" w:hAnsi="Times New Roman" w:eastAsia="宋体" w:cs="Times New Roman"/>
                <w:color w:val="000000"/>
                <w:sz w:val="16"/>
                <w:szCs w:val="16"/>
                <w:lang w:val="en-US" w:eastAsia="zh-CN"/>
              </w:rPr>
              <w:t>-</w:t>
            </w:r>
            <w:r>
              <w:rPr>
                <w:rFonts w:ascii="Times New Roman" w:hAnsi="Times New Roman" w:eastAsia="Arial" w:cs="Times New Roman"/>
                <w:color w:val="000000"/>
                <w:sz w:val="16"/>
                <w:szCs w:val="16"/>
              </w:rPr>
              <w:t>COVID</w:t>
            </w:r>
            <w:r>
              <w:rPr>
                <w:rFonts w:ascii="Times New Roman" w:hAnsi="Times New Roman" w:eastAsia="Arial" w:cs="Times New Roman"/>
                <w:color w:val="000000"/>
                <w:sz w:val="13"/>
                <w:szCs w:val="13"/>
              </w:rPr>
              <w:t xml:space="preserve"> and</w:t>
            </w:r>
            <w:r>
              <w:rPr>
                <w:rFonts w:hint="eastAsia" w:ascii="Times New Roman" w:hAnsi="Times New Roman" w:eastAsia="宋体" w:cs="Times New Roman"/>
                <w:color w:val="000000"/>
                <w:sz w:val="13"/>
                <w:szCs w:val="13"/>
                <w:lang w:val="en-US" w:eastAsia="zh-CN"/>
              </w:rPr>
              <w:t xml:space="preserve"> </w:t>
            </w:r>
            <w:r>
              <w:rPr>
                <w:rFonts w:hint="eastAsia" w:ascii="Times New Roman" w:hAnsi="Times New Roman" w:eastAsia="Arial" w:cs="Times New Roman"/>
                <w:color w:val="000000"/>
                <w:sz w:val="13"/>
                <w:szCs w:val="13"/>
              </w:rPr>
              <w:t>after-COVID</w:t>
            </w:r>
            <w:r>
              <w:rPr>
                <w:rFonts w:ascii="Times New Roman" w:hAnsi="Times New Roman" w:eastAsia="Arial" w:cs="Times New Roman"/>
                <w:color w:val="000000"/>
                <w:sz w:val="13"/>
                <w:szCs w:val="13"/>
              </w:rPr>
              <w:t xml:space="preserve"> cohorts</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E10C38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3,788; 265 (7.0%)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D174AC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Not applicable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5AD38F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During: 1,837; 256 (13.9%); After: 818; 83 (10.1%)</w:t>
            </w:r>
          </w:p>
        </w:tc>
      </w:tr>
      <w:tr w14:paraId="4BAFDA71">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48E862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Temporally separated recalibration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BE832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pre-COVID</w:t>
            </w:r>
            <w:r>
              <w:rPr>
                <w:rFonts w:ascii="Times New Roman" w:hAnsi="Times New Roman" w:eastAsia="Arial" w:cs="Times New Roman"/>
                <w:color w:val="000000"/>
                <w:sz w:val="13"/>
                <w:szCs w:val="13"/>
              </w:rPr>
              <w:t xml:space="preserve"> cohort, 2006–2019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2FD865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3"/>
                <w:szCs w:val="13"/>
                <w:lang w:eastAsia="zh-CN"/>
              </w:rPr>
              <w:t>during-COVID cohort</w:t>
            </w:r>
            <w:r>
              <w:rPr>
                <w:rFonts w:ascii="Times New Roman" w:hAnsi="Times New Roman" w:eastAsia="Arial" w:cs="Times New Roman"/>
                <w:color w:val="000000"/>
                <w:sz w:val="13"/>
                <w:szCs w:val="13"/>
              </w:rPr>
              <w:t>, 2020–2022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AB637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Arial" w:cs="Times New Roman"/>
                <w:color w:val="000000"/>
                <w:sz w:val="13"/>
                <w:szCs w:val="13"/>
              </w:rPr>
              <w:t>after-COVID</w:t>
            </w:r>
            <w:r>
              <w:rPr>
                <w:rFonts w:ascii="Times New Roman" w:hAnsi="Times New Roman" w:eastAsia="Arial" w:cs="Times New Roman"/>
                <w:color w:val="000000"/>
                <w:sz w:val="13"/>
                <w:szCs w:val="13"/>
              </w:rPr>
              <w:t xml:space="preserve"> cohorts, 2023–2024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81B170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3,788; 265 (7.0%)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C520F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1,837; 256 (13.9%)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D8672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818; 83 (10.1%)</w:t>
            </w:r>
          </w:p>
        </w:tc>
      </w:tr>
      <w:tr w14:paraId="675B9962">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98F17A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Center sensitivity analysis</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871FC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pre-COVID</w:t>
            </w:r>
            <w:r>
              <w:rPr>
                <w:rFonts w:ascii="Times New Roman" w:hAnsi="Times New Roman" w:eastAsia="Arial" w:cs="Times New Roman"/>
                <w:color w:val="000000"/>
                <w:sz w:val="13"/>
                <w:szCs w:val="13"/>
              </w:rPr>
              <w:t xml:space="preserve"> cohort, 2006–2019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64784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None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EADF3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hint="eastAsia" w:ascii="Times New Roman" w:hAnsi="Times New Roman" w:eastAsia="宋体" w:cs="Times New Roman"/>
                <w:color w:val="000000"/>
                <w:sz w:val="16"/>
                <w:szCs w:val="16"/>
                <w:lang w:val="en-US" w:eastAsia="zh-CN"/>
              </w:rPr>
              <w:t>d</w:t>
            </w:r>
            <w:r>
              <w:rPr>
                <w:rFonts w:ascii="Times New Roman" w:hAnsi="Times New Roman" w:eastAsia="Arial" w:cs="Times New Roman"/>
                <w:color w:val="000000"/>
                <w:sz w:val="16"/>
                <w:szCs w:val="16"/>
              </w:rPr>
              <w:t>uring</w:t>
            </w:r>
            <w:r>
              <w:rPr>
                <w:rFonts w:hint="eastAsia" w:ascii="Times New Roman" w:hAnsi="Times New Roman" w:eastAsia="宋体" w:cs="Times New Roman"/>
                <w:color w:val="000000"/>
                <w:sz w:val="16"/>
                <w:szCs w:val="16"/>
                <w:lang w:val="en-US" w:eastAsia="zh-CN"/>
              </w:rPr>
              <w:t>-</w:t>
            </w:r>
            <w:r>
              <w:rPr>
                <w:rFonts w:ascii="Times New Roman" w:hAnsi="Times New Roman" w:eastAsia="Arial" w:cs="Times New Roman"/>
                <w:color w:val="000000"/>
                <w:sz w:val="16"/>
                <w:szCs w:val="16"/>
              </w:rPr>
              <w:t>COVID</w:t>
            </w:r>
            <w:r>
              <w:rPr>
                <w:rFonts w:ascii="Times New Roman" w:hAnsi="Times New Roman" w:eastAsia="Arial" w:cs="Times New Roman"/>
                <w:color w:val="000000"/>
                <w:sz w:val="13"/>
                <w:szCs w:val="13"/>
              </w:rPr>
              <w:t xml:space="preserve"> and</w:t>
            </w:r>
            <w:r>
              <w:rPr>
                <w:rFonts w:hint="eastAsia" w:ascii="Times New Roman" w:hAnsi="Times New Roman" w:eastAsia="宋体" w:cs="Times New Roman"/>
                <w:color w:val="000000"/>
                <w:sz w:val="13"/>
                <w:szCs w:val="13"/>
                <w:lang w:val="en-US" w:eastAsia="zh-CN"/>
              </w:rPr>
              <w:t xml:space="preserve"> </w:t>
            </w:r>
            <w:r>
              <w:rPr>
                <w:rFonts w:hint="eastAsia" w:ascii="Times New Roman" w:hAnsi="Times New Roman" w:eastAsia="Arial" w:cs="Times New Roman"/>
                <w:color w:val="000000"/>
                <w:sz w:val="13"/>
                <w:szCs w:val="13"/>
              </w:rPr>
              <w:t>after-COVID</w:t>
            </w:r>
            <w:r>
              <w:rPr>
                <w:rFonts w:ascii="Times New Roman" w:hAnsi="Times New Roman" w:eastAsia="Arial" w:cs="Times New Roman"/>
                <w:color w:val="000000"/>
                <w:sz w:val="13"/>
                <w:szCs w:val="13"/>
              </w:rPr>
              <w:t xml:space="preserve"> cohorts</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BCFBB1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3,788; 265 (7.0%)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DBBE52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Not applicable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96E81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During: 1,837; 256 (13.9%); After: 818; 83 (10.1%)</w:t>
            </w:r>
          </w:p>
        </w:tc>
      </w:tr>
      <w:tr w14:paraId="2A3ACC5E">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986563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Annual updating</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10140B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Prior data before each target year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2EAE4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Prior year data for recalibration strategies</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CCA8F4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Each target year, 2015–2024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944020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Year specific; see Panel C</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2FEA90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Prior year specific; see Panel C</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1FFD98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Year specific; see Panel C</w:t>
            </w:r>
          </w:p>
        </w:tc>
      </w:tr>
      <w:tr w14:paraId="4E6EBB5D">
        <w:tblPrEx>
          <w:tblCellMar>
            <w:top w:w="0" w:type="dxa"/>
            <w:left w:w="108" w:type="dxa"/>
            <w:bottom w:w="0" w:type="dxa"/>
            <w:right w:w="108" w:type="dxa"/>
          </w:tblCellMar>
        </w:tblPrEx>
        <w:trPr>
          <w:jc w:val="center"/>
        </w:trPr>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40662C9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Time aware updating</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19DAF9A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Prior data before each target year</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6DB6C35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Not applicable</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796A9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Each target year, 2015–2024</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7D5BE15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Year specific; see Panel C</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08D3350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Not applicable</w:t>
            </w:r>
          </w:p>
        </w:tc>
        <w:tc>
          <w:tcPr>
            <w:tcW w:w="0" w:type="auto"/>
            <w:tcBorders>
              <w:top w:val="nil"/>
              <w:left w:val="nil"/>
              <w:bottom w:val="single" w:color="666666" w:sz="12" w:space="0"/>
              <w:right w:val="nil"/>
            </w:tcBorders>
            <w:shd w:val="clear" w:color="auto" w:fill="FFFFFF"/>
            <w:tcMar>
              <w:top w:w="0" w:type="dxa"/>
              <w:left w:w="0" w:type="dxa"/>
              <w:bottom w:w="0" w:type="dxa"/>
              <w:right w:w="0" w:type="dxa"/>
            </w:tcMar>
            <w:vAlign w:val="center"/>
          </w:tcPr>
          <w:p w14:paraId="4721C1B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3"/>
                <w:szCs w:val="13"/>
              </w:rPr>
            </w:pPr>
            <w:r>
              <w:rPr>
                <w:rFonts w:ascii="Times New Roman" w:hAnsi="Times New Roman" w:eastAsia="Arial" w:cs="Times New Roman"/>
                <w:color w:val="000000"/>
                <w:sz w:val="13"/>
                <w:szCs w:val="13"/>
              </w:rPr>
              <w:t>Year specific; see Panel C</w:t>
            </w:r>
          </w:p>
        </w:tc>
      </w:tr>
    </w:tbl>
    <w:p w14:paraId="6AB0D2B2">
      <w:pPr>
        <w:pStyle w:val="3"/>
        <w:numPr>
          <w:ilvl w:val="1"/>
          <w:numId w:val="0"/>
        </w:numPr>
        <w:spacing w:line="360" w:lineRule="auto"/>
        <w:ind w:left="792" w:hanging="432"/>
        <w:jc w:val="center"/>
        <w:rPr>
          <w:rFonts w:ascii="Times New Roman" w:hAnsi="Times New Roman" w:cs="Times New Roman"/>
        </w:rPr>
      </w:pPr>
      <w:r>
        <w:rPr>
          <w:rFonts w:ascii="Times New Roman" w:hAnsi="Times New Roman" w:cs="Times New Roman"/>
        </w:rPr>
        <w:t>Panel C. Year specific data windows for annual and time aware updating analyses.</w:t>
      </w:r>
    </w:p>
    <w:tbl>
      <w:tblPr>
        <w:tblStyle w:val="10"/>
        <w:tblW w:w="4998" w:type="pct"/>
        <w:jc w:val="center"/>
        <w:tblLayout w:type="autofit"/>
        <w:tblCellMar>
          <w:top w:w="0" w:type="dxa"/>
          <w:left w:w="108" w:type="dxa"/>
          <w:bottom w:w="0" w:type="dxa"/>
          <w:right w:w="108" w:type="dxa"/>
        </w:tblCellMar>
      </w:tblPr>
      <w:tblGrid>
        <w:gridCol w:w="1315"/>
        <w:gridCol w:w="4175"/>
        <w:gridCol w:w="3976"/>
        <w:gridCol w:w="3035"/>
        <w:gridCol w:w="3035"/>
      </w:tblGrid>
      <w:tr w14:paraId="5440C4E0">
        <w:tblPrEx>
          <w:tblCellMar>
            <w:top w:w="0" w:type="dxa"/>
            <w:left w:w="108" w:type="dxa"/>
            <w:bottom w:w="0" w:type="dxa"/>
            <w:right w:w="108" w:type="dxa"/>
          </w:tblCellMar>
        </w:tblPrEx>
        <w:trPr>
          <w:tblHeader/>
          <w:jc w:val="center"/>
        </w:trPr>
        <w:tc>
          <w:tcPr>
            <w:tcW w:w="42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931247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Target year</w:t>
            </w:r>
          </w:p>
        </w:tc>
        <w:tc>
          <w:tcPr>
            <w:tcW w:w="134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89DF2E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All history or time aware model fitting data</w:t>
            </w:r>
          </w:p>
        </w:tc>
        <w:tc>
          <w:tcPr>
            <w:tcW w:w="127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0DEAE9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Prior year recalibration model fitting data</w:t>
            </w:r>
          </w:p>
        </w:tc>
        <w:tc>
          <w:tcPr>
            <w:tcW w:w="97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31AB21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Prior year recalibration data</w:t>
            </w:r>
          </w:p>
        </w:tc>
        <w:tc>
          <w:tcPr>
            <w:tcW w:w="97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B46145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Evaluation data</w:t>
            </w:r>
          </w:p>
        </w:tc>
      </w:tr>
      <w:tr w14:paraId="74DB75FC">
        <w:tblPrEx>
          <w:tblCellMar>
            <w:top w:w="0" w:type="dxa"/>
            <w:left w:w="108" w:type="dxa"/>
            <w:bottom w:w="0" w:type="dxa"/>
            <w:right w:w="108" w:type="dxa"/>
          </w:tblCellMar>
        </w:tblPrEx>
        <w:trPr>
          <w:jc w:val="center"/>
        </w:trPr>
        <w:tc>
          <w:tcPr>
            <w:tcW w:w="42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E555BD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2015</w:t>
            </w:r>
          </w:p>
        </w:tc>
        <w:tc>
          <w:tcPr>
            <w:tcW w:w="134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97F7FA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2006–2014; N=1,132; events=70 (6.2%)</w:t>
            </w:r>
          </w:p>
        </w:tc>
        <w:tc>
          <w:tcPr>
            <w:tcW w:w="127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E3278C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2006–2013; N=837; events=42 (5.0%)</w:t>
            </w:r>
          </w:p>
        </w:tc>
        <w:tc>
          <w:tcPr>
            <w:tcW w:w="97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2D5756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2014; N=295; events=28 (9.5%)</w:t>
            </w:r>
          </w:p>
        </w:tc>
        <w:tc>
          <w:tcPr>
            <w:tcW w:w="97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76C97F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2015; N=336; events=34 (10.1%)</w:t>
            </w:r>
          </w:p>
        </w:tc>
      </w:tr>
      <w:tr w14:paraId="77D36FC3">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50DEE51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2016</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1F03976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2006–2015; N=1,468; events=104 (7.1%)</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0CB7778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2006–2014; N=1,132; events=70 (6.2%)</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69DDBA4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2015; N=336; events=34 (10.1%)</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592066E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2016; N=451; events=28 (6.2%)</w:t>
            </w:r>
          </w:p>
        </w:tc>
      </w:tr>
      <w:tr w14:paraId="23CC0D5A">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0413C76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2017</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2C21DF7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2006–2016; N=1,919; events=132 (6.9%)</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6C7B78C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2006–2015; N=1,468; events=104 (7.1%)</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309A588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2016; N=451; events=28 (6.2%)</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3D2394C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2017; N=494; events=34 (6.9%)</w:t>
            </w:r>
          </w:p>
        </w:tc>
      </w:tr>
      <w:tr w14:paraId="2F243F32">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5F520F6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2018</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6088588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2006–2017; N=2,413; events=166 (6.9%)</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0643F1A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2006–2016; N=1,919; events=132 (6.9%)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1A726BF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2017; N=494; events=34 (6.9%)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301EC3A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2018; N=621; events=19 (3.1%)</w:t>
            </w:r>
          </w:p>
        </w:tc>
      </w:tr>
      <w:tr w14:paraId="48BA51C2">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40BC2B7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2019</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260A1F9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2006–2018; N=3,034; events=185 (6.1%)</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6EC49AB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2006–2017; N=2,413; events=166 (6.9%)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517104E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2018; N=621; events=19 (3.1%)</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5313232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2019; N=754; events=80 (10.6%)</w:t>
            </w:r>
          </w:p>
        </w:tc>
      </w:tr>
      <w:tr w14:paraId="03F5A8D8">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76CE4E7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2020</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3A84D00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2006–2019; N=3,788; events=265 (7.0%)</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24E9686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2006–2018; N=3,034; events=185 (6.1%)</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17BFB2B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2019; N=754; events=80 (10.6%)</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2F3C748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2020; N=588; events=82 (13.9%)</w:t>
            </w:r>
          </w:p>
        </w:tc>
      </w:tr>
      <w:tr w14:paraId="05D7D147">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3B41744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2021</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025B766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2006–2020; N=4,376; events=347 (7.9%)</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09D3B37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2006–2019; N=3,788; events=265 (7.0%)</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629C438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2020; N=588; events=82 (13.9%)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0B8F772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2021; N=641; events=89 (13.9%)</w:t>
            </w:r>
          </w:p>
        </w:tc>
      </w:tr>
      <w:tr w14:paraId="2EA5A711">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01AD502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2022</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3593453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2006–2021; N=5,017; events=436 (8.7%)</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7A40F8F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2006–2020; N=4,376; events=347 (7.9%)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793F1B4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2021; N=641; events=89 (13.9%)</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4DFFB2A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2022; N=608; events=85 (14.0%)</w:t>
            </w:r>
          </w:p>
        </w:tc>
      </w:tr>
      <w:tr w14:paraId="1DA1C9CA">
        <w:tblPrEx>
          <w:tblCellMar>
            <w:top w:w="0" w:type="dxa"/>
            <w:left w:w="108" w:type="dxa"/>
            <w:bottom w:w="0" w:type="dxa"/>
            <w:right w:w="108" w:type="dxa"/>
          </w:tblCellMar>
        </w:tblPrEx>
        <w:trPr>
          <w:jc w:val="center"/>
        </w:trPr>
        <w:tc>
          <w:tcPr>
            <w:tcW w:w="423" w:type="pct"/>
            <w:tcBorders>
              <w:top w:val="nil"/>
              <w:left w:val="nil"/>
              <w:bottom w:val="nil"/>
              <w:right w:val="nil"/>
            </w:tcBorders>
            <w:shd w:val="clear" w:color="auto" w:fill="FFFFFF"/>
            <w:tcMar>
              <w:top w:w="0" w:type="dxa"/>
              <w:left w:w="0" w:type="dxa"/>
              <w:bottom w:w="0" w:type="dxa"/>
              <w:right w:w="0" w:type="dxa"/>
            </w:tcMar>
            <w:vAlign w:val="center"/>
          </w:tcPr>
          <w:p w14:paraId="3A29DDE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2023</w:t>
            </w:r>
          </w:p>
        </w:tc>
        <w:tc>
          <w:tcPr>
            <w:tcW w:w="1343" w:type="pct"/>
            <w:tcBorders>
              <w:top w:val="nil"/>
              <w:left w:val="nil"/>
              <w:bottom w:val="nil"/>
              <w:right w:val="nil"/>
            </w:tcBorders>
            <w:shd w:val="clear" w:color="auto" w:fill="FFFFFF"/>
            <w:tcMar>
              <w:top w:w="0" w:type="dxa"/>
              <w:left w:w="0" w:type="dxa"/>
              <w:bottom w:w="0" w:type="dxa"/>
              <w:right w:w="0" w:type="dxa"/>
            </w:tcMar>
            <w:vAlign w:val="center"/>
          </w:tcPr>
          <w:p w14:paraId="3CE4AFE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2006–2022; N=5,625; events=521 (9.3%)</w:t>
            </w:r>
          </w:p>
        </w:tc>
        <w:tc>
          <w:tcPr>
            <w:tcW w:w="1279" w:type="pct"/>
            <w:tcBorders>
              <w:top w:val="nil"/>
              <w:left w:val="nil"/>
              <w:bottom w:val="nil"/>
              <w:right w:val="nil"/>
            </w:tcBorders>
            <w:shd w:val="clear" w:color="auto" w:fill="FFFFFF"/>
            <w:tcMar>
              <w:top w:w="0" w:type="dxa"/>
              <w:left w:w="0" w:type="dxa"/>
              <w:bottom w:w="0" w:type="dxa"/>
              <w:right w:w="0" w:type="dxa"/>
            </w:tcMar>
            <w:vAlign w:val="center"/>
          </w:tcPr>
          <w:p w14:paraId="13A87F1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2006–2021; N=5,017; events=436 (8.7%)</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654C2B8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2022; N=608; events=85 (14.0%)</w:t>
            </w:r>
          </w:p>
        </w:tc>
        <w:tc>
          <w:tcPr>
            <w:tcW w:w="976" w:type="pct"/>
            <w:tcBorders>
              <w:top w:val="nil"/>
              <w:left w:val="nil"/>
              <w:bottom w:val="nil"/>
              <w:right w:val="nil"/>
            </w:tcBorders>
            <w:shd w:val="clear" w:color="auto" w:fill="FFFFFF"/>
            <w:tcMar>
              <w:top w:w="0" w:type="dxa"/>
              <w:left w:w="0" w:type="dxa"/>
              <w:bottom w:w="0" w:type="dxa"/>
              <w:right w:w="0" w:type="dxa"/>
            </w:tcMar>
            <w:vAlign w:val="center"/>
          </w:tcPr>
          <w:p w14:paraId="67D861B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2023; N=517; events=47 (9.1%)</w:t>
            </w:r>
          </w:p>
        </w:tc>
      </w:tr>
      <w:tr w14:paraId="6E14F18E">
        <w:tblPrEx>
          <w:tblCellMar>
            <w:top w:w="0" w:type="dxa"/>
            <w:left w:w="108" w:type="dxa"/>
            <w:bottom w:w="0" w:type="dxa"/>
            <w:right w:w="108" w:type="dxa"/>
          </w:tblCellMar>
        </w:tblPrEx>
        <w:trPr>
          <w:jc w:val="center"/>
        </w:trPr>
        <w:tc>
          <w:tcPr>
            <w:tcW w:w="42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BE21E9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2024</w:t>
            </w:r>
          </w:p>
        </w:tc>
        <w:tc>
          <w:tcPr>
            <w:tcW w:w="134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67C2AE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2006–2023; N=6,142; events=568 (9.2%)</w:t>
            </w:r>
          </w:p>
        </w:tc>
        <w:tc>
          <w:tcPr>
            <w:tcW w:w="127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8EA323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2006–2022; N=5,625; events=521 (9.3%)</w:t>
            </w:r>
          </w:p>
        </w:tc>
        <w:tc>
          <w:tcPr>
            <w:tcW w:w="97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913831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2023; N=517; events=47 (9.1%)</w:t>
            </w:r>
          </w:p>
        </w:tc>
        <w:tc>
          <w:tcPr>
            <w:tcW w:w="97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5778B1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2024; N=301; events=36 (12.0%)</w:t>
            </w:r>
          </w:p>
        </w:tc>
      </w:tr>
    </w:tbl>
    <w:p w14:paraId="12B060D6">
      <w:pPr>
        <w:spacing w:line="360" w:lineRule="auto"/>
        <w:jc w:val="both"/>
        <w:rPr>
          <w:rFonts w:ascii="Times New Roman" w:hAnsi="Times New Roman" w:eastAsia="Arial" w:cs="Times New Roman"/>
          <w:bCs/>
          <w:color w:val="000000"/>
          <w:sz w:val="14"/>
          <w:szCs w:val="14"/>
        </w:rPr>
      </w:pPr>
      <w:r>
        <w:rPr>
          <w:rFonts w:hint="eastAsia" w:ascii="Times New Roman" w:hAnsi="Times New Roman" w:eastAsia="Arial" w:cs="Times New Roman"/>
          <w:bCs/>
          <w:color w:val="000000"/>
          <w:sz w:val="15"/>
          <w:szCs w:val="15"/>
        </w:rPr>
        <w:t xml:space="preserve">Counts for the </w:t>
      </w:r>
      <w:r>
        <w:rPr>
          <w:rFonts w:hint="eastAsia" w:ascii="Times New Roman" w:hAnsi="Times New Roman" w:eastAsia="宋体" w:cs="Times New Roman"/>
          <w:bCs/>
          <w:color w:val="000000"/>
          <w:sz w:val="15"/>
          <w:szCs w:val="15"/>
          <w:lang w:val="en-US" w:eastAsia="zh-CN"/>
        </w:rPr>
        <w:t>pre</w:t>
      </w:r>
      <w:r>
        <w:rPr>
          <w:rFonts w:hint="eastAsia" w:ascii="Times New Roman" w:hAnsi="Times New Roman" w:eastAsia="Arial" w:cs="Times New Roman"/>
          <w:bCs/>
          <w:color w:val="000000"/>
          <w:sz w:val="15"/>
          <w:szCs w:val="15"/>
        </w:rPr>
        <w:t>-COVID, during-COVID, and after-COVID cohorts were calculated directly from the final Time variable in the analysis dataset. Events indicate IVIG resistance. In Panel C, all history refitting and time aware updating used all available data before each target year for model fitting. The prior year recalibration strategies used data available before the preceding year for initial model fitting, data from the preceding year for recalibration, and data from the target year for evaluation. Because intercept only recalibration and intercept plus slope recalibration used identical data windows, they are represented by a single prior year recalibration data window in Panel C. IVIG, intravenous immunoglobulin; IVIGR, intravenous immunoglobulin resistance; RF, random forest.</w:t>
      </w:r>
      <w:r>
        <w:rPr>
          <w:rFonts w:ascii="Times New Roman" w:hAnsi="Times New Roman" w:eastAsia="Arial" w:cs="Times New Roman"/>
          <w:bCs/>
          <w:color w:val="000000"/>
          <w:sz w:val="14"/>
          <w:szCs w:val="14"/>
        </w:rPr>
        <w:br w:type="page"/>
      </w:r>
    </w:p>
    <w:p w14:paraId="3E545821">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cs="Times New Roman"/>
        </w:rPr>
      </w:pPr>
      <w:r>
        <w:rPr>
          <w:rFonts w:ascii="Times New Roman" w:hAnsi="Times New Roman" w:eastAsia="Times New Roman" w:cs="Times New Roman"/>
          <w:b/>
          <w:color w:val="000000"/>
          <w:sz w:val="22"/>
          <w:szCs w:val="22"/>
        </w:rPr>
        <w:t xml:space="preserve">Table S3. Missingness patterns before multiple imputation.</w:t>
      </w:r>
    </w:p>
    <w:p w14:paraId="3FD155BD">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cs="Times New Roman"/>
        </w:rPr>
      </w:pPr>
      <w:r>
        <w:rPr>
          <w:rFonts w:ascii="Times New Roman" w:hAnsi="Times New Roman" w:eastAsia="Times New Roman" w:cs="Times New Roman"/>
          <w:b/>
          <w:color w:val="000000"/>
          <w:sz w:val="20"/>
          <w:szCs w:val="20"/>
        </w:rPr>
        <w:t>Panel A. Stratified missingness summary.</w:t>
      </w:r>
    </w:p>
    <w:tbl>
      <w:tblPr>
        <w:tblStyle w:val="10"/>
        <w:tblW w:w="4999" w:type="pct"/>
        <w:jc w:val="center"/>
        <w:tblLayout w:type="autofit"/>
        <w:tblCellMar>
          <w:top w:w="0" w:type="dxa"/>
          <w:left w:w="108" w:type="dxa"/>
          <w:bottom w:w="0" w:type="dxa"/>
          <w:right w:w="108" w:type="dxa"/>
        </w:tblCellMar>
      </w:tblPr>
      <w:tblGrid>
        <w:gridCol w:w="2219"/>
        <w:gridCol w:w="2562"/>
        <w:gridCol w:w="1194"/>
        <w:gridCol w:w="1707"/>
        <w:gridCol w:w="2391"/>
        <w:gridCol w:w="5466"/>
      </w:tblGrid>
      <w:tr w14:paraId="333D8092">
        <w:tblPrEx>
          <w:tblCellMar>
            <w:top w:w="0" w:type="dxa"/>
            <w:left w:w="108" w:type="dxa"/>
            <w:bottom w:w="0" w:type="dxa"/>
            <w:right w:w="108" w:type="dxa"/>
          </w:tblCellMar>
        </w:tblPrEx>
        <w:trPr>
          <w:tblHeader/>
          <w:jc w:val="center"/>
        </w:trPr>
        <w:tc>
          <w:tcPr>
            <w:tcW w:w="7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A7B642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Domain</w:t>
            </w:r>
          </w:p>
        </w:tc>
        <w:tc>
          <w:tcPr>
            <w:tcW w:w="82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8007FE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Stratum</w:t>
            </w:r>
          </w:p>
        </w:tc>
        <w:tc>
          <w:tcPr>
            <w:tcW w:w="38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7BF628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N</w:t>
            </w:r>
          </w:p>
        </w:tc>
        <w:tc>
          <w:tcPr>
            <w:tcW w:w="54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9DF7A7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Variables assessed</w:t>
            </w:r>
          </w:p>
        </w:tc>
        <w:tc>
          <w:tcPr>
            <w:tcW w:w="76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1C6AA4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Maximum missing, n (%)</w:t>
            </w:r>
          </w:p>
        </w:tc>
        <w:tc>
          <w:tcPr>
            <w:tcW w:w="175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DC1025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b/>
                <w:color w:val="000000"/>
                <w:sz w:val="14"/>
                <w:szCs w:val="14"/>
              </w:rPr>
            </w:pPr>
            <w:r>
              <w:rPr>
                <w:rFonts w:ascii="Times New Roman" w:hAnsi="Times New Roman" w:eastAsia="Arial" w:cs="Times New Roman"/>
                <w:b/>
                <w:color w:val="000000"/>
                <w:sz w:val="14"/>
                <w:szCs w:val="14"/>
              </w:rPr>
              <w:t>Variables with missingness</w:t>
            </w:r>
          </w:p>
        </w:tc>
      </w:tr>
      <w:tr w14:paraId="2EC32484">
        <w:tblPrEx>
          <w:tblCellMar>
            <w:top w:w="0" w:type="dxa"/>
            <w:left w:w="108" w:type="dxa"/>
            <w:bottom w:w="0" w:type="dxa"/>
            <w:right w:w="108" w:type="dxa"/>
          </w:tblCellMar>
        </w:tblPrEx>
        <w:trPr>
          <w:jc w:val="center"/>
        </w:trPr>
        <w:tc>
          <w:tcPr>
            <w:tcW w:w="7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380D57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Overall</w:t>
            </w:r>
          </w:p>
        </w:tc>
        <w:tc>
          <w:tcPr>
            <w:tcW w:w="82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910971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Overall</w:t>
            </w:r>
          </w:p>
        </w:tc>
        <w:tc>
          <w:tcPr>
            <w:tcW w:w="38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C043D9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6,443</w:t>
            </w:r>
          </w:p>
        </w:tc>
        <w:tc>
          <w:tcPr>
            <w:tcW w:w="54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D9B0CC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47D5F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1,237 (19.2%)</w:t>
            </w:r>
          </w:p>
        </w:tc>
        <w:tc>
          <w:tcPr>
            <w:tcW w:w="175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15016A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White blood cell count; Neutrophil percentage; Hemoglobin; Platelet count; C-reactive protein; Albumin; Alanine aminotransferase; Aspartate aminotransferase; Lactate dehydrogenase; Creatine kinase MB</w:t>
            </w:r>
          </w:p>
        </w:tc>
      </w:tr>
      <w:tr w14:paraId="568E22BE">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103B622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COVID-19 calendar phase</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770CC63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hint="eastAsia" w:ascii="Times New Roman" w:hAnsi="Times New Roman" w:eastAsia="宋体" w:cs="Times New Roman"/>
                <w:color w:val="000000"/>
                <w:sz w:val="14"/>
                <w:szCs w:val="14"/>
                <w:lang w:val="en-US" w:eastAsia="zh-CN"/>
              </w:rPr>
              <w:t>pre-COVID</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0B098E6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3,788</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2A103C6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062A6AE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1,071 (28.3%)</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7CC84E0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White blood cell count; Neutrophil percentage; Hemoglobin; Platelet count; C-reactive protein; Albumin; Alanine aminotransferase; Aspartate aminotransferase; Lactate dehydrogenase; Creatine kinase MB</w:t>
            </w:r>
          </w:p>
        </w:tc>
      </w:tr>
      <w:tr w14:paraId="0E3CBA15">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08E2B50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COVID-19 calendar phase</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6099CA0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hint="eastAsia" w:ascii="Times New Roman" w:hAnsi="Times New Roman" w:eastAsia="宋体" w:cs="Times New Roman"/>
                <w:color w:val="000000"/>
                <w:sz w:val="14"/>
                <w:szCs w:val="14"/>
                <w:lang w:val="en-US" w:eastAsia="zh-CN"/>
              </w:rPr>
              <w:t>during-COVID</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4FF50F8E">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1,837</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2457642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1F9054C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157 (8.5%)</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6AF91AA1">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Rash; White blood cell count; Neutrophil percentage; Hemoglobin; Platelet count; C-reactive protein; Albumin; Alanine aminotransferase; Aspartate aminotransferase; Lactate dehydrogenase; Creatine kinase MB</w:t>
            </w:r>
          </w:p>
        </w:tc>
      </w:tr>
      <w:tr w14:paraId="39184952">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2F00030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COVID-19 calendar phase</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7BB2F7B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hint="eastAsia" w:ascii="Times New Roman" w:hAnsi="Times New Roman" w:eastAsia="宋体" w:cs="Times New Roman"/>
                <w:color w:val="000000"/>
                <w:sz w:val="14"/>
                <w:szCs w:val="14"/>
                <w:lang w:val="en-US" w:eastAsia="zh-CN"/>
              </w:rPr>
              <w:t>after-COVID</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32FA0E2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818</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4D886B1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69EE355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9 (1.1%)</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0ED395B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Rash; Creatine kinase MB</w:t>
            </w:r>
          </w:p>
        </w:tc>
      </w:tr>
      <w:tr w14:paraId="04284DCB">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55E3A67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Center</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131BBE4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FJSL</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71C3EBA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463</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097703F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630F6E6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6 (1.3%)</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29F36CC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C-reactive protein</w:t>
            </w:r>
          </w:p>
        </w:tc>
      </w:tr>
      <w:tr w14:paraId="6129EF6A">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6D4620C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Center</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4DCC7F7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FZFY</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405632A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1,241</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635476C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0372FED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403 (32.5%)</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43E1D77A">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Oral mucosal change; Rash; White blood cell count; Neutrophil percentage; Hemoglobin; Platelet count; C-reactive protein; Albumin; Alanine aminotransferase; Aspartate aminotransferase; Lactate dehydrogenase; Creatine kinase MB</w:t>
            </w:r>
          </w:p>
        </w:tc>
      </w:tr>
      <w:tr w14:paraId="6AB03201">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173A9E75">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Center</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5752948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Suzhou</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06C99B9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4,529</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265BE44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4DBC640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1,046 (23.1%)</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3F573AF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White blood cell count; Neutrophil percentage; Hemoglobin; Platelet count; C-reactive protein; Albumin; Alanine aminotransferase; Aspartate aminotransferase; Lactate dehydrogenase; Creatine kinase MB</w:t>
            </w:r>
          </w:p>
        </w:tc>
      </w:tr>
      <w:tr w14:paraId="0339C947">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11E1CD86">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Center</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2917BAF3">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Yangzhou</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0172468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210</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4520B92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57EEA6BB">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0 (0.0%)</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1EC84BB0">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None</w:t>
            </w:r>
          </w:p>
        </w:tc>
      </w:tr>
      <w:tr w14:paraId="01168860">
        <w:tblPrEx>
          <w:tblCellMar>
            <w:top w:w="0" w:type="dxa"/>
            <w:left w:w="108" w:type="dxa"/>
            <w:bottom w:w="0" w:type="dxa"/>
            <w:right w:w="108" w:type="dxa"/>
          </w:tblCellMar>
        </w:tblPrEx>
        <w:trPr>
          <w:jc w:val="center"/>
        </w:trPr>
        <w:tc>
          <w:tcPr>
            <w:tcW w:w="714" w:type="pct"/>
            <w:tcBorders>
              <w:top w:val="nil"/>
              <w:left w:val="nil"/>
              <w:bottom w:val="nil"/>
              <w:right w:val="nil"/>
            </w:tcBorders>
            <w:shd w:val="clear" w:color="auto" w:fill="FFFFFF"/>
            <w:tcMar>
              <w:top w:w="0" w:type="dxa"/>
              <w:left w:w="0" w:type="dxa"/>
              <w:bottom w:w="0" w:type="dxa"/>
              <w:right w:w="0" w:type="dxa"/>
            </w:tcMar>
            <w:vAlign w:val="center"/>
          </w:tcPr>
          <w:p w14:paraId="710596E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IVIGR status</w:t>
            </w:r>
          </w:p>
        </w:tc>
        <w:tc>
          <w:tcPr>
            <w:tcW w:w="824" w:type="pct"/>
            <w:tcBorders>
              <w:top w:val="nil"/>
              <w:left w:val="nil"/>
              <w:bottom w:val="nil"/>
              <w:right w:val="nil"/>
            </w:tcBorders>
            <w:shd w:val="clear" w:color="auto" w:fill="FFFFFF"/>
            <w:tcMar>
              <w:top w:w="0" w:type="dxa"/>
              <w:left w:w="0" w:type="dxa"/>
              <w:bottom w:w="0" w:type="dxa"/>
              <w:right w:w="0" w:type="dxa"/>
            </w:tcMar>
            <w:vAlign w:val="center"/>
          </w:tcPr>
          <w:p w14:paraId="6674D239">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IVIG resistant</w:t>
            </w:r>
          </w:p>
        </w:tc>
        <w:tc>
          <w:tcPr>
            <w:tcW w:w="384" w:type="pct"/>
            <w:tcBorders>
              <w:top w:val="nil"/>
              <w:left w:val="nil"/>
              <w:bottom w:val="nil"/>
              <w:right w:val="nil"/>
            </w:tcBorders>
            <w:shd w:val="clear" w:color="auto" w:fill="FFFFFF"/>
            <w:tcMar>
              <w:top w:w="0" w:type="dxa"/>
              <w:left w:w="0" w:type="dxa"/>
              <w:bottom w:w="0" w:type="dxa"/>
              <w:right w:w="0" w:type="dxa"/>
            </w:tcMar>
            <w:vAlign w:val="center"/>
          </w:tcPr>
          <w:p w14:paraId="36752A9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604</w:t>
            </w:r>
          </w:p>
        </w:tc>
        <w:tc>
          <w:tcPr>
            <w:tcW w:w="549" w:type="pct"/>
            <w:tcBorders>
              <w:top w:val="nil"/>
              <w:left w:val="nil"/>
              <w:bottom w:val="nil"/>
              <w:right w:val="nil"/>
            </w:tcBorders>
            <w:shd w:val="clear" w:color="auto" w:fill="FFFFFF"/>
            <w:tcMar>
              <w:top w:w="0" w:type="dxa"/>
              <w:left w:w="0" w:type="dxa"/>
              <w:bottom w:w="0" w:type="dxa"/>
              <w:right w:w="0" w:type="dxa"/>
            </w:tcMar>
            <w:vAlign w:val="center"/>
          </w:tcPr>
          <w:p w14:paraId="3C8BD417">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nil"/>
              <w:right w:val="nil"/>
            </w:tcBorders>
            <w:shd w:val="clear" w:color="auto" w:fill="FFFFFF"/>
            <w:tcMar>
              <w:top w:w="0" w:type="dxa"/>
              <w:left w:w="0" w:type="dxa"/>
              <w:bottom w:w="0" w:type="dxa"/>
              <w:right w:w="0" w:type="dxa"/>
            </w:tcMar>
            <w:vAlign w:val="center"/>
          </w:tcPr>
          <w:p w14:paraId="30406B74">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56 (9.3%)</w:t>
            </w:r>
          </w:p>
        </w:tc>
        <w:tc>
          <w:tcPr>
            <w:tcW w:w="1758" w:type="pct"/>
            <w:tcBorders>
              <w:top w:val="nil"/>
              <w:left w:val="nil"/>
              <w:bottom w:val="nil"/>
              <w:right w:val="nil"/>
            </w:tcBorders>
            <w:shd w:val="clear" w:color="auto" w:fill="FFFFFF"/>
            <w:tcMar>
              <w:top w:w="0" w:type="dxa"/>
              <w:left w:w="0" w:type="dxa"/>
              <w:bottom w:w="0" w:type="dxa"/>
              <w:right w:w="0" w:type="dxa"/>
            </w:tcMar>
            <w:vAlign w:val="center"/>
          </w:tcPr>
          <w:p w14:paraId="40EAB68F">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White blood cell count; Neutrophil percentage; Hemoglobin; Platelet count; C-reactive protein; Albumin; Alanine aminotransferase; Aspartate aminotransferase; Lactate dehydrogenase; Creatine kinase MB</w:t>
            </w:r>
          </w:p>
        </w:tc>
      </w:tr>
      <w:tr w14:paraId="7751649F">
        <w:tblPrEx>
          <w:tblCellMar>
            <w:top w:w="0" w:type="dxa"/>
            <w:left w:w="108" w:type="dxa"/>
            <w:bottom w:w="0" w:type="dxa"/>
            <w:right w:w="108" w:type="dxa"/>
          </w:tblCellMar>
        </w:tblPrEx>
        <w:trPr>
          <w:jc w:val="center"/>
        </w:trPr>
        <w:tc>
          <w:tcPr>
            <w:tcW w:w="7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86914D2">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IVIGR status</w:t>
            </w:r>
          </w:p>
        </w:tc>
        <w:tc>
          <w:tcPr>
            <w:tcW w:w="82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EBE390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IVIG responsive</w:t>
            </w:r>
          </w:p>
        </w:tc>
        <w:tc>
          <w:tcPr>
            <w:tcW w:w="38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1FCDE4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5,839</w:t>
            </w:r>
          </w:p>
        </w:tc>
        <w:tc>
          <w:tcPr>
            <w:tcW w:w="54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9D7AB48">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19</w:t>
            </w:r>
          </w:p>
        </w:tc>
        <w:tc>
          <w:tcPr>
            <w:tcW w:w="76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675E7FC">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1,182 (20.2%)</w:t>
            </w:r>
          </w:p>
        </w:tc>
        <w:tc>
          <w:tcPr>
            <w:tcW w:w="175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B32FE9D">
            <w:pPr>
              <w:pBdr>
                <w:top w:val="none" w:color="000000" w:sz="0" w:space="0"/>
                <w:left w:val="none" w:color="000000" w:sz="0" w:space="0"/>
                <w:bottom w:val="none" w:color="000000" w:sz="0" w:space="0"/>
                <w:right w:val="none" w:color="000000" w:sz="0" w:space="0"/>
              </w:pBdr>
              <w:spacing w:before="100" w:after="100" w:line="360" w:lineRule="auto"/>
              <w:ind w:left="100" w:right="100"/>
              <w:jc w:val="center"/>
              <w:rPr>
                <w:rFonts w:ascii="Times New Roman" w:hAnsi="Times New Roman" w:eastAsia="Arial" w:cs="Times New Roman"/>
                <w:color w:val="000000"/>
                <w:sz w:val="14"/>
                <w:szCs w:val="14"/>
              </w:rPr>
            </w:pPr>
            <w:r>
              <w:rPr>
                <w:rFonts w:ascii="Times New Roman" w:hAnsi="Times New Roman" w:eastAsia="Arial" w:cs="Times New Roman"/>
                <w:color w:val="000000"/>
                <w:sz w:val="14"/>
                <w:szCs w:val="14"/>
              </w:rPr>
              <w:t>Cervical lymphadenopathy; Conjunctival injection; Extremity edema; Oral mucosal change; Rash; White blood cell count; Neutrophil percentage; Hemoglobin; Platelet count; C-reactive protein; Albumin; Alanine aminotransferase; Aspartate aminotransferase; Lactate dehydrogenase; Creatine kinase MB</w:t>
            </w:r>
          </w:p>
        </w:tc>
      </w:tr>
    </w:tbl>
    <w:p w14:paraId="6CC0B18B">
      <w:pPr>
        <w:pBdr>
          <w:top w:val="none" w:color="000000" w:sz="0" w:space="0"/>
          <w:left w:val="none" w:color="000000" w:sz="0" w:space="0"/>
          <w:bottom w:val="none" w:color="000000" w:sz="0" w:space="0"/>
          <w:right w:val="none" w:color="000000" w:sz="0" w:space="0"/>
        </w:pBdr>
        <w:spacing w:before="0" w:after="0" w:line="360" w:lineRule="auto"/>
        <w:ind w:left="0" w:right="0" w:firstLine="0" w:firstLineChars="0"/>
        <w:jc w:val="center"/>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 xml:space="preserve">Panel </w:t>
      </w:r>
      <w:r>
        <w:rPr>
          <w:rFonts w:hint="eastAsia" w:ascii="Times New Roman" w:hAnsi="Times New Roman" w:eastAsia="宋体" w:cs="Times New Roman"/>
          <w:b/>
          <w:color w:val="000000"/>
          <w:sz w:val="20"/>
          <w:szCs w:val="20"/>
          <w:lang w:val="en-US" w:eastAsia="zh-CN"/>
        </w:rPr>
        <w:t>B</w:t>
      </w:r>
      <w:r>
        <w:rPr>
          <w:rFonts w:ascii="Times New Roman" w:hAnsi="Times New Roman" w:eastAsia="Times New Roman" w:cs="Times New Roman"/>
          <w:b/>
          <w:color w:val="000000"/>
          <w:sz w:val="20"/>
          <w:szCs w:val="20"/>
        </w:rPr>
        <w:t>. Missingness by calendar year, 2006–20</w:t>
      </w:r>
      <w:r>
        <w:rPr>
          <w:rFonts w:hint="eastAsia" w:ascii="Times New Roman" w:hAnsi="Times New Roman" w:eastAsia="宋体" w:cs="Times New Roman"/>
          <w:b/>
          <w:color w:val="000000"/>
          <w:sz w:val="20"/>
          <w:szCs w:val="20"/>
          <w:lang w:val="en-US" w:eastAsia="zh-CN"/>
        </w:rPr>
        <w:t>24</w:t>
      </w:r>
      <w:r>
        <w:rPr>
          <w:rFonts w:ascii="Times New Roman" w:hAnsi="Times New Roman" w:eastAsia="Times New Roman" w:cs="Times New Roman"/>
          <w:b/>
          <w:color w:val="000000"/>
          <w:sz w:val="20"/>
          <w:szCs w:val="20"/>
        </w:rPr>
        <w:t>.</w:t>
      </w:r>
    </w:p>
    <w:tbl>
      <w:tblPr>
        <w:tblStyle w:val="10"/>
        <w:tblW w:w="0" w:type="auto"/>
        <w:jc w:val="center"/>
        <w:tblLayout w:type="autofit"/>
        <w:tblCellMar>
          <w:top w:w="0" w:type="dxa"/>
          <w:left w:w="108" w:type="dxa"/>
          <w:bottom w:w="0" w:type="dxa"/>
          <w:right w:w="108" w:type="dxa"/>
        </w:tblCellMar>
      </w:tblPr>
      <w:tblGrid>
        <w:gridCol w:w="1464"/>
        <w:gridCol w:w="676"/>
        <w:gridCol w:w="676"/>
        <w:gridCol w:w="676"/>
        <w:gridCol w:w="676"/>
        <w:gridCol w:w="788"/>
        <w:gridCol w:w="676"/>
        <w:gridCol w:w="901"/>
        <w:gridCol w:w="901"/>
        <w:gridCol w:w="901"/>
        <w:gridCol w:w="901"/>
        <w:gridCol w:w="788"/>
        <w:gridCol w:w="788"/>
        <w:gridCol w:w="788"/>
        <w:gridCol w:w="676"/>
        <w:gridCol w:w="563"/>
        <w:gridCol w:w="788"/>
        <w:gridCol w:w="788"/>
        <w:gridCol w:w="563"/>
        <w:gridCol w:w="564"/>
      </w:tblGrid>
      <w:tr w14:paraId="13314CA7">
        <w:tblPrEx>
          <w:tblCellMar>
            <w:top w:w="0" w:type="dxa"/>
            <w:left w:w="108" w:type="dxa"/>
            <w:bottom w:w="0" w:type="dxa"/>
            <w:right w:w="108" w:type="dxa"/>
          </w:tblCellMar>
        </w:tblPrEx>
        <w:trPr>
          <w:trHeight w:val="0" w:hRule="atLeast"/>
          <w:tblHeader/>
          <w:jc w:val="center"/>
        </w:trPr>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18A96A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Variable</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5BAD3B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2006</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4C6D53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2007</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C1EEB1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2008</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2EE41C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2009</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DE904A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2010</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7E2059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2011</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92E3E9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2012</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2B69AE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2013</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251E15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2014</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AF2B3C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2015</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908B80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2016</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96ECBE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2017</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84818E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2018</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4495A7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2019</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AD8C31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2020</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72B6F2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2021</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EF004C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2022</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3EE7E9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2023</w:t>
            </w:r>
          </w:p>
        </w:tc>
        <w:tc>
          <w:tcPr>
            <w:tcW w:w="0" w:type="auto"/>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916A12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i w:val="0"/>
                <w:strike w:val="0"/>
                <w:color w:val="000000"/>
                <w:sz w:val="16"/>
                <w:szCs w:val="16"/>
                <w:u w:val="none"/>
              </w:rPr>
            </w:pPr>
            <w:r>
              <w:rPr>
                <w:rFonts w:ascii="Times New Roman" w:hAnsi="Times New Roman" w:eastAsia="Times New Roman" w:cs="Times New Roman"/>
                <w:b/>
                <w:i w:val="0"/>
                <w:strike w:val="0"/>
                <w:color w:val="000000"/>
                <w:sz w:val="16"/>
                <w:szCs w:val="16"/>
                <w:u w:val="none"/>
              </w:rPr>
              <w:t>2024</w:t>
            </w:r>
          </w:p>
        </w:tc>
      </w:tr>
      <w:tr w14:paraId="6034A160">
        <w:tblPrEx>
          <w:tblCellMar>
            <w:top w:w="0" w:type="dxa"/>
            <w:left w:w="108" w:type="dxa"/>
            <w:bottom w:w="0" w:type="dxa"/>
            <w:right w:w="108" w:type="dxa"/>
          </w:tblCellMar>
        </w:tblPrEx>
        <w:trPr>
          <w:trHeight w:val="0" w:hRule="atLeast"/>
          <w:jc w:val="center"/>
        </w:trPr>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70A6D8B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Age, months</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3593EC4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4843B2A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6786BCD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2226F10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573BCD0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30DF0EE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7F220A6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29273E4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0/184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4318821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1744013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49B58FF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3DFCDF0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62C52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0/621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53E308D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0A805BA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2542CDD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0AED6E6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64BDC1C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single" w:color="666666" w:sz="12" w:space="0"/>
              <w:left w:val="nil"/>
              <w:bottom w:val="nil"/>
              <w:right w:val="nil"/>
            </w:tcBorders>
            <w:shd w:val="clear" w:color="auto" w:fill="FFFFFF"/>
            <w:tcMar>
              <w:top w:w="0" w:type="dxa"/>
              <w:left w:w="0" w:type="dxa"/>
              <w:bottom w:w="0" w:type="dxa"/>
              <w:right w:w="0" w:type="dxa"/>
            </w:tcMar>
            <w:vAlign w:val="center"/>
          </w:tcPr>
          <w:p w14:paraId="44D0C21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256693C9">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B7F930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hint="eastAsia" w:ascii="Times New Roman" w:hAnsi="Times New Roman" w:eastAsia="Times New Roman" w:cs="Times New Roman"/>
                <w:b w:val="0"/>
                <w:bCs w:val="0"/>
                <w:i w:val="0"/>
                <w:strike w:val="0"/>
                <w:color w:val="000000"/>
                <w:sz w:val="14"/>
                <w:szCs w:val="14"/>
                <w:u w:val="none"/>
              </w:rPr>
              <w:t>Gender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0BDB8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F15B5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AF4014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19DA0D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11905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862C1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0EAD4A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F905E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0/184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339156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6C17E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14A95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3AA90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97F3E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0/621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5C128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E02F54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AB29B5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7F7C2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6B4EA1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9A7266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4ED1799D">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449929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Center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56CD0F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65F2E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81BEF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FEE4C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9E410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6FFD7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2F43D6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A2E9B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0/184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770C45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365166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BF352F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02418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2B671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0/621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F49F4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4235A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0941C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726163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374F0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EEC10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52D71947">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A50E0E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hint="eastAsia" w:ascii="Times New Roman" w:hAnsi="Times New Roman" w:eastAsia="Times New Roman" w:cs="Times New Roman"/>
                <w:b w:val="0"/>
                <w:bCs w:val="0"/>
                <w:i w:val="0"/>
                <w:strike w:val="0"/>
                <w:color w:val="000000"/>
                <w:sz w:val="14"/>
                <w:szCs w:val="14"/>
                <w:u w:val="none"/>
              </w:rPr>
              <w:t>Coronary artery lesions</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E70D1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BE99CB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429B8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4DC44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2DF56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DF56C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B0D2E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EAE33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0/184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304BEA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2C3C6D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2E37B1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2E57D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BA58FC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0/621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0D2BC2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59C5C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EFF23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82B85F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EEA56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CBDB1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3B86EA1D">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5E234B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Cervical lymphadenopathy</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AE59F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53D82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D528C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065AE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DB62EA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15E91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580FF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2F58EA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2/184 (1.09%)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27044C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1/295 (0.34%)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2441B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55574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C983BF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2/494 (0.4%)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AD4A7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3/621 (0.48%)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F01DED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AFCCA0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D3F4D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13E4E7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262C36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6035F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0B478985">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BA5475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Conjunctival injection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4ED06C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FE99B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45AF1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7E7458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1/98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61736D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CA6D0B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CA248A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1/133 (0.75%)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F50946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2/184 (1.09%)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C473AA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1/295 (0.34%)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5EB70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2B6BB6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F9A50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D1A3DB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2/621 (0.32%)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BA2A5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D8CF9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E6797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EDAA6F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96B03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CBEE1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5EAC8649">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C27730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Extremity edema</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DC1D3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1/65 (1.54%)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6DCE8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DEFC6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A8657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F8622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6E049F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C0C62D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9BB26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2/184 (1.09%)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7C254E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1/295 (0.34%)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A013D6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ED900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0E990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0/494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727D40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2/621 (0.32%)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17806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C2922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8E421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895AC8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177F62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16C4F4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3B82EBC0">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077D3D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Oral mucosal change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FFBD1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7C43CA">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DB2ABA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AA806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2C6A60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9C795A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AE91D3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B81C20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2/184 (1.09%)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3EC2C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86/295 (29.15%)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7C65A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82/336 (24.4%)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3ED2D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138/451 (30.6%)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63FF3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98/494 (19.84%)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9AA12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2/621 (0.32%)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93CA33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8E16CC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CC5A8B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0/641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B5263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36FFB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83CE04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6BE422BC">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3CA969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Rash</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DF28E8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A4492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078CD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D4D6D7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C8484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7AA3AD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AC8D5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2232ED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2/184 (1.09%)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CD293A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1/295 (0.34%)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A9402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0/336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078218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BE08B3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1/494 (0.2%)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B3387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3/621 (0.48%)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49BEE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E7229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BE924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1/641 (0.16%)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D9BB7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942A0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33C6B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1/301 (0.33%)</w:t>
            </w:r>
          </w:p>
        </w:tc>
      </w:tr>
      <w:tr w14:paraId="1799DDB4">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E8BB29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White blood cell count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291A35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7EABB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708C0F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D324A2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3/98 (3.06%)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50CED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D94A6C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0/91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FC31E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1DFFEA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6/184 (3.26%)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3954F0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C9BD9B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1/336 (0.3%)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64F22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1/451 (0.22%)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87D893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2/494 (0.4%)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2ABD3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0/621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264C0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AC675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37B55E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2/641 (0.31%)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4F110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8/608 (1.32%)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60D448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3ACF2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6B7C58AC">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C622AD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Neutrophil percentage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040DEA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E750F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C01DCE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3FCC8A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1/98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6D3E6E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7213F8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2/91 (2.2%)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8EA73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28/133 (21.05%)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B8426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148/184 (80.43%)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A9C46D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0/295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37888A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1/336 (0.3%)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865B6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3/451 (0.67%)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F22A5D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4/494 (0.81%)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C6E97B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7/621 (1.13%)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23A7CE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3F3B64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1/588 (0.17%)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70B9DD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2/641 (0.31%)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7FACC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8/608 (1.32%)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03F28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D6CDA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070A2E38">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A214F4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Hemoglobin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EDB39C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0CCA1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3B8109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25C9CE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1/98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765572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DBFC2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1/91 (1.1%)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B2705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1/133 (0.75%)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6E58C7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5/184 (2.72%)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DBCF1F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12/295 (4.07%)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16984E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3/336 (0.89%)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EDD0EC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5/451 (1.11%)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9DFE4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19/494 (3.85%)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216EF8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34/621 (5.48%)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0B0181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E736A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74F8A0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3/641 (0.47%)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10658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7/608 (1.15%)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F408E1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AED816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71463E1F">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66BD01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Platelet count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2E3E48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0/65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8A3B2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D5B47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0/83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A90FCA">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1/98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78A05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0/108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D19F73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3/91 (3.3%)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F54D1C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2/133 (1.5%)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C207A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6/184 (3.26%)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92478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5/295 (1.69%)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C608A0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1/336 (0.3%)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57906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1/451 (0.22%)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FB583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12/494 (2.43%)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DF4DFB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19/621 (3.06%)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D0A68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0/754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A56839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1/588 (0.17%)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25799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2/641 (0.31%)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81A3BC1">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8/608 (1.32%)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6DF8F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C476CE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1F277B2D">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D9690E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C-reactive protein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9869DB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1/65 (1.54%)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EFDAC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5/75 (6.67%)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35B519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2/83 (2.41%)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C41261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1/98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D5500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1/108 (0.93%)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D9867D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1/91 (1.1%)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33B8B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0/133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D893C3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6/184 (3.26%)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2713C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2/295 (0.68%)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7886A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3/336 (0.89%)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AD5C3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0/451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4DD87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1/494 (0.2%)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BA9A2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2/621 (0.32%)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AEEA5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2/754 (0.27%)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B7C7FF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FBAED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2/641 (0.31%)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99FED2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8/608 (1.32%)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ED02A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92B8E5">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4BEA6D2F">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6D648A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Albumin</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71E86C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2/65 (3.08%)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EB8E1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1/75 (1.33%)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BC2FA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1/83 (1.2%)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BD877A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2/98 (2.04%)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F4D3BA">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2/108 (1.85%)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1C6AE0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3/91 (3.3%)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B68E4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7/133 (5.26%)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7D356D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11/184 (5.98%)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B1585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7/295 (2.37%)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EC091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2/336 (0.6%)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9CF7EA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5/451 (1.11%)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6C177A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6/494 (1.21%)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83187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10/621 (1.61%)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3EFD9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1/754 (0.13%)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E7D778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EC27687">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8/641 (1.25%)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BEE677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4/608 (0.66%)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35090D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9A4ECD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58AEDCE8">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69EFD9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Alanine aminotransferase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C2195F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1/65 (1.54%)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C5929E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 (2.67%)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C8366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1/83 (1.2%)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B9C94E">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2/98 (2.04%)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881C7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2/108 (1.85%)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CCBF49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3/91 (3.3%)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5E9130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7/133 (5.26%)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B8FE30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11/184 (5.98%)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41475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3/295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8A7861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3/336 (0.89%)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E93DE86">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3/451 (0.67%)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36E7089">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6/494 (1.21%)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987343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7/621 (1.13%)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0979AAB">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1/754 (0.13%)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F4AB6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E7F6A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8/641 (1.25%)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1BC7F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4/608 (0.66%)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50369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8A76E08">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4C5E63D4">
        <w:tblPrEx>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FB625B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rPr>
              <w:t>Aspartate aminotransferase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3B416C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1/65 (1.54%)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28483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2/75 (2.67%)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A403B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2/83 (2.41%)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4E03DA">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2/98 (2.04%)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65950B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2/108 (1.85%)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32DFE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3/91 (3.3%)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71E243">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6/133 (4.51%)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B9F730">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10/184 (5.43%)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3A594C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3/295 (1.02%)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1A98C7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3/336 (0.89%)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BA131E">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3/451 (0.67%)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A0DAFE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6/494 (1.21%)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23ED68C">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7/621 (1.13%)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FA7C12">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1/754 (0.13%)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7A613F">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0/588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576FB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9/641 (1.4%)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D77D3A">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4/608 (0.66%)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641F23D">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0/517 (0%)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C166104">
            <w:pPr>
              <w:pBdr>
                <w:top w:val="none" w:color="000000" w:sz="0" w:space="0"/>
                <w:left w:val="none" w:color="000000" w:sz="0" w:space="0"/>
                <w:bottom w:val="none" w:color="000000" w:sz="0" w:space="0"/>
                <w:right w:val="none" w:color="000000" w:sz="0" w:space="0"/>
              </w:pBdr>
              <w:spacing w:before="40" w:after="40" w:line="360" w:lineRule="auto"/>
              <w:ind w:left="40" w:leftChars="0" w:right="40" w:rightChars="0" w:firstLine="0" w:firstLineChars="0"/>
              <w:jc w:val="center"/>
              <w:rPr>
                <w:rFonts w:ascii="Times New Roman" w:hAnsi="Times New Roman" w:eastAsia="Times New Roman" w:cs="Times New Roman"/>
                <w:b w:val="0"/>
                <w:i w:val="0"/>
                <w:strike w:val="0"/>
                <w:color w:val="000000"/>
                <w:sz w:val="14"/>
                <w:szCs w:val="14"/>
                <w:u w:val="none"/>
              </w:rPr>
            </w:pPr>
            <w:r>
              <w:rPr>
                <w:rFonts w:ascii="Times New Roman" w:hAnsi="Times New Roman" w:eastAsia="Times New Roman" w:cs="Times New Roman"/>
                <w:b w:val="0"/>
                <w:i w:val="0"/>
                <w:strike w:val="0"/>
                <w:color w:val="000000"/>
                <w:sz w:val="14"/>
                <w:szCs w:val="14"/>
                <w:u w:val="none"/>
              </w:rPr>
              <w:t>0/301 (0%)</w:t>
            </w:r>
          </w:p>
        </w:tc>
      </w:tr>
      <w:tr w14:paraId="1CBDDF5F">
        <w:tblPrEx>
          <w:tblCellMar>
            <w:top w:w="0" w:type="dxa"/>
            <w:left w:w="108" w:type="dxa"/>
            <w:bottom w:w="0" w:type="dxa"/>
            <w:right w:w="108" w:type="dxa"/>
          </w:tblCellMar>
        </w:tblPrEx>
        <w:trPr>
          <w:trHeight w:val="0" w:hRule="atLeast"/>
          <w:jc w:val="center"/>
        </w:trPr>
        <w:tc>
          <w:tcPr>
            <w:tcW w:w="1464" w:type="dxa"/>
            <w:tcBorders>
              <w:top w:val="nil"/>
              <w:left w:val="nil"/>
              <w:bottom w:val="nil"/>
              <w:right w:val="nil"/>
            </w:tcBorders>
            <w:shd w:val="clear" w:color="auto" w:fill="FFFFFF"/>
            <w:tcMar>
              <w:top w:w="0" w:type="dxa"/>
              <w:left w:w="0" w:type="dxa"/>
              <w:bottom w:w="0" w:type="dxa"/>
              <w:right w:w="0" w:type="dxa"/>
            </w:tcMar>
            <w:vAlign w:val="center"/>
          </w:tcPr>
          <w:p w14:paraId="33AE072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Lactate dehydrogenase</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6A4D52B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65/65 (100%)</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7E29582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75/75 (100%)</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6B523C5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83/83 (100%)</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39704C7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98/98 (100%)</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4B9C3BE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108/108 (100%)</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4AC7680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91/91 (100%)</w:t>
            </w:r>
          </w:p>
        </w:tc>
        <w:tc>
          <w:tcPr>
            <w:tcW w:w="901" w:type="dxa"/>
            <w:tcBorders>
              <w:top w:val="nil"/>
              <w:left w:val="nil"/>
              <w:bottom w:val="nil"/>
              <w:right w:val="nil"/>
            </w:tcBorders>
            <w:shd w:val="clear" w:color="auto" w:fill="FFFFFF"/>
            <w:tcMar>
              <w:top w:w="0" w:type="dxa"/>
              <w:left w:w="0" w:type="dxa"/>
              <w:bottom w:w="0" w:type="dxa"/>
              <w:right w:w="0" w:type="dxa"/>
            </w:tcMar>
            <w:vAlign w:val="center"/>
          </w:tcPr>
          <w:p w14:paraId="49D5AAE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116/133 (87.22%)</w:t>
            </w:r>
          </w:p>
        </w:tc>
        <w:tc>
          <w:tcPr>
            <w:tcW w:w="901" w:type="dxa"/>
            <w:tcBorders>
              <w:top w:val="nil"/>
              <w:left w:val="nil"/>
              <w:bottom w:val="nil"/>
              <w:right w:val="nil"/>
            </w:tcBorders>
            <w:shd w:val="clear" w:color="auto" w:fill="FFFFFF"/>
            <w:tcMar>
              <w:top w:w="0" w:type="dxa"/>
              <w:left w:w="0" w:type="dxa"/>
              <w:bottom w:w="0" w:type="dxa"/>
              <w:right w:w="0" w:type="dxa"/>
            </w:tcMar>
            <w:vAlign w:val="center"/>
          </w:tcPr>
          <w:p w14:paraId="0793166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148/184 (80.43%)</w:t>
            </w:r>
          </w:p>
        </w:tc>
        <w:tc>
          <w:tcPr>
            <w:tcW w:w="901" w:type="dxa"/>
            <w:tcBorders>
              <w:top w:val="nil"/>
              <w:left w:val="nil"/>
              <w:bottom w:val="nil"/>
              <w:right w:val="nil"/>
            </w:tcBorders>
            <w:shd w:val="clear" w:color="auto" w:fill="FFFFFF"/>
            <w:tcMar>
              <w:top w:w="0" w:type="dxa"/>
              <w:left w:w="0" w:type="dxa"/>
              <w:bottom w:w="0" w:type="dxa"/>
              <w:right w:w="0" w:type="dxa"/>
            </w:tcMar>
            <w:vAlign w:val="center"/>
          </w:tcPr>
          <w:p w14:paraId="2AB96DE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185/295 (62.71%)</w:t>
            </w:r>
          </w:p>
        </w:tc>
        <w:tc>
          <w:tcPr>
            <w:tcW w:w="901" w:type="dxa"/>
            <w:tcBorders>
              <w:top w:val="nil"/>
              <w:left w:val="nil"/>
              <w:bottom w:val="nil"/>
              <w:right w:val="nil"/>
            </w:tcBorders>
            <w:shd w:val="clear" w:color="auto" w:fill="FFFFFF"/>
            <w:tcMar>
              <w:top w:w="0" w:type="dxa"/>
              <w:left w:w="0" w:type="dxa"/>
              <w:bottom w:w="0" w:type="dxa"/>
              <w:right w:w="0" w:type="dxa"/>
            </w:tcMar>
            <w:vAlign w:val="center"/>
          </w:tcPr>
          <w:p w14:paraId="35D7E07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68/336 (20.24%)</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5DD1633C">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12/451 (2.66%)</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5FC9537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5/494 (1.01%)</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518D0091">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12/621 (1.93%)</w:t>
            </w:r>
          </w:p>
        </w:tc>
        <w:tc>
          <w:tcPr>
            <w:tcW w:w="676" w:type="dxa"/>
            <w:tcBorders>
              <w:top w:val="nil"/>
              <w:left w:val="nil"/>
              <w:bottom w:val="nil"/>
              <w:right w:val="nil"/>
            </w:tcBorders>
            <w:shd w:val="clear" w:color="auto" w:fill="FFFFFF"/>
            <w:tcMar>
              <w:top w:w="0" w:type="dxa"/>
              <w:left w:w="0" w:type="dxa"/>
              <w:bottom w:w="0" w:type="dxa"/>
              <w:right w:w="0" w:type="dxa"/>
            </w:tcMar>
            <w:vAlign w:val="center"/>
          </w:tcPr>
          <w:p w14:paraId="0336979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3/754 (0.4%)</w:t>
            </w:r>
          </w:p>
        </w:tc>
        <w:tc>
          <w:tcPr>
            <w:tcW w:w="563" w:type="dxa"/>
            <w:tcBorders>
              <w:top w:val="nil"/>
              <w:left w:val="nil"/>
              <w:bottom w:val="nil"/>
              <w:right w:val="nil"/>
            </w:tcBorders>
            <w:shd w:val="clear" w:color="auto" w:fill="FFFFFF"/>
            <w:tcMar>
              <w:top w:w="0" w:type="dxa"/>
              <w:left w:w="0" w:type="dxa"/>
              <w:bottom w:w="0" w:type="dxa"/>
              <w:right w:w="0" w:type="dxa"/>
            </w:tcMar>
            <w:vAlign w:val="center"/>
          </w:tcPr>
          <w:p w14:paraId="3A8E135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0/588 (0%)</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3304ADD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8/641 (1.25%)</w:t>
            </w:r>
          </w:p>
        </w:tc>
        <w:tc>
          <w:tcPr>
            <w:tcW w:w="788" w:type="dxa"/>
            <w:tcBorders>
              <w:top w:val="nil"/>
              <w:left w:val="nil"/>
              <w:bottom w:val="nil"/>
              <w:right w:val="nil"/>
            </w:tcBorders>
            <w:shd w:val="clear" w:color="auto" w:fill="FFFFFF"/>
            <w:tcMar>
              <w:top w:w="0" w:type="dxa"/>
              <w:left w:w="0" w:type="dxa"/>
              <w:bottom w:w="0" w:type="dxa"/>
              <w:right w:w="0" w:type="dxa"/>
            </w:tcMar>
            <w:vAlign w:val="center"/>
          </w:tcPr>
          <w:p w14:paraId="0DFF40F5">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4/608 (0.66%)</w:t>
            </w:r>
          </w:p>
        </w:tc>
        <w:tc>
          <w:tcPr>
            <w:tcW w:w="563" w:type="dxa"/>
            <w:tcBorders>
              <w:top w:val="nil"/>
              <w:left w:val="nil"/>
              <w:bottom w:val="nil"/>
              <w:right w:val="nil"/>
            </w:tcBorders>
            <w:shd w:val="clear" w:color="auto" w:fill="FFFFFF"/>
            <w:tcMar>
              <w:top w:w="0" w:type="dxa"/>
              <w:left w:w="0" w:type="dxa"/>
              <w:bottom w:w="0" w:type="dxa"/>
              <w:right w:w="0" w:type="dxa"/>
            </w:tcMar>
            <w:vAlign w:val="center"/>
          </w:tcPr>
          <w:p w14:paraId="5231A917">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0/517 (0%)</w:t>
            </w:r>
          </w:p>
        </w:tc>
        <w:tc>
          <w:tcPr>
            <w:tcW w:w="564" w:type="dxa"/>
            <w:tcBorders>
              <w:top w:val="nil"/>
              <w:left w:val="nil"/>
              <w:bottom w:val="nil"/>
              <w:right w:val="nil"/>
            </w:tcBorders>
            <w:shd w:val="clear" w:color="auto" w:fill="FFFFFF"/>
            <w:tcMar>
              <w:top w:w="0" w:type="dxa"/>
              <w:left w:w="0" w:type="dxa"/>
              <w:bottom w:w="0" w:type="dxa"/>
              <w:right w:w="0" w:type="dxa"/>
            </w:tcMar>
            <w:vAlign w:val="center"/>
          </w:tcPr>
          <w:p w14:paraId="5E2824B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rPr>
            </w:pPr>
            <w:r>
              <w:rPr>
                <w:rFonts w:ascii="Times New Roman" w:hAnsi="Times New Roman" w:eastAsia="Times New Roman" w:cs="Times New Roman"/>
                <w:b w:val="0"/>
                <w:bCs w:val="0"/>
                <w:i w:val="0"/>
                <w:strike w:val="0"/>
                <w:color w:val="000000"/>
                <w:sz w:val="14"/>
                <w:szCs w:val="14"/>
                <w:u w:val="none"/>
                <w:lang w:val="en-US" w:eastAsia="zh-CN"/>
              </w:rPr>
              <w:t>0/301 (0%)</w:t>
            </w:r>
          </w:p>
        </w:tc>
      </w:tr>
      <w:tr w14:paraId="3EA6CA93">
        <w:tblPrEx>
          <w:tblCellMar>
            <w:top w:w="0" w:type="dxa"/>
            <w:left w:w="108" w:type="dxa"/>
            <w:bottom w:w="0" w:type="dxa"/>
            <w:right w:w="108" w:type="dxa"/>
          </w:tblCellMar>
        </w:tblPrEx>
        <w:trPr>
          <w:trHeight w:val="0" w:hRule="atLeast"/>
          <w:jc w:val="center"/>
        </w:trPr>
        <w:tc>
          <w:tcPr>
            <w:tcW w:w="146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636CAF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Creatine kinase MB</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879E55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6/65 (9.23%)</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3AE789F">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47/75 (62.67%)</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1575AB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61/83 (73.49%)</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0FB932A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36/98 (36.73%)</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61FFD7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4/108 (3.7%)</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FC9CEF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5/91 (5.49%)</w:t>
            </w:r>
          </w:p>
        </w:tc>
        <w:tc>
          <w:tcPr>
            <w:tcW w:w="901"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6B3EF3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7/133 (5.26%)</w:t>
            </w:r>
          </w:p>
        </w:tc>
        <w:tc>
          <w:tcPr>
            <w:tcW w:w="901"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EB648F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11/184 (5.98%)</w:t>
            </w:r>
          </w:p>
        </w:tc>
        <w:tc>
          <w:tcPr>
            <w:tcW w:w="901"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FDF6A2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57/295 (19.32%)</w:t>
            </w:r>
          </w:p>
        </w:tc>
        <w:tc>
          <w:tcPr>
            <w:tcW w:w="901"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1B4288B">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100/336 (29.76%)</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3666B41D">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11/451 (2.44%)</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B240264">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352/494 (71.26%)</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1FE26C6">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371/621 (59.74%)</w:t>
            </w:r>
          </w:p>
        </w:tc>
        <w:tc>
          <w:tcPr>
            <w:tcW w:w="67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EFCD909">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3/754 (0.4%)</w:t>
            </w:r>
          </w:p>
        </w:tc>
        <w:tc>
          <w:tcPr>
            <w:tcW w:w="563"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65273F0">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0/588 (0%)</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ED30668">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114/641 (17.78%)</w:t>
            </w:r>
          </w:p>
        </w:tc>
        <w:tc>
          <w:tcPr>
            <w:tcW w:w="78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2F70CAD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43/608 (7.07%)</w:t>
            </w:r>
          </w:p>
        </w:tc>
        <w:tc>
          <w:tcPr>
            <w:tcW w:w="563"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29295022">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4/517 (0.77%)</w:t>
            </w:r>
          </w:p>
        </w:tc>
        <w:tc>
          <w:tcPr>
            <w:tcW w:w="56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659C103">
            <w:pPr>
              <w:pBdr>
                <w:top w:val="none" w:color="000000" w:sz="0" w:space="0"/>
                <w:left w:val="none" w:color="000000" w:sz="0" w:space="0"/>
                <w:bottom w:val="none" w:color="000000" w:sz="0" w:space="0"/>
                <w:right w:val="none" w:color="000000" w:sz="0" w:space="0"/>
              </w:pBdr>
              <w:spacing w:before="40" w:after="40" w:line="360" w:lineRule="auto"/>
              <w:ind w:left="40" w:right="40" w:firstLine="0" w:firstLineChars="0"/>
              <w:jc w:val="center"/>
              <w:rPr>
                <w:rFonts w:ascii="Times New Roman" w:hAnsi="Times New Roman" w:eastAsia="Times New Roman" w:cs="Times New Roman"/>
                <w:b w:val="0"/>
                <w:bCs w:val="0"/>
                <w:i w:val="0"/>
                <w:strike w:val="0"/>
                <w:color w:val="000000"/>
                <w:sz w:val="14"/>
                <w:szCs w:val="14"/>
                <w:u w:val="none"/>
                <w:lang w:val="en-US" w:eastAsia="zh-CN"/>
              </w:rPr>
            </w:pPr>
            <w:r>
              <w:rPr>
                <w:rFonts w:ascii="Times New Roman" w:hAnsi="Times New Roman" w:eastAsia="Times New Roman" w:cs="Times New Roman"/>
                <w:b w:val="0"/>
                <w:bCs w:val="0"/>
                <w:i w:val="0"/>
                <w:strike w:val="0"/>
                <w:color w:val="000000"/>
                <w:sz w:val="14"/>
                <w:szCs w:val="14"/>
                <w:u w:val="none"/>
                <w:lang w:val="en-US" w:eastAsia="zh-CN"/>
              </w:rPr>
              <w:t>5/301 (1.66%)</w:t>
            </w:r>
          </w:p>
        </w:tc>
      </w:tr>
    </w:tbl>
    <w:p w14:paraId="665DD612">
      <w:pPr>
        <w:spacing w:line="360" w:lineRule="auto"/>
        <w:jc w:val="both"/>
        <w:rPr>
          <w:rFonts w:ascii="Times New Roman" w:hAnsi="Times New Roman" w:cs="Times New Roman"/>
        </w:rPr>
      </w:pPr>
      <w:r>
        <w:rPr>
          <w:rFonts w:hint="eastAsia" w:ascii="Times New Roman" w:hAnsi="Times New Roman" w:eastAsia="Arial" w:cs="Times New Roman"/>
          <w:bCs/>
          <w:color w:val="000000"/>
          <w:sz w:val="14"/>
          <w:szCs w:val="14"/>
        </w:rPr>
        <w:t xml:space="preserve">Missingness was recalculated directly from the raw pre-imputation analysis dataset, with blank cells treated as missing. The pre-COVID, during-COVID, and </w:t>
      </w:r>
      <w:r>
        <w:rPr>
          <w:rFonts w:hint="eastAsia" w:ascii="Times New Roman" w:hAnsi="Times New Roman" w:eastAsia="宋体" w:cs="Times New Roman"/>
          <w:bCs/>
          <w:color w:val="000000"/>
          <w:sz w:val="14"/>
          <w:szCs w:val="14"/>
          <w:lang w:eastAsia="zh-CN"/>
        </w:rPr>
        <w:t>after-COVID</w:t>
      </w:r>
      <w:r>
        <w:rPr>
          <w:rFonts w:hint="eastAsia" w:ascii="Times New Roman" w:hAnsi="Times New Roman" w:eastAsia="Arial" w:cs="Times New Roman"/>
          <w:bCs/>
          <w:color w:val="000000"/>
          <w:sz w:val="14"/>
          <w:szCs w:val="14"/>
        </w:rPr>
        <w:t xml:space="preserve"> phases were defined using the final Time variable in the raw dataset. Panel A summarizes missingness across analysis-relevant strata, Panel B presents variable-level missingness by calendar year. Values in Panel </w:t>
      </w:r>
      <w:r>
        <w:rPr>
          <w:rFonts w:hint="eastAsia" w:ascii="Times New Roman" w:hAnsi="Times New Roman" w:eastAsia="宋体" w:cs="Times New Roman"/>
          <w:bCs/>
          <w:color w:val="000000"/>
          <w:sz w:val="14"/>
          <w:szCs w:val="14"/>
          <w:lang w:val="en-US" w:eastAsia="zh-CN"/>
        </w:rPr>
        <w:t>B</w:t>
      </w:r>
      <w:r>
        <w:rPr>
          <w:rFonts w:hint="eastAsia" w:ascii="Times New Roman" w:hAnsi="Times New Roman" w:eastAsia="Arial" w:cs="Times New Roman"/>
          <w:bCs/>
          <w:color w:val="000000"/>
          <w:sz w:val="14"/>
          <w:szCs w:val="14"/>
        </w:rPr>
        <w:t xml:space="preserve"> are presented as missing n/total N (missing percentage). IVIG, intravenous immunoglobulin; IVIGR, intravenous immunoglobulin resistance; FJSL, Fuzhou University Affiliated Provincial Hospital; FZFY, Fujian Provincial Maternal and Child Health Hospital.</w:t>
      </w:r>
      <w:r>
        <w:br w:type="page"/>
      </w:r>
    </w:p>
    <w:p w14:paraId="47F82712">
      <w:pPr>
        <w:rPr>
          <w:rFonts w:ascii="Times New Roman" w:hAnsi="Times New Roman" w:cs="Times New Roman"/>
        </w:rPr>
      </w:pPr>
    </w:p>
    <w:p w14:paraId="27E42F92">
      <w:pPr>
        <w:pBdr>
          <w:top w:val="none" w:color="000000" w:sz="0" w:space="0"/>
          <w:left w:val="none" w:color="000000" w:sz="0" w:space="0"/>
          <w:bottom w:val="none" w:color="000000" w:sz="0" w:space="0"/>
          <w:right w:val="none" w:color="000000" w:sz="0" w:space="0"/>
        </w:pBdr>
        <w:spacing w:after="60" w:line="360" w:lineRule="auto"/>
        <w:jc w:val="center"/>
        <w:rPr>
          <w:sz w:val="21"/>
          <w:szCs w:val="21"/>
        </w:rPr>
      </w:pPr>
      <w:r>
        <w:rPr>
          <w:rFonts w:ascii="Times New Roman" w:hAnsi="Times New Roman" w:eastAsia="Times New Roman" w:cs="Times New Roman"/>
          <w:b/>
          <w:color w:val="000000"/>
          <w:sz w:val="21"/>
          <w:szCs w:val="21"/>
        </w:rPr>
        <w:t xml:space="preserve">Table S4.</w:t>
      </w:r>
      <w:r>
        <w:rPr>
          <w:rFonts w:hint="eastAsia" w:ascii="Times New Roman" w:hAnsi="Times New Roman" w:eastAsia="宋体" w:cs="Times New Roman"/>
          <w:b/>
          <w:color w:val="000000"/>
          <w:sz w:val="21"/>
          <w:szCs w:val="21"/>
          <w:lang w:eastAsia="zh-CN"/>
        </w:rPr>
        <w:t/>
      </w:r>
      <w:r>
        <w:rPr>
          <w:rFonts w:ascii="Times New Roman" w:hAnsi="Times New Roman" w:eastAsia="Times New Roman" w:cs="Times New Roman"/>
          <w:b/>
          <w:color w:val="000000"/>
          <w:sz w:val="21"/>
          <w:szCs w:val="21"/>
        </w:rPr>
        <w:t> Sensitivity analysis comparing random forest models with and without Center predictors.</w:t>
      </w:r>
    </w:p>
    <w:tbl>
      <w:tblPr>
        <w:tblStyle w:val="10"/>
        <w:tblW w:w="4999" w:type="pct"/>
        <w:jc w:val="center"/>
        <w:tblLayout w:type="autofit"/>
        <w:tblCellMar>
          <w:top w:w="0" w:type="dxa"/>
          <w:left w:w="108" w:type="dxa"/>
          <w:bottom w:w="0" w:type="dxa"/>
          <w:right w:w="108" w:type="dxa"/>
        </w:tblCellMar>
      </w:tblPr>
      <w:tblGrid>
        <w:gridCol w:w="2338"/>
        <w:gridCol w:w="2528"/>
        <w:gridCol w:w="3933"/>
        <w:gridCol w:w="3933"/>
        <w:gridCol w:w="2807"/>
      </w:tblGrid>
      <w:tr w14:paraId="319D0383">
        <w:tblPrEx>
          <w:tblCellMar>
            <w:top w:w="0" w:type="dxa"/>
            <w:left w:w="108" w:type="dxa"/>
            <w:bottom w:w="0" w:type="dxa"/>
            <w:right w:w="108" w:type="dxa"/>
          </w:tblCellMar>
        </w:tblPrEx>
        <w:trPr>
          <w:tblHeader/>
          <w:jc w:val="center"/>
        </w:trPr>
        <w:tc>
          <w:tcPr>
            <w:tcW w:w="752" w:type="pct"/>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24541C5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ascii="Times New Roman" w:hAnsi="Times New Roman" w:eastAsia="Times New Roman" w:cs="Times New Roman"/>
                <w:b/>
                <w:color w:val="000000"/>
                <w:sz w:val="17"/>
                <w:szCs w:val="17"/>
              </w:rPr>
              <w:t>Period</w:t>
            </w:r>
          </w:p>
        </w:tc>
        <w:tc>
          <w:tcPr>
            <w:tcW w:w="813" w:type="pct"/>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4AE50D9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ascii="Times New Roman" w:hAnsi="Times New Roman" w:eastAsia="Times New Roman" w:cs="Times New Roman"/>
                <w:b/>
                <w:color w:val="000000"/>
                <w:sz w:val="17"/>
                <w:szCs w:val="17"/>
              </w:rPr>
              <w:t>Metric</w:t>
            </w:r>
          </w:p>
        </w:tc>
        <w:tc>
          <w:tcPr>
            <w:tcW w:w="1265" w:type="pct"/>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60EA6A2E">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ascii="Times New Roman" w:hAnsi="Times New Roman" w:eastAsia="Times New Roman" w:cs="Times New Roman"/>
                <w:b/>
                <w:color w:val="000000"/>
                <w:sz w:val="17"/>
                <w:szCs w:val="17"/>
              </w:rPr>
              <w:t>RF with Center, estimate (95% CI)</w:t>
            </w:r>
          </w:p>
        </w:tc>
        <w:tc>
          <w:tcPr>
            <w:tcW w:w="1265" w:type="pct"/>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798D8B83">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ascii="Times New Roman" w:hAnsi="Times New Roman" w:eastAsia="Times New Roman" w:cs="Times New Roman"/>
                <w:b/>
                <w:color w:val="000000"/>
                <w:sz w:val="17"/>
                <w:szCs w:val="17"/>
              </w:rPr>
              <w:t>RF without Center, estimate (95% CI)</w:t>
            </w:r>
          </w:p>
        </w:tc>
        <w:tc>
          <w:tcPr>
            <w:tcW w:w="903" w:type="pct"/>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6B072B18">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ascii="Times New Roman" w:hAnsi="Times New Roman" w:eastAsia="Times New Roman" w:cs="Times New Roman"/>
                <w:b/>
                <w:color w:val="000000"/>
                <w:sz w:val="17"/>
                <w:szCs w:val="17"/>
              </w:rPr>
              <w:t>Difference, without minus with</w:t>
            </w:r>
          </w:p>
        </w:tc>
      </w:tr>
      <w:tr w14:paraId="17D34AAA">
        <w:tblPrEx>
          <w:tblCellMar>
            <w:top w:w="0" w:type="dxa"/>
            <w:left w:w="108" w:type="dxa"/>
            <w:bottom w:w="0" w:type="dxa"/>
            <w:right w:w="108" w:type="dxa"/>
          </w:tblCellMar>
        </w:tblPrEx>
        <w:trPr>
          <w:jc w:val="center"/>
        </w:trPr>
        <w:tc>
          <w:tcPr>
            <w:tcW w:w="752" w:type="pct"/>
            <w:tcBorders>
              <w:top w:val="single" w:color="000000" w:sz="8" w:space="0"/>
              <w:left w:val="nil"/>
              <w:bottom w:val="nil"/>
              <w:right w:val="nil"/>
            </w:tcBorders>
            <w:shd w:val="clear" w:color="auto" w:fill="FFFFFF"/>
            <w:tcMar>
              <w:top w:w="0" w:type="dxa"/>
              <w:left w:w="0" w:type="dxa"/>
              <w:bottom w:w="0" w:type="dxa"/>
              <w:right w:w="0" w:type="dxa"/>
            </w:tcMar>
            <w:vAlign w:val="center"/>
          </w:tcPr>
          <w:p w14:paraId="009C9C79">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b/>
                <w:color w:val="000000"/>
                <w:sz w:val="17"/>
                <w:szCs w:val="17"/>
              </w:rPr>
            </w:pPr>
            <w:r>
              <w:rPr>
                <w:rFonts w:hint="eastAsia" w:ascii="Times New Roman" w:hAnsi="Times New Roman" w:eastAsia="宋体" w:cs="Times New Roman"/>
                <w:b/>
                <w:color w:val="000000"/>
                <w:sz w:val="17"/>
                <w:szCs w:val="17"/>
                <w:lang w:eastAsia="zh-CN"/>
              </w:rPr>
              <w:t>during-COVID</w:t>
            </w:r>
            <w:r>
              <w:rPr>
                <w:rFonts w:hint="eastAsia" w:ascii="Times New Roman" w:hAnsi="Times New Roman" w:eastAsia="Times New Roman" w:cs="Times New Roman"/>
                <w:b/>
                <w:color w:val="000000"/>
                <w:sz w:val="17"/>
                <w:szCs w:val="17"/>
              </w:rPr>
              <w:t xml:space="preserve"> </w:t>
            </w:r>
          </w:p>
        </w:tc>
        <w:tc>
          <w:tcPr>
            <w:tcW w:w="813" w:type="pct"/>
            <w:tcBorders>
              <w:top w:val="single" w:color="000000" w:sz="8" w:space="0"/>
              <w:left w:val="nil"/>
              <w:bottom w:val="nil"/>
              <w:right w:val="nil"/>
            </w:tcBorders>
            <w:shd w:val="clear" w:color="auto" w:fill="FFFFFF"/>
            <w:tcMar>
              <w:top w:w="0" w:type="dxa"/>
              <w:left w:w="0" w:type="dxa"/>
              <w:bottom w:w="0" w:type="dxa"/>
              <w:right w:w="0" w:type="dxa"/>
            </w:tcMar>
            <w:vAlign w:val="center"/>
          </w:tcPr>
          <w:p w14:paraId="354A4372">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AUC</w:t>
            </w:r>
          </w:p>
        </w:tc>
        <w:tc>
          <w:tcPr>
            <w:tcW w:w="1265" w:type="pct"/>
            <w:tcBorders>
              <w:top w:val="single" w:color="000000" w:sz="8" w:space="0"/>
              <w:left w:val="nil"/>
              <w:bottom w:val="nil"/>
              <w:right w:val="nil"/>
            </w:tcBorders>
            <w:shd w:val="clear" w:color="auto" w:fill="FFFFFF"/>
            <w:tcMar>
              <w:top w:w="0" w:type="dxa"/>
              <w:left w:w="0" w:type="dxa"/>
              <w:bottom w:w="0" w:type="dxa"/>
              <w:right w:w="0" w:type="dxa"/>
            </w:tcMar>
            <w:vAlign w:val="center"/>
          </w:tcPr>
          <w:p w14:paraId="74B9F6D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0.776 (0.741–0.809)</w:t>
            </w:r>
          </w:p>
        </w:tc>
        <w:tc>
          <w:tcPr>
            <w:tcW w:w="1265" w:type="pct"/>
            <w:tcBorders>
              <w:top w:val="single" w:color="000000" w:sz="8" w:space="0"/>
              <w:left w:val="nil"/>
              <w:bottom w:val="nil"/>
              <w:right w:val="nil"/>
            </w:tcBorders>
            <w:shd w:val="clear" w:color="auto" w:fill="FFFFFF"/>
            <w:tcMar>
              <w:top w:w="0" w:type="dxa"/>
              <w:left w:w="0" w:type="dxa"/>
              <w:bottom w:w="0" w:type="dxa"/>
              <w:right w:w="0" w:type="dxa"/>
            </w:tcMar>
            <w:vAlign w:val="center"/>
          </w:tcPr>
          <w:p w14:paraId="20C224F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0.769 (0.734–0.803)</w:t>
            </w:r>
          </w:p>
        </w:tc>
        <w:tc>
          <w:tcPr>
            <w:tcW w:w="903" w:type="pct"/>
            <w:tcBorders>
              <w:top w:val="single" w:color="000000" w:sz="8" w:space="0"/>
              <w:left w:val="nil"/>
              <w:bottom w:val="nil"/>
              <w:right w:val="nil"/>
            </w:tcBorders>
            <w:shd w:val="clear" w:color="auto" w:fill="FFFFFF"/>
            <w:tcMar>
              <w:top w:w="0" w:type="dxa"/>
              <w:left w:w="0" w:type="dxa"/>
              <w:bottom w:w="0" w:type="dxa"/>
              <w:right w:w="0" w:type="dxa"/>
            </w:tcMar>
            <w:vAlign w:val="center"/>
          </w:tcPr>
          <w:p w14:paraId="798FCD9D">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−0.007</w:t>
            </w:r>
          </w:p>
        </w:tc>
      </w:tr>
      <w:tr w14:paraId="4B228D96">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3179D931">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during-COVID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3307F67A">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Brier score</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4BCC8F32">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0.096 (0.084–0.109)</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70F5E799">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0.099 (0.087–0.112)</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6E1C82C0">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+0.003</w:t>
            </w:r>
          </w:p>
        </w:tc>
      </w:tr>
      <w:tr w14:paraId="691C1676">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00301105">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during-COVID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27A5BFBC">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Calibration intercept</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35DF406A">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0.681 (0.146–1.287)</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4357DAB0">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0.641 (0.075–1.291)</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04B3C7B2">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−0.040</w:t>
            </w:r>
          </w:p>
        </w:tc>
      </w:tr>
      <w:tr w14:paraId="2F6037A7">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7F3679DC">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during-COVID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060496D2">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Calibration slope</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6E532B87">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0.894 (0.713–1.096)</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6C2AEFDD">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0.885 (0.676–1.118)</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33DD7065">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−0.009</w:t>
            </w:r>
          </w:p>
        </w:tc>
      </w:tr>
      <w:tr w14:paraId="2A217095">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666DD54F">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during-COVID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5E9459D5">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hint="eastAsia" w:ascii="Times New Roman" w:hAnsi="Times New Roman" w:eastAsia="宋体" w:cs="Times New Roman"/>
                <w:color w:val="000000"/>
                <w:sz w:val="17"/>
                <w:szCs w:val="17"/>
                <w:lang w:eastAsia="zh-CN"/>
              </w:rPr>
              <w:t>O/E</w:t>
            </w:r>
            <w:r>
              <w:rPr>
                <w:rFonts w:ascii="Times New Roman" w:hAnsi="Times New Roman" w:eastAsia="Times New Roman" w:cs="Times New Roman"/>
                <w:color w:val="000000"/>
                <w:sz w:val="17"/>
                <w:szCs w:val="17"/>
              </w:rPr>
              <w:t xml:space="preserve"> ratio</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0C225AFD">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1.903 (1.551–2.299)</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4EC01A92">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1.915 (1.611–2.274)</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5411182E">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+0.012</w:t>
            </w:r>
          </w:p>
        </w:tc>
      </w:tr>
      <w:tr w14:paraId="2881FFC6">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39238935">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after-COVID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71C39C9A">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AUC</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26315880">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0.629 (0.561–0.697)</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20E30544">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0.632 (0.564–0.700)</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11A85A1C">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+0.003</w:t>
            </w:r>
          </w:p>
        </w:tc>
      </w:tr>
      <w:tr w14:paraId="072F5295">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2C7DD185">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after-COVID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68E55BD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Brier score</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0322D52C">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0.089 (0.073–0.107)</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4DCC70BD">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0.089 (0.073–0.107)</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3A6C699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0.000</w:t>
            </w:r>
          </w:p>
        </w:tc>
      </w:tr>
      <w:tr w14:paraId="7519EB5E">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7C241C38">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after-COVID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3AF3DDBB">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Calibration intercept</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242B8349">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−0.904 (−1.771–−0.065)</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1C8CF866">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−0.935 (−1.880–−0.087)</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2B8200F7">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−0.031</w:t>
            </w:r>
          </w:p>
        </w:tc>
      </w:tr>
      <w:tr w14:paraId="3BDD878B">
        <w:tblPrEx>
          <w:tblCellMar>
            <w:top w:w="0" w:type="dxa"/>
            <w:left w:w="108" w:type="dxa"/>
            <w:bottom w:w="0" w:type="dxa"/>
            <w:right w:w="108" w:type="dxa"/>
          </w:tblCellMar>
        </w:tblPrEx>
        <w:trPr>
          <w:jc w:val="center"/>
        </w:trPr>
        <w:tc>
          <w:tcPr>
            <w:tcW w:w="752" w:type="pct"/>
            <w:tcBorders>
              <w:top w:val="nil"/>
              <w:left w:val="nil"/>
              <w:bottom w:val="nil"/>
              <w:right w:val="nil"/>
            </w:tcBorders>
            <w:shd w:val="clear" w:color="auto" w:fill="FFFFFF"/>
            <w:tcMar>
              <w:top w:w="0" w:type="dxa"/>
              <w:left w:w="0" w:type="dxa"/>
              <w:bottom w:w="0" w:type="dxa"/>
              <w:right w:w="0" w:type="dxa"/>
            </w:tcMar>
            <w:vAlign w:val="center"/>
          </w:tcPr>
          <w:p w14:paraId="5E7C4FB7">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after-COVID</w:t>
            </w:r>
          </w:p>
        </w:tc>
        <w:tc>
          <w:tcPr>
            <w:tcW w:w="813" w:type="pct"/>
            <w:tcBorders>
              <w:top w:val="nil"/>
              <w:left w:val="nil"/>
              <w:bottom w:val="nil"/>
              <w:right w:val="nil"/>
            </w:tcBorders>
            <w:shd w:val="clear" w:color="auto" w:fill="FFFFFF"/>
            <w:tcMar>
              <w:top w:w="0" w:type="dxa"/>
              <w:left w:w="0" w:type="dxa"/>
              <w:bottom w:w="0" w:type="dxa"/>
              <w:right w:w="0" w:type="dxa"/>
            </w:tcMar>
            <w:vAlign w:val="center"/>
          </w:tcPr>
          <w:p w14:paraId="05FFFA5E">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Calibration slope</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594E7CB3">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0.431 (0.133–0.728)</w:t>
            </w:r>
          </w:p>
        </w:tc>
        <w:tc>
          <w:tcPr>
            <w:tcW w:w="1265" w:type="pct"/>
            <w:tcBorders>
              <w:top w:val="nil"/>
              <w:left w:val="nil"/>
              <w:bottom w:val="nil"/>
              <w:right w:val="nil"/>
            </w:tcBorders>
            <w:shd w:val="clear" w:color="auto" w:fill="FFFFFF"/>
            <w:tcMar>
              <w:top w:w="0" w:type="dxa"/>
              <w:left w:w="0" w:type="dxa"/>
              <w:bottom w:w="0" w:type="dxa"/>
              <w:right w:w="0" w:type="dxa"/>
            </w:tcMar>
            <w:vAlign w:val="center"/>
          </w:tcPr>
          <w:p w14:paraId="5CE98193">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0.428 (0.103–0.741)</w:t>
            </w:r>
          </w:p>
        </w:tc>
        <w:tc>
          <w:tcPr>
            <w:tcW w:w="903" w:type="pct"/>
            <w:tcBorders>
              <w:top w:val="nil"/>
              <w:left w:val="nil"/>
              <w:bottom w:val="nil"/>
              <w:right w:val="nil"/>
            </w:tcBorders>
            <w:shd w:val="clear" w:color="auto" w:fill="FFFFFF"/>
            <w:tcMar>
              <w:top w:w="0" w:type="dxa"/>
              <w:left w:w="0" w:type="dxa"/>
              <w:bottom w:w="0" w:type="dxa"/>
              <w:right w:w="0" w:type="dxa"/>
            </w:tcMar>
            <w:vAlign w:val="center"/>
          </w:tcPr>
          <w:p w14:paraId="4568B709">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−0.003</w:t>
            </w:r>
          </w:p>
        </w:tc>
      </w:tr>
      <w:tr w14:paraId="61B2D2AA">
        <w:tblPrEx>
          <w:tblCellMar>
            <w:top w:w="0" w:type="dxa"/>
            <w:left w:w="108" w:type="dxa"/>
            <w:bottom w:w="0" w:type="dxa"/>
            <w:right w:w="108" w:type="dxa"/>
          </w:tblCellMar>
        </w:tblPrEx>
        <w:trPr>
          <w:jc w:val="center"/>
        </w:trPr>
        <w:tc>
          <w:tcPr>
            <w:tcW w:w="752" w:type="pct"/>
            <w:tcBorders>
              <w:top w:val="nil"/>
              <w:left w:val="nil"/>
              <w:bottom w:val="single" w:color="000000" w:sz="10" w:space="0"/>
              <w:right w:val="nil"/>
            </w:tcBorders>
            <w:shd w:val="clear" w:color="auto" w:fill="FFFFFF"/>
            <w:tcMar>
              <w:top w:w="0" w:type="dxa"/>
              <w:left w:w="0" w:type="dxa"/>
              <w:bottom w:w="0" w:type="dxa"/>
              <w:right w:w="0" w:type="dxa"/>
            </w:tcMar>
            <w:vAlign w:val="center"/>
          </w:tcPr>
          <w:p w14:paraId="738CB8A8">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hint="eastAsia" w:ascii="Times New Roman" w:hAnsi="Times New Roman" w:eastAsia="宋体" w:cs="Times New Roman"/>
                <w:b/>
                <w:color w:val="000000"/>
                <w:sz w:val="17"/>
                <w:szCs w:val="17"/>
                <w:lang w:eastAsia="zh-CN"/>
              </w:rPr>
            </w:pPr>
            <w:r>
              <w:rPr>
                <w:rFonts w:hint="eastAsia" w:ascii="Times New Roman" w:hAnsi="Times New Roman" w:eastAsia="宋体" w:cs="Times New Roman"/>
                <w:b/>
                <w:color w:val="000000"/>
                <w:sz w:val="17"/>
                <w:szCs w:val="17"/>
                <w:lang w:eastAsia="zh-CN"/>
              </w:rPr>
              <w:t>after-COVID</w:t>
            </w:r>
          </w:p>
        </w:tc>
        <w:tc>
          <w:tcPr>
            <w:tcW w:w="813" w:type="pct"/>
            <w:tcBorders>
              <w:top w:val="nil"/>
              <w:left w:val="nil"/>
              <w:bottom w:val="single" w:color="000000" w:sz="10" w:space="0"/>
              <w:right w:val="nil"/>
            </w:tcBorders>
            <w:shd w:val="clear" w:color="auto" w:fill="FFFFFF"/>
            <w:tcMar>
              <w:top w:w="0" w:type="dxa"/>
              <w:left w:w="0" w:type="dxa"/>
              <w:bottom w:w="0" w:type="dxa"/>
              <w:right w:w="0" w:type="dxa"/>
            </w:tcMar>
            <w:vAlign w:val="center"/>
          </w:tcPr>
          <w:p w14:paraId="7D3EB7EC">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hint="eastAsia" w:ascii="Times New Roman" w:hAnsi="Times New Roman" w:eastAsia="宋体" w:cs="Times New Roman"/>
                <w:color w:val="000000"/>
                <w:sz w:val="17"/>
                <w:szCs w:val="17"/>
                <w:lang w:eastAsia="zh-CN"/>
              </w:rPr>
              <w:t>O/E</w:t>
            </w:r>
            <w:r>
              <w:rPr>
                <w:rFonts w:ascii="Times New Roman" w:hAnsi="Times New Roman" w:eastAsia="Times New Roman" w:cs="Times New Roman"/>
                <w:color w:val="000000"/>
                <w:sz w:val="17"/>
                <w:szCs w:val="17"/>
              </w:rPr>
              <w:t xml:space="preserve"> ratio</w:t>
            </w:r>
          </w:p>
        </w:tc>
        <w:tc>
          <w:tcPr>
            <w:tcW w:w="1265" w:type="pct"/>
            <w:tcBorders>
              <w:top w:val="nil"/>
              <w:left w:val="nil"/>
              <w:bottom w:val="single" w:color="000000" w:sz="10" w:space="0"/>
              <w:right w:val="nil"/>
            </w:tcBorders>
            <w:shd w:val="clear" w:color="auto" w:fill="FFFFFF"/>
            <w:tcMar>
              <w:top w:w="0" w:type="dxa"/>
              <w:left w:w="0" w:type="dxa"/>
              <w:bottom w:w="0" w:type="dxa"/>
              <w:right w:w="0" w:type="dxa"/>
            </w:tcMar>
            <w:vAlign w:val="center"/>
          </w:tcPr>
          <w:p w14:paraId="59CC7B38">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1.590 (1.184–2.079)</w:t>
            </w:r>
          </w:p>
        </w:tc>
        <w:tc>
          <w:tcPr>
            <w:tcW w:w="1265" w:type="pct"/>
            <w:tcBorders>
              <w:top w:val="nil"/>
              <w:left w:val="nil"/>
              <w:bottom w:val="single" w:color="000000" w:sz="10" w:space="0"/>
              <w:right w:val="nil"/>
            </w:tcBorders>
            <w:shd w:val="clear" w:color="auto" w:fill="FFFFFF"/>
            <w:tcMar>
              <w:top w:w="0" w:type="dxa"/>
              <w:left w:w="0" w:type="dxa"/>
              <w:bottom w:w="0" w:type="dxa"/>
              <w:right w:w="0" w:type="dxa"/>
            </w:tcMar>
            <w:vAlign w:val="center"/>
          </w:tcPr>
          <w:p w14:paraId="3E0667D0">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1.500 (1.151–1.903)</w:t>
            </w:r>
          </w:p>
        </w:tc>
        <w:tc>
          <w:tcPr>
            <w:tcW w:w="903" w:type="pct"/>
            <w:tcBorders>
              <w:top w:val="nil"/>
              <w:left w:val="nil"/>
              <w:bottom w:val="single" w:color="000000" w:sz="10" w:space="0"/>
              <w:right w:val="nil"/>
            </w:tcBorders>
            <w:shd w:val="clear" w:color="auto" w:fill="FFFFFF"/>
            <w:tcMar>
              <w:top w:w="0" w:type="dxa"/>
              <w:left w:w="0" w:type="dxa"/>
              <w:bottom w:w="0" w:type="dxa"/>
              <w:right w:w="0" w:type="dxa"/>
            </w:tcMar>
            <w:vAlign w:val="center"/>
          </w:tcPr>
          <w:p w14:paraId="1AEF1821">
            <w:pPr>
              <w:pBdr>
                <w:top w:val="none" w:color="000000" w:sz="0" w:space="0"/>
                <w:left w:val="none" w:color="000000" w:sz="0" w:space="0"/>
                <w:bottom w:val="none" w:color="000000" w:sz="0" w:space="0"/>
                <w:right w:val="none" w:color="000000" w:sz="0" w:space="0"/>
              </w:pBdr>
              <w:spacing w:before="40" w:after="40" w:line="360" w:lineRule="auto"/>
              <w:ind w:left="40" w:right="40"/>
              <w:jc w:val="center"/>
              <w:rPr>
                <w:rFonts w:ascii="Times New Roman" w:hAnsi="Times New Roman" w:eastAsia="Times New Roman" w:cs="Times New Roman"/>
                <w:color w:val="000000"/>
                <w:sz w:val="17"/>
                <w:szCs w:val="17"/>
              </w:rPr>
            </w:pPr>
            <w:r>
              <w:rPr>
                <w:rFonts w:ascii="Times New Roman" w:hAnsi="Times New Roman" w:eastAsia="Times New Roman" w:cs="Times New Roman"/>
                <w:color w:val="000000"/>
                <w:sz w:val="17"/>
                <w:szCs w:val="17"/>
              </w:rPr>
              <w:t>−0.090</w:t>
            </w:r>
          </w:p>
        </w:tc>
      </w:tr>
    </w:tbl>
    <w:p w14:paraId="7E241B4D">
      <w:pPr>
        <w:rPr>
          <w:rFonts w:ascii="Times New Roman" w:hAnsi="Times New Roman" w:eastAsia="Times New Roman" w:cs="Times New Roman"/>
          <w:color w:val="000000"/>
          <w:sz w:val="17"/>
          <w:szCs w:val="17"/>
        </w:rPr>
      </w:pPr>
      <w:r>
        <w:rPr>
          <w:rFonts w:hint="eastAsia" w:ascii="Times New Roman" w:hAnsi="Times New Roman" w:eastAsia="Times New Roman" w:cs="Times New Roman"/>
          <w:color w:val="000000"/>
          <w:sz w:val="17"/>
          <w:szCs w:val="17"/>
        </w:rPr>
        <w:t>Values are presented as point estimates with bootstrap 95% confidence intervals. Point estimates were averaged across the 10 imputed datasets, and confidence intervals were obtained from the pooled percentile distribution of 500 bootstrap resamples across the imputed validation cohorts. Differences were calculated as the performance of the RF model without Center minus that of the RF model with Center. The RF model without Center followed the same modeling workflow as the primary RF analysis, except that Center was excluded from the predictor set. The distribution of the selected mtry values for the RF model without Center is provided in the accompanying tuning output. AUC, area under the receiver operating characteristic curve; Brier, Brier score; Cal Int, calibration intercept; Cal Slope, calibration slope; O/E, observed-to-expected ratio; RF, random forest.</w:t>
      </w:r>
      <w:r>
        <w:rPr>
          <w:rFonts w:ascii="Times New Roman" w:hAnsi="Times New Roman" w:eastAsia="Times New Roman" w:cs="Times New Roman"/>
          <w:color w:val="000000"/>
          <w:sz w:val="17"/>
          <w:szCs w:val="17"/>
        </w:rPr>
        <w:br w:type="page"/>
      </w:r>
    </w:p>
    <w:p w14:paraId="795A229F">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 xml:space="preserve">Table S5. Year specific annual updating performance under the multiple imputation framework.</w:t>
      </w:r>
    </w:p>
    <w:tbl>
      <w:tblPr>
        <w:tblStyle w:val="10"/>
        <w:tblW w:w="4999" w:type="pct"/>
        <w:jc w:val="center"/>
        <w:tblLayout w:type="autofit"/>
        <w:tblCellMar>
          <w:top w:w="0" w:type="dxa"/>
          <w:left w:w="108" w:type="dxa"/>
          <w:bottom w:w="0" w:type="dxa"/>
          <w:right w:w="108" w:type="dxa"/>
        </w:tblCellMar>
      </w:tblPr>
      <w:tblGrid>
        <w:gridCol w:w="1082"/>
        <w:gridCol w:w="1399"/>
        <w:gridCol w:w="1543"/>
        <w:gridCol w:w="3136"/>
        <w:gridCol w:w="1618"/>
        <w:gridCol w:w="1618"/>
        <w:gridCol w:w="1907"/>
        <w:gridCol w:w="1618"/>
        <w:gridCol w:w="1618"/>
      </w:tblGrid>
      <w:tr w14:paraId="0A9AAA0E">
        <w:tblPrEx>
          <w:tblCellMar>
            <w:top w:w="0" w:type="dxa"/>
            <w:left w:w="108" w:type="dxa"/>
            <w:bottom w:w="0" w:type="dxa"/>
            <w:right w:w="108" w:type="dxa"/>
          </w:tblCellMar>
        </w:tblPrEx>
        <w:trPr>
          <w:tblHeader/>
          <w:jc w:val="center"/>
        </w:trPr>
        <w:tc>
          <w:tcPr>
            <w:tcW w:w="34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D4DB63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Target year</w:t>
            </w:r>
          </w:p>
        </w:tc>
        <w:tc>
          <w:tcPr>
            <w:tcW w:w="45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34B1CF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Test sample size</w:t>
            </w:r>
          </w:p>
        </w:tc>
        <w:tc>
          <w:tcPr>
            <w:tcW w:w="49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01BB6B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Test events, n (%)</w:t>
            </w:r>
          </w:p>
        </w:tc>
        <w:tc>
          <w:tcPr>
            <w:tcW w:w="100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24E2D0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Strategy</w:t>
            </w:r>
          </w:p>
        </w:tc>
        <w:tc>
          <w:tcPr>
            <w:tcW w:w="52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04699A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AUC</w:t>
            </w:r>
          </w:p>
        </w:tc>
        <w:tc>
          <w:tcPr>
            <w:tcW w:w="52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E4177A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Brier</w:t>
            </w:r>
          </w:p>
        </w:tc>
        <w:tc>
          <w:tcPr>
            <w:tcW w:w="61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A52D5D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Cal Int</w:t>
            </w:r>
          </w:p>
        </w:tc>
        <w:tc>
          <w:tcPr>
            <w:tcW w:w="52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6A4DA1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15"/>
                <w:szCs w:val="15"/>
              </w:rPr>
            </w:pPr>
            <w:r>
              <w:rPr>
                <w:rFonts w:ascii="Times New Roman" w:hAnsi="Times New Roman" w:eastAsia="Arial" w:cs="Times New Roman"/>
                <w:b/>
                <w:color w:val="000000"/>
                <w:sz w:val="15"/>
                <w:szCs w:val="15"/>
              </w:rPr>
              <w:t>Cal Slope</w:t>
            </w:r>
          </w:p>
        </w:tc>
        <w:tc>
          <w:tcPr>
            <w:tcW w:w="52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581FE33">
            <w:pPr>
              <w:pBdr>
                <w:top w:val="none" w:color="000000" w:sz="0" w:space="0"/>
                <w:left w:val="none" w:color="000000" w:sz="0" w:space="0"/>
                <w:bottom w:val="none" w:color="000000" w:sz="0" w:space="0"/>
                <w:right w:val="none" w:color="000000" w:sz="0" w:space="0"/>
              </w:pBdr>
              <w:spacing w:before="100" w:after="100"/>
              <w:ind w:left="100" w:right="100"/>
              <w:jc w:val="center"/>
              <w:rPr>
                <w:rFonts w:hint="eastAsia" w:ascii="Times New Roman" w:hAnsi="Times New Roman" w:eastAsia="宋体" w:cs="Times New Roman"/>
                <w:b/>
                <w:color w:val="000000"/>
                <w:sz w:val="15"/>
                <w:szCs w:val="15"/>
                <w:lang w:eastAsia="zh-CN"/>
              </w:rPr>
            </w:pPr>
            <w:r>
              <w:rPr>
                <w:rFonts w:hint="eastAsia" w:ascii="Times New Roman" w:hAnsi="Times New Roman" w:eastAsia="宋体" w:cs="Times New Roman"/>
                <w:b/>
                <w:color w:val="000000"/>
                <w:sz w:val="15"/>
                <w:szCs w:val="15"/>
                <w:lang w:eastAsia="zh-CN"/>
              </w:rPr>
              <w:t>O/E</w:t>
            </w:r>
          </w:p>
        </w:tc>
      </w:tr>
      <w:tr w14:paraId="0537B603">
        <w:tblPrEx>
          <w:tblCellMar>
            <w:top w:w="0" w:type="dxa"/>
            <w:left w:w="108" w:type="dxa"/>
            <w:bottom w:w="0" w:type="dxa"/>
            <w:right w:w="108" w:type="dxa"/>
          </w:tblCellMar>
        </w:tblPrEx>
        <w:trPr>
          <w:jc w:val="center"/>
        </w:trPr>
        <w:tc>
          <w:tcPr>
            <w:tcW w:w="348" w:type="pct"/>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73B5AF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2015</w:t>
            </w:r>
          </w:p>
        </w:tc>
        <w:tc>
          <w:tcPr>
            <w:tcW w:w="450" w:type="pct"/>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550A59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336</w:t>
            </w:r>
          </w:p>
        </w:tc>
        <w:tc>
          <w:tcPr>
            <w:tcW w:w="496" w:type="pct"/>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42CF60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34 (10.1%)</w:t>
            </w:r>
          </w:p>
        </w:tc>
        <w:tc>
          <w:tcPr>
            <w:tcW w:w="100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D5654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DBB7C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0.843 (0.745–0.925)</w:t>
            </w:r>
          </w:p>
        </w:tc>
        <w:tc>
          <w:tcPr>
            <w:tcW w:w="52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B019B0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0.064 (0.045–0.086)</w:t>
            </w:r>
          </w:p>
        </w:tc>
        <w:tc>
          <w:tcPr>
            <w:tcW w:w="61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FC7640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0.796 (−0.095–1.834)</w:t>
            </w:r>
          </w:p>
        </w:tc>
        <w:tc>
          <w:tcPr>
            <w:tcW w:w="52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0F3FE5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1.380 (0.915–2.088)</w:t>
            </w:r>
          </w:p>
        </w:tc>
        <w:tc>
          <w:tcPr>
            <w:tcW w:w="52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735946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1.102 (0.804–1.410)</w:t>
            </w:r>
          </w:p>
        </w:tc>
      </w:tr>
      <w:tr w14:paraId="703FCC22">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3A3C25B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7C45D58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65B23A1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74C8E86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656D45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0.674 (0.554–0.778)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5ACDDE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0.088 (0.064–0.113)</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68E0CE4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−0.783 (−1.813–0.126)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3B428A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0.568 (0.172–1.008)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89F1F4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1.081 (0.760–1.438)</w:t>
            </w:r>
          </w:p>
        </w:tc>
      </w:tr>
      <w:tr w14:paraId="305E794A">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33C7E2A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5D2EA8B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0080283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05C9803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3DCB7A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0.674 (0.558–0.779)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CD8EAA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0.089 (0.064–0.115)</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3C22467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3.960 (−0.286–10.747)</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7B1276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2.771 (0.851–5.880)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7700C9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1.069 (0.744–1.416)</w:t>
            </w:r>
          </w:p>
        </w:tc>
      </w:tr>
      <w:tr w14:paraId="197F6602">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7294E11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2016</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08A5761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451</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0EA2173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28 (6.2%)</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194FF8A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3E5DB3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0.878 (0.816–0.933)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151EA7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0.038 (0.026–0.052)</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770EAF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0.014 (−0.530–0.574)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860525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1.350 (1.083–1.742)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991481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0.684 (0.481–0.891)</w:t>
            </w:r>
          </w:p>
        </w:tc>
      </w:tr>
      <w:tr w14:paraId="0CDF8230">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0E850BE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6B58480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ACD947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7734255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23A2B1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0.838 (0.751–0.914)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50ABE3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0.044 (0.031–0.058)</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604BD3D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−0.080 (−0.779–0.595)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1BAE18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1.349 (0.976–1.892)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A31077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0.623 (0.421–0.824)</w:t>
            </w:r>
          </w:p>
        </w:tc>
      </w:tr>
      <w:tr w14:paraId="18EA62BB">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44880A6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1AFD23E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0044F48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2C99DF1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F48268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0.838 (0.749–0.912)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ECF1E8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0.045 (0.031–0.059)</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77E8118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−0.706 (−1.255–−0.199)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248C9E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0.966 (0.706–1.324)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AD0FA2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0.640 (0.439–0.844)</w:t>
            </w:r>
          </w:p>
        </w:tc>
      </w:tr>
      <w:tr w14:paraId="093186DD">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0B1164B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2017</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0CE133F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494</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4D3B3D0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34 (6.9%)</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127FBEB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09531F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0.759 (0.668–0.844)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527CEA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0.051 (0.036–0.068)</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ABA372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−0.153 (−0.889–0.542)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71245F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0.931 (0.631–1.287)</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B2728E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0.998 (0.721–1.305)</w:t>
            </w:r>
          </w:p>
        </w:tc>
      </w:tr>
      <w:tr w14:paraId="02DFDD0D">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67916D5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4859C27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06B9B0E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717DD7E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9C2D0B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0.741 (0.640–0.833)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C738CF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0.052 (0.035–0.070)</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2E02CE0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0.098 (−1.056–0.992)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8E5E21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0.888 (0.482–1.266)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D7A168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1.361 (0.979–1.758)</w:t>
            </w:r>
          </w:p>
        </w:tc>
      </w:tr>
      <w:tr w14:paraId="7C13DA62">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556700C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21E1B9B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2331B41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37D42BA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562753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0.741 (0.638–0.831)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EA3900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0.051 (0.035–0.070)</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E0C815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−0.352 (−1.236–0.333)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EB6A95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0.669 (0.387–0.948)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6E779D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1.459 (1.056–1.922)</w:t>
            </w:r>
          </w:p>
        </w:tc>
      </w:tr>
      <w:tr w14:paraId="3BA903BF">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7F67075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2018</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1DDB4DD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621</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59AD699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19 (3.1%)</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282FD2E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A3A7B4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0.879 (0.774–0.962)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80C910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0.022 (0.014–0.030)</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1466F4B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0.058 (−0.793–1.086)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339651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1.627 (1.155–2.477)</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070591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0.446 (0.271–0.621)</w:t>
            </w:r>
          </w:p>
        </w:tc>
      </w:tr>
      <w:tr w14:paraId="0CDFEB0F">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5DD3271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34EE674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CF1FC1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5C483D4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0214DF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0.869 (0.761–0.954)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C85E9E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0.022 (0.015–0.031)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2F4F38C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−0.042 (−0.893–0.858)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08E3DC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1.620 (1.124–2.446)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1004CD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0.424 (0.252–0.589)</w:t>
            </w:r>
          </w:p>
        </w:tc>
      </w:tr>
      <w:tr w14:paraId="0C172CAE">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10641EA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308160D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6416F96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3EDFC63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E1E960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0.869 (0.754–0.955)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9CF044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0.023 (0.015–0.031)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4A1D94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0.393 (−0.727–2.022)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433F90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1.817 (1.204–2.930)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DC8497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0.427 (0.261–0.598)</w:t>
            </w:r>
          </w:p>
        </w:tc>
      </w:tr>
      <w:tr w14:paraId="6A1FAD41">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556971C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2019</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7820E22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754</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08C8DC6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80 (10.6%)</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578E315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453AE7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0.752 (0.690–0.811)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87326B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0.077 (0.061–0.094)</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2F40808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0.207 (−0.384–0.731)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33111F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0.847 (0.628–1.075)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C53343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1.511 (1.239–1.801)</w:t>
            </w:r>
          </w:p>
        </w:tc>
      </w:tr>
      <w:tr w14:paraId="32EDAE3D">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4C55CE1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4EA81AD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7B2E0A8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4168F18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C3B7A8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0.739 (0.677–0.799)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7F200F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0.085 (0.067–0.103)</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4930E3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0.917 (0.255–1.585)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8A105B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0.862 (0.663–1.089)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2393F6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2.845 (2.326–3.410)</w:t>
            </w:r>
          </w:p>
        </w:tc>
      </w:tr>
      <w:tr w14:paraId="3E300EB2">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28C88A6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48F8EAC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37440F9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3253C96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7B9957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0.739 (0.675–0.800)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73E6C2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0.080 (0.062–0.099)</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8E759E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0.035 (−0.455–0.502)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6E9872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0.524 (0.400–0.668)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D9CC78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2.612 (2.087–3.302)</w:t>
            </w:r>
          </w:p>
        </w:tc>
      </w:tr>
      <w:tr w14:paraId="5E5A783F">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56B1B1D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2020</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4EC6D43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588</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6E91C12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82 (13.9%)</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76C0C6F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906596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0.775 (0.708–0.836)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88F49D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0.090 (0.071–0.111)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7C94C9E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0.583 (0.092–1.105)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0C9481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0.919 (0.711–1.176)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EA00D5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1.664 (1.392–1.961)</w:t>
            </w:r>
          </w:p>
        </w:tc>
      </w:tr>
      <w:tr w14:paraId="70E82726">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6E7EBAC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1A10AEC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4436A3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594E250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1E6AFB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0.750 (0.680–0.819)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52AEA0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0.088 (0.069–0.108)</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2863F47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0.179 (−0.372–0.712)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34038A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0.868 (0.595–1.161)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3F7E92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1.336 (1.112–1.568)</w:t>
            </w:r>
          </w:p>
        </w:tc>
      </w:tr>
      <w:tr w14:paraId="762F2A8D">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29F2A1E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0C2FCAD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5E2176C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709C613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F002E2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0.750 (0.677–0.816)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47A67D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0.090 (0.072–0.110)</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EB4F4A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0.449 (−0.174–1.023)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95A077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1.020 (0.701–1.354)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A24EA9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1.336 (1.108–1.576)</w:t>
            </w:r>
          </w:p>
        </w:tc>
      </w:tr>
      <w:tr w14:paraId="7812C4C6">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37A0395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2021</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3D22E86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641</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5B7976A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89 (13.9%)</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4556A9A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3FF7FF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0.855 (0.808–0.898)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213ABF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0.083 (0.067–0.101)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4E3D60D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1.105 (0.612–1.737)</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638C5B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1.198 (0.987–1.483)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A4C08B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1.530 (1.295–1.779)</w:t>
            </w:r>
          </w:p>
        </w:tc>
      </w:tr>
      <w:tr w14:paraId="5B912CF3">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0356789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4B60541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B27BA7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37DEBF5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DCB835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0.833 (0.779–0.882)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487AF0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0.081 (0.066–0.097)</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BA7E14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0.138 (−0.313–0.619)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F7A511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1.076 (0.795–1.370)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254036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1.015 (0.856–1.183)</w:t>
            </w:r>
          </w:p>
        </w:tc>
      </w:tr>
      <w:tr w14:paraId="37074F03">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78C6991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74B618D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2B54374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04C674A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FE9277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0.833 (0.781–0.882)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7510B6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0.082 (0.067–0.097)</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763C76B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0.287 (−0.230–0.811)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A4A16F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1.176 (0.872–1.508)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DD82F8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1.013 (0.847–1.178)</w:t>
            </w:r>
          </w:p>
        </w:tc>
      </w:tr>
      <w:tr w14:paraId="3D945778">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095725F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2022</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618C57F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608</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4748CF8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85 (14.0%)</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62B1BCD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E6CA5D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0.773 (0.717–0.824)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7AEF65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0.102 (0.082–0.123)</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2B26550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0.558 (0.031–1.120)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326CE1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0.913 (0.709–1.151)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4ADB66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1.715 (1.414–2.044)</w:t>
            </w:r>
          </w:p>
        </w:tc>
      </w:tr>
      <w:tr w14:paraId="0401D123">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4CF863E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68FBAA2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F41F18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1D10A92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09DABC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0.753 (0.696–0.810)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DA3817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0.100 (0.082–0.119)</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52D442F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−0.054 (−0.479–0.414)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1846B3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0.868 (0.671–1.123)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6CD348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1.129 (0.929–1.337)</w:t>
            </w:r>
          </w:p>
        </w:tc>
      </w:tr>
      <w:tr w14:paraId="0D75DDCF">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7462910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241743C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05FF6A1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3F425C2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878007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0.753 (0.693–0.810)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20AC31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0.101 (0.083–0.121)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1E64315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−0.279 (−0.672–0.130)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8F4807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0.718 (0.549–0.930)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DD0308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1.146 (0.939–1.365)</w:t>
            </w:r>
          </w:p>
        </w:tc>
      </w:tr>
      <w:tr w14:paraId="71799FCF">
        <w:tblPrEx>
          <w:tblCellMar>
            <w:top w:w="0" w:type="dxa"/>
            <w:left w:w="108" w:type="dxa"/>
            <w:bottom w:w="0" w:type="dxa"/>
            <w:right w:w="108" w:type="dxa"/>
          </w:tblCellMar>
        </w:tblPrEx>
        <w:trPr>
          <w:jc w:val="center"/>
        </w:trPr>
        <w:tc>
          <w:tcPr>
            <w:tcW w:w="348" w:type="pct"/>
            <w:vMerge w:val="restart"/>
            <w:tcBorders>
              <w:top w:val="nil"/>
              <w:left w:val="nil"/>
              <w:bottom w:val="nil"/>
              <w:right w:val="nil"/>
            </w:tcBorders>
            <w:shd w:val="clear" w:color="auto" w:fill="FFFFFF"/>
            <w:tcMar>
              <w:top w:w="0" w:type="dxa"/>
              <w:left w:w="0" w:type="dxa"/>
              <w:bottom w:w="0" w:type="dxa"/>
              <w:right w:w="0" w:type="dxa"/>
            </w:tcMar>
            <w:vAlign w:val="center"/>
          </w:tcPr>
          <w:p w14:paraId="7A981E3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2023</w:t>
            </w:r>
          </w:p>
        </w:tc>
        <w:tc>
          <w:tcPr>
            <w:tcW w:w="450" w:type="pct"/>
            <w:vMerge w:val="restart"/>
            <w:tcBorders>
              <w:top w:val="nil"/>
              <w:left w:val="nil"/>
              <w:bottom w:val="nil"/>
              <w:right w:val="nil"/>
            </w:tcBorders>
            <w:shd w:val="clear" w:color="auto" w:fill="FFFFFF"/>
            <w:tcMar>
              <w:top w:w="0" w:type="dxa"/>
              <w:left w:w="0" w:type="dxa"/>
              <w:bottom w:w="0" w:type="dxa"/>
              <w:right w:w="0" w:type="dxa"/>
            </w:tcMar>
            <w:vAlign w:val="center"/>
          </w:tcPr>
          <w:p w14:paraId="74B6D87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517</w:t>
            </w:r>
          </w:p>
        </w:tc>
        <w:tc>
          <w:tcPr>
            <w:tcW w:w="496" w:type="pct"/>
            <w:vMerge w:val="restart"/>
            <w:tcBorders>
              <w:top w:val="nil"/>
              <w:left w:val="nil"/>
              <w:bottom w:val="nil"/>
              <w:right w:val="nil"/>
            </w:tcBorders>
            <w:shd w:val="clear" w:color="auto" w:fill="FFFFFF"/>
            <w:tcMar>
              <w:top w:w="0" w:type="dxa"/>
              <w:left w:w="0" w:type="dxa"/>
              <w:bottom w:w="0" w:type="dxa"/>
              <w:right w:w="0" w:type="dxa"/>
            </w:tcMar>
            <w:vAlign w:val="center"/>
          </w:tcPr>
          <w:p w14:paraId="2959D47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47 (9.1%)</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209C50E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5304120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0.640 (0.555–0.721)</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7D12ED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0.081 (0.062–0.101)</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7F9D07A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−0.868 (−1.692–−0.070)</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6FC3E1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0.579 (0.267–0.944)</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E573BF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1.026 (0.758–1.311)</w:t>
            </w:r>
          </w:p>
        </w:tc>
      </w:tr>
      <w:tr w14:paraId="3C0835E8">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209FB13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470BE85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404D587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5CC28E1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4224D5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0.629 (0.542–0.716)</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BC0AC0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0.089 (0.073–0.106)</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0174058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−1.344 (−1.990–−0.732)</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ED033D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0.513 (0.213–0.888)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F95BF4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0.612 (0.457–0.784)</w:t>
            </w:r>
          </w:p>
        </w:tc>
      </w:tr>
      <w:tr w14:paraId="160DA9D2">
        <w:tblPrEx>
          <w:tblCellMar>
            <w:top w:w="0" w:type="dxa"/>
            <w:left w:w="108" w:type="dxa"/>
            <w:bottom w:w="0" w:type="dxa"/>
            <w:right w:w="108" w:type="dxa"/>
          </w:tblCellMar>
        </w:tblPrEx>
        <w:trPr>
          <w:jc w:val="center"/>
        </w:trPr>
        <w:tc>
          <w:tcPr>
            <w:tcW w:w="348" w:type="pct"/>
            <w:vMerge w:val="continue"/>
            <w:tcBorders>
              <w:top w:val="nil"/>
              <w:left w:val="nil"/>
              <w:bottom w:val="nil"/>
              <w:right w:val="nil"/>
            </w:tcBorders>
            <w:shd w:val="clear" w:color="auto" w:fill="FFFFFF"/>
            <w:tcMar>
              <w:top w:w="0" w:type="dxa"/>
              <w:left w:w="0" w:type="dxa"/>
              <w:bottom w:w="0" w:type="dxa"/>
              <w:right w:w="0" w:type="dxa"/>
            </w:tcMar>
            <w:vAlign w:val="center"/>
          </w:tcPr>
          <w:p w14:paraId="78B0EAE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nil"/>
              <w:right w:val="nil"/>
            </w:tcBorders>
            <w:shd w:val="clear" w:color="auto" w:fill="FFFFFF"/>
            <w:tcMar>
              <w:top w:w="0" w:type="dxa"/>
              <w:left w:w="0" w:type="dxa"/>
              <w:bottom w:w="0" w:type="dxa"/>
              <w:right w:w="0" w:type="dxa"/>
            </w:tcMar>
            <w:vAlign w:val="center"/>
          </w:tcPr>
          <w:p w14:paraId="31E1085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nil"/>
              <w:right w:val="nil"/>
            </w:tcBorders>
            <w:shd w:val="clear" w:color="auto" w:fill="FFFFFF"/>
            <w:tcMar>
              <w:top w:w="0" w:type="dxa"/>
              <w:left w:w="0" w:type="dxa"/>
              <w:bottom w:w="0" w:type="dxa"/>
              <w:right w:w="0" w:type="dxa"/>
            </w:tcMar>
            <w:vAlign w:val="center"/>
          </w:tcPr>
          <w:p w14:paraId="3ACEA4D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28A00E6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18E718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0.629 (0.540–0.715)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D91DA9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0.088 (0.071–0.105)</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7C884DA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−1.256 (−1.964–−0.595)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BDE7E7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0.570 (0.226–0.979)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595487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0.613 (0.456–0.783)</w:t>
            </w:r>
          </w:p>
        </w:tc>
      </w:tr>
      <w:tr w14:paraId="4B476062">
        <w:tblPrEx>
          <w:tblCellMar>
            <w:top w:w="0" w:type="dxa"/>
            <w:left w:w="108" w:type="dxa"/>
            <w:bottom w:w="0" w:type="dxa"/>
            <w:right w:w="108" w:type="dxa"/>
          </w:tblCellMar>
        </w:tblPrEx>
        <w:trPr>
          <w:jc w:val="center"/>
        </w:trPr>
        <w:tc>
          <w:tcPr>
            <w:tcW w:w="348" w:type="pct"/>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4CC81E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2024</w:t>
            </w:r>
          </w:p>
        </w:tc>
        <w:tc>
          <w:tcPr>
            <w:tcW w:w="450" w:type="pct"/>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19A509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301</w:t>
            </w:r>
          </w:p>
        </w:tc>
        <w:tc>
          <w:tcPr>
            <w:tcW w:w="496" w:type="pct"/>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10626C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36 (12.0%)</w:t>
            </w: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6A344AE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All history refitting</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30E6BB5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0.713 (0.605–0.813)</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A4EE55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0.091 (0.066–0.118)</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6DAF756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0.058 (−0.952–1.105)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72790BA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0.909 (0.465–1.485)</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65AB5537">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1.208 (0.875–1.557)</w:t>
            </w:r>
          </w:p>
        </w:tc>
      </w:tr>
      <w:tr w14:paraId="36FC80BC">
        <w:tblPrEx>
          <w:tblCellMar>
            <w:top w:w="0" w:type="dxa"/>
            <w:left w:w="108" w:type="dxa"/>
            <w:bottom w:w="0" w:type="dxa"/>
            <w:right w:w="108" w:type="dxa"/>
          </w:tblCellMar>
        </w:tblPrEx>
        <w:trPr>
          <w:jc w:val="center"/>
        </w:trPr>
        <w:tc>
          <w:tcPr>
            <w:tcW w:w="348" w:type="pct"/>
            <w:vMerge w:val="continue"/>
            <w:tcBorders>
              <w:top w:val="single" w:color="666666" w:sz="12" w:space="0"/>
              <w:left w:val="nil"/>
              <w:bottom w:val="nil"/>
              <w:right w:val="nil"/>
            </w:tcBorders>
            <w:shd w:val="clear" w:color="auto" w:fill="FFFFFF"/>
            <w:tcMar>
              <w:top w:w="0" w:type="dxa"/>
              <w:left w:w="0" w:type="dxa"/>
              <w:bottom w:w="0" w:type="dxa"/>
              <w:right w:w="0" w:type="dxa"/>
            </w:tcMar>
            <w:vAlign w:val="center"/>
          </w:tcPr>
          <w:p w14:paraId="6F7602F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single" w:color="666666" w:sz="12" w:space="0"/>
              <w:left w:val="nil"/>
              <w:bottom w:val="nil"/>
              <w:right w:val="nil"/>
            </w:tcBorders>
            <w:shd w:val="clear" w:color="auto" w:fill="FFFFFF"/>
            <w:tcMar>
              <w:top w:w="0" w:type="dxa"/>
              <w:left w:w="0" w:type="dxa"/>
              <w:bottom w:w="0" w:type="dxa"/>
              <w:right w:w="0" w:type="dxa"/>
            </w:tcMar>
            <w:vAlign w:val="center"/>
          </w:tcPr>
          <w:p w14:paraId="7C34FE9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single" w:color="666666" w:sz="12" w:space="0"/>
              <w:left w:val="nil"/>
              <w:bottom w:val="nil"/>
              <w:right w:val="nil"/>
            </w:tcBorders>
            <w:shd w:val="clear" w:color="auto" w:fill="FFFFFF"/>
            <w:tcMar>
              <w:top w:w="0" w:type="dxa"/>
              <w:left w:w="0" w:type="dxa"/>
              <w:bottom w:w="0" w:type="dxa"/>
              <w:right w:w="0" w:type="dxa"/>
            </w:tcMar>
            <w:vAlign w:val="center"/>
          </w:tcPr>
          <w:p w14:paraId="5D622FF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nil"/>
              <w:right w:val="nil"/>
            </w:tcBorders>
            <w:shd w:val="clear" w:color="auto" w:fill="FFFFFF"/>
            <w:tcMar>
              <w:top w:w="0" w:type="dxa"/>
              <w:left w:w="0" w:type="dxa"/>
              <w:bottom w:w="0" w:type="dxa"/>
              <w:right w:w="0" w:type="dxa"/>
            </w:tcMar>
            <w:vAlign w:val="center"/>
          </w:tcPr>
          <w:p w14:paraId="266A281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recalibration</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0B1AA76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0.722 (0.611–0.819)</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403C8E6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0.091 (0.066–0.118)</w:t>
            </w:r>
          </w:p>
        </w:tc>
        <w:tc>
          <w:tcPr>
            <w:tcW w:w="613" w:type="pct"/>
            <w:tcBorders>
              <w:top w:val="nil"/>
              <w:left w:val="nil"/>
              <w:bottom w:val="nil"/>
              <w:right w:val="nil"/>
            </w:tcBorders>
            <w:shd w:val="clear" w:color="auto" w:fill="FFFFFF"/>
            <w:tcMar>
              <w:top w:w="0" w:type="dxa"/>
              <w:left w:w="0" w:type="dxa"/>
              <w:bottom w:w="0" w:type="dxa"/>
              <w:right w:w="0" w:type="dxa"/>
            </w:tcMar>
            <w:vAlign w:val="center"/>
          </w:tcPr>
          <w:p w14:paraId="659D433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0.094 (−0.895–1.107)</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1FD7FB3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0.935 (0.480–1.508)</w:t>
            </w:r>
          </w:p>
        </w:tc>
        <w:tc>
          <w:tcPr>
            <w:tcW w:w="520" w:type="pct"/>
            <w:tcBorders>
              <w:top w:val="nil"/>
              <w:left w:val="nil"/>
              <w:bottom w:val="nil"/>
              <w:right w:val="nil"/>
            </w:tcBorders>
            <w:shd w:val="clear" w:color="auto" w:fill="FFFFFF"/>
            <w:tcMar>
              <w:top w:w="0" w:type="dxa"/>
              <w:left w:w="0" w:type="dxa"/>
              <w:bottom w:w="0" w:type="dxa"/>
              <w:right w:w="0" w:type="dxa"/>
            </w:tcMar>
            <w:vAlign w:val="center"/>
          </w:tcPr>
          <w:p w14:paraId="29331F1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1.191 (0.864–1.548)</w:t>
            </w:r>
          </w:p>
        </w:tc>
      </w:tr>
      <w:tr w14:paraId="1D54E140">
        <w:tblPrEx>
          <w:tblCellMar>
            <w:top w:w="0" w:type="dxa"/>
            <w:left w:w="108" w:type="dxa"/>
            <w:bottom w:w="0" w:type="dxa"/>
            <w:right w:w="108" w:type="dxa"/>
          </w:tblCellMar>
        </w:tblPrEx>
        <w:trPr>
          <w:jc w:val="center"/>
        </w:trPr>
        <w:tc>
          <w:tcPr>
            <w:tcW w:w="348" w:type="pct"/>
            <w:vMerge w:val="continue"/>
            <w:tcBorders>
              <w:top w:val="nil"/>
              <w:left w:val="nil"/>
              <w:bottom w:val="single" w:color="666666" w:sz="12" w:space="0"/>
              <w:right w:val="nil"/>
            </w:tcBorders>
            <w:shd w:val="clear" w:color="auto" w:fill="FFFFFF"/>
            <w:tcMar>
              <w:top w:w="0" w:type="dxa"/>
              <w:left w:w="0" w:type="dxa"/>
              <w:bottom w:w="0" w:type="dxa"/>
              <w:right w:w="0" w:type="dxa"/>
            </w:tcMar>
            <w:vAlign w:val="center"/>
          </w:tcPr>
          <w:p w14:paraId="1DABA83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50" w:type="pct"/>
            <w:vMerge w:val="continue"/>
            <w:tcBorders>
              <w:top w:val="nil"/>
              <w:left w:val="nil"/>
              <w:bottom w:val="single" w:color="666666" w:sz="12" w:space="0"/>
              <w:right w:val="nil"/>
            </w:tcBorders>
            <w:shd w:val="clear" w:color="auto" w:fill="FFFFFF"/>
            <w:tcMar>
              <w:top w:w="0" w:type="dxa"/>
              <w:left w:w="0" w:type="dxa"/>
              <w:bottom w:w="0" w:type="dxa"/>
              <w:right w:w="0" w:type="dxa"/>
            </w:tcMar>
            <w:vAlign w:val="center"/>
          </w:tcPr>
          <w:p w14:paraId="52C05C7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496" w:type="pct"/>
            <w:vMerge w:val="continue"/>
            <w:tcBorders>
              <w:top w:val="nil"/>
              <w:left w:val="nil"/>
              <w:bottom w:val="single" w:color="666666" w:sz="12" w:space="0"/>
              <w:right w:val="nil"/>
            </w:tcBorders>
            <w:shd w:val="clear" w:color="auto" w:fill="FFFFFF"/>
            <w:tcMar>
              <w:top w:w="0" w:type="dxa"/>
              <w:left w:w="0" w:type="dxa"/>
              <w:bottom w:w="0" w:type="dxa"/>
              <w:right w:w="0" w:type="dxa"/>
            </w:tcMar>
            <w:vAlign w:val="center"/>
          </w:tcPr>
          <w:p w14:paraId="51AADD5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p>
        </w:tc>
        <w:tc>
          <w:tcPr>
            <w:tcW w:w="100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A7BF88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Prior year intercept and slope recalibration</w:t>
            </w:r>
          </w:p>
        </w:tc>
        <w:tc>
          <w:tcPr>
            <w:tcW w:w="52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15815C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0.722 (0.613–0.821)</w:t>
            </w:r>
          </w:p>
        </w:tc>
        <w:tc>
          <w:tcPr>
            <w:tcW w:w="52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1C2B07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0.096 (0.070–0.124)</w:t>
            </w:r>
          </w:p>
        </w:tc>
        <w:tc>
          <w:tcPr>
            <w:tcW w:w="61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7276F5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1.587 (−0.064–3.539)</w:t>
            </w:r>
          </w:p>
        </w:tc>
        <w:tc>
          <w:tcPr>
            <w:tcW w:w="52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C697F8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1.644 (0.877–2.685)</w:t>
            </w:r>
          </w:p>
        </w:tc>
        <w:tc>
          <w:tcPr>
            <w:tcW w:w="52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7FD6BE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15"/>
                <w:szCs w:val="15"/>
              </w:rPr>
            </w:pPr>
            <w:r>
              <w:rPr>
                <w:rFonts w:ascii="Times New Roman" w:hAnsi="Times New Roman" w:eastAsia="Arial" w:cs="Times New Roman"/>
                <w:color w:val="000000"/>
                <w:sz w:val="15"/>
                <w:szCs w:val="15"/>
              </w:rPr>
              <w:t>1.243 (0.889–1.616)</w:t>
            </w:r>
          </w:p>
        </w:tc>
      </w:tr>
    </w:tbl>
    <w:p w14:paraId="74137697">
      <w:pPr>
        <w:jc w:val="both"/>
        <w:rPr>
          <w:rFonts w:ascii="Times New Roman" w:hAnsi="Times New Roman" w:cs="Times New Roman"/>
          <w:sz w:val="15"/>
          <w:szCs w:val="15"/>
        </w:rPr>
      </w:pPr>
      <w:r>
        <w:rPr>
          <w:rFonts w:hint="eastAsia" w:ascii="Times New Roman" w:hAnsi="Times New Roman" w:eastAsia="Times New Roman" w:cs="Times New Roman"/>
          <w:color w:val="000000"/>
          <w:sz w:val="17"/>
          <w:szCs w:val="17"/>
        </w:rPr>
        <w:t>Values are point estimates with bootstrap 95% confidence intervals. Analyses were performed separately within each of the 10 imputed datasets. Point estimates were averaged across imputations, and 95% confidence intervals were obtained from the 2.5th and 97.5th percentiles of the pooled bootstrap distributions generated from 500 resamples within each imputed target-year cohort. Cal Int, calibration intercept; Cal Slope, calibration slope; O/E, observed-t</w:t>
      </w:r>
      <w:bookmarkStart w:id="0" w:name="_GoBack"/>
      <w:bookmarkEnd w:id="0"/>
      <w:r>
        <w:rPr>
          <w:rFonts w:hint="eastAsia" w:ascii="Times New Roman" w:hAnsi="Times New Roman" w:eastAsia="Times New Roman" w:cs="Times New Roman"/>
          <w:color w:val="000000"/>
          <w:sz w:val="17"/>
          <w:szCs w:val="17"/>
        </w:rPr>
        <w:t>o-expected ratio; RF, random forest.</w:t>
      </w:r>
      <w:r>
        <w:rPr>
          <w:rFonts w:ascii="Times New Roman" w:hAnsi="Times New Roman" w:cs="Times New Roman"/>
          <w:sz w:val="15"/>
          <w:szCs w:val="15"/>
        </w:rPr>
        <w:br w:type="page"/>
      </w:r>
    </w:p>
    <w:p w14:paraId="41CAE42E">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 xml:space="preserve">Table S6. </w:t>
      </w:r>
      <w:r>
        <w:rPr>
          <w:rFonts w:hint="eastAsia" w:ascii="Times New Roman" w:hAnsi="Times New Roman" w:eastAsia="Times New Roman" w:cs="Times New Roman"/>
          <w:b/>
          <w:color w:val="000000"/>
          <w:sz w:val="21"/>
          <w:szCs w:val="21"/>
        </w:rPr>
        <w:t>Year specific performance of time aware RF updating strategies</w:t>
      </w:r>
      <w:r>
        <w:rPr>
          <w:rFonts w:ascii="Times New Roman" w:hAnsi="Times New Roman" w:eastAsia="Times New Roman" w:cs="Times New Roman"/>
          <w:b/>
          <w:color w:val="000000"/>
          <w:sz w:val="21"/>
          <w:szCs w:val="21"/>
        </w:rPr>
        <w:t>.</w:t>
      </w:r>
    </w:p>
    <w:tbl>
      <w:tblPr>
        <w:tblStyle w:val="10"/>
        <w:tblW w:w="4998" w:type="pct"/>
        <w:jc w:val="center"/>
        <w:tblLayout w:type="autofit"/>
        <w:tblCellMar>
          <w:top w:w="0" w:type="dxa"/>
          <w:left w:w="108" w:type="dxa"/>
          <w:bottom w:w="0" w:type="dxa"/>
          <w:right w:w="108" w:type="dxa"/>
        </w:tblCellMar>
      </w:tblPr>
      <w:tblGrid>
        <w:gridCol w:w="889"/>
        <w:gridCol w:w="1170"/>
        <w:gridCol w:w="1428"/>
        <w:gridCol w:w="2924"/>
        <w:gridCol w:w="1754"/>
        <w:gridCol w:w="1754"/>
        <w:gridCol w:w="1916"/>
        <w:gridCol w:w="1916"/>
        <w:gridCol w:w="1785"/>
      </w:tblGrid>
      <w:tr w14:paraId="113E0DDB">
        <w:tblPrEx>
          <w:tblCellMar>
            <w:top w:w="0" w:type="dxa"/>
            <w:left w:w="108" w:type="dxa"/>
            <w:bottom w:w="0" w:type="dxa"/>
            <w:right w:w="108" w:type="dxa"/>
          </w:tblCellMar>
        </w:tblPrEx>
        <w:trPr>
          <w:trHeight w:val="456" w:hRule="atLeast"/>
          <w:tblHeader/>
          <w:jc w:val="center"/>
        </w:trPr>
        <w:tc>
          <w:tcPr>
            <w:tcW w:w="28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59D1F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Target year</w:t>
            </w:r>
          </w:p>
        </w:tc>
        <w:tc>
          <w:tcPr>
            <w:tcW w:w="37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17918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Test sample size</w:t>
            </w:r>
          </w:p>
        </w:tc>
        <w:tc>
          <w:tcPr>
            <w:tcW w:w="45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89890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Test events, n (%)</w:t>
            </w:r>
          </w:p>
        </w:tc>
        <w:tc>
          <w:tcPr>
            <w:tcW w:w="94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7979E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Strategy</w:t>
            </w:r>
          </w:p>
        </w:tc>
        <w:tc>
          <w:tcPr>
            <w:tcW w:w="56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37E4D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AUC</w:t>
            </w:r>
          </w:p>
        </w:tc>
        <w:tc>
          <w:tcPr>
            <w:tcW w:w="56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0CC63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Brier</w:t>
            </w:r>
          </w:p>
        </w:tc>
        <w:tc>
          <w:tcPr>
            <w:tcW w:w="61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3895F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Cal Int</w:t>
            </w:r>
          </w:p>
        </w:tc>
        <w:tc>
          <w:tcPr>
            <w:tcW w:w="61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63878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i w:val="0"/>
                <w:strike w:val="0"/>
                <w:color w:val="000000"/>
                <w:sz w:val="15"/>
                <w:szCs w:val="15"/>
                <w:u w:val="none"/>
              </w:rPr>
            </w:pPr>
            <w:r>
              <w:rPr>
                <w:rFonts w:hint="default" w:ascii="Times New Roman" w:hAnsi="Times New Roman" w:eastAsia="Arial" w:cs="Times New Roman"/>
                <w:b/>
                <w:i w:val="0"/>
                <w:strike w:val="0"/>
                <w:color w:val="000000"/>
                <w:sz w:val="15"/>
                <w:szCs w:val="15"/>
                <w:u w:val="none"/>
              </w:rPr>
              <w:t>Cal Slope</w:t>
            </w:r>
          </w:p>
        </w:tc>
        <w:tc>
          <w:tcPr>
            <w:tcW w:w="57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1820FCB">
            <w:pPr>
              <w:jc w:val="center"/>
            </w:pPr>
            <w:r>
              <w:rPr>
                <w:rFonts w:ascii="Times New Roman" w:hAnsi="Times New Roman" w:eastAsia="Times New Roman"/>
                <w:b/>
                <w:sz w:val="13"/>
              </w:rPr>
              <w:t>O/E</w:t>
            </w:r>
          </w:p>
        </w:tc>
      </w:tr>
      <w:tr w14:paraId="7C893D30">
        <w:tblPrEx>
          <w:tblCellMar>
            <w:top w:w="0" w:type="dxa"/>
            <w:left w:w="108" w:type="dxa"/>
            <w:bottom w:w="0" w:type="dxa"/>
            <w:right w:w="108" w:type="dxa"/>
          </w:tblCellMar>
        </w:tblPrEx>
        <w:trPr>
          <w:trHeight w:val="236" w:hRule="atLeast"/>
          <w:jc w:val="center"/>
        </w:trPr>
        <w:tc>
          <w:tcPr>
            <w:tcW w:w="15968" w:type="dxa"/>
            <w:gridSpan w:val="9"/>
            <w:tcBorders>
              <w:top w:val="single" w:color="666666" w:sz="8" w:space="0"/>
              <w:bottom w:val="single" w:color="666666" w:sz="8" w:space="0"/>
            </w:tcBorders>
            <w:shd w:val="clear" w:color="auto" w:fill="E7E6E6"/>
            <w:vAlign w:val="center"/>
          </w:tcPr>
          <w:p w14:paraId="6BA41012">
            <w:pPr>
              <w:keepNext/>
              <w:spacing w:before="0" w:after="0"/>
              <w:jc w:val="center"/>
            </w:pPr>
            <w:r>
              <w:rPr>
                <w:rFonts w:hint="eastAsia" w:ascii="Times New Roman" w:hAnsi="Times New Roman" w:eastAsia="宋体"/>
                <w:b/>
                <w:sz w:val="14"/>
                <w:lang w:eastAsia="zh-CN"/>
              </w:rPr>
              <w:t>pre-COVID</w:t>
            </w:r>
            <w:r>
              <w:rPr>
                <w:rFonts w:ascii="Times New Roman" w:hAnsi="Times New Roman" w:eastAsia="Times New Roman"/>
                <w:b/>
                <w:sz w:val="14"/>
              </w:rPr>
              <w:t xml:space="preserve"> phase (2015–2019)</w:t>
            </w:r>
          </w:p>
        </w:tc>
      </w:tr>
      <w:tr w14:paraId="18459B09">
        <w:tblPrEx>
          <w:tblCellMar>
            <w:top w:w="0" w:type="dxa"/>
            <w:left w:w="108" w:type="dxa"/>
            <w:bottom w:w="0" w:type="dxa"/>
            <w:right w:w="108" w:type="dxa"/>
          </w:tblCellMar>
        </w:tblPrEx>
        <w:trPr>
          <w:trHeight w:val="0" w:hRule="atLeast"/>
          <w:jc w:val="center"/>
        </w:trPr>
        <w:tc>
          <w:tcPr>
            <w:tcW w:w="286" w:type="pct"/>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1A4AFED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2015</w:t>
            </w:r>
          </w:p>
        </w:tc>
        <w:tc>
          <w:tcPr>
            <w:tcW w:w="376" w:type="pct"/>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06F04C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336</w:t>
            </w:r>
          </w:p>
        </w:tc>
        <w:tc>
          <w:tcPr>
            <w:tcW w:w="459" w:type="pct"/>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1A5D81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34 (10.1%)</w:t>
            </w:r>
          </w:p>
        </w:tc>
        <w:tc>
          <w:tcPr>
            <w:tcW w:w="94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4BC32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4D2E9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0.843 (0.748–0.925)</w:t>
            </w:r>
          </w:p>
        </w:tc>
        <w:tc>
          <w:tcPr>
            <w:tcW w:w="56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33306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0.064 (0.046–0.085)</w:t>
            </w:r>
          </w:p>
        </w:tc>
        <w:tc>
          <w:tcPr>
            <w:tcW w:w="61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4DDF8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0.796 (−0.052–1.832)</w:t>
            </w:r>
          </w:p>
        </w:tc>
        <w:tc>
          <w:tcPr>
            <w:tcW w:w="61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9C422D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1.380 (0.928–2.088)</w:t>
            </w:r>
          </w:p>
        </w:tc>
        <w:tc>
          <w:tcPr>
            <w:tcW w:w="57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FD7DB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1.102 (0.804–1.397)</w:t>
            </w:r>
          </w:p>
        </w:tc>
      </w:tr>
      <w:tr w14:paraId="629E7759">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0F37E2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DBB76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10204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FCFFD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DBEC5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0.842 (0.744–0.923)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175B6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0.064 (0.045–0.085)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C3DF7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0.689 (−0.504–1.831)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3DF15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1.416 (0.719–2.172)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7F59D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0.999 (0.708–1.289)</w:t>
            </w:r>
          </w:p>
        </w:tc>
      </w:tr>
      <w:tr w14:paraId="501718A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915DC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71DA7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F06A7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33966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9AC09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0.842 (0.737–0.929)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7DAA7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0.064 (0.044–0.085)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FF772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0.618 (−0.214–1.635)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882A2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1.396 (0.918–2.120)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DA76B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0.986 (0.706–1.282)</w:t>
            </w:r>
          </w:p>
        </w:tc>
      </w:tr>
      <w:tr w14:paraId="189E6B76">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F9923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9BC46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A7E10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5142D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82A68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0.833 (0.730–0.920)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EB0F9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0.065 (0.046–0.086)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CCFF0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0.618 (−0.684–1.824)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4B40C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1.295 (0.608–2.068)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134C5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1.083 (0.773–1.422)</w:t>
            </w:r>
          </w:p>
        </w:tc>
      </w:tr>
      <w:tr w14:paraId="653E95F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EA3E1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60E1D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F1228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D0BBC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0938D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0.841 (0.742–0.921)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1A63C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0.066 (0.046–0.086)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89D0C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0.732 (−0.295–1.902)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90647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1.397 (0.804–2.145)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8354F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1.047 (0.742–1.372)</w:t>
            </w:r>
          </w:p>
        </w:tc>
      </w:tr>
      <w:tr w14:paraId="498CA7D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398CB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761E7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C5CC0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17CAA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9D163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0.838 (0.743–0.917)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6D5FA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0.065 (0.046–0.086)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DA3FE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0.785 (−0.047–1.869)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75E18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1.367 (0.914–2.105)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19899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1.111 (0.791–1.452)</w:t>
            </w:r>
          </w:p>
        </w:tc>
      </w:tr>
      <w:tr w14:paraId="7B70C9E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D2D15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99E17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8F116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43A58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AA087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0.844 (0.748–0.927)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29AFF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0.065 (0.045–0.087)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19FF6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0.820 (−0.146–2.015)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73157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1.400 (0.865–2.218)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5A3FA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1.112 (0.761–1.625)</w:t>
            </w:r>
          </w:p>
        </w:tc>
      </w:tr>
      <w:tr w14:paraId="0B94BEE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D87B0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4F081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BDE16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CE17E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3C456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0.852 (0.762–0.928)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58AC5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0.066 (0.047–0.086)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E6FDF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0.855 (−0.007–1.906)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7D3D1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1.589 (1.095–2.333)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2E984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0.935 (0.680–1.204)</w:t>
            </w:r>
          </w:p>
        </w:tc>
      </w:tr>
      <w:tr w14:paraId="7E03D38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991C2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7FA2B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B9203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B5D2B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95B21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0.838 (0.738–0.921)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730CC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0.065 (0.047–0.085)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F7A3D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0.733 (−0.119–1.742)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C974D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1.472 (0.996–2.182)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D2D57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0.966 (0.699–1.227)</w:t>
            </w:r>
          </w:p>
        </w:tc>
      </w:tr>
      <w:tr w14:paraId="2255462F">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5F90C52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4EFD29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1032E3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C9A75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3545E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0.851 (0.757–0.928)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BF12E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0.064 (0.045–0.085)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B7A31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1.009 (0.150–2.094)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0245A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1.592 (1.102–2.323)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7EBA6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1.007 (0.742–1.287)</w:t>
            </w:r>
          </w:p>
        </w:tc>
      </w:tr>
      <w:tr w14:paraId="07760CEB">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763436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2016</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77B2E4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451</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28AC33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28 (6.2%)</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D1C03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AC641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0.878 (0.814–0.931)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6E54A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0.038 (0.026–0.053)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3B481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0.014 (−0.544–0.568)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733C6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1.350 (1.084–1.740)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705E6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0.684 (0.475–0.895)</w:t>
            </w:r>
          </w:p>
        </w:tc>
      </w:tr>
      <w:tr w14:paraId="7AC2A5F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37840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5037D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8DBBD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C5971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702FC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0.874 (0.800–0.933)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A3436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0.040 (0.028–0.054)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2A098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−0.300 (−0.842–0.253)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4E42D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1.319 (1.034–1.729)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5EEF41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0.598 (0.412–0.785)</w:t>
            </w:r>
          </w:p>
        </w:tc>
      </w:tr>
      <w:tr w14:paraId="55873A97">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0FBDC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4421D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E8565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5A901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3DB91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0.873 (0.798–0.931)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589DD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(0.027–0.054)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359AE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−0.194 (−0.747–0.374)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B9C6C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1.316 (1.015–1.742)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2344F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0.634 (0.434–0.849)</w:t>
            </w:r>
          </w:p>
        </w:tc>
      </w:tr>
      <w:tr w14:paraId="433DD056">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0E37F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CB741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38804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C601CA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F60E6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0.872 (0.792–0.933)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E8805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0.040 (0.027–0.053)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A96FB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−0.140 (−0.719–0.436)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78F36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1.318 (0.982–1.758)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95D4D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0.652 (0.441–0.864)</w:t>
            </w:r>
          </w:p>
        </w:tc>
      </w:tr>
      <w:tr w14:paraId="4C5A13A0">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BAF5D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B9D7D9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9DAE2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7955B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2D5CD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0.872 (0.798–0.934)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C90CD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(0.026–0.053)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4E0D3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−0.045 (−0.619–0.584)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BE297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1.358 (1.041–1.847)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A6131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0.658 (0.450–0.872)</w:t>
            </w:r>
          </w:p>
        </w:tc>
      </w:tr>
      <w:tr w14:paraId="37ED961E">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87D94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1DF07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30461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7ACEC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9A187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0.877 (0.801–0.938)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9F8A3D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(0.027–0.052)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3740C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−0.128 (−0.851–0.549)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06E2F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1.270 (0.806–1.744)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9522A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0.685 (0.475–0.902)</w:t>
            </w:r>
          </w:p>
        </w:tc>
      </w:tr>
      <w:tr w14:paraId="1F43F8A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D2A33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18CC7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C85CE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AD853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7AFAE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0.866 (0.778–0.930)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7437D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0.040 (0.027–0.054)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5DB65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(−0.741–0.636)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44A0A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1.296 (0.955–1.739)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F6BF4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0.682 (0.466–0.905)</w:t>
            </w:r>
          </w:p>
        </w:tc>
      </w:tr>
      <w:tr w14:paraId="1275150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001D3E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E95C6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C3BAD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872C0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CBE8ED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0.881 (0.818–0.936)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806C6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(0.027–0.052)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5A9E9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−0.118 (−0.667–0.439)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98D4E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1.409 (1.123–1.833)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46DC1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0.609 (0.430–0.789)</w:t>
            </w:r>
          </w:p>
        </w:tc>
      </w:tr>
      <w:tr w14:paraId="0D1D3C1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D8B7C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8E882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0FBC9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351EA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D60BD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0.889 (0.834–0.937)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734B9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(0.027–0.052)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B28A8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−0.033 (−0.584–0.535)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41353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1.456 (1.177–1.860)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A6238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0.609 (0.426–0.787)</w:t>
            </w:r>
          </w:p>
        </w:tc>
      </w:tr>
      <w:tr w14:paraId="26C74555">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2E7C8E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4B185A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62D88F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CA60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960C9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0.882 (0.822–0.934)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78D6C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0.039 (0.027–0.054)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26855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−0.072 (−0.627–0.519)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1F3CE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1.406 (1.127–1.827)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0490F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0.622 (0.431–0.820)</w:t>
            </w:r>
          </w:p>
        </w:tc>
      </w:tr>
      <w:tr w14:paraId="238EB081">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71E7EB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2017</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526ECC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494</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07C8FD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34 (6.9%)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9790F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C18A8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0.759 (0.668–0.846)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F2A91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0.051 (0.035–0.068)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0F851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−0.153 (−0.897–0.550)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FA775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0.931 (0.634–1.294)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9359B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0.998 (0.705–1.299)</w:t>
            </w:r>
          </w:p>
        </w:tc>
      </w:tr>
      <w:tr w14:paraId="79D04C4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5F957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93B28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043C0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C576B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3BEA01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0.748 (0.642–0.843)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EDD5B2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(0.036–0.070)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5D751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−0.496 (−1.645–0.282)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1F40B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0.794 (0.335–1.225)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796E8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0.952 (0.656–1.283)</w:t>
            </w:r>
          </w:p>
        </w:tc>
      </w:tr>
      <w:tr w14:paraId="5A8AA63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6E2DE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A3F55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612CE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6F036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C9504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0.751 (0.644–0.849)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E45D6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02054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−0.397 (−1.370–0.398)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B589E7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0.854 (0.456–1.270)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BCB2D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0.934 (0.656–1.222)</w:t>
            </w:r>
          </w:p>
        </w:tc>
      </w:tr>
      <w:tr w14:paraId="220961D5">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3D7C9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DE8B8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D472B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33958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FFD33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0.754 (0.655–0.841)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3BB20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6C670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−0.341 (−1.235–0.393)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FD71E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0.874 (0.491–1.250)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CE7C2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0.944 (0.650–1.254)</w:t>
            </w:r>
          </w:p>
        </w:tc>
      </w:tr>
      <w:tr w14:paraId="400A7886">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945E4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39786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F27A0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7DDAE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99CA2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0.739 (0.633–0.833)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9C6EF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(0.037–0.070)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D52F3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−0.487 (−1.725–0.331)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A71A1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0.793 (0.314–1.200)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6F0A5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0.970 (0.689–1.292)</w:t>
            </w:r>
          </w:p>
        </w:tc>
      </w:tr>
      <w:tr w14:paraId="4D87183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F9E7C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D7828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ED2B8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CA4AC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B8C19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0.747 (0.646–0.837)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86FBB1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A43E0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−0.409 (−1.524–0.396)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4DDC4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0.823 (0.366–1.238)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80B16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0.987 (0.698–1.306)</w:t>
            </w:r>
          </w:p>
        </w:tc>
      </w:tr>
      <w:tr w14:paraId="31653242">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5318D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DF276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630B8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67B84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A26A1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0.753 (0.642–0.854)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89534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(0.036–0.069)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0F2F8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−0.307 (−1.427–0.551)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5F03B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0.864 (0.402–1.325)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5A1394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1.000 (0.689–1.334)</w:t>
            </w:r>
          </w:p>
        </w:tc>
      </w:tr>
      <w:tr w14:paraId="2581065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5CC12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99740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240E3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D6736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D7AF7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0.748 (0.655–0.837)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D7497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0.051 (0.036–0.068)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DE0FF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−0.389 (−1.270–0.316)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EBD70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0.837 (0.475–1.214)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20063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0.967 (0.696–1.257)</w:t>
            </w:r>
          </w:p>
        </w:tc>
      </w:tr>
      <w:tr w14:paraId="2B2A2AA0">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296EF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5D347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9EF6C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6E98E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55FAB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0.748 (0.650–0.839)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43B8F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0.052 (0.036–0.069)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B6DB5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−0.352 (−1.114–0.322)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57A8F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0.910 (0.596–1.283)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0A38F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0.877 (0.621–1.141)</w:t>
            </w:r>
          </w:p>
        </w:tc>
      </w:tr>
      <w:tr w14:paraId="74DA89BF">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658FE41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0B768E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1F3378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35C35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DB206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0.762 (0.667–0.847)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FBC3E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0.051 (0.036–0.068)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B3196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−0.171 (−0.949–0.565)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7DE97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0.939 (0.619–1.324)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25E4A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0.969 (0.695–1.261)</w:t>
            </w:r>
          </w:p>
        </w:tc>
      </w:tr>
      <w:tr w14:paraId="0FC19D6B">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02DA0C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2018</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2730AA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621</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040841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19 (3.1%)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9FC7F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A372C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0.879 (0.771–0.964)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42090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0.022 (0.015–0.030)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87880D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0.058 (−0.817–1.117)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1E6B0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1.627 (1.145–2.490)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0B12B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0.446 (0.273–0.624)</w:t>
            </w:r>
          </w:p>
        </w:tc>
      </w:tr>
      <w:tr w14:paraId="466C4A6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A8892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2169B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25B5D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9F29A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35C5D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0.867 (0.755–0.954)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0574D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0.025 (0.017–0.033)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CB6C3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−0.080 (−1.045–0.972)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E3704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1.510 (0.994–2.345)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8F4554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0.456 (0.276–0.656)</w:t>
            </w:r>
          </w:p>
        </w:tc>
      </w:tr>
      <w:tr w14:paraId="6083E33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088F1A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8B3A0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EF53F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53E0A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687C6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0.877 (0.771–0.962)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E9354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0.024 (0.016–0.032)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498ED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−0.026 (−0.966–1.098)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E83F2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1.607 (1.080–2.570)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0F22F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0.437 (0.266–0.619)</w:t>
            </w:r>
          </w:p>
        </w:tc>
      </w:tr>
      <w:tr w14:paraId="6EC8929D">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9D0868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FF7F5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77B435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083FF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09AC2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0.875 (0.752–0.963)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4F122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0.024 (0.016–0.033)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D2B86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−0.125 (−1.982–1.081)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12986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1.581 (0.527–2.589)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B507D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0.419 (0.245–0.591)</w:t>
            </w:r>
          </w:p>
        </w:tc>
      </w:tr>
      <w:tr w14:paraId="5DA92CE2">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5A9B6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65F3D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F99EF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9AD6E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C28B8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0.872 (0.752–0.963)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2AE4C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0.023 (0.015–0.032)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152CF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0.007 (−0.985–1.091)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55C72F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1.605 (1.055–2.514)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E20F9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0.440 (0.263–0.623)</w:t>
            </w:r>
          </w:p>
        </w:tc>
      </w:tr>
      <w:tr w14:paraId="6D88B37E">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D60B1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8FE1C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782AF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8D814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B2769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0.879 (0.764–0.963)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91BB3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0.023 (0.015–0.031)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2DED4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0.079 (−0.879–1.200)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44DB4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1.654 (1.119–2.550)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E7998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0.440 (0.265–0.623)</w:t>
            </w:r>
          </w:p>
        </w:tc>
      </w:tr>
      <w:tr w14:paraId="5D92BD5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EC370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F5E87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37F55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EA561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8AD6D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0.868 (0.752–0.960)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AD0BC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0.023 (0.016–0.032)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CC846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−0.019 (−0.933–1.123)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8CA0E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1.623 (1.087–2.578)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C2F7A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0.426 (0.254–0.618)</w:t>
            </w:r>
          </w:p>
        </w:tc>
      </w:tr>
      <w:tr w14:paraId="6409003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E597A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69B8E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86AC7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7798E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C8BE4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0.886 (0.786–0.964)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4918E6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0.023 (0.016–0.032)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317FB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0.047 (−0.857–1.071)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2C1564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1.638 (1.121–2.569)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FD95F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0.444 (0.271–0.624)</w:t>
            </w:r>
          </w:p>
        </w:tc>
      </w:tr>
      <w:tr w14:paraId="0C147A05">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8A34E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6779F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795C8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E3B6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46129D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0.872 (0.752–0.963)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CBA23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0.023 (0.015–0.031)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684954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−0.043 (−0.926–1.023)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ACB92D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1.648 (1.121–2.611)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50830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0.417 (0.251–0.582)</w:t>
            </w:r>
          </w:p>
        </w:tc>
      </w:tr>
      <w:tr w14:paraId="4F2D595D">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2D8784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7A6CCF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0FA9C8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678AA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5218E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0.881 (0.773–0.966)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B44B4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0.022 (0.015–0.031)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25603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0.141 (−0.748–1.190)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92B7D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1.725 (1.219–2.642)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99288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0.424 (0.256–0.598)</w:t>
            </w:r>
          </w:p>
        </w:tc>
      </w:tr>
      <w:tr w14:paraId="7219CDC8">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5419B4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2019</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1BD2D5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754</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017D5B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80 (10.6%)</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2302A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96898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0.752 (0.689–0.812)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C742A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0.077 (0.062–0.094)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EFC1D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0.207 (−0.364–0.727)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B0894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0.847 (0.627–1.077)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C4454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1.511 (1.242–1.805)</w:t>
            </w:r>
          </w:p>
        </w:tc>
      </w:tr>
      <w:tr w14:paraId="3D5D14E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44112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15C15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8AEA0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BE2E9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4FFA2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0.744 (0.674–0.806)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6BA62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0.079 (0.062–0.097)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DD0DD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0.017 (−0.801–0.651)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F2FDA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0.708 (0.413–0.983)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FB240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1.728 (1.367–2.155)</w:t>
            </w:r>
          </w:p>
        </w:tc>
      </w:tr>
      <w:tr w14:paraId="46E48C45">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47F7C1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CA93C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467AF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678C6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5BD3B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0.747 (0.685–0.808)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37626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8FD47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(−0.575–0.681)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67549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0.776 (0.519–1.035)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F13E7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1.568 (1.250–1.930)</w:t>
            </w:r>
          </w:p>
        </w:tc>
      </w:tr>
      <w:tr w14:paraId="64502D52">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C6FE6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2A8C2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D2D1E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E8B85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71E8F0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0.745 (0.674–0.809)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21146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D0BE7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0.068 (−0.532–0.631)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4080FC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0.779 (0.546–1.026)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DCD32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1.533 (1.208–1.868)</w:t>
            </w:r>
          </w:p>
        </w:tc>
      </w:tr>
      <w:tr w14:paraId="661FD9E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7A95A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1C267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70296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57648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6D9DC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0.749 (0.683–0.813)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80991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7ADBB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0.088 (−0.603–0.685)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BB9E7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0.777 (0.503–1.071)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ADECF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1.580 (1.250–1.954)</w:t>
            </w:r>
          </w:p>
        </w:tc>
      </w:tr>
      <w:tr w14:paraId="15B04BE7">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96A85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A2C52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48E54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287A5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38A8C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0.750 (0.680–0.812)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41D3E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017E3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0.130 (−0.482–0.676)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E4733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0.817 (0.583–1.061)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D5AC8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1.504 (1.212–1.839)</w:t>
            </w:r>
          </w:p>
        </w:tc>
      </w:tr>
      <w:tr w14:paraId="36803E8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934A3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C209C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73F26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FC4CF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06696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0.744 (0.677–0.805)</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8FBBB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A83A4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0.127 (−0.583–0.733)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BDB08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0.798 (0.510–1.076)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4FEC4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1.569 (1.249–1.936)</w:t>
            </w:r>
          </w:p>
        </w:tc>
      </w:tr>
      <w:tr w14:paraId="68150D4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89D26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D92F1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CFF40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771A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8C8E1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0.755 (0.691–0.811)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40CBD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0.080 (0.064–0.097)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3110D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0.068 (−0.735–0.679)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883CA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0.735 (0.441–0.991)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E752B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1.707 (1.393–2.044)</w:t>
            </w:r>
          </w:p>
        </w:tc>
      </w:tr>
      <w:tr w14:paraId="72C68ED7">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D589D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0A6B58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2278A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1CD1E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61C58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0.755 (0.691–0.814)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A7FDA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0.077 (0.060–0.094)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15654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0.144 (−0.455–0.678)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744EB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0.821 (0.578–1.050)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5A105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1.501 (1.225–1.794)</w:t>
            </w:r>
          </w:p>
        </w:tc>
      </w:tr>
      <w:tr w14:paraId="58F1A644">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4245AF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774BE3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63DCB67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99D36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F667E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0.756 (0.695–0.813)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DEDD0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0.078 (0.062–0.095)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781C1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0.341 (−0.173–0.861)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E908C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0.860 (0.667–1.080)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5AFC30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1.655 (1.359–1.986)</w:t>
            </w:r>
          </w:p>
        </w:tc>
      </w:tr>
      <w:tr w14:paraId="0FC67137">
        <w:tblPrEx>
          <w:tblCellMar>
            <w:top w:w="0" w:type="dxa"/>
            <w:left w:w="108" w:type="dxa"/>
            <w:bottom w:w="0" w:type="dxa"/>
            <w:right w:w="108" w:type="dxa"/>
          </w:tblCellMar>
        </w:tblPrEx>
        <w:trPr>
          <w:trHeight w:val="254" w:hRule="atLeast"/>
          <w:jc w:val="center"/>
        </w:trPr>
        <w:tc>
          <w:tcPr>
            <w:tcW w:w="15968" w:type="dxa"/>
            <w:gridSpan w:val="9"/>
            <w:tcBorders>
              <w:top w:val="single" w:color="666666" w:sz="8" w:space="0"/>
              <w:bottom w:val="single" w:color="666666" w:sz="8" w:space="0"/>
            </w:tcBorders>
            <w:shd w:val="clear" w:color="auto" w:fill="E7E6E6"/>
            <w:vAlign w:val="center"/>
          </w:tcPr>
          <w:p w14:paraId="73C811BC">
            <w:pPr>
              <w:keepNext/>
              <w:spacing w:before="0" w:after="0"/>
              <w:jc w:val="center"/>
            </w:pPr>
            <w:r>
              <w:rPr>
                <w:rFonts w:hint="eastAsia" w:ascii="Times New Roman" w:hAnsi="Times New Roman" w:eastAsia="宋体"/>
                <w:b/>
                <w:sz w:val="14"/>
                <w:lang w:eastAsia="zh-CN"/>
              </w:rPr>
              <w:t>during-COVID</w:t>
            </w:r>
            <w:r>
              <w:rPr>
                <w:rFonts w:ascii="Times New Roman" w:hAnsi="Times New Roman" w:eastAsia="Times New Roman"/>
                <w:b/>
                <w:sz w:val="14"/>
              </w:rPr>
              <w:t xml:space="preserve"> phase (2020–2022)</w:t>
            </w:r>
          </w:p>
        </w:tc>
      </w:tr>
      <w:tr w14:paraId="71A96EFF">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0C59B9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2020</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58FA4A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588</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5966196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82 (13.9%)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A001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83E62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0.775 (0.710–0.837)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44629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0.090 (0.071–0.111)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9A730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0.583 (0.084–1.127)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95C01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0.919 (0.709–1.184)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B323E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1.664 (1.391–1.969)</w:t>
            </w:r>
          </w:p>
        </w:tc>
      </w:tr>
      <w:tr w14:paraId="53D04D7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EEA81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C19E0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04C43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1B024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00E99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0.799 (0.738–0.853)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9D932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0.092 (0.072–0.111)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518BB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0.482 (−0.101–1.075)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6A267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0.919 (0.668–1.199)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B151B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1.554 (1.270–1.872)</w:t>
            </w:r>
          </w:p>
        </w:tc>
      </w:tr>
      <w:tr w14:paraId="47EBA6DD">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1A714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70116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1AAB7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B54EF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18B79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0.783 (0.714–0.842)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8E38C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0.092 (0.073–0.112)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1554B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0.459 (−0.180–1.027)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2319C6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0.880 (0.619–1.166)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5B7DC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1.621 (1.341–1.923)</w:t>
            </w:r>
          </w:p>
        </w:tc>
      </w:tr>
      <w:tr w14:paraId="4186941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15CB8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8D9DB6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101DF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435F26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12FBC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0.780 (0.716–0.841)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615BF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0.092 (0.072–0.111)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ACCA0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0.442 (−0.264–1.069)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4615C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0.877 (0.545–1.177)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2C515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1.617 (1.316–1.933)</w:t>
            </w:r>
          </w:p>
        </w:tc>
      </w:tr>
      <w:tr w14:paraId="69C727B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BC064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643ED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F7207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1D6CF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B2469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0.779 (0.716–0.840)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655D2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0.092 (0.072–0.113)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3286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0.473 (−0.118–1.055)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B35E5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0.877 (0.622–1.158)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6444B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1.647 (1.364–1.965)</w:t>
            </w:r>
          </w:p>
        </w:tc>
      </w:tr>
      <w:tr w14:paraId="120959F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720E91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05211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2A4EF8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70797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4F8562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0.781 (0.717–0.840)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44947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(0.071–0.112)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80B7A8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0.554 (0.055–1.132)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B2E90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0.918 (0.697–1.194)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DC4DD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1.636 (1.344–1.969)</w:t>
            </w:r>
          </w:p>
        </w:tc>
      </w:tr>
      <w:tr w14:paraId="2B7AAE9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1F541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40DA9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BA7458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18FD3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56FAE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0.775 (0.706–0.835)</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31492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0.092 (0.073–0.112)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5307C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0.475 (−0.116–1.068)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97C49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0.882 (0.636–1.160)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086CC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1.639 (1.336–2.009)</w:t>
            </w:r>
          </w:p>
        </w:tc>
      </w:tr>
      <w:tr w14:paraId="212E8CC6">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5E996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3CDD7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FBB4D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A035A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CBC88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0.787 (0.730–0.842)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B5B61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0.093 (0.074–0.114)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E1622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0.639 (0.141–1.151)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958B4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0.971 (0.760–1.229)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1FC6C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1.634 (1.352–1.936)</w:t>
            </w:r>
          </w:p>
        </w:tc>
      </w:tr>
      <w:tr w14:paraId="26756A6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28DE0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89145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D0683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C1398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87613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0.789 (0.726–0.846)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05812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0.090 (0.071–0.110)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209FB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0.577 (0.099–1.086)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181AE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0.925 (0.718–1.187)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F2AAB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1.642 (1.374–1.934)</w:t>
            </w:r>
          </w:p>
        </w:tc>
      </w:tr>
      <w:tr w14:paraId="6C06E921">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7B29D3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0EFA29A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334E1FB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D3363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51FA9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0.794 (0.732–0.849)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D02AE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0.089 (0.071–0.109)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103B7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0.636 (0.160–1.167)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CCDC5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1.091 (0.858–1.370)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E3948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1.376 (1.144–1.626)</w:t>
            </w:r>
          </w:p>
        </w:tc>
      </w:tr>
      <w:tr w14:paraId="26D1CD5C">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47B188A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2021</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747C2E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641</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0367FC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89 (13.9%)</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2146B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71DAD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0.855 (0.808–0.897)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13496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0.083 (0.066–0.102)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CF3F07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1.105 (0.584–1.766)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5C354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1.198 (0.985–1.487)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7EA56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1.530 (1.296–1.789)</w:t>
            </w:r>
          </w:p>
        </w:tc>
      </w:tr>
      <w:tr w14:paraId="40143915">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C8809F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A85F91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E3ECA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6614C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5EDD7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0.874 (0.834–0.910)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1E258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(0.066–0.099)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2503C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1.072 (0.585–1.675)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450FE7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1.331 (1.097–1.666)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4FA60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1.352 (1.143–1.580)</w:t>
            </w:r>
          </w:p>
        </w:tc>
      </w:tr>
      <w:tr w14:paraId="132BD8A2">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066A4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26FDD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94B6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E8DEE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9BCC2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0.874 (0.827–0.913)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1D2EF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(0.065–0.098)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25388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1.139 (0.638–1.766)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00375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1.315 (1.083–1.645)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0CDDE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1.416 (1.182–1.661)</w:t>
            </w:r>
          </w:p>
        </w:tc>
      </w:tr>
      <w:tr w14:paraId="10EB1020">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79C74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6CF20F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18AD4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7B9C5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DFBC7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0.860 (0.813–0.901)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7A536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0.083 (0.066–0.101)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E14177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1.047 (0.529–1.660)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0ABE2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1.245 (1.010–1.548)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B83CD3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1.432 (1.214–1.669)</w:t>
            </w:r>
          </w:p>
        </w:tc>
      </w:tr>
      <w:tr w14:paraId="183C2627">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1E9751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A0DBEA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2DCF2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FAD71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79108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0.862 (0.815–0.905)</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37CAC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(0.065–0.100)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05E612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1.116 (0.565–1.762)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8C82D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1.273 (1.031–1.605)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A4C40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1.446 (1.208–1.698)</w:t>
            </w:r>
          </w:p>
        </w:tc>
      </w:tr>
      <w:tr w14:paraId="2F28EF7E">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C8E7D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5ECA8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1E164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DA2A6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E776C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0.864 (0.821–0.903)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7DB44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0.083 (0.066–0.101)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644A6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1.145 (0.616–1.806)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32915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1.264 (1.046–1.573)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09B1F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1.475 (1.230–1.759)</w:t>
            </w:r>
          </w:p>
        </w:tc>
      </w:tr>
      <w:tr w14:paraId="0E0DD89D">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E6FDA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73293A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97871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0F9B1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3DC3B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0.863 (0.817–0.905)</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9F059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(0.065–0.100)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78A8FF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1.131 (0.584–1.800)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99217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1.259 (1.024–1.588)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0D0FD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1.465 (1.227–1.724)</w:t>
            </w:r>
          </w:p>
        </w:tc>
      </w:tr>
      <w:tr w14:paraId="1DE3638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A6873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BEAF6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AF867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8B86D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914FE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0.872 (0.833–0.908)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C1B5E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0.083 (0.067–0.101)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B05C03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1.311 (0.819–1.936)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72D3F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1.412 (1.186–1.744)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C7C7F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1.418 (1.198–1.652)</w:t>
            </w:r>
          </w:p>
        </w:tc>
      </w:tr>
      <w:tr w14:paraId="467A95B6">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982BE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D587B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1E9E5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D8C26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E3E65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0.873 (0.834–0.910)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69E04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0.083 (0.066–0.101)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483A2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1.291 (0.804–1.916)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FB785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1.334 (1.110–1.643)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583E70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1.502 (1.273–1.747)</w:t>
            </w:r>
          </w:p>
        </w:tc>
      </w:tr>
      <w:tr w14:paraId="7FEE986C">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28520D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3E82B01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6BE2CD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D30CE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BC6AD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0.881 (0.843–0.914)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216D28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0.079 (0.064–0.095)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8B47DA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1.085 (0.589–1.670)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7DF56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1.546 (1.293–1.898)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9AB18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1.137 (0.961–1.317)</w:t>
            </w:r>
          </w:p>
        </w:tc>
      </w:tr>
      <w:tr w14:paraId="48538EE4">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509CD6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2022</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3FB6DB3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608</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2656EE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85 (14.0%)</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99452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AD69D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0.773 (0.719–0.822)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8F2F2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0.102 (0.082–0.123)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82450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0.558 (0.047–1.132)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27984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0.913 (0.715–1.156)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60DCB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1.715 (1.423–2.044)</w:t>
            </w:r>
          </w:p>
        </w:tc>
      </w:tr>
      <w:tr w14:paraId="70719F2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333AC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B08D7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C7220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C152A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0D118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0.788 (0.733–0.839)</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A914D6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0.098 (0.080–0.116)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7C947C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0.349 (−0.111–0.836)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FEA71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0.969 (0.756–1.237)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19097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1.335 (1.099–1.581)</w:t>
            </w:r>
          </w:p>
        </w:tc>
      </w:tr>
      <w:tr w14:paraId="4D3B0761">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753F05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5EC163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BDED2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1FD64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A4BD2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0.778 (0.723–0.832)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532BB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0.099 (0.079–0.119)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C6D99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0.416 (−0.071–0.985)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B3BE3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0.936 (0.726–1.218)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535A70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1.475 (1.205–1.754)</w:t>
            </w:r>
          </w:p>
        </w:tc>
      </w:tr>
      <w:tr w14:paraId="797CB41E">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4C607C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6CC3C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427691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F710F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0AB0A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0.773 (0.714–0.826)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58F86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0.101 (0.082–0.121)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0403E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0.432 (−0.080–0.992)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4619EC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0.913 (0.698–1.177)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E23E16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1.554 (1.278–1.872)</w:t>
            </w:r>
          </w:p>
        </w:tc>
      </w:tr>
      <w:tr w14:paraId="38FC7932">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7C2B3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6C918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7BD32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B014F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125C5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0.772 (0.712–0.827)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4CEAA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0.101 (0.082–0.121)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E37A6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0.429 (−0.085–1.037)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999A6F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0.900 (0.685–1.169)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6932E5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1.583 (1.294–1.907)</w:t>
            </w:r>
          </w:p>
        </w:tc>
      </w:tr>
      <w:tr w14:paraId="16E94352">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30F7A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EFD62D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CA5BD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32436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F57F4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0.769 (0.709–0.826)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2FA7D2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0.102 (0.082–0.122)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59C98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0.428 (−0.089–0.985)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6EC4C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0.882 (0.663–1.145)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520EF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1.633 (1.316–1.972)</w:t>
            </w:r>
          </w:p>
        </w:tc>
      </w:tr>
      <w:tr w14:paraId="6D77DC4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42509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F5720C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385B4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0262C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1FDAF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0.774 (0.720–0.826)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6E1D0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0.101 (0.081–0.121)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0E294B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0.488 (−0.002–1.062)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1446E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0.923 (0.724–1.182)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9B8CC1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1.597 (1.303–1.901)</w:t>
            </w:r>
          </w:p>
        </w:tc>
      </w:tr>
      <w:tr w14:paraId="2589C49D">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82486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3DE49F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C4A00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A0F6B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24A32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0.804 (0.753–0.850)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B4CFC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0.096 (0.079–0.115)</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B0439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0.439 (−0.015–0.949)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FF74D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1.114 (0.889–1.403)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87FDC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1.195 (0.984–1.405)</w:t>
            </w:r>
          </w:p>
        </w:tc>
      </w:tr>
      <w:tr w14:paraId="47E5D4A0">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D3C11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14814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6CB83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C09C6A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3B2E4C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0.781 (0.725–0.832)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15659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0.100 (0.081–0.121)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6B775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0.516 (0.024–1.066)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0C83F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0.963 (0.753–1.220)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E6526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1.534 (1.267–1.816)</w:t>
            </w:r>
          </w:p>
        </w:tc>
      </w:tr>
      <w:tr w14:paraId="48FDDE9D">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04FE39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7B5076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2CEE9A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27E39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1CD3D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0.802 (0.751–0.850)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9D342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0.096 (0.078–0.114)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9DBE1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0.489 (0.015–1.027)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B6612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1.154 (0.920–1.482)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16AB4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1.179 (0.969–1.391)</w:t>
            </w:r>
          </w:p>
        </w:tc>
      </w:tr>
      <w:tr w14:paraId="2FB70C5E">
        <w:tblPrEx>
          <w:tblCellMar>
            <w:top w:w="0" w:type="dxa"/>
            <w:left w:w="108" w:type="dxa"/>
            <w:bottom w:w="0" w:type="dxa"/>
            <w:right w:w="108" w:type="dxa"/>
          </w:tblCellMar>
        </w:tblPrEx>
        <w:trPr>
          <w:trHeight w:val="253" w:hRule="atLeast"/>
          <w:jc w:val="center"/>
        </w:trPr>
        <w:tc>
          <w:tcPr>
            <w:tcW w:w="15968" w:type="dxa"/>
            <w:gridSpan w:val="9"/>
            <w:tcBorders>
              <w:top w:val="single" w:color="666666" w:sz="8" w:space="0"/>
              <w:bottom w:val="single" w:color="666666" w:sz="8" w:space="0"/>
            </w:tcBorders>
            <w:shd w:val="clear" w:color="auto" w:fill="E7E6E6"/>
            <w:vAlign w:val="center"/>
          </w:tcPr>
          <w:p w14:paraId="554A1A6B">
            <w:pPr>
              <w:keepNext/>
              <w:spacing w:before="0" w:after="0"/>
              <w:jc w:val="center"/>
            </w:pPr>
            <w:r>
              <w:rPr>
                <w:rFonts w:hint="eastAsia" w:ascii="Times New Roman" w:hAnsi="Times New Roman" w:eastAsia="宋体"/>
                <w:b/>
                <w:sz w:val="14"/>
                <w:lang w:eastAsia="zh-CN"/>
              </w:rPr>
              <w:t>after-COVID</w:t>
            </w:r>
            <w:r>
              <w:rPr>
                <w:rFonts w:ascii="Times New Roman" w:hAnsi="Times New Roman" w:eastAsia="Times New Roman"/>
                <w:b/>
                <w:sz w:val="14"/>
              </w:rPr>
              <w:t xml:space="preserve"> phase (2023–2024)</w:t>
            </w:r>
          </w:p>
        </w:tc>
      </w:tr>
      <w:tr w14:paraId="343E46B8">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4AE96D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2023</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2D64CE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517</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53C5E9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47 (9.1%)</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8D6A4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C0D37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0.640 (0.554–0.722)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D8DAD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(0.063–0.101)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B10F35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−0.868 (−1.718–−0.064)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87B07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0.579 (0.266–0.952)</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805C8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1.026 (0.762–1.310)</w:t>
            </w:r>
          </w:p>
        </w:tc>
      </w:tr>
      <w:tr w14:paraId="6C6C3E78">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E2D7E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3ED36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C5BBBB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D7569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EBDD0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0.679 (0.605–0.754)</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47202D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0.084 (0.068–0.102)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AC9E3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−0.893 (−1.546–−0.232)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B46090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0.722 (0.425–1.097)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DA4B23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0.695 (0.510–0.901)</w:t>
            </w:r>
          </w:p>
        </w:tc>
      </w:tr>
      <w:tr w14:paraId="22AEFF5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CD877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8E0FE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7F4D9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CCBFCA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DD41C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0.670 (0.588–0.748)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F5C62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(0.065–0.101)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22683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−0.849 (−1.557–−0.143)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782C4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0.678 (0.380–1.048)</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A01F68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0.799 (0.593–1.029)</w:t>
            </w:r>
          </w:p>
        </w:tc>
      </w:tr>
      <w:tr w14:paraId="4FCF76F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7C9C4B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2EA1952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E2A72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22B8D5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207B5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0.663 (0.580–0.743)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5EB027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(0.064–0.101)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3483F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−0.844 (−1.645–−0.046)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13FAA5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0.655 (0.317–1.065)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DFAD0D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0.853 (0.628–1.096)</w:t>
            </w:r>
          </w:p>
        </w:tc>
      </w:tr>
      <w:tr w14:paraId="1885357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9C7E1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CAD42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14C533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9A887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C0828D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0.658 (0.577–0.737)</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BC31E9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(0.063–0.100)</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6413B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−0.865 (−1.659–−0.083)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6F0162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0.624 (0.308–1.013)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D164E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0.898 (0.667–1.152)</w:t>
            </w:r>
          </w:p>
        </w:tc>
      </w:tr>
      <w:tr w14:paraId="31D93B9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54160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099328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68218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1CD8FA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6B6E4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0.657 (0.575–0.733)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8052DE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(0.063–0.101)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67518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−0.869 (−1.655–−0.107)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DBE28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0.616 (0.308–0.981)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55385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0.912 (0.677–1.171)</w:t>
            </w:r>
          </w:p>
        </w:tc>
      </w:tr>
      <w:tr w14:paraId="12C901C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392175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CE4D9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95B2F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B73EBF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FACB5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0.657 (0.572–0.738)</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3D4E93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0.082 (0.064–0.101)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86512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−0.875 (−1.648–−0.091)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81A5F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0.607 (0.299–0.984)</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F38BD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0.927 (0.682–1.189)</w:t>
            </w:r>
          </w:p>
        </w:tc>
      </w:tr>
      <w:tr w14:paraId="6DDBB8EA">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5DAE16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25696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5DD2D0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4B30AD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CC2A0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0.695 (0.620–0.763)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E79A9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0.086 (0.071–0.102)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A6186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−0.927 (−1.532–−0.372)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C00E4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0.784 (0.486–1.141)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B38A0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0.606 (0.445–0.771)</w:t>
            </w:r>
          </w:p>
        </w:tc>
      </w:tr>
      <w:tr w14:paraId="3253F97C">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4A69C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6D0B99B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2BBC5C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32C2D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D125E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0.678 (0.600–0.752)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2D712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0.081 (0.064–0.099)</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323F50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−0.677 (−1.422–0.056)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AE7768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0.763 (0.434–1.155)</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3A405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0.814 (0.609–1.035)</w:t>
            </w:r>
          </w:p>
        </w:tc>
      </w:tr>
      <w:tr w14:paraId="6855FAAA">
        <w:tblPrEx>
          <w:tblCellMar>
            <w:top w:w="0" w:type="dxa"/>
            <w:left w:w="108" w:type="dxa"/>
            <w:bottom w:w="0" w:type="dxa"/>
            <w:right w:w="108" w:type="dxa"/>
          </w:tblCellMar>
        </w:tblPrEx>
        <w:trPr>
          <w:trHeight w:val="0" w:hRule="atLeast"/>
          <w:jc w:val="center"/>
        </w:trPr>
        <w:tc>
          <w:tcPr>
            <w:tcW w:w="286" w:type="pct"/>
            <w:vMerge w:val="continue"/>
            <w:tcBorders>
              <w:left w:val="nil"/>
              <w:bottom w:val="nil"/>
              <w:right w:val="nil"/>
            </w:tcBorders>
            <w:shd w:val="clear" w:color="auto" w:fill="FFFFFF"/>
            <w:tcMar>
              <w:top w:w="0" w:type="dxa"/>
              <w:left w:w="0" w:type="dxa"/>
              <w:bottom w:w="0" w:type="dxa"/>
              <w:right w:w="0" w:type="dxa"/>
            </w:tcMar>
            <w:vAlign w:val="center"/>
          </w:tcPr>
          <w:p w14:paraId="460C0B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nil"/>
              <w:right w:val="nil"/>
            </w:tcBorders>
            <w:shd w:val="clear" w:color="auto" w:fill="FFFFFF"/>
            <w:tcMar>
              <w:top w:w="0" w:type="dxa"/>
              <w:left w:w="0" w:type="dxa"/>
              <w:bottom w:w="0" w:type="dxa"/>
              <w:right w:w="0" w:type="dxa"/>
            </w:tcMar>
            <w:vAlign w:val="center"/>
          </w:tcPr>
          <w:p w14:paraId="2B611B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nil"/>
              <w:right w:val="nil"/>
            </w:tcBorders>
            <w:shd w:val="clear" w:color="auto" w:fill="FFFFFF"/>
            <w:tcMar>
              <w:top w:w="0" w:type="dxa"/>
              <w:left w:w="0" w:type="dxa"/>
              <w:bottom w:w="0" w:type="dxa"/>
              <w:right w:w="0" w:type="dxa"/>
            </w:tcMar>
            <w:vAlign w:val="center"/>
          </w:tcPr>
          <w:p w14:paraId="5118F7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70B149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7F4A71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0.683 (0.607–0.756)</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7B6EE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0.084 (0.069–0.102)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583B9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−0.828 (−1.479–−0.167)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5DE5F1C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0.814 (0.475–1.229)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709000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0.640 (0.479–0.815)</w:t>
            </w:r>
          </w:p>
        </w:tc>
      </w:tr>
      <w:tr w14:paraId="45C928CA">
        <w:tblPrEx>
          <w:tblCellMar>
            <w:top w:w="0" w:type="dxa"/>
            <w:left w:w="108" w:type="dxa"/>
            <w:bottom w:w="0" w:type="dxa"/>
            <w:right w:w="108" w:type="dxa"/>
          </w:tblCellMar>
        </w:tblPrEx>
        <w:trPr>
          <w:trHeight w:val="0" w:hRule="atLeast"/>
          <w:jc w:val="center"/>
        </w:trPr>
        <w:tc>
          <w:tcPr>
            <w:tcW w:w="286" w:type="pct"/>
            <w:vMerge w:val="restart"/>
            <w:tcBorders>
              <w:top w:val="nil"/>
              <w:left w:val="nil"/>
              <w:right w:val="nil"/>
            </w:tcBorders>
            <w:shd w:val="clear" w:color="auto" w:fill="FFFFFF"/>
            <w:tcMar>
              <w:top w:w="0" w:type="dxa"/>
              <w:left w:w="0" w:type="dxa"/>
              <w:bottom w:w="0" w:type="dxa"/>
              <w:right w:w="0" w:type="dxa"/>
            </w:tcMar>
            <w:vAlign w:val="center"/>
          </w:tcPr>
          <w:p w14:paraId="7AB6C3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2024</w:t>
            </w:r>
          </w:p>
        </w:tc>
        <w:tc>
          <w:tcPr>
            <w:tcW w:w="376" w:type="pct"/>
            <w:vMerge w:val="restart"/>
            <w:tcBorders>
              <w:top w:val="nil"/>
              <w:left w:val="nil"/>
              <w:right w:val="nil"/>
            </w:tcBorders>
            <w:shd w:val="clear" w:color="auto" w:fill="FFFFFF"/>
            <w:tcMar>
              <w:top w:w="0" w:type="dxa"/>
              <w:left w:w="0" w:type="dxa"/>
              <w:bottom w:w="0" w:type="dxa"/>
              <w:right w:w="0" w:type="dxa"/>
            </w:tcMar>
            <w:vAlign w:val="center"/>
          </w:tcPr>
          <w:p w14:paraId="21619FF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301</w:t>
            </w:r>
          </w:p>
        </w:tc>
        <w:tc>
          <w:tcPr>
            <w:tcW w:w="459" w:type="pct"/>
            <w:vMerge w:val="restart"/>
            <w:tcBorders>
              <w:top w:val="nil"/>
              <w:left w:val="nil"/>
              <w:right w:val="nil"/>
            </w:tcBorders>
            <w:shd w:val="clear" w:color="auto" w:fill="FFFFFF"/>
            <w:tcMar>
              <w:top w:w="0" w:type="dxa"/>
              <w:left w:w="0" w:type="dxa"/>
              <w:bottom w:w="0" w:type="dxa"/>
              <w:right w:w="0" w:type="dxa"/>
            </w:tcMar>
            <w:vAlign w:val="center"/>
          </w:tcPr>
          <w:p w14:paraId="6C09684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36 (12.0%)</w:t>
            </w: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BD1D2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All history RF</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F1AD5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0.713 (0.605–0.813)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1C97F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(0.066–0.118)</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8BD071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0.058 (−0.965–1.112)</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319FB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0.909 (0.466–1.496)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075EF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1.208 (0.869–1.557)</w:t>
            </w:r>
          </w:p>
        </w:tc>
      </w:tr>
      <w:tr w14:paraId="151B8435">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B1812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EBEB8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58893E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7088E35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1 year</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9BBB94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0.748 (0.646–0.843)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A29CB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(0.068–0.116)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2C304D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−0.019 (−0.902–0.973)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3B95E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1.069 (0.577–1.750)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5C42E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0.905 (0.650–1.176)</w:t>
            </w:r>
          </w:p>
        </w:tc>
      </w:tr>
      <w:tr w14:paraId="38963E1F">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041404E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497ADA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FC00D0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23D1BFA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2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165F8B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0.735 (0.629–0.831)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E6587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(0.067–0.116)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15AC4C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0.001 (−0.927–0.967)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34D6D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1.018 (0.548–1.637)</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235AC98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0.977 (0.699–1.264)</w:t>
            </w:r>
          </w:p>
        </w:tc>
      </w:tr>
      <w:tr w14:paraId="1586D38E">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EB4C19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8B7EF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709939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3C9FD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B2207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0.726 (0.618–0.823)</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A2E639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(0.068–0.117)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9BC56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0.002 (−0.960–1.023)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B8D440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0.963 (0.496–1.551)</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B6C86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1.057 (0.765–1.378)</w:t>
            </w:r>
          </w:p>
        </w:tc>
      </w:tr>
      <w:tr w14:paraId="5E96B7B4">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41C9E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764535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5728A9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FB2E0F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4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D9F98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0.721 (0.608–0.821)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1E4C12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(0.067–0.117)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6B733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−0.062 (−1.099–0.987)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3009E94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0.916 (0.424–1.549)</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178F7A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1.075 (0.780–1.404)</w:t>
            </w:r>
          </w:p>
        </w:tc>
      </w:tr>
      <w:tr w14:paraId="0F7E5A5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27D339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E0BCC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0C8DFB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630C4A8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39A2D9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0.720 (0.614–0.820)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02BBAB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(0.066–0.117)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676FC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−0.019 (−1.011–1.026)</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BFCE7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0.920 (0.467–1.530)</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C626C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1.109 (0.784–1.442)</w:t>
            </w:r>
          </w:p>
        </w:tc>
      </w:tr>
      <w:tr w14:paraId="22128D9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3DCBB8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5D88BB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55003D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071008E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Half life weighted RF, 6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7E503A4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0.722 (0.613–0.821)</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8A8D5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(0.066–0.117)</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42165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−0.010 (−0.999–0.981)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051620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0.940 (0.484–1.516)</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30C5EC1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1.080 (0.767–1.406)</w:t>
            </w:r>
          </w:p>
        </w:tc>
      </w:tr>
      <w:tr w14:paraId="61DA549B">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14474C1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1F3901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64AE031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57175C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3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2A66D0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0.758 (0.656–0.850)</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47AEC1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0.091 (0.070–0.114)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620FFB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−0.075 (−0.910–0.844)</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7783A5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1.119 (0.617–1.793)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0B3924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0.824 (0.603–1.063)</w:t>
            </w:r>
          </w:p>
        </w:tc>
      </w:tr>
      <w:tr w14:paraId="1A3855F3">
        <w:tblPrEx>
          <w:tblCellMar>
            <w:top w:w="0" w:type="dxa"/>
            <w:left w:w="108" w:type="dxa"/>
            <w:bottom w:w="0" w:type="dxa"/>
            <w:right w:w="108" w:type="dxa"/>
          </w:tblCellMar>
        </w:tblPrEx>
        <w:trPr>
          <w:trHeight w:val="0" w:hRule="atLeast"/>
          <w:jc w:val="center"/>
        </w:trPr>
        <w:tc>
          <w:tcPr>
            <w:tcW w:w="286" w:type="pct"/>
            <w:vMerge w:val="continue"/>
            <w:tcBorders>
              <w:left w:val="nil"/>
              <w:right w:val="nil"/>
            </w:tcBorders>
            <w:shd w:val="clear" w:color="auto" w:fill="FFFFFF"/>
            <w:tcMar>
              <w:top w:w="0" w:type="dxa"/>
              <w:left w:w="0" w:type="dxa"/>
              <w:bottom w:w="0" w:type="dxa"/>
              <w:right w:w="0" w:type="dxa"/>
            </w:tcMar>
            <w:vAlign w:val="center"/>
          </w:tcPr>
          <w:p w14:paraId="6D0574B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right w:val="nil"/>
            </w:tcBorders>
            <w:shd w:val="clear" w:color="auto" w:fill="FFFFFF"/>
            <w:tcMar>
              <w:top w:w="0" w:type="dxa"/>
              <w:left w:w="0" w:type="dxa"/>
              <w:bottom w:w="0" w:type="dxa"/>
              <w:right w:w="0" w:type="dxa"/>
            </w:tcMar>
            <w:vAlign w:val="center"/>
          </w:tcPr>
          <w:p w14:paraId="7AAB0F3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right w:val="nil"/>
            </w:tcBorders>
            <w:shd w:val="clear" w:color="auto" w:fill="FFFFFF"/>
            <w:tcMar>
              <w:top w:w="0" w:type="dxa"/>
              <w:left w:w="0" w:type="dxa"/>
              <w:bottom w:w="0" w:type="dxa"/>
              <w:right w:w="0" w:type="dxa"/>
            </w:tcMar>
            <w:vAlign w:val="center"/>
          </w:tcPr>
          <w:p w14:paraId="34E6F3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nil"/>
              <w:right w:val="nil"/>
            </w:tcBorders>
            <w:shd w:val="clear" w:color="auto" w:fill="FFFFFF"/>
            <w:tcMar>
              <w:top w:w="0" w:type="dxa"/>
              <w:left w:w="0" w:type="dxa"/>
              <w:bottom w:w="0" w:type="dxa"/>
              <w:right w:w="0" w:type="dxa"/>
            </w:tcMar>
            <w:vAlign w:val="center"/>
          </w:tcPr>
          <w:p w14:paraId="3014C53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Rolling window RF, 5 years</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04B261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0.765 (0.666–0.852)</w:t>
            </w:r>
          </w:p>
        </w:tc>
        <w:tc>
          <w:tcPr>
            <w:tcW w:w="564" w:type="pct"/>
            <w:tcBorders>
              <w:top w:val="nil"/>
              <w:left w:val="nil"/>
              <w:bottom w:val="nil"/>
              <w:right w:val="nil"/>
            </w:tcBorders>
            <w:shd w:val="clear" w:color="auto" w:fill="FFFFFF"/>
            <w:tcMar>
              <w:top w:w="0" w:type="dxa"/>
              <w:left w:w="0" w:type="dxa"/>
              <w:bottom w:w="0" w:type="dxa"/>
              <w:right w:w="0" w:type="dxa"/>
            </w:tcMar>
            <w:vAlign w:val="center"/>
          </w:tcPr>
          <w:p w14:paraId="6F876D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0.088 (0.067–0.111)</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4D36BFB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0.152 (−0.733–1.093)</w:t>
            </w:r>
          </w:p>
        </w:tc>
        <w:tc>
          <w:tcPr>
            <w:tcW w:w="616" w:type="pct"/>
            <w:tcBorders>
              <w:top w:val="nil"/>
              <w:left w:val="nil"/>
              <w:bottom w:val="nil"/>
              <w:right w:val="nil"/>
            </w:tcBorders>
            <w:shd w:val="clear" w:color="auto" w:fill="FFFFFF"/>
            <w:tcMar>
              <w:top w:w="0" w:type="dxa"/>
              <w:left w:w="0" w:type="dxa"/>
              <w:bottom w:w="0" w:type="dxa"/>
              <w:right w:w="0" w:type="dxa"/>
            </w:tcMar>
            <w:vAlign w:val="center"/>
          </w:tcPr>
          <w:p w14:paraId="2DF0A9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1.209 (0.696–1.883)</w:t>
            </w:r>
          </w:p>
        </w:tc>
        <w:tc>
          <w:tcPr>
            <w:tcW w:w="574" w:type="pct"/>
            <w:tcBorders>
              <w:top w:val="nil"/>
              <w:left w:val="nil"/>
              <w:bottom w:val="nil"/>
              <w:right w:val="nil"/>
            </w:tcBorders>
            <w:shd w:val="clear" w:color="auto" w:fill="FFFFFF"/>
            <w:tcMar>
              <w:top w:w="0" w:type="dxa"/>
              <w:left w:w="0" w:type="dxa"/>
              <w:bottom w:w="0" w:type="dxa"/>
              <w:right w:w="0" w:type="dxa"/>
            </w:tcMar>
            <w:vAlign w:val="center"/>
          </w:tcPr>
          <w:p w14:paraId="4EEB25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0.879 (0.644–1.126)</w:t>
            </w:r>
          </w:p>
        </w:tc>
      </w:tr>
      <w:tr w14:paraId="5175B788">
        <w:tblPrEx>
          <w:tblCellMar>
            <w:top w:w="0" w:type="dxa"/>
            <w:left w:w="108" w:type="dxa"/>
            <w:bottom w:w="0" w:type="dxa"/>
            <w:right w:w="108" w:type="dxa"/>
          </w:tblCellMar>
        </w:tblPrEx>
        <w:trPr>
          <w:trHeight w:val="0" w:hRule="atLeast"/>
          <w:jc w:val="center"/>
        </w:trPr>
        <w:tc>
          <w:tcPr>
            <w:tcW w:w="286" w:type="pct"/>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2BB239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376" w:type="pct"/>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71DE36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459" w:type="pct"/>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5C44670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p>
        </w:tc>
        <w:tc>
          <w:tcPr>
            <w:tcW w:w="94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E8EA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Calendar year adjusted RF</w:t>
            </w:r>
          </w:p>
        </w:tc>
        <w:tc>
          <w:tcPr>
            <w:tcW w:w="56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71E6F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0.753 (0.649–0.844)</w:t>
            </w:r>
          </w:p>
        </w:tc>
        <w:tc>
          <w:tcPr>
            <w:tcW w:w="56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CD85E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0.089 (0.067–0.114)</w:t>
            </w:r>
          </w:p>
        </w:tc>
        <w:tc>
          <w:tcPr>
            <w:tcW w:w="61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5AF30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0.265 (−0.711–1.341)</w:t>
            </w:r>
          </w:p>
        </w:tc>
        <w:tc>
          <w:tcPr>
            <w:tcW w:w="61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D2044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1.248 (0.709–1.990)</w:t>
            </w:r>
          </w:p>
        </w:tc>
        <w:tc>
          <w:tcPr>
            <w:tcW w:w="57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A41F3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hint="default" w:ascii="Times New Roman" w:hAnsi="Times New Roman" w:eastAsia="Arial" w:cs="Times New Roman"/>
                <w:b w:val="0"/>
                <w:bCs/>
                <w:i w:val="0"/>
                <w:strike w:val="0"/>
                <w:color w:val="000000"/>
                <w:sz w:val="15"/>
                <w:szCs w:val="15"/>
                <w:u w:val="none"/>
              </w:rPr>
            </w:pPr>
            <w:r>
              <w:rPr>
                <w:rFonts w:hint="default" w:ascii="Times New Roman" w:hAnsi="Times New Roman" w:eastAsia="Arial" w:cs="Times New Roman"/>
                <w:b w:val="0"/>
                <w:bCs/>
                <w:i w:val="0"/>
                <w:strike w:val="0"/>
                <w:color w:val="000000"/>
                <w:sz w:val="15"/>
                <w:szCs w:val="15"/>
                <w:u w:val="none"/>
              </w:rPr>
              <w:t>0.902 (0.653–1.161)</w:t>
            </w:r>
          </w:p>
        </w:tc>
      </w:tr>
    </w:tbl>
    <w:p w14:paraId="78279436">
      <w:pPr>
        <w:rPr>
          <w:rFonts w:ascii="Times New Roman" w:hAnsi="Times New Roman" w:eastAsia="Times New Roman" w:cs="Times New Roman"/>
          <w:color w:val="000000"/>
          <w:sz w:val="15"/>
          <w:szCs w:val="15"/>
        </w:rPr>
      </w:pPr>
      <w:r>
        <w:rPr>
          <w:rFonts w:hint="eastAsia" w:ascii="Times New Roman" w:hAnsi="Times New Roman" w:eastAsia="Times New Roman"/>
          <w:sz w:val="15"/>
        </w:rPr>
        <w:t>Values are presented as point estimates with bootstrap 95% confidence intervals. Results are grouped by COVID-19 calendar phase and target year: pre-COVID (2015–2019), during-COVID (2020–2022), and after-COVID (2023–2024). Each target year was evaluated separately. For all history RF, all observations before the target year were assigned equal weight. For half life weighted RF, more recent observations were assigned greater weights according to the specified half life. For rolling window RF, only observations within the specified calendar window before the target year were included. For calendar year adjusted RF, calendar year was included as an additional predictor, and model fitting used only observations before the target year. All analyses were conducted separately in the 10 imputed datasets. For each imputed target year cohort, 500 bootstrap resamples were generated, and confidence intervals were obtained from the pooled percentile distribution across imputations. AUC, area under the receiver operating characteristic curve; Brier, Brier score; Cal Int, calibration intercept; Cal Slope, calibration slope; O/E, observed-to-expected ratio; RF, random forest.</w:t>
      </w:r>
      <w:r>
        <w:rPr>
          <w:rFonts w:ascii="Times New Roman" w:hAnsi="Times New Roman" w:eastAsia="Times New Roman" w:cs="Times New Roman"/>
          <w:color w:val="000000"/>
          <w:sz w:val="15"/>
          <w:szCs w:val="15"/>
        </w:rPr>
        <w:br w:type="page"/>
      </w:r>
    </w:p>
    <w:p w14:paraId="5C52AE3F">
      <w:pPr>
        <w:pBdr>
          <w:top w:val="none" w:color="000000" w:sz="0" w:space="0"/>
          <w:left w:val="none" w:color="000000" w:sz="0" w:space="0"/>
          <w:bottom w:val="none" w:color="000000" w:sz="0" w:space="0"/>
          <w:right w:val="none" w:color="000000" w:sz="0" w:space="0"/>
        </w:pBdr>
        <w:spacing w:line="360" w:lineRule="auto"/>
        <w:jc w:val="center"/>
        <w:rPr>
          <w:rFonts w:ascii="Times New Roman" w:hAnsi="Times New Roman" w:eastAsia="Times New Roman" w:cs="Times New Roman"/>
          <w:b/>
          <w:color w:val="000000"/>
          <w:sz w:val="21"/>
          <w:szCs w:val="21"/>
        </w:rPr>
      </w:pPr>
      <w:r>
        <w:rPr>
          <w:rFonts w:ascii="Times New Roman" w:hAnsi="Times New Roman" w:eastAsia="Times New Roman" w:cs="Times New Roman"/>
          <w:b/>
          <w:color w:val="000000"/>
          <w:sz w:val="21"/>
          <w:szCs w:val="21"/>
        </w:rPr>
        <w:t xml:space="preserve">Table S7. </w:t>
      </w:r>
      <w:r>
        <w:rPr>
          <w:rFonts w:hint="eastAsia" w:ascii="Times New Roman" w:hAnsi="Times New Roman" w:eastAsia="Times New Roman" w:cs="Times New Roman"/>
          <w:b/>
          <w:color w:val="000000"/>
          <w:sz w:val="21"/>
          <w:szCs w:val="21"/>
        </w:rPr>
        <w:t>Year specific performance differences between time aware RF updating strategies and all history RF</w:t>
      </w:r>
      <w:r>
        <w:rPr>
          <w:rFonts w:ascii="Times New Roman" w:hAnsi="Times New Roman" w:eastAsia="Times New Roman" w:cs="Times New Roman"/>
          <w:b/>
          <w:color w:val="000000"/>
          <w:sz w:val="21"/>
          <w:szCs w:val="21"/>
        </w:rPr>
        <w:t>.</w:t>
      </w:r>
    </w:p>
    <w:tbl>
      <w:tblPr>
        <w:tblStyle w:val="10"/>
        <w:tblW w:w="4998" w:type="pct"/>
        <w:jc w:val="center"/>
        <w:tblLayout w:type="autofit"/>
        <w:tblCellMar>
          <w:top w:w="0" w:type="dxa"/>
          <w:left w:w="108" w:type="dxa"/>
          <w:bottom w:w="0" w:type="dxa"/>
          <w:right w:w="108" w:type="dxa"/>
        </w:tblCellMar>
      </w:tblPr>
      <w:tblGrid>
        <w:gridCol w:w="942"/>
        <w:gridCol w:w="1281"/>
        <w:gridCol w:w="1430"/>
        <w:gridCol w:w="2226"/>
        <w:gridCol w:w="1716"/>
        <w:gridCol w:w="1819"/>
        <w:gridCol w:w="1894"/>
        <w:gridCol w:w="2327"/>
        <w:gridCol w:w="1901"/>
      </w:tblGrid>
      <w:tr w14:paraId="5E3DF4D1">
        <w:tblPrEx>
          <w:tblCellMar>
            <w:top w:w="0" w:type="dxa"/>
            <w:left w:w="108" w:type="dxa"/>
            <w:bottom w:w="0" w:type="dxa"/>
            <w:right w:w="108" w:type="dxa"/>
          </w:tblCellMar>
        </w:tblPrEx>
        <w:trPr>
          <w:trHeight w:val="0" w:hRule="atLeast"/>
          <w:tblHeader/>
          <w:jc w:val="center"/>
        </w:trPr>
        <w:tc>
          <w:tcPr>
            <w:tcW w:w="30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841873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Target year</w:t>
            </w:r>
          </w:p>
        </w:tc>
        <w:tc>
          <w:tcPr>
            <w:tcW w:w="412"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9D3774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Test sample size</w:t>
            </w:r>
          </w:p>
        </w:tc>
        <w:tc>
          <w:tcPr>
            <w:tcW w:w="460"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44481E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Test events, n (%)</w:t>
            </w:r>
          </w:p>
        </w:tc>
        <w:tc>
          <w:tcPr>
            <w:tcW w:w="71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F7FA68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Strategy</w:t>
            </w:r>
          </w:p>
        </w:tc>
        <w:tc>
          <w:tcPr>
            <w:tcW w:w="552"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E361E8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Delta AUC (95% CI)</w:t>
            </w:r>
          </w:p>
        </w:tc>
        <w:tc>
          <w:tcPr>
            <w:tcW w:w="585"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621CB1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Delta Brier (95% CI)</w:t>
            </w:r>
          </w:p>
        </w:tc>
        <w:tc>
          <w:tcPr>
            <w:tcW w:w="60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5A4CF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Delta |Cal Int| (95% CI)</w:t>
            </w:r>
          </w:p>
        </w:tc>
        <w:tc>
          <w:tcPr>
            <w:tcW w:w="748"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B6D2C7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Delta |Cal Slope - 1| (95% CI)</w:t>
            </w:r>
          </w:p>
        </w:tc>
        <w:tc>
          <w:tcPr>
            <w:tcW w:w="61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396BFE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i w:val="0"/>
                <w:strike w:val="0"/>
                <w:color w:val="000000"/>
                <w:sz w:val="15"/>
                <w:szCs w:val="15"/>
                <w:u w:val="none"/>
                <w:lang w:val="en-US" w:eastAsia="en-US" w:bidi="ar-SA"/>
              </w:rPr>
            </w:pPr>
            <w:r>
              <w:rPr>
                <w:rFonts w:hint="default" w:ascii="Times New Roman" w:hAnsi="Times New Roman" w:eastAsia="Times New Roman" w:cs="Times New Roman"/>
                <w:b/>
                <w:i w:val="0"/>
                <w:strike w:val="0"/>
                <w:color w:val="000000"/>
                <w:sz w:val="15"/>
                <w:szCs w:val="15"/>
                <w:u w:val="none"/>
              </w:rPr>
              <w:t>Delta |O/E - 1| (95% CI)</w:t>
            </w:r>
          </w:p>
        </w:tc>
      </w:tr>
      <w:tr w14:paraId="57D4E3DD">
        <w:tblPrEx>
          <w:tblCellMar>
            <w:top w:w="0" w:type="dxa"/>
            <w:left w:w="108" w:type="dxa"/>
            <w:bottom w:w="0" w:type="dxa"/>
            <w:right w:w="108" w:type="dxa"/>
          </w:tblCellMar>
        </w:tblPrEx>
        <w:trPr>
          <w:trHeight w:val="0" w:hRule="atLeast"/>
          <w:jc w:val="center"/>
        </w:trPr>
        <w:tc>
          <w:tcPr>
            <w:tcW w:w="30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A9DEB8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F23930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E50ACF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E673B9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6A343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(−0.054–0.043)</w:t>
            </w:r>
          </w:p>
        </w:tc>
        <w:tc>
          <w:tcPr>
            <w:tcW w:w="585"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C5C894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(−0.006–0.006)</w:t>
            </w:r>
          </w:p>
        </w:tc>
        <w:tc>
          <w:tcPr>
            <w:tcW w:w="60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CD2AF1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−0.107 (−0.789–0.581)</w:t>
            </w:r>
          </w:p>
        </w:tc>
        <w:tc>
          <w:tcPr>
            <w:tcW w:w="748"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529CD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0.035 (−0.403–0.418)</w:t>
            </w:r>
          </w:p>
        </w:tc>
        <w:tc>
          <w:tcPr>
            <w:tcW w:w="61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6B1A6B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−0.100 (−0.201–0.150)</w:t>
            </w:r>
          </w:p>
        </w:tc>
      </w:tr>
      <w:tr w14:paraId="4A6E39E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0A3BB1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24A4B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2AFF3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B7E3D8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67EFA3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(−0.056–0.047)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07FC69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(−0.008–0.006)</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A3D705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−0.178 (−0.703–0.342)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9983E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0.016 (−0.326–0.340)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7FA656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−0.088 (−0.219–0.181)</w:t>
            </w:r>
          </w:p>
        </w:tc>
      </w:tr>
      <w:tr w14:paraId="144B954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F29654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3C230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73D855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085D6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882B5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(−0.070–0.036)</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C99F07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(−0.005–0.008)</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CEC397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−0.178 (−0.959–0.797)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1E8440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−0.085 (−0.508–0.472)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7C1A2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(−0.127–0.133)</w:t>
            </w:r>
          </w:p>
        </w:tc>
      </w:tr>
      <w:tr w14:paraId="1C798C8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1D6DFF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6AAC18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D3424A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172928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017D28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(−0.051–0.042)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49CE09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(−0.004–0.009)</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A1B9B3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−0.064 (−0.571–0.707)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89EC7F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0.017 (−0.298–0.414)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EF3F37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−0.055 (−0.187–0.137)</w:t>
            </w:r>
          </w:p>
        </w:tc>
      </w:tr>
      <w:tr w14:paraId="038B16B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71693F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F1B2D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39C100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7E301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25682B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(−0.048–0.037)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EFA87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0B2A74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(−0.540–0.481)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DB4B7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−0.013 (−0.386–0.312)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E4E0C5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(−0.137–0.199)</w:t>
            </w:r>
          </w:p>
        </w:tc>
      </w:tr>
      <w:tr w14:paraId="001EE381">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5212D0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849ABC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09579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6E9C11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863AD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(−0.054–0.039)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BEAC63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(−0.005–0.009)</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A1ABB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0.024 (−0.656–0.593)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EBF63B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(−0.390–0.397)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5306F2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(−0.139–0.412)</w:t>
            </w:r>
          </w:p>
        </w:tc>
      </w:tr>
      <w:tr w14:paraId="2E4F989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18B3B7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65712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DE0ED0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BA6C4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BF25D4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0.009 (−0.023–0.044)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4F3245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F7F29B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0.059 (−0.387–0.474)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35AA21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0.208 (−0.081–0.461)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7E0E4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−0.037 (−0.235–0.173)</w:t>
            </w:r>
          </w:p>
        </w:tc>
      </w:tr>
      <w:tr w14:paraId="7B24F339">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D783F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4A5EB7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C877E7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BC3B92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3DDD30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(−0.038–0.025)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A97378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99180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−0.063 (−0.457–0.335)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E5FF47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0.092 (−0.137–0.317)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6B3C67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−0.067 (−0.191–0.141)</w:t>
            </w:r>
          </w:p>
        </w:tc>
      </w:tr>
      <w:tr w14:paraId="1B2D42D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18021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2015</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D8C409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336</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1FDF00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(10.1%)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C23AB5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EF4F7F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(−0.013–0.035)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93E5F7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(−0.003–0.003)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61C10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0.213 (−0.112–0.554)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EB5ED1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0.211 (−0.007–0.417)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13AEAD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−0.095 (−0.141–0.102)</w:t>
            </w:r>
          </w:p>
        </w:tc>
      </w:tr>
      <w:tr w14:paraId="0269C5E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B8FD2C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EAF8B2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611C31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E728B0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37B6D9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(−0.050–0.039)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62594A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(−0.001–0.005)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A6A7A6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0.286 (−0.438–0.551)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E8B2E9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−0.031 (−0.226–0.159)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378FC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0.085 (0.016–0.149)</w:t>
            </w:r>
          </w:p>
        </w:tc>
      </w:tr>
      <w:tr w14:paraId="43DF0D7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BAD40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6B7FF8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B545DE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EABF74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2D8AEB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(−0.052–0.037)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81F8E4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AA9710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0.180 (−0.366–0.454)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EEA5B9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−0.035 (−0.214–0.165)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A12B0D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0.050 (−0.046–0.124)</w:t>
            </w:r>
          </w:p>
        </w:tc>
      </w:tr>
      <w:tr w14:paraId="1453995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6B04D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8C023E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CF74B0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747130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1F32C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(−0.052–0.040)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3B9177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BAD3EA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0.126 (−0.369–0.428)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A943F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(−0.285–0.183)</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114D20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(−0.041–0.120)</w:t>
            </w:r>
          </w:p>
        </w:tc>
      </w:tr>
      <w:tr w14:paraId="02AEDDE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8172CD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3B9BC1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90A77D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2FEC78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CB2687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(−0.049–0.030)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8602A0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7BF696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0.031 (−0.307–0.340)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E42E8F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(−0.201–0.252)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8E4DEC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0.025 (−0.031–0.103)</w:t>
            </w:r>
          </w:p>
        </w:tc>
      </w:tr>
      <w:tr w14:paraId="7F2B419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F86280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521B56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4C9A1F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945BC5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D341AA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(−0.043–0.034)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DAD41E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E06F07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0.114 (−0.337–0.590)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D0F4B9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−0.081 (−0.299–0.204)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CDEBD1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(−0.071–0.056)</w:t>
            </w:r>
          </w:p>
        </w:tc>
      </w:tr>
      <w:tr w14:paraId="0C89BC91">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08A8B0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624E4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62EDB6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BF5377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47843E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−0.013 (−0.078–0.038)</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AD7A7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AD0E7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0.069 (−0.349–0.498)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547B11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−0.055 (−0.301–0.188)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3C8938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(−0.084–0.065)</w:t>
            </w:r>
          </w:p>
        </w:tc>
      </w:tr>
      <w:tr w14:paraId="5169A44E">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25266A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EA45D2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1EC9C9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979503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8914D3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(−0.027–0.034)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E5ECC3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9B4EE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0.104 (−0.301–0.289)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F1E99C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0.059 (−0.084–0.202)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90C09C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0.074 (0.045–0.109)</w:t>
            </w:r>
          </w:p>
        </w:tc>
      </w:tr>
      <w:tr w14:paraId="33744F36">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6EB207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AA1CA7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BA861B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D192A3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AA59CF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(−0.013–0.035)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BF8E78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161AD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(−0.200–0.177)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ECF9EC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0.105 (−0.008–0.225)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B4D58D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0.074 (0.039–0.108)</w:t>
            </w:r>
          </w:p>
        </w:tc>
      </w:tr>
      <w:tr w14:paraId="413C430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E0235D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2016</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E032A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451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6D7C87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28 (6.2%)</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153EDB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99B25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(−0.020–0.028)</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BBDBD6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0B0560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0.058 (−0.233–0.210)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49968B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0.056 (−0.048–0.181)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77188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0.061 (0.039–0.088)</w:t>
            </w:r>
          </w:p>
        </w:tc>
      </w:tr>
      <w:tr w14:paraId="07CFF8C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D9117A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028804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FDEEB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970756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8DAF9F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(−0.068–0.038)</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22E250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F10806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0.343 (−0.347–1.236)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0D600D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0.137 (−0.157–0.492)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8011B7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0.045 (−0.163–0.142)</w:t>
            </w:r>
          </w:p>
        </w:tc>
      </w:tr>
      <w:tr w14:paraId="13ADA6F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3F1982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34308A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336DDC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9DAE1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A4EC81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(−0.070–0.059)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CBE29C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CBC88D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0.243 (−0.393–0.839)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120996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0.077 (−0.188–0.340)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74C43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0.064 (−0.141–0.147)</w:t>
            </w:r>
          </w:p>
        </w:tc>
      </w:tr>
      <w:tr w14:paraId="1AF378A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2BD560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8B9C1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751CA9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4D8C42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A2613F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(−0.055–0.043)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324684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3DAC1E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0.188 (−0.345–0.649)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21C0C1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0.057 (−0.136–0.279)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C8E41C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0.053 (−0.152–0.143)</w:t>
            </w:r>
          </w:p>
        </w:tc>
      </w:tr>
      <w:tr w14:paraId="192DE29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314E07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5EBE9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BF56B9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9D044F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18E1A2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−0.020 (−0.078–0.031)</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5DD6A4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DDCF56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0.334 (−0.350–1.153)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1E96D9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0.138 (−0.159–0.474)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CB5D1B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(−0.101–0.092)</w:t>
            </w:r>
          </w:p>
        </w:tc>
      </w:tr>
      <w:tr w14:paraId="1355DD1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BAB903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478233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7CFFD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051FEF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530554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−0.012 (−0.070–0.042)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804BF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C80812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0.255 (−0.329–0.986)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BB07A5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0.108 (−0.165–0.418)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8C2DD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(−0.105–0.110)</w:t>
            </w:r>
          </w:p>
        </w:tc>
      </w:tr>
      <w:tr w14:paraId="6198358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EB4AC3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CFCF65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09E5D1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DFCDDC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D4A635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(−0.065–0.063)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CA1C05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877C8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0.154 (−0.343–0.923)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44208C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0.067 (−0.180–0.406)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4CEE8C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(−0.111–0.141)</w:t>
            </w:r>
          </w:p>
        </w:tc>
      </w:tr>
      <w:tr w14:paraId="413D923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4F19C1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3D93D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A8A8E7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AC676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1633B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(−0.065–0.042)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61D79B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171C6C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0.235 (−0.348–0.748)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1B0734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0.094 (−0.167–0.310)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350B90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(−0.080–0.065)</w:t>
            </w:r>
          </w:p>
        </w:tc>
      </w:tr>
      <w:tr w14:paraId="0EA2FAB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C96130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FD268C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EB2BC6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73AEF6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C4E5B4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(−0.049–0.030)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964B04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(0.000–0.002)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A57C80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0.199 (−0.328–0.451)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757B5B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0.021 (−0.115–0.147)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86637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0.121 (−0.168–0.136)</w:t>
            </w:r>
          </w:p>
        </w:tc>
      </w:tr>
      <w:tr w14:paraId="0269FA3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0225ED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2017</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A0CE08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494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2A835E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34 (6.9%)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B5FD4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392181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(−0.029–0.040)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D38CC5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(−0.001–0.001)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0176FB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0.018 (−0.233–0.286)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5FC9C5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(−0.116–0.135)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209C2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0.029 (−0.064–0.051)</w:t>
            </w:r>
          </w:p>
        </w:tc>
      </w:tr>
      <w:tr w14:paraId="2A4D983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487D2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4B4F8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CF4CC1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0721D9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3BCC8A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−0.012 (−0.062–0.035)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BAE16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(0.000–0.005)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169E23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(−0.549–0.556)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DF5004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−0.117 (−0.479–0.219)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90311D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(−0.068–0.024)</w:t>
            </w:r>
          </w:p>
        </w:tc>
      </w:tr>
      <w:tr w14:paraId="23F51762">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A5EA31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FF59F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E301D9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F888F0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15DA9A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(−0.044–0.042)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82A69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(0.000–0.004)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A3AD5D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(−0.578–0.553)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503428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−0.020 (−0.369–0.446)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ED3A32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0.009 (−0.034–0.048)</w:t>
            </w:r>
          </w:p>
        </w:tc>
      </w:tr>
      <w:tr w14:paraId="1522CC3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749B4C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BD130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0C38D0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46F12E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FB73CD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(−0.057–0.047)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A28893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(−0.001–0.005)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99A0E1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0.068 (−0.558–1.515)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E65E88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−0.046 (−0.489–0.395)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92B65D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(−0.023–0.064)</w:t>
            </w:r>
          </w:p>
        </w:tc>
      </w:tr>
      <w:tr w14:paraId="05B1468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038780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965922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A84BA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85D677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D9B19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(−0.061–0.040)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27DEAC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3B55C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−0.051 (−0.479–0.478)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560439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(−0.337–0.300)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C72EBD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(−0.044–0.053)</w:t>
            </w:r>
          </w:p>
        </w:tc>
      </w:tr>
      <w:tr w14:paraId="3D6B5B2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B893AF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B105E6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C422AC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2C70FF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C6571B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(−0.052–0.054)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622A3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511F7C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0.021 (−0.551–0.570)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0CA479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(−0.385–0.426)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71C561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(−0.032–0.037)</w:t>
            </w:r>
          </w:p>
        </w:tc>
      </w:tr>
      <w:tr w14:paraId="11C658A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1CA842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EC0DBA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EFCE34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7CBA1C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348D87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(−0.066–0.039)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211445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CB82F3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−0.039 (−0.565–0.537)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BBC60D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(−0.422–0.400)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D329CD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0.020 (−0.033–0.080)</w:t>
            </w:r>
          </w:p>
        </w:tc>
      </w:tr>
      <w:tr w14:paraId="1EA7997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80BE2E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1B1EC4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8040A9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0F19A2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50F6E7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(−0.031–0.053)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6D2013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(0.000–0.003)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9B83AA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(−0.436–0.403)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2DAC23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(−0.268–0.316)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E5800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(−0.024–0.025)</w:t>
            </w:r>
          </w:p>
        </w:tc>
      </w:tr>
      <w:tr w14:paraId="179A09F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E5160C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0A75FB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C5072A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82CE2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DD0D1A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(−0.051–0.029)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E2387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(0.000–0.002)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DD4410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−0.015 (−0.418–0.319)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7B8E3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0.021 (−0.191–0.280)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6D5A4B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0.029 (0.010–0.051)</w:t>
            </w:r>
          </w:p>
        </w:tc>
      </w:tr>
      <w:tr w14:paraId="410B016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C02DB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2018</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AE5422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621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DB98A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19 (3.1%)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1BA70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D804AB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(−0.026–0.032)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40466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(0.000–0.001)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8E64C8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0.084 (−0.281–0.345)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8458EE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0.098 (−0.061–0.315)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C2B976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(0.006–0.040)</w:t>
            </w:r>
          </w:p>
        </w:tc>
      </w:tr>
      <w:tr w14:paraId="0F40A4D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24634B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4D372A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979880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351274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CC1B2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−0.009 (−0.050–0.032)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D45916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(−0.001–0.005)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8B5B40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−0.190 (−0.452–0.654)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CD86E7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0.139 (−0.083–0.390)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8D844D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0.217 (0.062–0.490)</w:t>
            </w:r>
          </w:p>
        </w:tc>
      </w:tr>
      <w:tr w14:paraId="45F598E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F5B943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B35343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6DD401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B33FCA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DF3E9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(−0.042–0.029)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0CC105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4EEDA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−0.126 (−0.437–0.475)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487C09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0.071 (−0.140–0.280)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7D584D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0.057 (−0.113–0.230)</w:t>
            </w:r>
          </w:p>
        </w:tc>
      </w:tr>
      <w:tr w14:paraId="2663B70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3F7DBC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FA5D47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54A13F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6DB1BA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525777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(−0.052–0.044)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27B204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61A22B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−0.140 (−0.421–0.357)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6B65B5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0.068 (−0.104–0.224)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8A2FC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0.021 (−0.166–0.149)</w:t>
            </w:r>
          </w:p>
        </w:tc>
      </w:tr>
      <w:tr w14:paraId="02DB1F13">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4BDDCD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6D6470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F3C226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68DB56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CDB0F4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(−0.044–0.042)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E2B9F9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(−0.003–0.004)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3F3FB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−0.119 (−0.408–0.419)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92177E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0.070 (−0.128–0.286)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A49A99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0.068 (−0.132–0.217)</w:t>
            </w:r>
          </w:p>
        </w:tc>
      </w:tr>
      <w:tr w14:paraId="5BF7AAF0">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C7030E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DF34F8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A455F5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82D349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197F28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(−0.039–0.027)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97B052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B2721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−0.077 (−0.322–0.260)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7CF419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(−0.073–0.161)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03587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(−0.092–0.186)</w:t>
            </w:r>
          </w:p>
        </w:tc>
      </w:tr>
      <w:tr w14:paraId="6285ABB8">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346DF9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8AAACA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7AF1C0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E236EE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B72B64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(−0.044–0.022)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9323BF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13878A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−0.080 (−0.345–0.399)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10E30A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0.049 (−0.095–0.269)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0F22A9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0.058 (−0.088–0.288)</w:t>
            </w:r>
          </w:p>
        </w:tc>
      </w:tr>
      <w:tr w14:paraId="48A8075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AFBC53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0E1350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40BE62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688890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83B0C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(−0.030–0.035)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487007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(0.000–0.005)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B50C71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−0.139 (−0.406–0.533)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6F7789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0.112 (−0.078–0.347)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2D3608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0.196 (0.114–0.284)</w:t>
            </w:r>
          </w:p>
        </w:tc>
      </w:tr>
      <w:tr w14:paraId="317885A7">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BB3D90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B7BC01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CDD9A6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A655D2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6357D6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(−0.028–0.031)</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AB795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FD69EC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−0.063 (−0.370–0.322)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B6F81C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0.026 (−0.135–0.229)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8E2946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(−0.057–0.045)</w:t>
            </w:r>
          </w:p>
        </w:tc>
      </w:tr>
      <w:tr w14:paraId="5ACC299C">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89F549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2019</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4B4883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754</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FC058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80 (10.6%)</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3F323D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FDC296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(−0.017–0.024)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DEF314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(0.000–0.002)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131347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0.133 (−0.209–0.307)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B2881A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−0.013 (−0.131–0.065)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1D6CF0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0.143 (0.099–0.204)</w:t>
            </w:r>
          </w:p>
        </w:tc>
      </w:tr>
      <w:tr w14:paraId="042A99BE">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B2992E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687D2B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E5EC12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16B082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3C3B85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0.024 (−0.007–0.058)</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04B8AE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97DF1C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−0.102 (−0.516–0.341)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5327C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(−0.131–0.195)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580C3B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−0.110 (−0.234–0.084)</w:t>
            </w:r>
          </w:p>
        </w:tc>
      </w:tr>
      <w:tr w14:paraId="31A70D0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E59D98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E5FCBF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34FB3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768305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F2610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(−0.026–0.040)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73BA910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(−0.002–0.005)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D5C34A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−0.125 (−0.481–0.217)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330C2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0.039 (−0.111–0.206)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964069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−0.043 (−0.173–0.044)</w:t>
            </w:r>
          </w:p>
        </w:tc>
      </w:tr>
      <w:tr w14:paraId="3B4FA91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B9BF2D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66BA57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00978E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91CF4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2D2EDD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(−0.026–0.032)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014979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2FDF6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−0.141 (−0.591–0.283)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B853A0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0.042 (−0.109–0.345)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2AF6E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−0.048 (−0.212–0.074)</w:t>
            </w:r>
          </w:p>
        </w:tc>
      </w:tr>
      <w:tr w14:paraId="2E7BB63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A8FF45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F49D2C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E636F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4AB361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FEC2A4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(−0.028–0.033)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934401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ADF6C6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−0.110 (−0.518–0.247)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96CA8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0.042 (−0.122–0.241)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E87E84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−0.017 (−0.105–0.074)</w:t>
            </w:r>
          </w:p>
        </w:tc>
      </w:tr>
      <w:tr w14:paraId="5E82FDB6">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2CA3DA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F643A7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B5E21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6A443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77F03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(−0.020–0.031)</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12C2B1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(−0.003–0.004)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E0DB41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(−0.315–0.287)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1370F5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(−0.110–0.138)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EE672D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−0.028 (−0.132–0.106)</w:t>
            </w:r>
          </w:p>
        </w:tc>
      </w:tr>
      <w:tr w14:paraId="497B926E">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EE4C10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BA95EC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555263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55813C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807BBB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(−0.034–0.037)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ECE191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(−0.001–0.004)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11BFE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−0.108 (−0.470–0.288)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46B53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0.037 (−0.122–0.184)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CAC583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−0.026 (−0.144–0.196)</w:t>
            </w:r>
          </w:p>
        </w:tc>
      </w:tr>
      <w:tr w14:paraId="3ED4F3D3">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74F239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8B931E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D54C16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FC496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EE186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0.012 (−0.016–0.042)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80DCD6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(0.000–0.006)</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26E6AC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0.056 (−0.207–0.314)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D0FC36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−0.052 (−0.141–0.128)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8DE167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(−0.102–0.039)</w:t>
            </w:r>
          </w:p>
        </w:tc>
      </w:tr>
      <w:tr w14:paraId="182F4BB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1BCDD2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03C01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3DE9B5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D54935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6353DB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0.013 (−0.013–0.045)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6ADE7F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0AB75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(−0.227–0.258)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3C2430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(−0.111–0.094)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D541DA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(−0.070–0.021)</w:t>
            </w:r>
          </w:p>
        </w:tc>
      </w:tr>
      <w:tr w14:paraId="7AC4B65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F2B5A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2020</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AF385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588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EEBF3C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82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31B25A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541CDD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0.018 (−0.011–0.047)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352DDF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B8EFB8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0.053 (−0.198–0.308)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7C9A38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(−0.211–0.265)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716C7E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−0.288 (−0.372–−0.220)</w:t>
            </w:r>
          </w:p>
        </w:tc>
      </w:tr>
      <w:tr w14:paraId="094E41A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630D29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AC78A8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7A2E2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DA223D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2D1D18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(−0.004–0.044)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B881D6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(−0.005–0.002)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3494E1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−0.033 (−0.367–0.292)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799BD2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0.133 (−0.034–0.312)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508971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−0.177 (−0.281–−0.101)</w:t>
            </w:r>
          </w:p>
        </w:tc>
      </w:tr>
      <w:tr w14:paraId="5840E401">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8486B7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CB055D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FC84B4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FDD3F7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ACCB1A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(−0.009–0.046)</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77F3B7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(−0.005–0.002)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CD0BDB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0.035 (−0.281–0.353)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B34BEE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0.117 (−0.052–0.292)</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0B8DE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−0.114 (−0.207–0.003)</w:t>
            </w:r>
          </w:p>
        </w:tc>
      </w:tr>
      <w:tr w14:paraId="073EF1B1">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1D8ABC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B16132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7AEAEB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29E3CA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F2480C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(−0.018–0.030)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2063E2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(−0.004–0.003)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347D7F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−0.057 (−0.399–0.241)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D7DDC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0.047 (−0.113–0.198)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2940EA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−0.097 (−0.175–−0.037)</w:t>
            </w:r>
          </w:p>
        </w:tc>
      </w:tr>
      <w:tr w14:paraId="00C3A8FC">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3DDFF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2252AD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8DF668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C17B3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37E122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(−0.019–0.033)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346B67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09C94E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0.012 (−0.389–0.385)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FA0802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0.074 (−0.103–0.271)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854231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−0.084 (−0.194–0.028)</w:t>
            </w:r>
          </w:p>
        </w:tc>
      </w:tr>
      <w:tr w14:paraId="5099C022">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9E1CBF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4E119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A5C1FF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59A283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1B9A2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0.009 (−0.012–0.032)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DC9FDF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(−0.003–0.003)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D63BC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0.040 (−0.313–0.460)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E9A4FE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0.066 (−0.082–0.236)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1F3EFD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−0.055 (−0.167–0.051)</w:t>
            </w:r>
          </w:p>
        </w:tc>
      </w:tr>
      <w:tr w14:paraId="566B6CE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BADE04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2D5215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EEAD4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8893A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E3A13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(−0.012–0.030)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A8DBDD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E3F7D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0.026 (−0.292–0.434)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1B7A8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0.061 (−0.080–0.239)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385EF7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−0.064 (−0.165–0.017)</w:t>
            </w:r>
          </w:p>
        </w:tc>
      </w:tr>
      <w:tr w14:paraId="2032933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810FB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AB0BCD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2BD68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C371B6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019FD9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0.017 (−0.003–0.039)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A956B2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96D5F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0.206 (−0.079–0.480)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EC6CCE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0.214 (0.074–0.350)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B2CCB0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−0.112 (−0.184–−0.054)</w:t>
            </w:r>
          </w:p>
        </w:tc>
      </w:tr>
      <w:tr w14:paraId="6CFD60C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78A32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34721F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EA53B9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CA431A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CC209A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0.018 (−0.002–0.037)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213652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EFF72A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0.186 (−0.085–0.424)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DCF259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0.136 (0.000–0.257)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A40EA3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(−0.085–0.030)</w:t>
            </w:r>
          </w:p>
        </w:tc>
      </w:tr>
      <w:tr w14:paraId="2351F636">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B1B7B2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2021</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3D6FD21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641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9BC825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89 (13.9%)</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67FEAC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23056C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0.026 (0.004–0.050)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F9149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(−0.007–−0.001)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5D7429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−0.020 (−0.300–0.255)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EA8DE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0.348 (0.202–0.518)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1B9A74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−0.392 (−0.490–−0.257)</w:t>
            </w:r>
          </w:p>
        </w:tc>
      </w:tr>
      <w:tr w14:paraId="517E51FD">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47B50B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73E544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C30DDD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5CE52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9B582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0.015 (−0.019–0.050)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525922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(−0.008–−0.001)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B0743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−0.209 (−0.539–0.098)</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4C00C0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−0.056 (−0.154–0.156)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D96041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−0.379 (−0.509–−0.273)</w:t>
            </w:r>
          </w:p>
        </w:tc>
      </w:tr>
      <w:tr w14:paraId="36B765A2">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D13CB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B57AA9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D9C53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716D6E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38D1A8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(−0.025–0.040)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F1AB6C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(−0.007–0.000)</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08857C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−0.142 (−0.458–0.202)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91D00E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−0.024 (−0.142–0.145)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625033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−0.239 (−0.339–−0.149)</w:t>
            </w:r>
          </w:p>
        </w:tc>
      </w:tr>
      <w:tr w14:paraId="2CABC97C">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A16EC3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738033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D3E9EC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ED2EE6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889D14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(−0.030–0.032)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DAB5A0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18214B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−0.126 (−0.416–0.166)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C1DC3A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(−0.116–0.131)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440DFD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−0.160 (−0.289–−0.051)</w:t>
            </w:r>
          </w:p>
        </w:tc>
      </w:tr>
      <w:tr w14:paraId="5D062109">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109AAF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518F61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05AB63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478553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1EBBCD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(−0.038–0.032)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270CD8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(−0.004–0.002)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86DA3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−0.129 (−0.480–0.256)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666D0EC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0.012 (−0.140–0.166)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851E3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−0.131 (−0.267–−0.023)</w:t>
            </w:r>
          </w:p>
        </w:tc>
      </w:tr>
      <w:tr w14:paraId="2FEFBB6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C604EF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1143EE5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293084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37E244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3FD74B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(−0.036–0.029)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8955E1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(−0.003–0.003)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ABB401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−0.130 (−0.431–0.166)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A65240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(−0.112–0.156)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1A6B36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−0.082 (−0.236–0.087)</w:t>
            </w:r>
          </w:p>
        </w:tc>
      </w:tr>
      <w:tr w14:paraId="61C7D8B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DAAE1E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D7B4F6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DE0705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AF3D80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5FB12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(−0.024–0.027)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A9B55D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(−0.003–0.001)</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0348B3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−0.070 (−0.340–0.207)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0E8DCE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−0.010 (−0.109–0.107)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13EF91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−0.118 (−0.226–0.015)</w:t>
            </w:r>
          </w:p>
        </w:tc>
      </w:tr>
      <w:tr w14:paraId="3177D022">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5E8EB80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B5F0B2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BEA8D6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910E5E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88172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(0.001–0.064)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65B9CF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(−0.010–−0.002)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47F66D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−0.119 (−0.452–0.184)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BD8349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(−0.228–0.326)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722753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−0.520 (−0.663–−0.388)</w:t>
            </w:r>
          </w:p>
        </w:tc>
      </w:tr>
      <w:tr w14:paraId="172662BC">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7711FB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D75E2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5FEADC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17C42A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51D8DD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(−0.015–0.032)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131162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(−0.004–0.000)</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AA010E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−0.042 (−0.290–0.197)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221D02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−0.050 (−0.130–0.121)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98879E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−0.181 (−0.259–−0.114)</w:t>
            </w:r>
          </w:p>
        </w:tc>
      </w:tr>
      <w:tr w14:paraId="0D11DFD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52C2B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2022</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32FDC4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608</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06AB1F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85 (14.0%)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E72714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CACD10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0.029 (−0.003–0.063)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6BC9A7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−0.006 (−0.011–−0.003)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FFBBEB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−0.069 (−0.389–0.272)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81CCA4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0.066 (−0.233–0.399)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D62CD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−0.535 (−0.675–−0.394)</w:t>
            </w:r>
          </w:p>
        </w:tc>
      </w:tr>
      <w:tr w14:paraId="006145F6">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822221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FC2CB5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CE3698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467312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0981E98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0.038 (−0.013–0.094)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3F7414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(−0.002–0.008)</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45AA4C8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0.026 (−0.473–0.502)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7BC8F1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−0.142 (−0.356–0.088)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66ADD3A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0.279 (−0.189–0.342)</w:t>
            </w:r>
          </w:p>
        </w:tc>
      </w:tr>
      <w:tr w14:paraId="49F1C673">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C75671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0FAA21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6E73B9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C34AC3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4E64E3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0.030 (−0.014–0.075)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369E7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(−0.002–0.005)</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064601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−0.019 (−0.453–0.359)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87481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−0.099 (−0.291–0.091)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EC92B9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0.175 (−0.270–0.249)</w:t>
            </w:r>
          </w:p>
        </w:tc>
      </w:tr>
      <w:tr w14:paraId="0DFF95F6">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D13F64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834782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6833F5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B17A5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E00206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0.023 (−0.023–0.071)</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30CA21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(−0.003–0.004)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98620D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−0.024 (−0.516–0.475)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30C0B6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−0.075 (−0.301–0.166)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B055FF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0.121 (−0.234–0.186)</w:t>
            </w:r>
          </w:p>
        </w:tc>
      </w:tr>
      <w:tr w14:paraId="3B679B9E">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0F2ABF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31F94C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9EB77A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C316C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5446E9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0.018 (−0.025–0.066)</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208B4D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56EE59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(−0.443–0.391)</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09D466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−0.044 (−0.249–0.147)</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741BFD2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0.076 (−0.191–0.155)</w:t>
            </w:r>
          </w:p>
        </w:tc>
      </w:tr>
      <w:tr w14:paraId="01570738">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598C2B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29A4BA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952850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9EC866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7682658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0.016 (−0.027–0.070)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D1760A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(−0.002–0.003)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9A8EE5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(−0.445–0.437)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5997B37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−0.037 (−0.231–0.164)</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D2E719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0.063 (−0.164–0.130)</w:t>
            </w:r>
          </w:p>
        </w:tc>
      </w:tr>
      <w:tr w14:paraId="30368CB8">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322C86A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3D4980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10798F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DD8907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EC204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0.017 (−0.048–0.072)</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210EC6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(−0.003–0.004)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2C8B8BC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(−0.491–0.509)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815106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−0.028 (−0.250–0.206)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891CD8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0.047 (−0.166–0.136)</w:t>
            </w:r>
          </w:p>
        </w:tc>
      </w:tr>
      <w:tr w14:paraId="5BAA737F">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A4C6DD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0885B02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167DC4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3489E0B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E39E7B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0.054 (0.004–0.107)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2F25BE2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0.005 (−0.001–0.010)</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44EB23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0.059 (−0.406–0.502)</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27F28E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−0.205 (−0.405–0.066)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208DEF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0.369 (−0.074–0.414)</w:t>
            </w:r>
          </w:p>
        </w:tc>
      </w:tr>
      <w:tr w14:paraId="3802FD2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7B5286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4EDFB12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B6C5E2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722147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F4A6D5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0.037 (0.001–0.077)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D0CD33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(−0.003–0.002)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53E2EC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−0.191 (−0.560–0.149)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CDDF8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−0.183 (−0.339–0.080)</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3C611D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0.161 (−0.272–0.217)</w:t>
            </w:r>
          </w:p>
        </w:tc>
      </w:tr>
      <w:tr w14:paraId="765088C2">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C5A05C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2023</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6C5B01B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517</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48E4F2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47 (9.1%)</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7E97B58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3A3C7B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0.043 (−0.001–0.089)</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56F3D0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(−0.001–0.008)</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633FE85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−0.040 (−0.470–0.375)</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85E682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−0.234 (−0.416–0.146)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331D1CF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0.335 (−0.115–0.380)</w:t>
            </w:r>
          </w:p>
        </w:tc>
      </w:tr>
      <w:tr w14:paraId="6EF90295">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D9646B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36FD5D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3F8DE5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0FA7801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1 year</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5D72C84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0.035 (−0.025–0.093)</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893FA3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(−0.006–0.006)</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5B0EEE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−0.038 (−0.614–0.466)</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37DC19E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(−0.329–0.446)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564DD7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−0.114 (−0.425–0.260)</w:t>
            </w:r>
          </w:p>
        </w:tc>
      </w:tr>
      <w:tr w14:paraId="51C006F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3E09A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31C9EB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519DC318">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2777CF2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2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7A638F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0.022 (−0.032–0.084)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22B003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(−0.006–0.004)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7EBF08A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−0.057 (−0.545–0.420)</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606F8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−0.074 (−0.272–0.358)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15033B9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−0.185 (−0.335–0.202)</w:t>
            </w:r>
          </w:p>
        </w:tc>
      </w:tr>
      <w:tr w14:paraId="39120358">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7414AC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5B1477D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718E608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4D7B38F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4488198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0.013 (−0.035–0.061)</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66C1F27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(−0.004–0.004)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8463D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−0.055 (−0.517–0.413)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44597B9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−0.054 (−0.259–0.266)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4DDC821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−0.152 (−0.246–0.143)</w:t>
            </w:r>
          </w:p>
        </w:tc>
      </w:tr>
      <w:tr w14:paraId="48556BB4">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68133B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47946D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14C8BF9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DA676B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4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23074B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0.008 (−0.042–0.055)</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1B8CB35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(−0.004–0.003)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359DAF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0.004 (−0.555–0.529)</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0D94C97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(−0.251–0.279)</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9028ED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−0.133 (−0.236–0.134)</w:t>
            </w:r>
          </w:p>
        </w:tc>
      </w:tr>
      <w:tr w14:paraId="4E263779">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14CE4E5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E2A555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476C54A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8ADCDB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3D0ABA3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0.007 (−0.037–0.047)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4F11260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(−0.004–0.003)</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323781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−0.038 (−0.495–0.434)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1B4F152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−0.011 (−0.210–0.231)</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4DAA46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−0.100 (−0.196–0.108)</w:t>
            </w:r>
          </w:p>
        </w:tc>
      </w:tr>
      <w:tr w14:paraId="351ADB35">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2271DD0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7CD93FB9">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020E5AC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107E2EA5">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Half life weighted RF, 6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E8EC14F">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0.009 (−0.037–0.050)</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0AE3B49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0.000 (−0.004–0.004)</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5401EFD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−0.048 (−0.503–0.427)</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707640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(−0.225–0.226)</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093FB5E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−0.128 (−0.221–0.131)</w:t>
            </w:r>
          </w:p>
        </w:tc>
      </w:tr>
      <w:tr w14:paraId="1FBEA6BA">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0A6A941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DDBEF1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69E79CA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5186C81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3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1FF491F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0.045 (−0.013–0.107)</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5E799610">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−0.001 (−0.007–0.006)</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07BF631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0.018 (−0.652–0.424)</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2B57FB3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0.027 (−0.349–0.518)</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59D70CB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−0.032 (−0.503–0.317)</w:t>
            </w:r>
          </w:p>
        </w:tc>
      </w:tr>
      <w:tr w14:paraId="31552B6B">
        <w:tblPrEx>
          <w:tblCellMar>
            <w:top w:w="0" w:type="dxa"/>
            <w:left w:w="108" w:type="dxa"/>
            <w:bottom w:w="0" w:type="dxa"/>
            <w:right w:w="108" w:type="dxa"/>
          </w:tblCellMar>
        </w:tblPrEx>
        <w:trPr>
          <w:trHeight w:val="0" w:hRule="atLeast"/>
          <w:jc w:val="center"/>
        </w:trPr>
        <w:tc>
          <w:tcPr>
            <w:tcW w:w="303" w:type="pct"/>
            <w:tcBorders>
              <w:top w:val="nil"/>
              <w:left w:val="nil"/>
              <w:bottom w:val="nil"/>
              <w:right w:val="nil"/>
            </w:tcBorders>
            <w:shd w:val="clear" w:color="auto" w:fill="FFFFFF"/>
            <w:tcMar>
              <w:top w:w="0" w:type="dxa"/>
              <w:left w:w="0" w:type="dxa"/>
              <w:bottom w:w="0" w:type="dxa"/>
              <w:right w:w="0" w:type="dxa"/>
            </w:tcMar>
            <w:vAlign w:val="center"/>
          </w:tcPr>
          <w:p w14:paraId="4F09E19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nil"/>
              <w:right w:val="nil"/>
            </w:tcBorders>
            <w:shd w:val="clear" w:color="auto" w:fill="FFFFFF"/>
            <w:tcMar>
              <w:top w:w="0" w:type="dxa"/>
              <w:left w:w="0" w:type="dxa"/>
              <w:bottom w:w="0" w:type="dxa"/>
              <w:right w:w="0" w:type="dxa"/>
            </w:tcMar>
            <w:vAlign w:val="center"/>
          </w:tcPr>
          <w:p w14:paraId="26167DD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nil"/>
              <w:right w:val="nil"/>
            </w:tcBorders>
            <w:shd w:val="clear" w:color="auto" w:fill="FFFFFF"/>
            <w:tcMar>
              <w:top w:w="0" w:type="dxa"/>
              <w:left w:w="0" w:type="dxa"/>
              <w:bottom w:w="0" w:type="dxa"/>
              <w:right w:w="0" w:type="dxa"/>
            </w:tcMar>
            <w:vAlign w:val="center"/>
          </w:tcPr>
          <w:p w14:paraId="269331EA">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nil"/>
              <w:right w:val="nil"/>
            </w:tcBorders>
            <w:shd w:val="clear" w:color="auto" w:fill="FFFFFF"/>
            <w:tcMar>
              <w:top w:w="0" w:type="dxa"/>
              <w:left w:w="0" w:type="dxa"/>
              <w:bottom w:w="0" w:type="dxa"/>
              <w:right w:w="0" w:type="dxa"/>
            </w:tcMar>
            <w:vAlign w:val="center"/>
          </w:tcPr>
          <w:p w14:paraId="6E1E561C">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Rolling window RF, 5 years</w:t>
            </w:r>
          </w:p>
        </w:tc>
        <w:tc>
          <w:tcPr>
            <w:tcW w:w="552" w:type="pct"/>
            <w:tcBorders>
              <w:top w:val="nil"/>
              <w:left w:val="nil"/>
              <w:bottom w:val="nil"/>
              <w:right w:val="nil"/>
            </w:tcBorders>
            <w:shd w:val="clear" w:color="auto" w:fill="FFFFFF"/>
            <w:tcMar>
              <w:top w:w="0" w:type="dxa"/>
              <w:left w:w="0" w:type="dxa"/>
              <w:bottom w:w="0" w:type="dxa"/>
              <w:right w:w="0" w:type="dxa"/>
            </w:tcMar>
            <w:vAlign w:val="center"/>
          </w:tcPr>
          <w:p w14:paraId="66AF74A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0.052 (0.005–0.104)</w:t>
            </w:r>
          </w:p>
        </w:tc>
        <w:tc>
          <w:tcPr>
            <w:tcW w:w="585" w:type="pct"/>
            <w:tcBorders>
              <w:top w:val="nil"/>
              <w:left w:val="nil"/>
              <w:bottom w:val="nil"/>
              <w:right w:val="nil"/>
            </w:tcBorders>
            <w:shd w:val="clear" w:color="auto" w:fill="FFFFFF"/>
            <w:tcMar>
              <w:top w:w="0" w:type="dxa"/>
              <w:left w:w="0" w:type="dxa"/>
              <w:bottom w:w="0" w:type="dxa"/>
              <w:right w:w="0" w:type="dxa"/>
            </w:tcMar>
            <w:vAlign w:val="center"/>
          </w:tcPr>
          <w:p w14:paraId="37946C64">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−0.003 (−0.009–0.002)</w:t>
            </w:r>
          </w:p>
        </w:tc>
        <w:tc>
          <w:tcPr>
            <w:tcW w:w="609" w:type="pct"/>
            <w:tcBorders>
              <w:top w:val="nil"/>
              <w:left w:val="nil"/>
              <w:bottom w:val="nil"/>
              <w:right w:val="nil"/>
            </w:tcBorders>
            <w:shd w:val="clear" w:color="auto" w:fill="FFFFFF"/>
            <w:tcMar>
              <w:top w:w="0" w:type="dxa"/>
              <w:left w:w="0" w:type="dxa"/>
              <w:bottom w:w="0" w:type="dxa"/>
              <w:right w:w="0" w:type="dxa"/>
            </w:tcMar>
            <w:vAlign w:val="center"/>
          </w:tcPr>
          <w:p w14:paraId="13FD3516">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0.095 (−0.551–0.463)</w:t>
            </w:r>
          </w:p>
        </w:tc>
        <w:tc>
          <w:tcPr>
            <w:tcW w:w="748" w:type="pct"/>
            <w:tcBorders>
              <w:top w:val="nil"/>
              <w:left w:val="nil"/>
              <w:bottom w:val="nil"/>
              <w:right w:val="nil"/>
            </w:tcBorders>
            <w:shd w:val="clear" w:color="auto" w:fill="FFFFFF"/>
            <w:tcMar>
              <w:top w:w="0" w:type="dxa"/>
              <w:left w:w="0" w:type="dxa"/>
              <w:bottom w:w="0" w:type="dxa"/>
              <w:right w:w="0" w:type="dxa"/>
            </w:tcMar>
            <w:vAlign w:val="center"/>
          </w:tcPr>
          <w:p w14:paraId="7ED3849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0.118 (−0.385–0.595)</w:t>
            </w:r>
          </w:p>
        </w:tc>
        <w:tc>
          <w:tcPr>
            <w:tcW w:w="611" w:type="pct"/>
            <w:tcBorders>
              <w:top w:val="nil"/>
              <w:left w:val="nil"/>
              <w:bottom w:val="nil"/>
              <w:right w:val="nil"/>
            </w:tcBorders>
            <w:shd w:val="clear" w:color="auto" w:fill="FFFFFF"/>
            <w:tcMar>
              <w:top w:w="0" w:type="dxa"/>
              <w:left w:w="0" w:type="dxa"/>
              <w:bottom w:w="0" w:type="dxa"/>
              <w:right w:w="0" w:type="dxa"/>
            </w:tcMar>
            <w:vAlign w:val="center"/>
          </w:tcPr>
          <w:p w14:paraId="25D4D98E">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−0.088 (−0.443–0.271)</w:t>
            </w:r>
          </w:p>
        </w:tc>
      </w:tr>
      <w:tr w14:paraId="7D6C1D62">
        <w:tblPrEx>
          <w:tblCellMar>
            <w:top w:w="0" w:type="dxa"/>
            <w:left w:w="108" w:type="dxa"/>
            <w:bottom w:w="0" w:type="dxa"/>
            <w:right w:w="108" w:type="dxa"/>
          </w:tblCellMar>
        </w:tblPrEx>
        <w:trPr>
          <w:trHeight w:val="0" w:hRule="atLeast"/>
          <w:jc w:val="center"/>
        </w:trPr>
        <w:tc>
          <w:tcPr>
            <w:tcW w:w="30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0509C1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2024</w:t>
            </w:r>
          </w:p>
        </w:tc>
        <w:tc>
          <w:tcPr>
            <w:tcW w:w="412"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660B62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301</w:t>
            </w:r>
          </w:p>
        </w:tc>
        <w:tc>
          <w:tcPr>
            <w:tcW w:w="460"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44F207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36 (12.0%)</w:t>
            </w:r>
          </w:p>
        </w:tc>
        <w:tc>
          <w:tcPr>
            <w:tcW w:w="71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DA990A1">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Calendar year adjusted RF</w:t>
            </w:r>
          </w:p>
        </w:tc>
        <w:tc>
          <w:tcPr>
            <w:tcW w:w="552"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F9DC04D">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0.040 (−0.004–0.090)</w:t>
            </w:r>
          </w:p>
        </w:tc>
        <w:tc>
          <w:tcPr>
            <w:tcW w:w="585"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C9262A7">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−0.002 (−0.007–0.002)</w:t>
            </w:r>
          </w:p>
        </w:tc>
        <w:tc>
          <w:tcPr>
            <w:tcW w:w="60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9F79513">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0.208 (−0.519–0.613)</w:t>
            </w:r>
          </w:p>
        </w:tc>
        <w:tc>
          <w:tcPr>
            <w:tcW w:w="748"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DEEE85B">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0.157 (−0.376–0.661)</w:t>
            </w:r>
          </w:p>
        </w:tc>
        <w:tc>
          <w:tcPr>
            <w:tcW w:w="61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D98CDD2">
            <w:pPr>
              <w:pBdr>
                <w:top w:val="none" w:color="000000" w:sz="0" w:space="0"/>
                <w:left w:val="none" w:color="000000" w:sz="0" w:space="0"/>
                <w:bottom w:val="none" w:color="000000" w:sz="0" w:space="0"/>
                <w:right w:val="none" w:color="000000" w:sz="0" w:space="0"/>
              </w:pBdr>
              <w:spacing w:before="14" w:after="14" w:line="360" w:lineRule="auto"/>
              <w:ind w:left="14" w:leftChars="0" w:right="14" w:rightChars="0" w:firstLine="0" w:firstLineChars="0"/>
              <w:jc w:val="center"/>
              <w:rPr>
                <w:rFonts w:hint="default" w:ascii="Times New Roman" w:hAnsi="Times New Roman" w:eastAsia="Times New Roman" w:cs="Times New Roman"/>
                <w:b w:val="0"/>
                <w:i w:val="0"/>
                <w:strike w:val="0"/>
                <w:color w:val="000000"/>
                <w:sz w:val="15"/>
                <w:szCs w:val="15"/>
                <w:u w:val="none"/>
                <w:lang w:val="en-US" w:eastAsia="en-US" w:bidi="ar-SA"/>
              </w:rPr>
            </w:pPr>
            <w:r>
              <w:rPr>
                <w:rFonts w:hint="default" w:ascii="Times New Roman" w:hAnsi="Times New Roman" w:eastAsia="Times New Roman" w:cs="Times New Roman"/>
                <w:b w:val="0"/>
                <w:i w:val="0"/>
                <w:strike w:val="0"/>
                <w:color w:val="000000"/>
                <w:sz w:val="15"/>
                <w:szCs w:val="15"/>
                <w:u w:val="none"/>
              </w:rPr>
              <w:t>−0.111 (−0.415–0.252)</w:t>
            </w:r>
          </w:p>
        </w:tc>
      </w:tr>
    </w:tbl>
    <w:p w14:paraId="3D82E270">
      <w:pPr>
        <w:spacing w:line="360" w:lineRule="auto"/>
        <w:rPr>
          <w:rFonts w:ascii="Times New Roman" w:hAnsi="Times New Roman" w:eastAsia="Times New Roman" w:cs="Times New Roman"/>
          <w:color w:val="000000"/>
          <w:sz w:val="18"/>
          <w:szCs w:val="18"/>
        </w:rPr>
      </w:pPr>
      <w:r>
        <w:rPr>
          <w:rFonts w:hint="eastAsia" w:ascii="Times New Roman" w:hAnsi="Times New Roman" w:eastAsia="Times New Roman" w:cs="Times New Roman"/>
          <w:b w:val="0"/>
          <w:i w:val="0"/>
          <w:strike w:val="0"/>
          <w:color w:val="000000"/>
          <w:sz w:val="15"/>
          <w:szCs w:val="15"/>
          <w:u w:val="none"/>
        </w:rPr>
        <w:t>Point estimates for Delta AUC and Delta Brier were calculated as each time aware RF updating strategy minus the all history RF reference within the same target year. For calibration intercept, calibration slope, and O/E ratio, values represent the absolute deviation from the ideal value under the updating strategy minus the corresponding absolute deviation under all history RF. Ideal values were 0 for the calibration intercept and 1 for the calibration slope and O/E ratio. Positive Delta AUC indicates higher discrimination, whereas negative Delta Brier indicates lower prediction error. For the calibration deviation measures, negative values indicate that the updating strategy was closer to the ideal value than all history RF, whereas positive values indicate greater deviation. Confidence intervals for performance differences were derived using paired bootstrap resampling. Within each imputed target year cohort, the same bootstrap sample was used to evaluate each updating strategy and the all history RF reference. Differences were calculated within each bootstrap sample, and 95% confidence intervals were obtained from the 2.5th and 97.5th percentiles of the pooled bootstrap difference distribution across the 10 imputed datasets. Each imputed target year cohort was resampled 500 times. AUC, area under the receiver operating characteristic curve; Brier, Brier score; Cal Int, calibration intercept; Cal Slope, calibration slope; O/E, observed to expected ratio; RF, random forest.</w:t>
      </w:r>
      <w:r>
        <w:rPr>
          <w:rFonts w:ascii="Times New Roman" w:hAnsi="Times New Roman" w:eastAsia="Times New Roman" w:cs="Times New Roman"/>
          <w:color w:val="000000"/>
          <w:sz w:val="18"/>
          <w:szCs w:val="18"/>
        </w:rPr>
        <w:br w:type="page"/>
      </w:r>
    </w:p>
    <w:p w14:paraId="51BFA740">
      <w:pPr>
        <w:pBdr>
          <w:top w:val="none" w:color="000000" w:sz="0" w:space="0"/>
          <w:left w:val="none" w:color="000000" w:sz="0" w:space="0"/>
          <w:bottom w:val="none" w:color="000000" w:sz="0" w:space="0"/>
          <w:right w:val="none" w:color="000000" w:sz="0" w:space="0"/>
        </w:pBdr>
        <w:spacing w:before="0" w:after="40" w:line="240" w:lineRule="auto"/>
        <w:ind w:left="0" w:right="0" w:firstLine="0" w:firstLineChars="0"/>
        <w:jc w:val="center"/>
      </w:pPr>
      <w:r>
        <w:rPr>
          <w:rFonts w:ascii="Times New Roman" w:hAnsi="Times New Roman" w:eastAsia="Times New Roman" w:cs="Times New Roman"/>
          <w:b/>
          <w:i w:val="0"/>
          <w:strike w:val="0"/>
          <w:color w:val="000000"/>
          <w:sz w:val="18"/>
          <w:szCs w:val="18"/>
          <w:u w:val="none"/>
        </w:rPr>
        <w:t xml:space="preserve">Table S8. Paired DeLong comparisons between time aware RF updating strategies and the all history RF.</w:t>
      </w:r>
    </w:p>
    <w:tbl>
      <w:tblPr>
        <w:tblStyle w:val="10"/>
        <w:tblpPr w:leftFromText="180" w:rightFromText="180" w:vertAnchor="text" w:horzAnchor="page" w:tblpX="493" w:tblpY="234"/>
        <w:tblOverlap w:val="never"/>
        <w:tblW w:w="4999" w:type="pct"/>
        <w:tblInd w:w="0" w:type="dxa"/>
        <w:tblLayout w:type="autofit"/>
        <w:tblCellMar>
          <w:top w:w="0" w:type="dxa"/>
          <w:left w:w="108" w:type="dxa"/>
          <w:bottom w:w="0" w:type="dxa"/>
          <w:right w:w="108" w:type="dxa"/>
        </w:tblCellMar>
      </w:tblPr>
      <w:tblGrid>
        <w:gridCol w:w="8228"/>
        <w:gridCol w:w="7311"/>
      </w:tblGrid>
      <w:tr w14:paraId="1FA35639">
        <w:tblPrEx>
          <w:tblCellMar>
            <w:top w:w="0" w:type="dxa"/>
            <w:left w:w="108" w:type="dxa"/>
            <w:bottom w:w="0" w:type="dxa"/>
            <w:right w:w="108" w:type="dxa"/>
          </w:tblCellMar>
        </w:tblPrEx>
        <w:trPr>
          <w:trHeight w:val="0" w:hRule="atLeast"/>
          <w:tblHeader/>
        </w:trPr>
        <w:tc>
          <w:tcPr>
            <w:tcW w:w="264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F7B50CD">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Strategy</w:t>
            </w:r>
          </w:p>
        </w:tc>
        <w:tc>
          <w:tcPr>
            <w:tcW w:w="2352"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E56989E">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 xml:space="preserve">DeLong </w:t>
            </w:r>
            <w:r>
              <w:rPr>
                <w:rFonts w:ascii="Times New Roman" w:hAnsi="Times New Roman" w:eastAsia="Times New Roman" w:cs="Times New Roman"/>
                <w:b/>
                <w:i/>
                <w:iCs/>
                <w:strike w:val="0"/>
                <w:color w:val="000000"/>
                <w:sz w:val="15"/>
                <w:szCs w:val="15"/>
                <w:u w:val="none"/>
              </w:rPr>
              <w:t>P</w:t>
            </w:r>
            <w:r>
              <w:rPr>
                <w:rFonts w:ascii="Times New Roman" w:hAnsi="Times New Roman" w:eastAsia="Times New Roman" w:cs="Times New Roman"/>
                <w:b/>
                <w:i w:val="0"/>
                <w:strike w:val="0"/>
                <w:color w:val="000000"/>
                <w:sz w:val="15"/>
                <w:szCs w:val="15"/>
                <w:u w:val="none"/>
              </w:rPr>
              <w:t xml:space="preserve"> value, median (IQR)</w:t>
            </w:r>
          </w:p>
        </w:tc>
      </w:tr>
      <w:tr w14:paraId="285F35D9">
        <w:tblPrEx>
          <w:tblCellMar>
            <w:top w:w="0" w:type="dxa"/>
            <w:left w:w="108" w:type="dxa"/>
            <w:bottom w:w="0" w:type="dxa"/>
            <w:right w:w="108" w:type="dxa"/>
          </w:tblCellMar>
        </w:tblPrEx>
        <w:trPr>
          <w:trHeight w:val="0" w:hRule="atLeast"/>
        </w:trPr>
        <w:tc>
          <w:tcPr>
            <w:tcW w:w="264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6E83044">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2352"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8B8A87A">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0.060 (0.019–0.126)</w:t>
            </w:r>
          </w:p>
        </w:tc>
      </w:tr>
      <w:tr w14:paraId="41B47683">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432CB05C">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7BFDB832">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0.191 (0.055–0.383)</w:t>
            </w:r>
          </w:p>
        </w:tc>
      </w:tr>
      <w:tr w14:paraId="0FC40AB2">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168278B7">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1441BD7A">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0.657 (0.390–0.844)</w:t>
            </w:r>
          </w:p>
        </w:tc>
      </w:tr>
      <w:tr w14:paraId="23A60C2A">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2106F8C7">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347A6B7B">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0.365 (0.052–0.511)</w:t>
            </w:r>
          </w:p>
        </w:tc>
      </w:tr>
      <w:tr w14:paraId="22361415">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6147C6B0">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52E9E895">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0.496 (0.317–0.721)</w:t>
            </w:r>
          </w:p>
        </w:tc>
      </w:tr>
      <w:tr w14:paraId="160E9C7A">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42D8E542">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611B65F5">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0.566 (0.243–0.735)</w:t>
            </w:r>
          </w:p>
        </w:tc>
      </w:tr>
      <w:tr w14:paraId="233284BE">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57D32A42">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09682C77">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 (0.003–0.013)</w:t>
            </w:r>
          </w:p>
        </w:tc>
      </w:tr>
      <w:tr w14:paraId="15BDA75E">
        <w:tblPrEx>
          <w:tblCellMar>
            <w:top w:w="0" w:type="dxa"/>
            <w:left w:w="108" w:type="dxa"/>
            <w:bottom w:w="0" w:type="dxa"/>
            <w:right w:w="108" w:type="dxa"/>
          </w:tblCellMar>
        </w:tblPrEx>
        <w:trPr>
          <w:trHeight w:val="0" w:hRule="atLeast"/>
        </w:trPr>
        <w:tc>
          <w:tcPr>
            <w:tcW w:w="2647" w:type="pct"/>
            <w:tcBorders>
              <w:top w:val="nil"/>
              <w:left w:val="nil"/>
              <w:bottom w:val="nil"/>
              <w:right w:val="nil"/>
            </w:tcBorders>
            <w:shd w:val="clear" w:color="auto" w:fill="FFFFFF"/>
            <w:tcMar>
              <w:top w:w="0" w:type="dxa"/>
              <w:left w:w="0" w:type="dxa"/>
              <w:bottom w:w="0" w:type="dxa"/>
              <w:right w:w="0" w:type="dxa"/>
            </w:tcMar>
            <w:vAlign w:val="center"/>
          </w:tcPr>
          <w:p w14:paraId="4CAC7E8B">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2352" w:type="pct"/>
            <w:tcBorders>
              <w:top w:val="nil"/>
              <w:left w:val="nil"/>
              <w:bottom w:val="nil"/>
              <w:right w:val="nil"/>
            </w:tcBorders>
            <w:shd w:val="clear" w:color="auto" w:fill="FFFFFF"/>
            <w:tcMar>
              <w:top w:w="0" w:type="dxa"/>
              <w:left w:w="0" w:type="dxa"/>
              <w:bottom w:w="0" w:type="dxa"/>
              <w:right w:w="0" w:type="dxa"/>
            </w:tcMar>
            <w:vAlign w:val="center"/>
          </w:tcPr>
          <w:p w14:paraId="06F098C5">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0.057 (0.028–0.102)</w:t>
            </w:r>
          </w:p>
        </w:tc>
      </w:tr>
      <w:tr w14:paraId="19CEEB3F">
        <w:tblPrEx>
          <w:tblCellMar>
            <w:top w:w="0" w:type="dxa"/>
            <w:left w:w="108" w:type="dxa"/>
            <w:bottom w:w="0" w:type="dxa"/>
            <w:right w:w="108" w:type="dxa"/>
          </w:tblCellMar>
        </w:tblPrEx>
        <w:trPr>
          <w:trHeight w:val="0" w:hRule="atLeast"/>
        </w:trPr>
        <w:tc>
          <w:tcPr>
            <w:tcW w:w="264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8A11154">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2352"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34D7F3D">
            <w:pPr>
              <w:pBdr>
                <w:top w:val="none" w:color="000000" w:sz="0" w:space="0"/>
                <w:left w:val="none" w:color="000000" w:sz="0" w:space="0"/>
                <w:bottom w:val="none" w:color="000000" w:sz="0" w:space="0"/>
                <w:right w:val="none" w:color="000000" w:sz="0" w:space="0"/>
              </w:pBdr>
              <w:spacing w:before="30" w:after="30" w:line="360" w:lineRule="auto"/>
              <w:ind w:left="30" w:right="30" w:firstLine="0" w:firstLineChars="0"/>
              <w:jc w:val="center"/>
              <w:rPr>
                <w:rFonts w:ascii="Times New Roman" w:hAnsi="Times New Roman" w:eastAsia="Times New Roman" w:cs="Times New Roman"/>
                <w:b w:val="0"/>
                <w:i w:val="0"/>
                <w:strike w:val="0"/>
                <w:color w:val="000000"/>
                <w:sz w:val="15"/>
                <w:szCs w:val="15"/>
                <w:u w:val="none"/>
              </w:rPr>
            </w:pPr>
            <w:r>
              <w:rPr>
                <w:rFonts w:hint="eastAsia" w:ascii="Times New Roman" w:hAnsi="Times New Roman" w:eastAsia="Times New Roman" w:cs="Times New Roman"/>
                <w:b w:val="0"/>
                <w:i w:val="0"/>
                <w:strike w:val="0"/>
                <w:color w:val="000000"/>
                <w:sz w:val="15"/>
                <w:szCs w:val="15"/>
                <w:u w:val="none"/>
              </w:rPr>
              <w:t>&lt;0.001 (&lt;0.001–&lt;0.001)</w:t>
            </w:r>
          </w:p>
        </w:tc>
      </w:tr>
    </w:tbl>
    <w:p w14:paraId="4FB86289">
      <w:pPr>
        <w:pBdr>
          <w:top w:val="none" w:color="000000" w:sz="0" w:space="0"/>
          <w:left w:val="none" w:color="000000" w:sz="0" w:space="0"/>
          <w:bottom w:val="none" w:color="000000" w:sz="0" w:space="0"/>
          <w:right w:val="none" w:color="000000" w:sz="0" w:space="0"/>
        </w:pBdr>
        <w:spacing w:before="40" w:after="40" w:line="240" w:lineRule="auto"/>
        <w:ind w:left="0" w:right="0" w:firstLine="0" w:firstLineChars="0"/>
        <w:jc w:val="center"/>
      </w:pPr>
      <w:r>
        <w:rPr>
          <w:rFonts w:ascii="Times New Roman" w:hAnsi="Times New Roman" w:eastAsia="Times New Roman" w:cs="Times New Roman"/>
          <w:b/>
          <w:i w:val="0"/>
          <w:strike w:val="0"/>
          <w:color w:val="000000"/>
          <w:sz w:val="17"/>
          <w:szCs w:val="17"/>
          <w:u w:val="none"/>
        </w:rPr>
        <w:t xml:space="preserve">Panel A. Descriptive summary of paired DeLong </w:t>
      </w:r>
      <w:r>
        <w:rPr>
          <w:rFonts w:ascii="Times New Roman" w:hAnsi="Times New Roman" w:eastAsia="Times New Roman" w:cs="Times New Roman"/>
          <w:b/>
          <w:i/>
          <w:iCs/>
          <w:strike w:val="0"/>
          <w:color w:val="000000"/>
          <w:sz w:val="17"/>
          <w:szCs w:val="17"/>
          <w:u w:val="none"/>
        </w:rPr>
        <w:t>P</w:t>
      </w:r>
      <w:r>
        <w:rPr>
          <w:rFonts w:ascii="Times New Roman" w:hAnsi="Times New Roman" w:eastAsia="Times New Roman" w:cs="Times New Roman"/>
          <w:b/>
          <w:i w:val="0"/>
          <w:strike w:val="0"/>
          <w:color w:val="000000"/>
          <w:sz w:val="17"/>
          <w:szCs w:val="17"/>
          <w:u w:val="none"/>
        </w:rPr>
        <w:t xml:space="preserve"> values across imputations.</w:t>
      </w:r>
    </w:p>
    <w:p w14:paraId="7E55C794">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pPr>
      <w:r>
        <w:rPr>
          <w:rFonts w:ascii="Times New Roman" w:hAnsi="Times New Roman" w:eastAsia="Times New Roman" w:cs="Times New Roman"/>
          <w:b/>
          <w:i w:val="0"/>
          <w:strike w:val="0"/>
          <w:color w:val="000000"/>
          <w:sz w:val="17"/>
          <w:szCs w:val="17"/>
          <w:u w:val="none"/>
        </w:rPr>
        <w:t>Panel B. Paired DeLong tests by imputed dataset.</w:t>
      </w:r>
    </w:p>
    <w:tbl>
      <w:tblPr>
        <w:tblStyle w:val="10"/>
        <w:tblW w:w="4999" w:type="pct"/>
        <w:jc w:val="center"/>
        <w:tblLayout w:type="autofit"/>
        <w:tblCellMar>
          <w:top w:w="0" w:type="dxa"/>
          <w:left w:w="108" w:type="dxa"/>
          <w:bottom w:w="0" w:type="dxa"/>
          <w:right w:w="108" w:type="dxa"/>
        </w:tblCellMar>
      </w:tblPr>
      <w:tblGrid>
        <w:gridCol w:w="9042"/>
        <w:gridCol w:w="2683"/>
        <w:gridCol w:w="3814"/>
      </w:tblGrid>
      <w:tr w14:paraId="66957431">
        <w:tblPrEx>
          <w:tblCellMar>
            <w:top w:w="0" w:type="dxa"/>
            <w:left w:w="108" w:type="dxa"/>
            <w:bottom w:w="0" w:type="dxa"/>
            <w:right w:w="108" w:type="dxa"/>
          </w:tblCellMar>
        </w:tblPrEx>
        <w:trPr>
          <w:trHeight w:val="0" w:hRule="atLeast"/>
          <w:tblHeader/>
          <w:jc w:val="center"/>
        </w:trPr>
        <w:tc>
          <w:tcPr>
            <w:tcW w:w="290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4E9A30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Strategy</w:t>
            </w:r>
          </w:p>
        </w:tc>
        <w:tc>
          <w:tcPr>
            <w:tcW w:w="86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ADD468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Imputation</w:t>
            </w:r>
          </w:p>
        </w:tc>
        <w:tc>
          <w:tcPr>
            <w:tcW w:w="122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034C0F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 xml:space="preserve">DeLong </w:t>
            </w:r>
            <w:r>
              <w:rPr>
                <w:rFonts w:ascii="Times New Roman" w:hAnsi="Times New Roman" w:eastAsia="Times New Roman" w:cs="Times New Roman"/>
                <w:b/>
                <w:i/>
                <w:iCs/>
                <w:strike w:val="0"/>
                <w:color w:val="000000"/>
                <w:sz w:val="15"/>
                <w:szCs w:val="15"/>
                <w:u w:val="none"/>
              </w:rPr>
              <w:t>P</w:t>
            </w:r>
            <w:r>
              <w:rPr>
                <w:rFonts w:ascii="Times New Roman" w:hAnsi="Times New Roman" w:eastAsia="Times New Roman" w:cs="Times New Roman"/>
                <w:b/>
                <w:i w:val="0"/>
                <w:strike w:val="0"/>
                <w:color w:val="000000"/>
                <w:sz w:val="15"/>
                <w:szCs w:val="15"/>
                <w:u w:val="none"/>
              </w:rPr>
              <w:t xml:space="preserve"> value</w:t>
            </w:r>
          </w:p>
        </w:tc>
      </w:tr>
      <w:tr w14:paraId="2C466287">
        <w:tblPrEx>
          <w:tblCellMar>
            <w:top w:w="0" w:type="dxa"/>
            <w:left w:w="108" w:type="dxa"/>
            <w:bottom w:w="0" w:type="dxa"/>
            <w:right w:w="108" w:type="dxa"/>
          </w:tblCellMar>
        </w:tblPrEx>
        <w:trPr>
          <w:trHeight w:val="0" w:hRule="atLeast"/>
          <w:jc w:val="center"/>
        </w:trPr>
        <w:tc>
          <w:tcPr>
            <w:tcW w:w="2909"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1E978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D9C5F7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B16771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0.013</w:t>
            </w:r>
          </w:p>
        </w:tc>
      </w:tr>
      <w:tr w14:paraId="531FE32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97682A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877E20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AA6FBD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0.149</w:t>
            </w:r>
          </w:p>
        </w:tc>
      </w:tr>
      <w:tr w14:paraId="25A3EBE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8B5BE8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0789A9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66383C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0.069</w:t>
            </w:r>
          </w:p>
        </w:tc>
      </w:tr>
      <w:tr w14:paraId="1B2511D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41B711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5824E7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5811AC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0.035</w:t>
            </w:r>
          </w:p>
        </w:tc>
      </w:tr>
      <w:tr w14:paraId="6C3D5BC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C3E027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E1215D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A7EFD9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0.014</w:t>
            </w:r>
          </w:p>
        </w:tc>
      </w:tr>
      <w:tr w14:paraId="1F9A1E6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E985CE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4F4E71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AC6D8C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67156CB1">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DF4E63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C5AB40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5BC1A8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0.051</w:t>
            </w:r>
          </w:p>
        </w:tc>
      </w:tr>
      <w:tr w14:paraId="1A1791D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087F7B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3EF422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9C11E4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0.170</w:t>
            </w:r>
          </w:p>
        </w:tc>
      </w:tr>
      <w:tr w14:paraId="37511999">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3BEA30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BE53B1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EFA5E6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0.133</w:t>
            </w:r>
          </w:p>
        </w:tc>
      </w:tr>
      <w:tr w14:paraId="2699FEDC">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14CA26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1 year</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D0ED66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05783C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0.105</w:t>
            </w:r>
          </w:p>
        </w:tc>
      </w:tr>
      <w:tr w14:paraId="5CB4F76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E40766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36653A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97A7CA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0.045</w:t>
            </w:r>
          </w:p>
        </w:tc>
      </w:tr>
      <w:tr w14:paraId="24F57CF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4874B6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D367C1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336317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0.044</w:t>
            </w:r>
          </w:p>
        </w:tc>
      </w:tr>
      <w:tr w14:paraId="0A9E567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91F83F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299054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176B73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0.594</w:t>
            </w:r>
          </w:p>
        </w:tc>
      </w:tr>
      <w:tr w14:paraId="670522B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0A9549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250EFE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F6B50D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0.685</w:t>
            </w:r>
          </w:p>
        </w:tc>
      </w:tr>
      <w:tr w14:paraId="66B1951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53EA79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D9AA0B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E95BA4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0.388</w:t>
            </w:r>
          </w:p>
        </w:tc>
      </w:tr>
      <w:tr w14:paraId="0121D78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188C5D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441EA0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9B4721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0.368</w:t>
            </w:r>
          </w:p>
        </w:tc>
      </w:tr>
      <w:tr w14:paraId="7AE93F4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05E73A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010B4F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7D6CF5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489A5645">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EB4232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6130E2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68FC9E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0.137</w:t>
            </w:r>
          </w:p>
        </w:tc>
      </w:tr>
      <w:tr w14:paraId="74F1C17C">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FF84A1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AB0297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270FD0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0.246</w:t>
            </w:r>
          </w:p>
        </w:tc>
      </w:tr>
      <w:tr w14:paraId="0233B98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93DB76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2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198649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BB9039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0.086</w:t>
            </w:r>
          </w:p>
        </w:tc>
      </w:tr>
      <w:tr w14:paraId="62BBE0EC">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130135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90492A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DD90FE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0.405</w:t>
            </w:r>
          </w:p>
        </w:tc>
      </w:tr>
      <w:tr w14:paraId="2612AD7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07E713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D61B19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3D56CF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0.972</w:t>
            </w:r>
          </w:p>
        </w:tc>
      </w:tr>
      <w:tr w14:paraId="5F5B7F9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C3E112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CDE361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F8E349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0.572</w:t>
            </w:r>
          </w:p>
        </w:tc>
      </w:tr>
      <w:tr w14:paraId="676CB50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A472D1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D58D9E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EDD5CD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0.861</w:t>
            </w:r>
          </w:p>
        </w:tc>
      </w:tr>
      <w:tr w14:paraId="5600049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3B2182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BFB891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F3016B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0.791</w:t>
            </w:r>
          </w:p>
        </w:tc>
      </w:tr>
      <w:tr w14:paraId="0CF9F5FC">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49C7C6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CBEBBF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67038A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0.332</w:t>
            </w:r>
          </w:p>
        </w:tc>
      </w:tr>
      <w:tr w14:paraId="5A26EFE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1F1C17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37F3D0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688D18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0.131</w:t>
            </w:r>
          </w:p>
        </w:tc>
      </w:tr>
      <w:tr w14:paraId="049F1E6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5E5707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AF476C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4B5399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0.868</w:t>
            </w:r>
          </w:p>
        </w:tc>
      </w:tr>
      <w:tr w14:paraId="1524A75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E59789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11396D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5819C3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0.385</w:t>
            </w:r>
          </w:p>
        </w:tc>
      </w:tr>
      <w:tr w14:paraId="4CBD940F">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3D75C5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8F3D56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8BC8B7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0.742</w:t>
            </w:r>
          </w:p>
        </w:tc>
      </w:tr>
      <w:tr w14:paraId="409AAEB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D0B851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E3D780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760757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0.897</w:t>
            </w:r>
          </w:p>
        </w:tc>
      </w:tr>
      <w:tr w14:paraId="2EBC34BF">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5745E6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4936EA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28B82F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0.511</w:t>
            </w:r>
          </w:p>
        </w:tc>
      </w:tr>
      <w:tr w14:paraId="41A9343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84CBC2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A6E8EF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463FC1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0.429</w:t>
            </w:r>
          </w:p>
        </w:tc>
      </w:tr>
      <w:tr w14:paraId="01237DC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41AD19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4AA071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E2B871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0.037</w:t>
            </w:r>
          </w:p>
        </w:tc>
      </w:tr>
      <w:tr w14:paraId="24EF442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9E17A3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39E50A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AEDB09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0.511</w:t>
            </w:r>
          </w:p>
        </w:tc>
      </w:tr>
      <w:tr w14:paraId="7647393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6AA250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94235E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D6D13F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0.301</w:t>
            </w:r>
          </w:p>
        </w:tc>
      </w:tr>
      <w:tr w14:paraId="1AA72B4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9001D1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450236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DB2828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p>
        </w:tc>
      </w:tr>
      <w:tr w14:paraId="55271B10">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E73F00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5EA50A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E54779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0.635</w:t>
            </w:r>
          </w:p>
        </w:tc>
      </w:tr>
      <w:tr w14:paraId="535E470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AD168D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E929E8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907F88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0.062</w:t>
            </w:r>
          </w:p>
        </w:tc>
      </w:tr>
      <w:tr w14:paraId="3A99D717">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22E348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4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FE9C36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E9536C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0.049</w:t>
            </w:r>
          </w:p>
        </w:tc>
      </w:tr>
      <w:tr w14:paraId="154C56E5">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5F3C9FB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D68B08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4E7593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0.954</w:t>
            </w:r>
          </w:p>
        </w:tc>
      </w:tr>
      <w:tr w14:paraId="754DAA4A">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A92B3D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7D7D96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5F0236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0.743</w:t>
            </w:r>
          </w:p>
        </w:tc>
      </w:tr>
      <w:tr w14:paraId="25F88E19">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0DF65E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5CAA8C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61EADE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0.656</w:t>
            </w:r>
          </w:p>
        </w:tc>
      </w:tr>
      <w:tr w14:paraId="346D0205">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44C7D1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89DC51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2061B8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0.863</w:t>
            </w:r>
          </w:p>
        </w:tc>
      </w:tr>
      <w:tr w14:paraId="547A547F">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5E8299F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5BF241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2F7524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0.404</w:t>
            </w:r>
          </w:p>
        </w:tc>
      </w:tr>
      <w:tr w14:paraId="4416F155">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13B3DD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30D336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AE94F8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0.377</w:t>
            </w:r>
          </w:p>
        </w:tc>
      </w:tr>
      <w:tr w14:paraId="2B43BFF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A25EAA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BB831A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3BD3B8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p>
        </w:tc>
      </w:tr>
      <w:tr w14:paraId="7B251C50">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C2DBF2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6F013F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303525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0.589</w:t>
            </w:r>
          </w:p>
        </w:tc>
      </w:tr>
      <w:tr w14:paraId="0164272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441841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432C7A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487251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0.225</w:t>
            </w:r>
          </w:p>
        </w:tc>
      </w:tr>
      <w:tr w14:paraId="32806B5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DBCDD6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C093CC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B7008C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0.297</w:t>
            </w:r>
          </w:p>
        </w:tc>
      </w:tr>
      <w:tr w14:paraId="0C68BA0A">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A189B4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A280C4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4AAE1B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0.197</w:t>
            </w:r>
          </w:p>
        </w:tc>
      </w:tr>
      <w:tr w14:paraId="4BA5358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596BCFE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8E859A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6896CD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0.752</w:t>
            </w:r>
          </w:p>
        </w:tc>
      </w:tr>
      <w:tr w14:paraId="0D421A0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186223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216093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404BDF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0.128</w:t>
            </w:r>
          </w:p>
        </w:tc>
      </w:tr>
      <w:tr w14:paraId="50C334CB">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E85DD8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F84E0C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68176F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0.538</w:t>
            </w:r>
          </w:p>
        </w:tc>
      </w:tr>
      <w:tr w14:paraId="5288484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F36C71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230A9D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9246F3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0.682</w:t>
            </w:r>
          </w:p>
        </w:tc>
      </w:tr>
      <w:tr w14:paraId="409A0BE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0FC44E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3E75A3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7EAB71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0.837</w:t>
            </w:r>
          </w:p>
        </w:tc>
      </w:tr>
      <w:tr w14:paraId="4596AFC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1594C8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D44281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740AFB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0.595</w:t>
            </w:r>
          </w:p>
        </w:tc>
      </w:tr>
      <w:tr w14:paraId="10E7BF20">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170AB7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2820AA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8B8FC2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0.175</w:t>
            </w:r>
          </w:p>
        </w:tc>
      </w:tr>
      <w:tr w14:paraId="2C0AC4C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3FA9D3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A60CE3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C30D7C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0.380</w:t>
            </w:r>
          </w:p>
        </w:tc>
      </w:tr>
      <w:tr w14:paraId="476116F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64A2B6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Half life weighted RF, 6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BD16C7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522236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0.836</w:t>
            </w:r>
          </w:p>
        </w:tc>
      </w:tr>
      <w:tr w14:paraId="32676E45">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062170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B7D2B0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D6DC89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0.011</w:t>
            </w:r>
          </w:p>
        </w:tc>
      </w:tr>
      <w:tr w14:paraId="106D819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5F584D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B0922C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47A70C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p>
        </w:tc>
      </w:tr>
      <w:tr w14:paraId="734C035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194CF0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D2C0CD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197877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0.081</w:t>
            </w:r>
          </w:p>
        </w:tc>
      </w:tr>
      <w:tr w14:paraId="09B9129B">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91FA2C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6AD776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624AD6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0.013</w:t>
            </w:r>
          </w:p>
        </w:tc>
      </w:tr>
      <w:tr w14:paraId="64129D6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D3F1FC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9A9A48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718D5E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0.006</w:t>
            </w:r>
          </w:p>
        </w:tc>
      </w:tr>
      <w:tr w14:paraId="1C7CD2F2">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030F43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E34CC1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EA93CD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p>
        </w:tc>
      </w:tr>
      <w:tr w14:paraId="1A81DBD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6A2335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BB3293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F118DF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06DFC60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7C3350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5660DA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306CE3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p>
        </w:tc>
      </w:tr>
      <w:tr w14:paraId="7188F7A6">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19CDBF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53FCD9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88DE5C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0.049</w:t>
            </w:r>
          </w:p>
        </w:tc>
      </w:tr>
      <w:tr w14:paraId="5024EFB3">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A0F798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3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DA9553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6629AB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p>
        </w:tc>
      </w:tr>
      <w:tr w14:paraId="1CECE6F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9A4EB8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9C3C530">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0D403E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0.098</w:t>
            </w:r>
          </w:p>
        </w:tc>
      </w:tr>
      <w:tr w14:paraId="2E327A94">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5F0408B">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012C544">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2AEE43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0.033</w:t>
            </w:r>
          </w:p>
        </w:tc>
      </w:tr>
      <w:tr w14:paraId="4A2EAF09">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55F9B0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EF2958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E0C30E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0.104</w:t>
            </w:r>
          </w:p>
        </w:tc>
      </w:tr>
      <w:tr w14:paraId="2C0A2CC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BB2CC0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75E6CE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AA69A6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0.026</w:t>
            </w:r>
          </w:p>
        </w:tc>
      </w:tr>
      <w:tr w14:paraId="73EC6107">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28EA520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459E151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69E779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0.036</w:t>
            </w:r>
          </w:p>
        </w:tc>
      </w:tr>
      <w:tr w14:paraId="5C5247AE">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029E87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31EA5F5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3BA1CBA1">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0.105</w:t>
            </w:r>
          </w:p>
        </w:tc>
      </w:tr>
      <w:tr w14:paraId="4F48A36F">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2F5FDF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149EA5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551EBC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0CBCFB9D">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028CC4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7B9976C">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1F679B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0.007</w:t>
            </w:r>
          </w:p>
        </w:tc>
      </w:tr>
      <w:tr w14:paraId="001C637B">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E7A5CF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BD3C18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0589A2F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0.617</w:t>
            </w:r>
          </w:p>
        </w:tc>
      </w:tr>
      <w:tr w14:paraId="517EC4B0">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4AE9CC9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Rolling window RF, 5 years</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78ADE7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394941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0.078</w:t>
            </w:r>
          </w:p>
        </w:tc>
      </w:tr>
      <w:tr w14:paraId="7AB1FAEB">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34B8973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91A502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61C758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0DD0BD48">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6A7269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7F779F4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2</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223ED5A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77ECCC41">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102199B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04E53DD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3</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89FDAE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435C8E10">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03608B6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54DCD6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4</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118A183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34A3A6EA">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BDBBD4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6DFA5CE2">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5</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6F71986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4BEEFC41">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BE79557">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C432C18">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6</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73C853ED">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33844A51">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61EE3A2E">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5C80408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7</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3DFB7F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7DF06F7C">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EDB1C8A">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16638176">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8</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4F51080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r w14:paraId="6ABAC927">
        <w:tblPrEx>
          <w:tblCellMar>
            <w:top w:w="0" w:type="dxa"/>
            <w:left w:w="108" w:type="dxa"/>
            <w:bottom w:w="0" w:type="dxa"/>
            <w:right w:w="108" w:type="dxa"/>
          </w:tblCellMar>
        </w:tblPrEx>
        <w:trPr>
          <w:trHeight w:val="0" w:hRule="atLeast"/>
          <w:jc w:val="center"/>
        </w:trPr>
        <w:tc>
          <w:tcPr>
            <w:tcW w:w="2909" w:type="pct"/>
            <w:tcBorders>
              <w:top w:val="nil"/>
              <w:left w:val="nil"/>
              <w:bottom w:val="nil"/>
              <w:right w:val="nil"/>
            </w:tcBorders>
            <w:shd w:val="clear" w:color="auto" w:fill="FFFFFF"/>
            <w:tcMar>
              <w:top w:w="0" w:type="dxa"/>
              <w:left w:w="0" w:type="dxa"/>
              <w:bottom w:w="0" w:type="dxa"/>
              <w:right w:w="0" w:type="dxa"/>
            </w:tcMar>
            <w:vAlign w:val="center"/>
          </w:tcPr>
          <w:p w14:paraId="7E4620E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nil"/>
              <w:right w:val="nil"/>
            </w:tcBorders>
            <w:shd w:val="clear" w:color="auto" w:fill="FFFFFF"/>
            <w:tcMar>
              <w:top w:w="0" w:type="dxa"/>
              <w:left w:w="0" w:type="dxa"/>
              <w:bottom w:w="0" w:type="dxa"/>
              <w:right w:w="0" w:type="dxa"/>
            </w:tcMar>
            <w:vAlign w:val="center"/>
          </w:tcPr>
          <w:p w14:paraId="23CA0D95">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9</w:t>
            </w:r>
          </w:p>
        </w:tc>
        <w:tc>
          <w:tcPr>
            <w:tcW w:w="1227" w:type="pct"/>
            <w:tcBorders>
              <w:top w:val="nil"/>
              <w:left w:val="nil"/>
              <w:bottom w:val="nil"/>
              <w:right w:val="nil"/>
            </w:tcBorders>
            <w:shd w:val="clear" w:color="auto" w:fill="FFFFFF"/>
            <w:tcMar>
              <w:top w:w="0" w:type="dxa"/>
              <w:left w:w="0" w:type="dxa"/>
              <w:bottom w:w="0" w:type="dxa"/>
              <w:right w:w="0" w:type="dxa"/>
            </w:tcMar>
            <w:vAlign w:val="center"/>
          </w:tcPr>
          <w:p w14:paraId="5C8C0B6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p>
        </w:tc>
      </w:tr>
      <w:tr w14:paraId="72A3E3D0">
        <w:tblPrEx>
          <w:tblCellMar>
            <w:top w:w="0" w:type="dxa"/>
            <w:left w:w="108" w:type="dxa"/>
            <w:bottom w:w="0" w:type="dxa"/>
            <w:right w:w="108" w:type="dxa"/>
          </w:tblCellMar>
        </w:tblPrEx>
        <w:trPr>
          <w:trHeight w:val="0" w:hRule="atLeast"/>
          <w:jc w:val="center"/>
        </w:trPr>
        <w:tc>
          <w:tcPr>
            <w:tcW w:w="290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AD41FFF">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Calendar year adjusted RF</w:t>
            </w:r>
          </w:p>
        </w:tc>
        <w:tc>
          <w:tcPr>
            <w:tcW w:w="863"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C874FF3">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10</w:t>
            </w:r>
          </w:p>
        </w:tc>
        <w:tc>
          <w:tcPr>
            <w:tcW w:w="122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2553509">
            <w:pPr>
              <w:pBdr>
                <w:top w:val="none" w:color="000000" w:sz="0" w:space="0"/>
                <w:left w:val="none" w:color="000000" w:sz="0" w:space="0"/>
                <w:bottom w:val="none" w:color="000000" w:sz="0" w:space="0"/>
                <w:right w:val="none" w:color="000000" w:sz="0" w:space="0"/>
              </w:pBdr>
              <w:spacing w:before="20" w:after="20" w:line="360" w:lineRule="auto"/>
              <w:ind w:left="20" w:right="2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&lt;0.001</w:t>
            </w:r>
          </w:p>
        </w:tc>
      </w:tr>
    </w:tbl>
    <w:p w14:paraId="73731379">
      <w:pPr>
        <w:pBdr>
          <w:top w:val="none" w:color="000000" w:sz="0" w:space="0"/>
          <w:left w:val="none" w:color="000000" w:sz="0" w:space="0"/>
          <w:bottom w:val="none" w:color="000000" w:sz="0" w:space="0"/>
          <w:right w:val="none" w:color="000000" w:sz="0" w:space="0"/>
        </w:pBdr>
        <w:spacing w:before="40" w:after="0" w:line="240" w:lineRule="auto"/>
        <w:ind w:left="0" w:right="0" w:firstLine="0" w:firstLineChars="0"/>
        <w:jc w:val="both"/>
      </w:pPr>
      <w:r>
        <w:rPr>
          <w:rFonts w:ascii="Times New Roman" w:hAnsi="Times New Roman" w:eastAsia="Times New Roman" w:cs="Times New Roman"/>
          <w:b w:val="0"/>
          <w:i w:val="0"/>
          <w:strike w:val="0"/>
          <w:color w:val="000000"/>
          <w:sz w:val="15"/>
          <w:szCs w:val="15"/>
          <w:u w:val="none"/>
        </w:rPr>
        <w:t xml:space="preserve">Values are </w:t>
      </w:r>
      <w:r>
        <w:rPr>
          <w:rFonts w:ascii="Times New Roman" w:hAnsi="Times New Roman" w:eastAsia="Times New Roman" w:cs="Times New Roman"/>
          <w:b w:val="0"/>
          <w:i/>
          <w:iCs/>
          <w:strike w:val="0"/>
          <w:color w:val="000000"/>
          <w:sz w:val="15"/>
          <w:szCs w:val="15"/>
          <w:u w:val="none"/>
        </w:rPr>
        <w:t>P</w:t>
      </w:r>
      <w:r>
        <w:rPr>
          <w:rFonts w:ascii="Times New Roman" w:hAnsi="Times New Roman" w:eastAsia="Times New Roman" w:cs="Times New Roman"/>
          <w:b w:val="0"/>
          <w:i w:val="0"/>
          <w:strike w:val="0"/>
          <w:color w:val="000000"/>
          <w:sz w:val="15"/>
          <w:szCs w:val="15"/>
          <w:u w:val="none"/>
        </w:rPr>
        <w:t xml:space="preserve"> values from paired DeLong tests comparing each time aware RF updating strategy with the all history RF reference. Tests were performed separately within each imputed dataset after pooling predictions from the 2015 through 2024 target year cohorts, with predictions paired for the same patients and target years. Panel A presents the median and interquartile range of the 10 imputation specific</w:t>
      </w:r>
      <w:r>
        <w:rPr>
          <w:rFonts w:ascii="Times New Roman" w:hAnsi="Times New Roman" w:eastAsia="Times New Roman" w:cs="Times New Roman"/>
          <w:b w:val="0"/>
          <w:i/>
          <w:iCs/>
          <w:strike w:val="0"/>
          <w:color w:val="000000"/>
          <w:sz w:val="15"/>
          <w:szCs w:val="15"/>
          <w:u w:val="none"/>
        </w:rPr>
        <w:t xml:space="preserve"> P</w:t>
      </w:r>
      <w:r>
        <w:rPr>
          <w:rFonts w:ascii="Times New Roman" w:hAnsi="Times New Roman" w:eastAsia="Times New Roman" w:cs="Times New Roman"/>
          <w:b w:val="0"/>
          <w:i w:val="0"/>
          <w:strike w:val="0"/>
          <w:color w:val="000000"/>
          <w:sz w:val="15"/>
          <w:szCs w:val="15"/>
          <w:u w:val="none"/>
        </w:rPr>
        <w:t xml:space="preserve"> values as a descriptive summary. Panel B presents the </w:t>
      </w:r>
      <w:r>
        <w:rPr>
          <w:rFonts w:ascii="Times New Roman" w:hAnsi="Times New Roman" w:eastAsia="Times New Roman" w:cs="Times New Roman"/>
          <w:b w:val="0"/>
          <w:i/>
          <w:iCs/>
          <w:strike w:val="0"/>
          <w:color w:val="000000"/>
          <w:sz w:val="15"/>
          <w:szCs w:val="15"/>
          <w:u w:val="none"/>
        </w:rPr>
        <w:t>P</w:t>
      </w:r>
      <w:r>
        <w:rPr>
          <w:rFonts w:ascii="Times New Roman" w:hAnsi="Times New Roman" w:eastAsia="Times New Roman" w:cs="Times New Roman"/>
          <w:b w:val="0"/>
          <w:i w:val="0"/>
          <w:strike w:val="0"/>
          <w:color w:val="000000"/>
          <w:sz w:val="15"/>
          <w:szCs w:val="15"/>
          <w:u w:val="none"/>
        </w:rPr>
        <w:t xml:space="preserve"> value from each imputed dataset. The </w:t>
      </w:r>
      <w:r>
        <w:rPr>
          <w:rFonts w:ascii="Times New Roman" w:hAnsi="Times New Roman" w:eastAsia="Times New Roman" w:cs="Times New Roman"/>
          <w:b w:val="0"/>
          <w:i/>
          <w:iCs/>
          <w:strike w:val="0"/>
          <w:color w:val="000000"/>
          <w:sz w:val="15"/>
          <w:szCs w:val="15"/>
          <w:u w:val="none"/>
        </w:rPr>
        <w:t>P</w:t>
      </w:r>
      <w:r>
        <w:rPr>
          <w:rFonts w:ascii="Times New Roman" w:hAnsi="Times New Roman" w:eastAsia="Times New Roman" w:cs="Times New Roman"/>
          <w:b w:val="0"/>
          <w:i w:val="0"/>
          <w:strike w:val="0"/>
          <w:color w:val="000000"/>
          <w:sz w:val="15"/>
          <w:szCs w:val="15"/>
          <w:u w:val="none"/>
        </w:rPr>
        <w:t xml:space="preserve"> values were not formally pooled across imputations. </w:t>
      </w:r>
      <w:r>
        <w:rPr>
          <w:rFonts w:hint="eastAsia" w:ascii="Times New Roman" w:hAnsi="Times New Roman" w:eastAsia="Times New Roman" w:cs="Times New Roman"/>
          <w:b w:val="0"/>
          <w:i/>
          <w:iCs/>
          <w:strike w:val="0"/>
          <w:color w:val="000000"/>
          <w:sz w:val="15"/>
          <w:szCs w:val="15"/>
          <w:u w:val="none"/>
        </w:rPr>
        <w:t>P</w:t>
      </w:r>
      <w:r>
        <w:rPr>
          <w:rFonts w:hint="eastAsia" w:ascii="Times New Roman" w:hAnsi="Times New Roman" w:eastAsia="Times New Roman" w:cs="Times New Roman"/>
          <w:b w:val="0"/>
          <w:i w:val="0"/>
          <w:strike w:val="0"/>
          <w:color w:val="000000"/>
          <w:sz w:val="15"/>
          <w:szCs w:val="15"/>
          <w:u w:val="none"/>
        </w:rPr>
        <w:t xml:space="preserve"> values below 0.001 are reported as &lt;0.001.</w:t>
      </w:r>
      <w:r>
        <w:rPr>
          <w:rFonts w:hint="eastAsia" w:ascii="Times New Roman" w:hAnsi="Times New Roman" w:eastAsia="宋体" w:cs="Times New Roman"/>
          <w:b w:val="0"/>
          <w:i w:val="0"/>
          <w:strike w:val="0"/>
          <w:color w:val="000000"/>
          <w:sz w:val="15"/>
          <w:szCs w:val="15"/>
          <w:u w:val="none"/>
          <w:lang w:val="en-US" w:eastAsia="zh-CN"/>
        </w:rPr>
        <w:t xml:space="preserve"> </w:t>
      </w:r>
      <w:r>
        <w:rPr>
          <w:rFonts w:ascii="Times New Roman" w:hAnsi="Times New Roman" w:eastAsia="Times New Roman" w:cs="Times New Roman"/>
          <w:b w:val="0"/>
          <w:i w:val="0"/>
          <w:strike w:val="0"/>
          <w:color w:val="000000"/>
          <w:sz w:val="15"/>
          <w:szCs w:val="15"/>
          <w:u w:val="none"/>
        </w:rPr>
        <w:t xml:space="preserve">AUC values are not shown because the DeLong tests used predictions pooled across target years within each imputed dataset, </w:t>
      </w:r>
      <w:r>
        <w:rPr>
          <w:rFonts w:hint="eastAsia" w:ascii="Times New Roman" w:hAnsi="Times New Roman" w:eastAsia="Times New Roman" w:cs="Times New Roman"/>
          <w:b w:val="0"/>
          <w:i w:val="0"/>
          <w:strike w:val="0"/>
          <w:color w:val="000000"/>
          <w:sz w:val="15"/>
          <w:szCs w:val="15"/>
          <w:u w:val="none"/>
        </w:rPr>
        <w:t>whereas</w:t>
      </w:r>
      <w:r>
        <w:rPr>
          <w:rFonts w:hint="eastAsia" w:ascii="Times New Roman" w:hAnsi="Times New Roman" w:eastAsia="宋体" w:cs="Times New Roman"/>
          <w:b w:val="0"/>
          <w:i w:val="0"/>
          <w:strike w:val="0"/>
          <w:color w:val="000000"/>
          <w:sz w:val="15"/>
          <w:szCs w:val="15"/>
          <w:u w:val="none"/>
          <w:lang w:val="en-US" w:eastAsia="zh-CN"/>
        </w:rPr>
        <w:t xml:space="preserve"> </w:t>
      </w:r>
      <w:r>
        <w:rPr>
          <w:rFonts w:hint="eastAsia" w:ascii="Times New Roman" w:hAnsi="Times New Roman" w:eastAsia="Times New Roman" w:cs="Times New Roman"/>
          <w:b w:val="0"/>
          <w:i w:val="0"/>
          <w:strike w:val="0"/>
          <w:color w:val="000000"/>
          <w:sz w:val="15"/>
          <w:szCs w:val="15"/>
          <w:u w:val="none"/>
        </w:rPr>
        <w:t>Table 4 reports mean annual AUC and Figure 6A reports changes in AUC averaged across target years</w:t>
      </w:r>
      <w:r>
        <w:rPr>
          <w:rFonts w:ascii="Times New Roman" w:hAnsi="Times New Roman" w:eastAsia="Times New Roman" w:cs="Times New Roman"/>
          <w:b w:val="0"/>
          <w:i w:val="0"/>
          <w:strike w:val="0"/>
          <w:color w:val="000000"/>
          <w:sz w:val="15"/>
          <w:szCs w:val="15"/>
          <w:u w:val="none"/>
        </w:rPr>
        <w:t>. AUC, area under the receiver operating characteristic curve; IQR, interquartile range; RF, random forest.</w:t>
      </w:r>
    </w:p>
    <w:p w14:paraId="557C24EA">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07F6D560">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09D95CB5">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64A95F81">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24D9808A">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43DA2036">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49693BE2">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9AF309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42745EEE">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089A8DD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2CD6D7A9">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3E3E70D9">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5AD116B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5E7E08D">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7281121">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221A83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1291902">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09B9E609">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5C4A4C0D">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37308FAB">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2AA01F3D">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6CEDFADF">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1F66399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1523A33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41454841">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03B51D7D">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2B1E019">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4FB31B4">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510F5CAF">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17D297A8">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67B51832">
      <w:pPr>
        <w:pBdr>
          <w:top w:val="none" w:color="000000" w:sz="0" w:space="0"/>
          <w:left w:val="none" w:color="000000" w:sz="0" w:space="0"/>
          <w:bottom w:val="none" w:color="000000" w:sz="0" w:space="0"/>
          <w:right w:val="none" w:color="000000" w:sz="0" w:space="0"/>
        </w:pBdr>
        <w:spacing w:after="40"/>
        <w:jc w:val="center"/>
        <w:rPr>
          <w:rFonts w:ascii="Times New Roman" w:hAnsi="Times New Roman" w:eastAsia="Times New Roman" w:cs="Times New Roman"/>
          <w:b/>
          <w:color w:val="000000"/>
          <w:sz w:val="21"/>
          <w:szCs w:val="21"/>
        </w:rPr>
      </w:pPr>
    </w:p>
    <w:p w14:paraId="7E069E9B">
      <w:pPr>
        <w:pBdr>
          <w:top w:val="none" w:color="000000" w:sz="0" w:space="0"/>
          <w:left w:val="none" w:color="000000" w:sz="0" w:space="0"/>
          <w:bottom w:val="none" w:color="000000" w:sz="0" w:space="0"/>
          <w:right w:val="none" w:color="000000" w:sz="0" w:space="0"/>
        </w:pBdr>
        <w:spacing w:before="0" w:after="40" w:line="240" w:lineRule="auto"/>
        <w:ind w:left="0" w:right="0" w:firstLine="0" w:firstLineChars="0"/>
        <w:jc w:val="center"/>
        <w:rPr>
          <w:sz w:val="18"/>
          <w:szCs w:val="18"/>
        </w:rPr>
      </w:pPr>
      <w:r>
        <w:rPr>
          <w:rFonts w:ascii="Times New Roman" w:hAnsi="Times New Roman" w:eastAsia="Times New Roman" w:cs="Times New Roman"/>
          <w:b/>
          <w:i w:val="0"/>
          <w:strike w:val="0"/>
          <w:color w:val="000000"/>
          <w:sz w:val="18"/>
          <w:szCs w:val="18"/>
          <w:u w:val="none"/>
        </w:rPr>
        <w:t xml:space="preserve">Table S9. Detailed decision curve analysis for time aware RF updating strategies under the multiple imputation framework.</w:t>
      </w:r>
    </w:p>
    <w:p w14:paraId="00F0F593">
      <w:pPr>
        <w:pBdr>
          <w:top w:val="none" w:color="000000" w:sz="0" w:space="0"/>
          <w:left w:val="none" w:color="000000" w:sz="0" w:space="0"/>
          <w:bottom w:val="none" w:color="000000" w:sz="0" w:space="0"/>
          <w:right w:val="none" w:color="000000" w:sz="0" w:space="0"/>
        </w:pBdr>
        <w:spacing w:before="40" w:after="40" w:line="240" w:lineRule="auto"/>
        <w:ind w:left="0" w:right="0" w:firstLine="0" w:firstLineChars="0"/>
        <w:jc w:val="center"/>
        <w:rPr>
          <w:sz w:val="18"/>
          <w:szCs w:val="18"/>
        </w:rPr>
      </w:pPr>
      <w:r>
        <w:rPr>
          <w:rFonts w:ascii="Times New Roman" w:hAnsi="Times New Roman" w:eastAsia="Times New Roman" w:cs="Times New Roman"/>
          <w:b/>
          <w:i w:val="0"/>
          <w:strike w:val="0"/>
          <w:color w:val="000000"/>
          <w:sz w:val="18"/>
          <w:szCs w:val="18"/>
          <w:u w:val="none"/>
        </w:rPr>
        <w:t>Panel A. Net benefit across threshold probabilities.</w:t>
      </w:r>
    </w:p>
    <w:tbl>
      <w:tblPr>
        <w:tblStyle w:val="10"/>
        <w:tblW w:w="4996" w:type="pct"/>
        <w:jc w:val="center"/>
        <w:tblLayout w:type="autofit"/>
        <w:tblCellMar>
          <w:top w:w="0" w:type="dxa"/>
          <w:left w:w="108" w:type="dxa"/>
          <w:bottom w:w="0" w:type="dxa"/>
          <w:right w:w="108" w:type="dxa"/>
        </w:tblCellMar>
      </w:tblPr>
      <w:tblGrid>
        <w:gridCol w:w="924"/>
        <w:gridCol w:w="1309"/>
        <w:gridCol w:w="1309"/>
        <w:gridCol w:w="1309"/>
        <w:gridCol w:w="1309"/>
        <w:gridCol w:w="1309"/>
        <w:gridCol w:w="1309"/>
        <w:gridCol w:w="1309"/>
        <w:gridCol w:w="1310"/>
        <w:gridCol w:w="1310"/>
        <w:gridCol w:w="1513"/>
        <w:gridCol w:w="1310"/>
      </w:tblGrid>
      <w:tr w14:paraId="7CC5AFF1">
        <w:tblPrEx>
          <w:tblCellMar>
            <w:top w:w="0" w:type="dxa"/>
            <w:left w:w="108" w:type="dxa"/>
            <w:bottom w:w="0" w:type="dxa"/>
            <w:right w:w="108" w:type="dxa"/>
          </w:tblCellMar>
        </w:tblPrEx>
        <w:trPr>
          <w:trHeight w:val="293" w:hRule="atLeast"/>
          <w:tblHeader/>
          <w:jc w:val="center"/>
        </w:trPr>
        <w:tc>
          <w:tcPr>
            <w:tcW w:w="297"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5C05A1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Threshold</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77D9A3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All history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5C8274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1y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B42019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2y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A0926B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3y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C73865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4y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557FE7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5y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78A401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HL 6y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3348BC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RW 3y</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791520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RW 5y</w:t>
            </w:r>
          </w:p>
        </w:tc>
        <w:tc>
          <w:tcPr>
            <w:tcW w:w="48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0762C4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Year adjusted</w:t>
            </w:r>
          </w:p>
        </w:tc>
        <w:tc>
          <w:tcPr>
            <w:tcW w:w="42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0185AB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i w:val="0"/>
                <w:strike w:val="0"/>
                <w:color w:val="000000"/>
                <w:sz w:val="15"/>
                <w:szCs w:val="15"/>
                <w:u w:val="none"/>
              </w:rPr>
            </w:pPr>
            <w:r>
              <w:rPr>
                <w:rFonts w:hint="default" w:ascii="Times New Roman" w:hAnsi="Times New Roman" w:eastAsia="Times New Roman" w:cs="Times New Roman"/>
                <w:b/>
                <w:i w:val="0"/>
                <w:strike w:val="0"/>
                <w:color w:val="000000"/>
                <w:sz w:val="15"/>
                <w:szCs w:val="15"/>
                <w:u w:val="none"/>
              </w:rPr>
              <w:t>Treat all</w:t>
            </w:r>
          </w:p>
        </w:tc>
      </w:tr>
      <w:tr w14:paraId="2F3A7185">
        <w:tblPrEx>
          <w:tblCellMar>
            <w:top w:w="0" w:type="dxa"/>
            <w:left w:w="108" w:type="dxa"/>
            <w:bottom w:w="0" w:type="dxa"/>
            <w:right w:w="108" w:type="dxa"/>
          </w:tblCellMar>
        </w:tblPrEx>
        <w:trPr>
          <w:trHeight w:val="0" w:hRule="atLeast"/>
          <w:jc w:val="center"/>
        </w:trPr>
        <w:tc>
          <w:tcPr>
            <w:tcW w:w="297"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0F440D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0.01</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69E274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EE3D80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(0.083–0.100)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016B0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4AFE1B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(0.083–0.099)</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37D80B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00CCAD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251E5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749191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869872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c>
          <w:tcPr>
            <w:tcW w:w="486"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C64180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(0.084–0.101)</w:t>
            </w:r>
          </w:p>
        </w:tc>
        <w:tc>
          <w:tcPr>
            <w:tcW w:w="42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8459B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(0.084–0.100)</w:t>
            </w:r>
          </w:p>
        </w:tc>
      </w:tr>
      <w:tr w14:paraId="3F8ACAC4">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5C66BE7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8F5258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(0.074–0.090)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7EAABE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CC285F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89EB11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(0.074–0.090)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82AF10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(0.074–0.090)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1E7D60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843504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(0.074–0.090)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33D58B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(0.076–0.092)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B44DC2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(0.075–0.091)</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75B142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1ACAA1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(0.075–0.091)</w:t>
            </w:r>
          </w:p>
        </w:tc>
      </w:tr>
      <w:tr w14:paraId="25567FDB">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5274B03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D4B68F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(0.066–0.082)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58764B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(0.067–0.083)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5BB57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(0.067–0.083)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5213AB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(0.067–0.082)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922538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(0.066–0.081)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CD2A4D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(0.067–0.082)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C573DD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(0.066–0.081)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F5EB32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(0.068–0.084)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CC1AD0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(0.067–0.082)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307A5AE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(0.068–0.083)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6877E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(0.065–0.082)</w:t>
            </w:r>
          </w:p>
        </w:tc>
      </w:tr>
      <w:tr w14:paraId="2D5A7F19">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5F316A2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C06CC5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(0.059–0.074)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9632BD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(0.061–0.076)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B9F97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(0.060–0.075)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738360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(0.060–0.075)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AC4EDF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(0.059–0.073)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EC7A29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(0.060–0.074)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BF7DE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(0.060–0.074)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10F36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(0.062–0.077)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502579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(0.060–0.075)</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35EBBF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(0.062–0.077)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4E929B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(0.055–0.072)</w:t>
            </w:r>
          </w:p>
        </w:tc>
      </w:tr>
      <w:tr w14:paraId="788A1B22">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72F80E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82F971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(0.053–0.067)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538ECC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(0.056–0.071)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9A0FCC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(0.054–0.069)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F04049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(0.054–0.068)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80BC6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(0.053–0.067)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D3BAC0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(0.054–0.068)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6A4AD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(0.054–0.068)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587B7B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(0.055–0.070)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C8373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(0.055–0.070)</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47AAFAF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(0.056–0.072)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E749E8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(0.045–0.062)</w:t>
            </w:r>
          </w:p>
        </w:tc>
      </w:tr>
      <w:tr w14:paraId="5EE12758">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168DF6C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10BE70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(0.047–0.061)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001E02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(0.051–0.066)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B13108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(0.049–0.063)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4AA067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(0.049–0.062)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5FA026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(0.049–0.062)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18D3AD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(0.049–0.062)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D4133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(0.049–0.062)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F61212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(0.050–0.065)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EAB71B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(0.051–0.065)</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46BD19D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(0.052–0.067)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E6890E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(0.035–0.052)</w:t>
            </w:r>
          </w:p>
        </w:tc>
      </w:tr>
      <w:tr w14:paraId="09D80000">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078F1EB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438DCD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(0.043–0.056)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D872E7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(0.047–0.061)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8E506B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(0.045–0.059)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8C79AB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(0.044–0.058)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68D73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(0.045–0.058)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A36615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(0.044–0.057)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95EC9C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(0.044–0.057)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9F8B1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(0.046–0.060)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5263F2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(0.046–0.061)</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9961C7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(0.047–0.062)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DB7371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(0.025–0.042)</w:t>
            </w:r>
          </w:p>
        </w:tc>
      </w:tr>
      <w:tr w14:paraId="2CCA6720">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4DDF3F9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903380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(0.040–0.053)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457103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(0.043–0.056)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8D14F9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(0.042–0.055)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853914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(0.041–0.054)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C58CD7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(0.041–0.054)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AB1E2B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(0.040–0.053)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231477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(0.040–0.053)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28179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(0.042–0.056)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A364F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(0.043–0.056)</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69538FE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(0.044–0.058)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181BE8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(0.014–0.032)</w:t>
            </w:r>
          </w:p>
        </w:tc>
      </w:tr>
      <w:tr w14:paraId="6008E635">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5650D9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62823E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(0.037–0.050)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73157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(0.039–0.052)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421D72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(0.038–0.052)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C0EC06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(0.038–0.050)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142C0D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(0.037–0.050)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853993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(0.037–0.049)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CFD7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(0.037–0.049)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FE56A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(0.039–0.053)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5CCA8E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(0.039–0.052)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56944A5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(0.041–0.055)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2B497A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0.012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(0.004–0.021)</w:t>
            </w:r>
          </w:p>
        </w:tc>
      </w:tr>
      <w:tr w14:paraId="3B00799A">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598EBF4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D71140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2B7530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(0.036–0.049)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964878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(0.036–0.049)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4BBA1C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D89DEA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3B711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27D2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8614E2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(0.036–0.050)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D23759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(0.035–0.048)</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4E6C275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(0.038–0.051)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726F47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0.001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(−0.008–0.010)</w:t>
            </w:r>
          </w:p>
        </w:tc>
      </w:tr>
      <w:tr w14:paraId="79827204">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495D230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16DB35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(0.032–0.044)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8C5A62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(0.033–0.046)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911257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(0.033–0.046)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8D125D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(0.031–0.044)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B25BF5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(0.032–0.044)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378642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(0.032–0.044)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B6434D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(0.031–0.043)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6B3E36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(0.034–0.047)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B102F7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(0.033–0.045)</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69FA6C4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(0.035–0.048)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95D14A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−0.011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(−0.019–−0.001)</w:t>
            </w:r>
          </w:p>
        </w:tc>
      </w:tr>
      <w:tr w14:paraId="1D1030CE">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1077F50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63125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62EDDF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(0.031–0.044)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BCEFB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(0.031–0.043)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C4AD6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BED34A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8BF22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B6E962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D3FA26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(0.032–0.045)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2A709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6E4F87E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(0.032–0.046)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2C7D55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(−0.030–−0.012)</w:t>
            </w:r>
          </w:p>
        </w:tc>
      </w:tr>
      <w:tr w14:paraId="38F22263">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0C769A6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306F4E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F2BCE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80BA03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D50CB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(0.028–0.039)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D76FA7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DB640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A03C70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(0.028–0.039)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CAF2AC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(0.030–0.043)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B88237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(0.027–0.040)</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5CB3EF5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(0.031–0.044)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BCA136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(−0.042–−0.024)</w:t>
            </w:r>
          </w:p>
        </w:tc>
      </w:tr>
      <w:tr w14:paraId="6EC36497">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C0A4B3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F61CA1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2AD97D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B81B44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FC01C9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273294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(0.028–0.039)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068DD9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1945EF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2B3805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D6D9C0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(0.026–0.039)</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151BEC5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(0.029–0.042)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723A24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−0.046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(−0.054–−0.036)</w:t>
            </w:r>
          </w:p>
        </w:tc>
      </w:tr>
      <w:tr w14:paraId="0A429D86">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204B05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CEDB68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5FB9D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84F53D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24BF14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97EDC7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C58782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8B5CD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05D139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(0.027–0.040)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FB4D18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(0.026–0.038)</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693B5C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(0.028–0.041)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C66B99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−0.058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(−0.067–−0.048)</w:t>
            </w:r>
          </w:p>
        </w:tc>
      </w:tr>
      <w:tr w14:paraId="5F940294">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0011CDD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FC1FE7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000339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6DF9E9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0C5383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D509E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522CA6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094EB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98F47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(0.026–0.038)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39B00C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(0.025–0.036)</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EBE526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(0.027–0.039)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30652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−0.071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(−0.080–−0.060)</w:t>
            </w:r>
          </w:p>
        </w:tc>
      </w:tr>
      <w:tr w14:paraId="79A4CA7A">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25CAC40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8B19F8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53FF17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B50812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F02FD9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AFAB6B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8D949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E57CE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EB5158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FC603C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7717BFC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0.031</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A9FB8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−0.084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(−0.093–−0.073)</w:t>
            </w:r>
          </w:p>
        </w:tc>
      </w:tr>
      <w:tr w14:paraId="7E01034A">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68AB1DE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E45DFC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06758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9E0421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87449E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B55CA0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B98A53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22C382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144CA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C58691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(0.023–0.034)</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1625F06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0.030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(0.025–0.037)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4AC35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−0.097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(−0.106–−0.086)</w:t>
            </w:r>
          </w:p>
        </w:tc>
      </w:tr>
      <w:tr w14:paraId="61AE0621">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4A9F6EB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5BA68F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BC857B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9750C1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688EC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A07CA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323957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0E93E5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0A3876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1DE9D8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(0.022–0.033)</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96CC15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3582AE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−0.110</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(−0.120–−0.100)</w:t>
            </w:r>
          </w:p>
        </w:tc>
      </w:tr>
      <w:tr w14:paraId="1A1C5D64">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06AC78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65296E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F95009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C9BA4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DB6DEA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85D5B7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508A54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68F519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5AF95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393695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(0.022–0.033)</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4D966B6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F88BC7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(−0.133–−0.113)</w:t>
            </w:r>
          </w:p>
        </w:tc>
      </w:tr>
      <w:tr w14:paraId="50A18276">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2C83AA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545108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F3C76A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4DF6C3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29F9B6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B51308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C84F3D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7712D6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82CCA1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8590AB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2193CD7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(0.024–0.035)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5850F7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−0.139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(−0.148–−0.128)</w:t>
            </w:r>
          </w:p>
        </w:tc>
      </w:tr>
      <w:tr w14:paraId="21CFDCCD">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1865CC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5F5854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01434B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CB262D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27BE62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A17568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9A7EDC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191E5C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AE80F3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DB6E04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403D9E7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4A862F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−0.153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(−0.163–−0.142)</w:t>
            </w:r>
          </w:p>
        </w:tc>
      </w:tr>
      <w:tr w14:paraId="1D262E7E">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AF2BF0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EA834C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5403BA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B3F52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E484F0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591214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499C8A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C73828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453341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FE174B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5FC0BA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(0.023–0.033)</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5F1FD3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−0.168</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(−0.178–−0.157)</w:t>
            </w:r>
          </w:p>
        </w:tc>
      </w:tr>
      <w:tr w14:paraId="546AE591">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17EE8BB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0.24</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9CCB7E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A31360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0F1D1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7DF35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233993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4329A2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EEC118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6A308C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0B1140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177A792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0CA952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−0.183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(−0.193–−0.172)</w:t>
            </w:r>
          </w:p>
        </w:tc>
      </w:tr>
      <w:tr w14:paraId="6217C263">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75F9190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0.25</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E6C227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9D6ED2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3E49C0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EE2211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EFCDFA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C8B654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B044B7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6F97FE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4F3070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53EAD76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E95F3D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−0.199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(−0.209–−0.188)</w:t>
            </w:r>
          </w:p>
        </w:tc>
      </w:tr>
      <w:tr w14:paraId="61CB8EDC">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7271067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0.26</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E6114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06C7D2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(0.019–0.029)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3722AA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F2873F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5C6A48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D2D450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1A420B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2F40D3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457A80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(0.022–0.032)</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5F2E982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20E4E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−0.215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(−0.225–−0.204)</w:t>
            </w:r>
          </w:p>
        </w:tc>
      </w:tr>
      <w:tr w14:paraId="351BBEBE">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1DC5213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5932ED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C8EF34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69FDBE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874DFE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245BB7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48C2D2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E2071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EBF60A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(0.019–0.030)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52B5C8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7927745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(0.021–0.031)</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6A2711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−0.232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(−0.242–−0.220)</w:t>
            </w:r>
          </w:p>
        </w:tc>
      </w:tr>
      <w:tr w14:paraId="01869598">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3B78A88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B47419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E2B72D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(0.019–0.029)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79D67A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8C9C11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32F082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CE3D80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6228ED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B91076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(0.018–0.028)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632B575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0576E77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AC20D8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−0.249</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(−0.259–−0.237)</w:t>
            </w:r>
          </w:p>
        </w:tc>
      </w:tr>
      <w:tr w14:paraId="65215A25">
        <w:tblPrEx>
          <w:tblCellMar>
            <w:top w:w="0" w:type="dxa"/>
            <w:left w:w="108" w:type="dxa"/>
            <w:bottom w:w="0" w:type="dxa"/>
            <w:right w:w="108" w:type="dxa"/>
          </w:tblCellMar>
        </w:tblPrEx>
        <w:trPr>
          <w:trHeight w:val="0" w:hRule="atLeast"/>
          <w:jc w:val="center"/>
        </w:trPr>
        <w:tc>
          <w:tcPr>
            <w:tcW w:w="297" w:type="pct"/>
            <w:tcBorders>
              <w:top w:val="nil"/>
              <w:left w:val="nil"/>
              <w:bottom w:val="nil"/>
              <w:right w:val="nil"/>
            </w:tcBorders>
            <w:shd w:val="clear" w:color="auto" w:fill="FFFFFF"/>
            <w:tcMar>
              <w:top w:w="0" w:type="dxa"/>
              <w:left w:w="0" w:type="dxa"/>
              <w:bottom w:w="0" w:type="dxa"/>
              <w:right w:w="0" w:type="dxa"/>
            </w:tcMar>
            <w:vAlign w:val="center"/>
          </w:tcPr>
          <w:p w14:paraId="2B10259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55F8DE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5F4C31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490B052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10D52E9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8C2269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(0.021–0.030)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50C68D6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(0.020–0.028)</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260DCB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2FA76F3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(0.018–0.027)</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73FE930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86" w:type="pct"/>
            <w:tcBorders>
              <w:top w:val="nil"/>
              <w:left w:val="nil"/>
              <w:bottom w:val="nil"/>
              <w:right w:val="nil"/>
            </w:tcBorders>
            <w:shd w:val="clear" w:color="auto" w:fill="FFFFFF"/>
            <w:tcMar>
              <w:top w:w="0" w:type="dxa"/>
              <w:left w:w="0" w:type="dxa"/>
              <w:bottom w:w="0" w:type="dxa"/>
              <w:right w:w="0" w:type="dxa"/>
            </w:tcMar>
            <w:vAlign w:val="center"/>
          </w:tcPr>
          <w:p w14:paraId="61F967F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(0.020–0.030)</w:t>
            </w:r>
          </w:p>
        </w:tc>
        <w:tc>
          <w:tcPr>
            <w:tcW w:w="421" w:type="pct"/>
            <w:tcBorders>
              <w:top w:val="nil"/>
              <w:left w:val="nil"/>
              <w:bottom w:val="nil"/>
              <w:right w:val="nil"/>
            </w:tcBorders>
            <w:shd w:val="clear" w:color="auto" w:fill="FFFFFF"/>
            <w:tcMar>
              <w:top w:w="0" w:type="dxa"/>
              <w:left w:w="0" w:type="dxa"/>
              <w:bottom w:w="0" w:type="dxa"/>
              <w:right w:w="0" w:type="dxa"/>
            </w:tcMar>
            <w:vAlign w:val="center"/>
          </w:tcPr>
          <w:p w14:paraId="09AF666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−0.267</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(−0.277–−0.255)</w:t>
            </w:r>
          </w:p>
        </w:tc>
      </w:tr>
      <w:tr w14:paraId="571E5B10">
        <w:tblPrEx>
          <w:tblCellMar>
            <w:top w:w="0" w:type="dxa"/>
            <w:left w:w="108" w:type="dxa"/>
            <w:bottom w:w="0" w:type="dxa"/>
            <w:right w:w="108" w:type="dxa"/>
          </w:tblCellMar>
        </w:tblPrEx>
        <w:trPr>
          <w:trHeight w:val="0" w:hRule="atLeast"/>
          <w:jc w:val="center"/>
        </w:trPr>
        <w:tc>
          <w:tcPr>
            <w:tcW w:w="297"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7D3497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0.30</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358D62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(0.020–0.028)</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9ABCC7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0.023</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(0.019–0.028)</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C9F848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CBC72E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21B77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7D260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(0.020–0.028)</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9D1E7C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(0.020–0.028)</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832725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0.022</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(0.017–0.027)</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A67F5A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0.026</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(0.022–0.031)</w:t>
            </w:r>
          </w:p>
        </w:tc>
        <w:tc>
          <w:tcPr>
            <w:tcW w:w="48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1E584F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0.024</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(0.020–0.029)</w:t>
            </w:r>
          </w:p>
        </w:tc>
        <w:tc>
          <w:tcPr>
            <w:tcW w:w="42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4D5B8E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hint="default" w:ascii="Times New Roman" w:hAnsi="Times New Roman" w:eastAsia="Times New Roman" w:cs="Times New Roman"/>
                <w:b w:val="0"/>
                <w:i w:val="0"/>
                <w:strike w:val="0"/>
                <w:color w:val="000000"/>
                <w:sz w:val="15"/>
                <w:szCs w:val="15"/>
                <w:u w:val="none"/>
              </w:rPr>
            </w:pPr>
            <w:r>
              <w:rPr>
                <w:rFonts w:hint="default" w:ascii="Times New Roman" w:hAnsi="Times New Roman" w:eastAsia="Times New Roman" w:cs="Times New Roman"/>
                <w:b w:val="0"/>
                <w:i w:val="0"/>
                <w:strike w:val="0"/>
                <w:color w:val="000000"/>
                <w:sz w:val="15"/>
                <w:szCs w:val="15"/>
                <w:u w:val="none"/>
              </w:rPr>
              <w:t>−0.285</w:t>
            </w:r>
            <w:r>
              <w:rPr>
                <w:rFonts w:hint="default" w:ascii="Times New Roman" w:hAnsi="Times New Roman" w:eastAsia="Times New Roman" w:cs="Times New Roman"/>
                <w:b w:val="0"/>
                <w:i w:val="0"/>
                <w:strike w:val="0"/>
                <w:color w:val="000000"/>
                <w:sz w:val="15"/>
                <w:szCs w:val="15"/>
                <w:u w:val="none"/>
              </w:rPr>
              <w:br w:type="textWrapping"/>
            </w:r>
            <w:r>
              <w:rPr>
                <w:rFonts w:hint="default" w:ascii="Times New Roman" w:hAnsi="Times New Roman" w:eastAsia="Times New Roman" w:cs="Times New Roman"/>
                <w:b w:val="0"/>
                <w:i w:val="0"/>
                <w:strike w:val="0"/>
                <w:color w:val="000000"/>
                <w:sz w:val="15"/>
                <w:szCs w:val="15"/>
                <w:u w:val="none"/>
              </w:rPr>
              <w:t>(−0.295–−0.273)</w:t>
            </w:r>
          </w:p>
        </w:tc>
      </w:tr>
    </w:tbl>
    <w:p w14:paraId="5FCED3FC">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447D119E">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FBCD2C8">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42C5BCEA">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3F0C17B6">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25244980">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1E1810E9">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086193A5">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22009303">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D7CD430">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6931879A">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02F12216">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E0B5A75">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3F3FEDA">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669DCA73">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726B9C7A">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0D6276A6">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0A7D55C2">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6D58947">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27E70939">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6B0B9A78">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63CB46FB">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4AD729F6">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73C0B12E">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0D0AC062">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5D663D21">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32797358">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64266BDE">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4F5881C0">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39CCEEB0">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both"/>
        <w:rPr>
          <w:rFonts w:ascii="Times New Roman" w:hAnsi="Times New Roman" w:eastAsia="Times New Roman" w:cs="Times New Roman"/>
          <w:b/>
          <w:i w:val="0"/>
          <w:strike w:val="0"/>
          <w:color w:val="000000"/>
          <w:sz w:val="18"/>
          <w:szCs w:val="18"/>
          <w:u w:val="none"/>
        </w:rPr>
      </w:pPr>
    </w:p>
    <w:p w14:paraId="7C89FA1B">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rFonts w:ascii="Times New Roman" w:hAnsi="Times New Roman" w:eastAsia="Times New Roman" w:cs="Times New Roman"/>
          <w:b/>
          <w:i w:val="0"/>
          <w:strike w:val="0"/>
          <w:color w:val="000000"/>
          <w:sz w:val="18"/>
          <w:szCs w:val="18"/>
          <w:u w:val="none"/>
        </w:rPr>
      </w:pPr>
    </w:p>
    <w:p w14:paraId="24A4C232">
      <w:pPr>
        <w:pBdr>
          <w:top w:val="none" w:color="000000" w:sz="0" w:space="0"/>
          <w:left w:val="none" w:color="000000" w:sz="0" w:space="0"/>
          <w:bottom w:val="none" w:color="000000" w:sz="0" w:space="0"/>
          <w:right w:val="none" w:color="000000" w:sz="0" w:space="0"/>
        </w:pBdr>
        <w:spacing w:before="80" w:after="40" w:line="240" w:lineRule="auto"/>
        <w:ind w:left="0" w:right="0" w:firstLine="0" w:firstLineChars="0"/>
        <w:jc w:val="center"/>
        <w:rPr>
          <w:sz w:val="18"/>
          <w:szCs w:val="18"/>
        </w:rPr>
      </w:pPr>
      <w:r>
        <w:rPr>
          <w:rFonts w:ascii="Times New Roman" w:hAnsi="Times New Roman" w:eastAsia="Times New Roman" w:cs="Times New Roman"/>
          <w:b/>
          <w:i w:val="0"/>
          <w:strike w:val="0"/>
          <w:color w:val="000000"/>
          <w:sz w:val="18"/>
          <w:szCs w:val="18"/>
          <w:u w:val="none"/>
        </w:rPr>
        <w:t>Panel B. Differences in net benefit versus all history RF.</w:t>
      </w:r>
    </w:p>
    <w:tbl>
      <w:tblPr>
        <w:tblStyle w:val="10"/>
        <w:tblW w:w="4999" w:type="pct"/>
        <w:jc w:val="center"/>
        <w:tblLayout w:type="autofit"/>
        <w:tblCellMar>
          <w:top w:w="0" w:type="dxa"/>
          <w:left w:w="108" w:type="dxa"/>
          <w:bottom w:w="0" w:type="dxa"/>
          <w:right w:w="108" w:type="dxa"/>
        </w:tblCellMar>
      </w:tblPr>
      <w:tblGrid>
        <w:gridCol w:w="976"/>
        <w:gridCol w:w="1598"/>
        <w:gridCol w:w="1598"/>
        <w:gridCol w:w="1598"/>
        <w:gridCol w:w="1598"/>
        <w:gridCol w:w="1598"/>
        <w:gridCol w:w="1598"/>
        <w:gridCol w:w="1599"/>
        <w:gridCol w:w="1599"/>
        <w:gridCol w:w="1777"/>
      </w:tblGrid>
      <w:tr w14:paraId="69F806E6">
        <w:tblPrEx>
          <w:tblCellMar>
            <w:top w:w="0" w:type="dxa"/>
            <w:left w:w="108" w:type="dxa"/>
            <w:bottom w:w="0" w:type="dxa"/>
            <w:right w:w="108" w:type="dxa"/>
          </w:tblCellMar>
        </w:tblPrEx>
        <w:trPr>
          <w:trHeight w:val="335" w:hRule="atLeast"/>
          <w:tblHeader/>
          <w:jc w:val="center"/>
        </w:trPr>
        <w:tc>
          <w:tcPr>
            <w:tcW w:w="3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40C11E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Threshold</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2BC931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1y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C3791B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2y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BECF0D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3y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AC9263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4y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81EE18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5y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E62F0D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HL 6y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452D5F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RW 3y</w:t>
            </w:r>
          </w:p>
        </w:tc>
        <w:tc>
          <w:tcPr>
            <w:tcW w:w="51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7C6AE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RW 5y</w:t>
            </w:r>
          </w:p>
        </w:tc>
        <w:tc>
          <w:tcPr>
            <w:tcW w:w="571"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9818E6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i w:val="0"/>
                <w:strike w:val="0"/>
                <w:color w:val="000000"/>
                <w:sz w:val="15"/>
                <w:szCs w:val="15"/>
                <w:u w:val="none"/>
              </w:rPr>
            </w:pPr>
            <w:r>
              <w:rPr>
                <w:rFonts w:ascii="Times New Roman" w:hAnsi="Times New Roman" w:eastAsia="Times New Roman" w:cs="Times New Roman"/>
                <w:b/>
                <w:i w:val="0"/>
                <w:strike w:val="0"/>
                <w:color w:val="000000"/>
                <w:sz w:val="15"/>
                <w:szCs w:val="15"/>
                <w:u w:val="none"/>
              </w:rPr>
              <w:t>Year adjusted</w:t>
            </w:r>
          </w:p>
        </w:tc>
      </w:tr>
      <w:tr w14:paraId="6B2ECC1C">
        <w:tblPrEx>
          <w:tblCellMar>
            <w:top w:w="0" w:type="dxa"/>
            <w:left w:w="108" w:type="dxa"/>
            <w:bottom w:w="0" w:type="dxa"/>
            <w:right w:w="108" w:type="dxa"/>
          </w:tblCellMar>
        </w:tblPrEx>
        <w:trPr>
          <w:trHeight w:val="0" w:hRule="atLeast"/>
          <w:jc w:val="center"/>
        </w:trPr>
        <w:tc>
          <w:tcPr>
            <w:tcW w:w="3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BDC5FA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27E3AB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1512640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4AB4A76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(−0.001–0.000)</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3736E6E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29D380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0FF46A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B38E56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14"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56E4AF9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71" w:type="pct"/>
            <w:tcBorders>
              <w:top w:val="single" w:color="666666" w:sz="12" w:space="0"/>
              <w:left w:val="nil"/>
              <w:bottom w:val="nil"/>
              <w:right w:val="nil"/>
            </w:tcBorders>
            <w:shd w:val="clear" w:color="auto" w:fill="FFFFFF"/>
            <w:tcMar>
              <w:top w:w="0" w:type="dxa"/>
              <w:left w:w="0" w:type="dxa"/>
              <w:bottom w:w="0" w:type="dxa"/>
              <w:right w:w="0" w:type="dxa"/>
            </w:tcMar>
            <w:vAlign w:val="center"/>
          </w:tcPr>
          <w:p w14:paraId="7D7F6BE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r>
      <w:tr w14:paraId="0A25A20D">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198A3B0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761AE2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EDC20F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96A6AB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5AF69B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E92200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AA823E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16F245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6CC9E2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518CEF9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r>
      <w:tr w14:paraId="5AD0C708">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2E59372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EC2983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08D11B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F4BDD9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8F53EA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99983D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3915AC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F5EA61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8748E0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79DA5F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r>
      <w:tr w14:paraId="03A181A7">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43090AB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2AE8BA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6468E4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F58EF4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BA8654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6D54A7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A9B338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5D9747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533FEB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05FD4D5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(0.002–0.005)</w:t>
            </w:r>
          </w:p>
        </w:tc>
      </w:tr>
      <w:tr w14:paraId="58B8274C">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B8B8EC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35B980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846E65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F65B5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709FCC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B4DAB2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EDC0F4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F1477D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AFAB65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3E4E602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(0.002–0.006)</w:t>
            </w:r>
          </w:p>
        </w:tc>
      </w:tr>
      <w:tr w14:paraId="6CE01220">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D3F91E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314BC7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(0.002–0.007)</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2EC5E0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CE40BF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3CCC18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829003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5E2142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23C0D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B929BE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(0.002–0.006)</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801575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0.006</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(0.003–0.008)</w:t>
            </w:r>
          </w:p>
        </w:tc>
      </w:tr>
      <w:tr w14:paraId="2DC7733B">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129001B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0.07</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767C3F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BD7866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6649B9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16CC0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148503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C186A3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7675D3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376A6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(0.002–0.006)</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5B1C8B5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(0.002–0.008)</w:t>
            </w:r>
          </w:p>
        </w:tc>
      </w:tr>
      <w:tr w14:paraId="2376A68D">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4DE88A3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0.08</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0EE45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18EE81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10461F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6048D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C0C898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585811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D65A5E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270BC8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5788CF9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(0.002–0.007)</w:t>
            </w:r>
          </w:p>
        </w:tc>
      </w:tr>
      <w:tr w14:paraId="31509943">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71801E0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0.09</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23E6BB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E5FC69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573890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CB5ED6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794163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360C31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3755EA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C33764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5AE132F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(0.002–0.007)</w:t>
            </w:r>
          </w:p>
        </w:tc>
      </w:tr>
      <w:tr w14:paraId="618E4DA1">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B93CED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6B9C9A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E6B464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BD48C2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B24EC4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5C9606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6DF7F6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0A0F7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AD25CF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0F27CE0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0.005</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(0.002–0.007)</w:t>
            </w:r>
          </w:p>
        </w:tc>
      </w:tr>
      <w:tr w14:paraId="6AB16875">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65F77B3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562C5D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B3BD59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A6C574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BE20B8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A8B086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C2E73E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5B74E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30366D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0C03AB5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0.004</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(0.001–0.006)</w:t>
            </w:r>
          </w:p>
        </w:tc>
      </w:tr>
      <w:tr w14:paraId="39CAF7D6">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6DF5708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6265DA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F6A517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C75786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08D4EC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37EEBB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2D0925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DEDD40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37464B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E492D1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(0.000–0.006)</w:t>
            </w:r>
          </w:p>
        </w:tc>
      </w:tr>
      <w:tr w14:paraId="4E720D07">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0D0E62E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468E83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747DDA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A386D5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467CDF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E95888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960804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C1E102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1BF65A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281C7DC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(0.000–0.005)</w:t>
            </w:r>
          </w:p>
        </w:tc>
      </w:tr>
      <w:tr w14:paraId="503F2405">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24D0C9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11545D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9799DD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AF72AC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F16D11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466AC3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9274EE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3D3788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1AC9AF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168F3CB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r>
      <w:tr w14:paraId="00954457">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04149E4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F358C4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B35081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D22460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EC2E4A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70E2EC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BF85C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D1D0C2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47822F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B7AFB4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r>
      <w:tr w14:paraId="6AFE5AE0">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1D8C3B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12AB6B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FE5819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D284AA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49378B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295130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362A8A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4B9E98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CEF3B0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7520423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(−0.001–0.005)</w:t>
            </w:r>
          </w:p>
        </w:tc>
      </w:tr>
      <w:tr w14:paraId="4D946070">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696731C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0.17</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73240B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DD09DA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6A04A5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AB7776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7971DE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B69F73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416A89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F3F610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C3806C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(−0.002–0.004)</w:t>
            </w:r>
          </w:p>
        </w:tc>
      </w:tr>
      <w:tr w14:paraId="399FA8C3">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29F6028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0.18</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751EC3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22262E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A6A4AF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2E795A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67F0A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309350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4F5E9C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C39CDE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2407C7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(−0.002–0.004)</w:t>
            </w:r>
          </w:p>
        </w:tc>
      </w:tr>
      <w:tr w14:paraId="6F7BC646">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6A1B41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0.19</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E05660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F0E25C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5344D0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F4AEF1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4EBACA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518265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F32B51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111D19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7775E04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(−0.003–0.003)</w:t>
            </w:r>
          </w:p>
        </w:tc>
      </w:tr>
      <w:tr w14:paraId="08F5C94E">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6313AF5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9D2A73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74958D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EDBE61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A562E8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74C0FB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36244C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DECFB0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73B169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740B8EF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(−0.003–0.003)</w:t>
            </w:r>
          </w:p>
        </w:tc>
      </w:tr>
      <w:tr w14:paraId="58615176">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63F2621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0E134A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038CAF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9B1B1C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042139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B7C445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86A349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980CD9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5D84E9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24F88C8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(−0.002–0.003)</w:t>
            </w:r>
          </w:p>
        </w:tc>
      </w:tr>
      <w:tr w14:paraId="7544477F">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2279E8C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28CFB2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01777A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CA32F6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94A91B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2BFEA5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D52444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26E05D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87C29B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A33948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r>
      <w:tr w14:paraId="0227CA11">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398645A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0.23</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E5C26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−0.003</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643448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D97509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6C1477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F8E317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41176A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EC4AFB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1B5547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3FD7913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r>
      <w:tr w14:paraId="53F50771">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6C8D98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0.24</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236E1D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9DCA63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88F6CE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B834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D71F3E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998ACB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735903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B9E2FE3">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4B6E55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r>
      <w:tr w14:paraId="75FF5FAA">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7361D0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0.25</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A415C4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AF4C62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D88674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CF2EA3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C1A4AE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EA3C6C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4DD6ED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312042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D4E6CD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r>
      <w:tr w14:paraId="17F20E1E">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523B41F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0.26</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731251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EA1512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31E40E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961F36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00BE80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5D13B8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C7E10D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C36B0A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27A55D5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r>
      <w:tr w14:paraId="10714820">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2A8FF96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0.27</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DC5329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74EB88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9F1672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2328F76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6B8944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206E51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01093A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83809C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4B9C717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r>
      <w:tr w14:paraId="400A8E8A">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17F6BFC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0.28</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A0DF232">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(−0.003–0.001)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0F103E4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88B879F">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1613559A">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D5B0AD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D25A74C">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4CAFA3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(−0.004–0.001)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90FEC2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BDAE10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(−0.001–0.003)</w:t>
            </w:r>
          </w:p>
        </w:tc>
      </w:tr>
      <w:tr w14:paraId="48F82668">
        <w:tblPrEx>
          <w:tblCellMar>
            <w:top w:w="0" w:type="dxa"/>
            <w:left w:w="108" w:type="dxa"/>
            <w:bottom w:w="0" w:type="dxa"/>
            <w:right w:w="108" w:type="dxa"/>
          </w:tblCellMar>
        </w:tblPrEx>
        <w:trPr>
          <w:trHeight w:val="0" w:hRule="atLeast"/>
          <w:jc w:val="center"/>
        </w:trPr>
        <w:tc>
          <w:tcPr>
            <w:tcW w:w="314" w:type="pct"/>
            <w:tcBorders>
              <w:top w:val="nil"/>
              <w:left w:val="nil"/>
              <w:bottom w:val="nil"/>
              <w:right w:val="nil"/>
            </w:tcBorders>
            <w:shd w:val="clear" w:color="auto" w:fill="FFFFFF"/>
            <w:tcMar>
              <w:top w:w="0" w:type="dxa"/>
              <w:left w:w="0" w:type="dxa"/>
              <w:bottom w:w="0" w:type="dxa"/>
              <w:right w:w="0" w:type="dxa"/>
            </w:tcMar>
            <w:vAlign w:val="center"/>
          </w:tcPr>
          <w:p w14:paraId="4D3B219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0.29</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5522793D">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1ED53B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4D3BA0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7CADDA9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(0.000–0.002)</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62EB49E">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45EC5EC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34D6ADC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(−0.005–0.000)</w:t>
            </w:r>
          </w:p>
        </w:tc>
        <w:tc>
          <w:tcPr>
            <w:tcW w:w="514" w:type="pct"/>
            <w:tcBorders>
              <w:top w:val="nil"/>
              <w:left w:val="nil"/>
              <w:bottom w:val="nil"/>
              <w:right w:val="nil"/>
            </w:tcBorders>
            <w:shd w:val="clear" w:color="auto" w:fill="FFFFFF"/>
            <w:tcMar>
              <w:top w:w="0" w:type="dxa"/>
              <w:left w:w="0" w:type="dxa"/>
              <w:bottom w:w="0" w:type="dxa"/>
              <w:right w:w="0" w:type="dxa"/>
            </w:tcMar>
            <w:vAlign w:val="center"/>
          </w:tcPr>
          <w:p w14:paraId="6A56474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(0.000–0.004)</w:t>
            </w:r>
          </w:p>
        </w:tc>
        <w:tc>
          <w:tcPr>
            <w:tcW w:w="571" w:type="pct"/>
            <w:tcBorders>
              <w:top w:val="nil"/>
              <w:left w:val="nil"/>
              <w:bottom w:val="nil"/>
              <w:right w:val="nil"/>
            </w:tcBorders>
            <w:shd w:val="clear" w:color="auto" w:fill="FFFFFF"/>
            <w:tcMar>
              <w:top w:w="0" w:type="dxa"/>
              <w:left w:w="0" w:type="dxa"/>
              <w:bottom w:w="0" w:type="dxa"/>
              <w:right w:w="0" w:type="dxa"/>
            </w:tcMar>
            <w:vAlign w:val="center"/>
          </w:tcPr>
          <w:p w14:paraId="63821179">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(−0.002–0.003)</w:t>
            </w:r>
          </w:p>
        </w:tc>
      </w:tr>
      <w:tr w14:paraId="1AB53A44">
        <w:tblPrEx>
          <w:tblCellMar>
            <w:top w:w="0" w:type="dxa"/>
            <w:left w:w="108" w:type="dxa"/>
            <w:bottom w:w="0" w:type="dxa"/>
            <w:right w:w="108" w:type="dxa"/>
          </w:tblCellMar>
        </w:tblPrEx>
        <w:trPr>
          <w:trHeight w:val="0" w:hRule="atLeast"/>
          <w:jc w:val="center"/>
        </w:trPr>
        <w:tc>
          <w:tcPr>
            <w:tcW w:w="3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2877A37">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0.30</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99F2D41">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−0.001</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(−0.002–0.001)</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2F490D5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(−0.001–0.002)</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066C5F68">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3869DC6">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912AE5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12F2ABF5">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(−0.001–0.001)</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88975E4">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(−0.005–0.000)</w:t>
            </w:r>
          </w:p>
        </w:tc>
        <w:tc>
          <w:tcPr>
            <w:tcW w:w="51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7DF36ABB">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0.002</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(0.000–0.003)</w:t>
            </w:r>
          </w:p>
        </w:tc>
        <w:tc>
          <w:tcPr>
            <w:tcW w:w="571"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51142FF0">
            <w:pPr>
              <w:pBdr>
                <w:top w:val="none" w:color="000000" w:sz="0" w:space="0"/>
                <w:left w:val="none" w:color="000000" w:sz="0" w:space="0"/>
                <w:bottom w:val="none" w:color="000000" w:sz="0" w:space="0"/>
                <w:right w:val="none" w:color="000000" w:sz="0" w:space="0"/>
              </w:pBdr>
              <w:spacing w:before="10" w:after="10" w:line="240" w:lineRule="auto"/>
              <w:ind w:left="10" w:right="10" w:firstLine="0" w:firstLineChars="0"/>
              <w:jc w:val="center"/>
              <w:rPr>
                <w:rFonts w:ascii="Times New Roman" w:hAnsi="Times New Roman" w:eastAsia="Times New Roman" w:cs="Times New Roman"/>
                <w:b w:val="0"/>
                <w:i w:val="0"/>
                <w:strike w:val="0"/>
                <w:color w:val="000000"/>
                <w:sz w:val="15"/>
                <w:szCs w:val="15"/>
                <w:u w:val="none"/>
              </w:rPr>
            </w:pPr>
            <w:r>
              <w:rPr>
                <w:rFonts w:ascii="Times New Roman" w:hAnsi="Times New Roman" w:eastAsia="Times New Roman" w:cs="Times New Roman"/>
                <w:b w:val="0"/>
                <w:i w:val="0"/>
                <w:strike w:val="0"/>
                <w:color w:val="000000"/>
                <w:sz w:val="15"/>
                <w:szCs w:val="15"/>
                <w:u w:val="none"/>
              </w:rPr>
              <w:t>0.000</w:t>
            </w:r>
            <w:r>
              <w:rPr>
                <w:rFonts w:ascii="Times New Roman" w:hAnsi="Times New Roman" w:eastAsia="Times New Roman" w:cs="Times New Roman"/>
                <w:b w:val="0"/>
                <w:i w:val="0"/>
                <w:strike w:val="0"/>
                <w:color w:val="000000"/>
                <w:sz w:val="15"/>
                <w:szCs w:val="15"/>
                <w:u w:val="none"/>
              </w:rPr>
              <w:br w:type="textWrapping"/>
            </w:r>
            <w:r>
              <w:rPr>
                <w:rFonts w:ascii="Times New Roman" w:hAnsi="Times New Roman" w:eastAsia="Times New Roman" w:cs="Times New Roman"/>
                <w:b w:val="0"/>
                <w:i w:val="0"/>
                <w:strike w:val="0"/>
                <w:color w:val="000000"/>
                <w:sz w:val="15"/>
                <w:szCs w:val="15"/>
                <w:u w:val="none"/>
              </w:rPr>
              <w:t>(−0.002–0.002)</w:t>
            </w:r>
          </w:p>
        </w:tc>
      </w:tr>
    </w:tbl>
    <w:p w14:paraId="3FDD2A9A">
      <w:pPr>
        <w:pBdr>
          <w:top w:val="none" w:color="000000" w:sz="0" w:space="0"/>
          <w:left w:val="none" w:color="000000" w:sz="0" w:space="0"/>
          <w:bottom w:val="none" w:color="000000" w:sz="0" w:space="0"/>
          <w:right w:val="none" w:color="000000" w:sz="0" w:space="0"/>
        </w:pBdr>
        <w:spacing w:before="40" w:line="360" w:lineRule="auto"/>
        <w:rPr>
          <w:rFonts w:hint="eastAsia" w:ascii="Times New Roman" w:hAnsi="Times New Roman" w:eastAsia="Times New Roman" w:cs="Times New Roman"/>
          <w:b w:val="0"/>
          <w:i w:val="0"/>
          <w:strike w:val="0"/>
          <w:color w:val="000000"/>
          <w:sz w:val="15"/>
          <w:szCs w:val="15"/>
          <w:u w:val="none"/>
        </w:rPr>
      </w:pPr>
      <w:r>
        <w:rPr>
          <w:rFonts w:hint="eastAsia" w:ascii="Times New Roman" w:hAnsi="Times New Roman" w:eastAsia="Times New Roman" w:cs="Times New Roman"/>
          <w:b w:val="0"/>
          <w:i w:val="0"/>
          <w:strike w:val="0"/>
          <w:color w:val="000000"/>
          <w:sz w:val="15"/>
          <w:szCs w:val="15"/>
          <w:u w:val="none"/>
        </w:rPr>
        <w:t>Panel A reports net benefit point estimates with bootstrap 95% confidence intervals for the RF updating strategies and the treat all reference, with values rounded to three decimal places. Panel B reports paired differences in net benefit, calculated as each time aware RF updating strategy minus the all history RF at the same threshold probability, with paired bootstrap 95% confidence intervals. Decision curve analysis was evaluated across threshold probabilities from 0.01 to 0.30 at 0.01 intervals. Patient level net benefit contributions were calculated within each of the 10 multiply imputed datasets and averaged across imputations. Five hundred bootstrap samples were generated by resampling patients with replacement within each target year, with the same bootstrap samples applied to all strategies. Percentile 95% confidence intervals were obtained from the 2.5th and 97.5th percentiles of the corresponding bootstrap distributions. The treat none strategy has a net benefit of zero at all threshold probabilities and is therefore omitted. HL, half life weighted RF; RW, rolling window RF; DCA, decision curve analysis; RF, random forest.</w:t>
      </w:r>
    </w:p>
    <w:sectPr>
      <w:type w:val="continuous"/>
      <w:pgSz w:w="16838" w:h="11906" w:orient="landscape"/>
      <w:pgMar w:top="648" w:right="648" w:bottom="648" w:left="648"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Lucida Grande">
    <w:altName w:val="Courier New"/>
    <w:panose1 w:val="00000000000000000000"/>
    <w:charset w:val="00"/>
    <w:family w:val="auto"/>
    <w:pitch w:val="default"/>
    <w:sig w:usb0="00000000" w:usb1="00000000" w:usb2="00000000" w:usb3="00000000" w:csb0="000001B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925FD"/>
    <w:multiLevelType w:val="multilevel"/>
    <w:tmpl w:val="07E925FD"/>
    <w:lvl w:ilvl="0" w:tentative="0">
      <w:start w:val="1"/>
      <w:numFmt w:val="decimal"/>
      <w:pStyle w:val="2"/>
      <w:lvlText w:val="%1."/>
      <w:lvlJc w:val="left"/>
      <w:pPr>
        <w:ind w:left="360" w:hanging="360"/>
      </w:pPr>
    </w:lvl>
    <w:lvl w:ilvl="1" w:tentative="0">
      <w:start w:val="1"/>
      <w:numFmt w:val="decimal"/>
      <w:pStyle w:val="3"/>
      <w:lvlText w:val="%1.%2."/>
      <w:lvlJc w:val="left"/>
      <w:pPr>
        <w:ind w:left="792" w:hanging="432"/>
      </w:pPr>
    </w:lvl>
    <w:lvl w:ilvl="2" w:tentative="0">
      <w:start w:val="1"/>
      <w:numFmt w:val="decimal"/>
      <w:pStyle w:val="4"/>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79D"/>
    <w:rsid w:val="00036527"/>
    <w:rsid w:val="00073835"/>
    <w:rsid w:val="000F168B"/>
    <w:rsid w:val="001379FE"/>
    <w:rsid w:val="001C0A13"/>
    <w:rsid w:val="001D75AB"/>
    <w:rsid w:val="0035500D"/>
    <w:rsid w:val="00356F44"/>
    <w:rsid w:val="00362E65"/>
    <w:rsid w:val="004158F9"/>
    <w:rsid w:val="00457CF1"/>
    <w:rsid w:val="00651513"/>
    <w:rsid w:val="00747CCE"/>
    <w:rsid w:val="007B3E96"/>
    <w:rsid w:val="008F1F48"/>
    <w:rsid w:val="00901463"/>
    <w:rsid w:val="00946CB3"/>
    <w:rsid w:val="00AE18EF"/>
    <w:rsid w:val="00AE1BDD"/>
    <w:rsid w:val="00B3547C"/>
    <w:rsid w:val="00B4379D"/>
    <w:rsid w:val="00C27329"/>
    <w:rsid w:val="00C31EEB"/>
    <w:rsid w:val="00F02CE2"/>
    <w:rsid w:val="00F12158"/>
    <w:rsid w:val="00FB63E7"/>
    <w:rsid w:val="00FC557F"/>
    <w:rsid w:val="056F71ED"/>
    <w:rsid w:val="0A1206D4"/>
    <w:rsid w:val="0AE04F4A"/>
    <w:rsid w:val="0BD66E56"/>
    <w:rsid w:val="0D4B2755"/>
    <w:rsid w:val="0ECC5B9A"/>
    <w:rsid w:val="16ED468E"/>
    <w:rsid w:val="22FA4207"/>
    <w:rsid w:val="24E04610"/>
    <w:rsid w:val="26881050"/>
    <w:rsid w:val="291C4014"/>
    <w:rsid w:val="2AEA324F"/>
    <w:rsid w:val="2C397BB6"/>
    <w:rsid w:val="2CDF58FE"/>
    <w:rsid w:val="2D6810C5"/>
    <w:rsid w:val="340B5E3D"/>
    <w:rsid w:val="352B4C82"/>
    <w:rsid w:val="38444167"/>
    <w:rsid w:val="3A92280F"/>
    <w:rsid w:val="3CB50F6A"/>
    <w:rsid w:val="3E6E61CC"/>
    <w:rsid w:val="402A3E15"/>
    <w:rsid w:val="45017B0B"/>
    <w:rsid w:val="4EC15F20"/>
    <w:rsid w:val="521A1920"/>
    <w:rsid w:val="5526035A"/>
    <w:rsid w:val="5782311E"/>
    <w:rsid w:val="57DA7CD5"/>
    <w:rsid w:val="57E95A90"/>
    <w:rsid w:val="5E9465B6"/>
    <w:rsid w:val="6651270D"/>
    <w:rsid w:val="6A5C61DA"/>
    <w:rsid w:val="6EFC05F5"/>
    <w:rsid w:val="70F17C2C"/>
    <w:rsid w:val="72FF5B6F"/>
    <w:rsid w:val="732851D4"/>
    <w:rsid w:val="78CB183B"/>
    <w:rsid w:val="7ABB519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1"/>
    <w:basedOn w:val="1"/>
    <w:next w:val="1"/>
    <w:link w:val="18"/>
    <w:qFormat/>
    <w:uiPriority w:val="9"/>
    <w:pPr>
      <w:keepNext/>
      <w:keepLines/>
      <w:numPr>
        <w:ilvl w:val="0"/>
        <w:numId w:val="1"/>
      </w:numPr>
      <w:pBdr>
        <w:bottom w:val="single" w:color="auto" w:sz="4" w:space="1"/>
      </w:pBdr>
      <w:spacing w:before="480"/>
      <w:outlineLvl w:val="0"/>
    </w:pPr>
    <w:rPr>
      <w:rFonts w:asciiTheme="majorHAnsi" w:hAnsiTheme="majorHAnsi" w:eastAsiaTheme="majorEastAsia" w:cstheme="majorBidi"/>
      <w:b/>
      <w:bCs/>
      <w:sz w:val="32"/>
      <w:szCs w:val="32"/>
    </w:rPr>
  </w:style>
  <w:style w:type="paragraph" w:styleId="3">
    <w:name w:val="heading 2"/>
    <w:basedOn w:val="1"/>
    <w:next w:val="1"/>
    <w:link w:val="19"/>
    <w:semiHidden/>
    <w:unhideWhenUsed/>
    <w:qFormat/>
    <w:uiPriority w:val="9"/>
    <w:pPr>
      <w:keepNext/>
      <w:keepLines/>
      <w:numPr>
        <w:ilvl w:val="1"/>
        <w:numId w:val="1"/>
      </w:num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20"/>
    <w:semiHidden/>
    <w:unhideWhenUsed/>
    <w:qFormat/>
    <w:uiPriority w:val="9"/>
    <w:pPr>
      <w:keepNext/>
      <w:keepLines/>
      <w:numPr>
        <w:ilvl w:val="2"/>
        <w:numId w:val="1"/>
      </w:numPr>
      <w:spacing w:before="200"/>
      <w:outlineLvl w:val="2"/>
    </w:pPr>
    <w:rPr>
      <w:rFonts w:asciiTheme="majorHAnsi" w:hAnsiTheme="majorHAnsi" w:eastAsiaTheme="majorEastAsia" w:cstheme="majorBidi"/>
      <w:b/>
      <w:bCs/>
    </w:rPr>
  </w:style>
  <w:style w:type="character" w:default="1" w:styleId="13">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7"/>
    <w:semiHidden/>
    <w:unhideWhenUsed/>
    <w:qFormat/>
    <w:uiPriority w:val="99"/>
  </w:style>
  <w:style w:type="paragraph" w:styleId="6">
    <w:name w:val="Balloon Text"/>
    <w:basedOn w:val="1"/>
    <w:link w:val="23"/>
    <w:semiHidden/>
    <w:unhideWhenUsed/>
    <w:qFormat/>
    <w:uiPriority w:val="99"/>
    <w:rPr>
      <w:rFonts w:ascii="Lucida Grande" w:hAnsi="Lucida Grande"/>
      <w:sz w:val="18"/>
      <w:szCs w:val="18"/>
    </w:rPr>
  </w:style>
  <w:style w:type="paragraph" w:styleId="7">
    <w:name w:val="toc 1"/>
    <w:basedOn w:val="1"/>
    <w:next w:val="1"/>
    <w:autoRedefine/>
    <w:unhideWhenUsed/>
    <w:qFormat/>
    <w:uiPriority w:val="39"/>
    <w:pPr>
      <w:spacing w:after="100"/>
    </w:pPr>
  </w:style>
  <w:style w:type="paragraph" w:styleId="8">
    <w:name w:val="toc 2"/>
    <w:basedOn w:val="1"/>
    <w:next w:val="1"/>
    <w:autoRedefine/>
    <w:unhideWhenUsed/>
    <w:qFormat/>
    <w:uiPriority w:val="39"/>
    <w:pPr>
      <w:spacing w:after="100"/>
      <w:ind w:left="240"/>
    </w:pPr>
  </w:style>
  <w:style w:type="paragraph" w:styleId="9">
    <w:name w:val="annotation subject"/>
    <w:basedOn w:val="5"/>
    <w:next w:val="5"/>
    <w:link w:val="28"/>
    <w:semiHidden/>
    <w:unhideWhenUsed/>
    <w:qFormat/>
    <w:uiPriority w:val="99"/>
    <w:rPr>
      <w:b/>
      <w:bCs/>
    </w:rPr>
  </w:style>
  <w:style w:type="table" w:styleId="11">
    <w:name w:val="Table Professional"/>
    <w:basedOn w:val="10"/>
    <w:semiHidden/>
    <w:unhideWhenUsed/>
    <w:qFormat/>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table" w:styleId="12">
    <w:name w:val="Light List Accent 2"/>
    <w:basedOn w:val="1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character" w:styleId="14">
    <w:name w:val="annotation reference"/>
    <w:basedOn w:val="13"/>
    <w:semiHidden/>
    <w:unhideWhenUsed/>
    <w:qFormat/>
    <w:uiPriority w:val="99"/>
    <w:rPr>
      <w:sz w:val="21"/>
      <w:szCs w:val="21"/>
    </w:rPr>
  </w:style>
  <w:style w:type="character" w:customStyle="1" w:styleId="15">
    <w:name w:val="要点1"/>
    <w:basedOn w:val="13"/>
    <w:qFormat/>
    <w:uiPriority w:val="1"/>
    <w:rPr>
      <w:b/>
    </w:rPr>
  </w:style>
  <w:style w:type="paragraph" w:customStyle="1" w:styleId="16">
    <w:name w:val="centered"/>
    <w:basedOn w:val="1"/>
    <w:qFormat/>
    <w:uiPriority w:val="0"/>
    <w:pPr>
      <w:jc w:val="center"/>
    </w:pPr>
  </w:style>
  <w:style w:type="table" w:customStyle="1" w:styleId="17">
    <w:name w:val="table_template"/>
    <w:basedOn w:val="10"/>
    <w:qFormat/>
    <w:uiPriority w:val="59"/>
    <w:pPr>
      <w:jc w:val="right"/>
    </w:pPr>
    <w:tblPr>
      <w:jc w:val="center"/>
      <w:tblBorders>
        <w:top w:val="single" w:color="auto" w:sz="8" w:space="0"/>
        <w:bottom w:val="single" w:color="auto" w:sz="8" w:space="0"/>
        <w:insideH w:val="single" w:color="auto" w:sz="8" w:space="0"/>
      </w:tblBorders>
    </w:tblPr>
    <w:trPr>
      <w:jc w:val="center"/>
    </w:trPr>
    <w:tblStylePr w:type="firstRow">
      <w:rPr>
        <w:b/>
      </w:rPr>
      <w:tcPr>
        <w:tcBorders>
          <w:top w:val="nil"/>
          <w:left w:val="nil"/>
          <w:bottom w:val="single" w:color="auto" w:sz="18" w:space="0"/>
          <w:right w:val="nil"/>
          <w:insideH w:val="nil"/>
          <w:insideV w:val="nil"/>
          <w:tl2br w:val="nil"/>
          <w:tr2bl w:val="nil"/>
        </w:tcBorders>
      </w:tcPr>
    </w:tblStylePr>
  </w:style>
  <w:style w:type="character" w:customStyle="1" w:styleId="18">
    <w:name w:val="标题 1 字符"/>
    <w:basedOn w:val="13"/>
    <w:link w:val="2"/>
    <w:qFormat/>
    <w:uiPriority w:val="9"/>
    <w:rPr>
      <w:rFonts w:asciiTheme="majorHAnsi" w:hAnsiTheme="majorHAnsi" w:eastAsiaTheme="majorEastAsia" w:cstheme="majorBidi"/>
      <w:b/>
      <w:bCs/>
      <w:sz w:val="32"/>
      <w:szCs w:val="32"/>
    </w:rPr>
  </w:style>
  <w:style w:type="character" w:customStyle="1" w:styleId="19">
    <w:name w:val="标题 2 字符"/>
    <w:basedOn w:val="13"/>
    <w:link w:val="3"/>
    <w:semiHidden/>
    <w:qFormat/>
    <w:uiPriority w:val="9"/>
    <w:rPr>
      <w:rFonts w:asciiTheme="majorHAnsi" w:hAnsiTheme="majorHAnsi" w:eastAsiaTheme="majorEastAsia" w:cstheme="majorBidi"/>
      <w:b/>
      <w:bCs/>
      <w:sz w:val="26"/>
      <w:szCs w:val="26"/>
    </w:rPr>
  </w:style>
  <w:style w:type="character" w:customStyle="1" w:styleId="20">
    <w:name w:val="标题 3 字符"/>
    <w:basedOn w:val="13"/>
    <w:link w:val="4"/>
    <w:semiHidden/>
    <w:qFormat/>
    <w:uiPriority w:val="9"/>
    <w:rPr>
      <w:rFonts w:asciiTheme="majorHAnsi" w:hAnsiTheme="majorHAnsi" w:eastAsiaTheme="majorEastAsia" w:cstheme="majorBidi"/>
      <w:b/>
      <w:bCs/>
    </w:rPr>
  </w:style>
  <w:style w:type="paragraph" w:customStyle="1" w:styleId="21">
    <w:name w:val="Image Caption"/>
    <w:basedOn w:val="1"/>
    <w:qFormat/>
    <w:uiPriority w:val="0"/>
    <w:pPr>
      <w:jc w:val="center"/>
    </w:pPr>
    <w:rPr>
      <w:b/>
      <w:i/>
    </w:rPr>
  </w:style>
  <w:style w:type="paragraph" w:customStyle="1" w:styleId="22">
    <w:name w:val="Table Caption"/>
    <w:basedOn w:val="21"/>
    <w:qFormat/>
    <w:uiPriority w:val="0"/>
  </w:style>
  <w:style w:type="character" w:customStyle="1" w:styleId="23">
    <w:name w:val="批注框文本 字符"/>
    <w:basedOn w:val="13"/>
    <w:link w:val="6"/>
    <w:semiHidden/>
    <w:qFormat/>
    <w:uiPriority w:val="99"/>
    <w:rPr>
      <w:rFonts w:ascii="Lucida Grande" w:hAnsi="Lucida Grande"/>
      <w:sz w:val="18"/>
      <w:szCs w:val="18"/>
    </w:rPr>
  </w:style>
  <w:style w:type="character" w:customStyle="1" w:styleId="24">
    <w:name w:val="reference_id"/>
    <w:basedOn w:val="13"/>
    <w:qFormat/>
    <w:uiPriority w:val="1"/>
    <w:rPr>
      <w:vertAlign w:val="superscript"/>
    </w:rPr>
  </w:style>
  <w:style w:type="paragraph" w:customStyle="1" w:styleId="25">
    <w:name w:val="graphic title"/>
    <w:basedOn w:val="21"/>
    <w:next w:val="1"/>
    <w:qFormat/>
    <w:uiPriority w:val="0"/>
  </w:style>
  <w:style w:type="paragraph" w:customStyle="1" w:styleId="26">
    <w:name w:val="table title"/>
    <w:basedOn w:val="22"/>
    <w:next w:val="1"/>
    <w:qFormat/>
    <w:uiPriority w:val="0"/>
  </w:style>
  <w:style w:type="character" w:customStyle="1" w:styleId="27">
    <w:name w:val="批注文字 字符"/>
    <w:basedOn w:val="13"/>
    <w:link w:val="5"/>
    <w:semiHidden/>
    <w:qFormat/>
    <w:uiPriority w:val="99"/>
    <w:rPr>
      <w:sz w:val="24"/>
      <w:szCs w:val="24"/>
      <w:lang w:eastAsia="en-US"/>
    </w:rPr>
  </w:style>
  <w:style w:type="character" w:customStyle="1" w:styleId="28">
    <w:name w:val="批注主题 字符"/>
    <w:basedOn w:val="27"/>
    <w:link w:val="9"/>
    <w:semiHidden/>
    <w:qFormat/>
    <w:uiPriority w:val="99"/>
    <w:rPr>
      <w:b/>
      <w:bCs/>
      <w:sz w:val="24"/>
      <w:szCs w:val="24"/>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25</Pages>
  <Words>436</Words>
  <Characters>3097</Characters>
  <Lines>3363</Lines>
  <Paragraphs>2837</Paragraphs>
  <TotalTime>30</TotalTime>
  <ScaleCrop>false</ScaleCrop>
  <LinksUpToDate>false</LinksUpToDate>
  <CharactersWithSpaces>3397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2017-02-28T11:18:00Z</dcterms:created>
  <dc:creator>米赖赖</dc:creator>
  <cp:lastModifiedBy>米赖赖</cp:lastModifiedBy>
  <dcterms:modified xsi:type="dcterms:W3CDTF">2026-07-21T15:12:42Z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eyJoZGlkIjoiNTU0ZmIwYTQ3NzlmZGUxZmU3Zjk0M2IyZTNmM2IxNjAiLCJ1c2VySWQiOiI0MjI0NDgxNjgifQ==</vt:lpwstr>
  </property>
  <property fmtid="{D5CDD505-2E9C-101B-9397-08002B2CF9AE}" pid="3" name="KSOProductBuildVer">
    <vt:lpwstr>2052-12.1.0.26895</vt:lpwstr>
  </property>
  <property fmtid="{D5CDD505-2E9C-101B-9397-08002B2CF9AE}" pid="4" name="ICV">
    <vt:lpwstr>46E9688986794DA181E723DB34EBA26D_13</vt:lpwstr>
  </property>
</Properties>
</file>