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D6272">
      <w:r>
        <w:rPr>
          <w:b/>
          <w:sz w:val="26"/>
        </w:rPr>
        <w:t>Additional file 4: Figures S1–S2</w:t>
      </w:r>
    </w:p>
    <w:p w14:paraId="772D132F">
      <w:r>
        <w:drawing>
          <wp:inline distT="0" distB="0" distL="114300" distR="114300">
            <wp:extent cx="4859655" cy="5716905"/>
            <wp:effectExtent l="0" t="0" r="17145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571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EAB0F6">
      <w:pPr>
        <w:spacing w:line="360" w:lineRule="auto"/>
        <w:jc w:val="both"/>
      </w:pPr>
      <w:r>
        <w:rPr>
          <w:b/>
        </w:rPr>
        <w:t xml:space="preserve">Fig. S1. Annual IVIGR rates by center. </w:t>
      </w:r>
      <w:r>
        <w:t xml:space="preserve">Annual IVIG resistance (IVIGR) rates are shown for each participating center across the calendar years </w:t>
      </w:r>
      <w:r>
        <w:rPr/>
        <w:t xml:space="preserve">for which data were available. Point size is proportional to the annual number of eligible patients. FJSL, Fuzhou University Affiliated Provincial Hospital; FZFY, Fujian Provincial Maternal and Child Health Hospital; </w:t>
      </w:r>
      <w:r>
        <w:t>Suzhou, Children’s Hospital of Soochow University; Yangzhou, The Affiliated Hospital of Yangzhou University. IVIGR, intravenous immunoglobulin resistance.</w:t>
      </w:r>
    </w:p>
    <w:p w14:paraId="2224529F">
      <w:pPr>
        <w:jc w:val="both"/>
      </w:pPr>
      <w:r>
        <w:br w:type="page"/>
      </w:r>
    </w:p>
    <w:p w14:paraId="5C6991B3">
      <w:r>
        <w:drawing>
          <wp:inline distT="0" distB="0" distL="114300" distR="114300">
            <wp:extent cx="5759450" cy="4239895"/>
            <wp:effectExtent l="0" t="0" r="1270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24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568C">
      <w:pPr>
        <w:spacing w:line="360" w:lineRule="auto"/>
        <w:jc w:val="both"/>
      </w:pPr>
      <w:r>
        <w:rPr>
          <w:b/>
        </w:rPr>
        <w:t xml:space="preserve">Fig. S2. Discrimination, prediction error, and calibration of RF updating strategies. </w:t>
      </w:r>
      <w:r>
        <w:t>(A) Mean annual AUC and Brier score, (B) calibration intercept, and (C) calibration slope and O/E ratio for all history RF, calendar year adjusted RF, rolling window RF with 3 and 5 year windows, and half-life weighted RF with half-lives of 1 to 6 years. Estimates were averaged across the 2015–2024 target years and the 10 multiply imputed datasets. Dashed horizontal lines indicate the ideal values of 0 for the calibration intercept and 1 for the calibration slope and O/E ratio. AUC, area under the receiver operating characteristic curve; HL, half-life weighted RF; O/E, observed to expected ratio; RF, random forest.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1C6DA3CD-4AD3-405D-A06A-30232BFE25B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908C17B1-C81A-4A6C-A4D1-8653A03CBCF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8E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1070</Characters>
  <Lines>0</Lines>
  <Paragraphs>0</Paragraphs>
  <TotalTime>0</TotalTime>
  <ScaleCrop>false</ScaleCrop>
  <LinksUpToDate>false</LinksUpToDate>
  <CharactersWithSpaces>1253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米赖赖</cp:lastModifiedBy>
  <dcterms:modified xsi:type="dcterms:W3CDTF">2026-09-23T06:36:30Z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eyJoZGlkIjoiNTU0ZmIwYTQ3NzlmZGUxZmU3Zjk0M2IyZTNmM2IxNjAiLCJ1c2VySWQiOiI0MjI0NDgxNjgifQ==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DE82E34E12E64939BFDF1E61D8BEEDCF_12</vt:lpwstr>
  </property>
</Properties>
</file>