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after="100" w:afterAutospacing="1" w:line="360" w:lineRule="auto"/>
        <w:jc w:val="center"/>
        <w:rPr>
          <w:rFonts w:hint="eastAsia" w:ascii="Times New Roman" w:hAnsi="Times New Roman" w:cs="Times New Roman"/>
          <w:b/>
          <w:bCs/>
          <w:color w:val="00B0F0"/>
          <w:sz w:val="30"/>
          <w:szCs w:val="30"/>
          <w:lang w:val="en-US" w:eastAsia="zh-CN"/>
        </w:rPr>
      </w:pPr>
      <w:r>
        <w:rPr>
          <w:rFonts w:hint="eastAsia" w:ascii="Times New Roman" w:hAnsi="Times New Roman" w:cs="Times New Roman"/>
          <w:b/>
          <w:bCs/>
          <w:color w:val="00B0F0"/>
          <w:sz w:val="30"/>
          <w:szCs w:val="30"/>
        </w:rPr>
        <w:t>Altered Brain Activity and Childhood Trauma Associate with Gene and Neurotransmitter Patterns in Transgender Women</w:t>
      </w:r>
      <w:r>
        <w:rPr>
          <w:rFonts w:hint="eastAsia" w:ascii="Times New Roman" w:hAnsi="Times New Roman" w:cs="Times New Roman"/>
          <w:b/>
          <w:bCs/>
          <w:color w:val="00B0F0"/>
          <w:sz w:val="30"/>
          <w:szCs w:val="30"/>
          <w:lang w:val="en-US" w:eastAsia="zh-CN"/>
        </w:rPr>
        <w:t xml:space="preserve"> with Gender Dysphoria</w:t>
      </w:r>
    </w:p>
    <w:p>
      <w:pPr>
        <w:spacing w:before="100" w:beforeAutospacing="1" w:after="100" w:afterAutospacing="1" w:line="360" w:lineRule="auto"/>
        <w:jc w:val="center"/>
        <w:rPr>
          <w:rFonts w:hint="eastAsia" w:ascii="Times New Roman" w:hAnsi="Times New Roman" w:cs="Times New Roman"/>
          <w:b/>
          <w:bCs/>
          <w:color w:val="00B0F0"/>
          <w:sz w:val="30"/>
          <w:szCs w:val="30"/>
          <w:lang w:val="en-US" w:eastAsia="zh-CN"/>
        </w:rPr>
      </w:pPr>
      <w:r>
        <w:rPr>
          <w:rFonts w:hint="eastAsia" w:ascii="Times New Roman" w:hAnsi="Times New Roman" w:cs="Times New Roman"/>
          <w:b/>
          <w:bCs/>
          <w:color w:val="00B0F0"/>
          <w:sz w:val="30"/>
          <w:szCs w:val="30"/>
          <w:lang w:val="en-US" w:eastAsia="zh-CN"/>
        </w:rPr>
        <w:t>Additional File 1</w:t>
      </w:r>
    </w:p>
    <w:p>
      <w:pPr>
        <w:spacing w:line="360" w:lineRule="auto"/>
        <w:rPr>
          <w:rFonts w:ascii="Times New Roman" w:hAnsi="Times New Roman" w:cs="Times New Roman"/>
          <w:b/>
          <w:sz w:val="24"/>
        </w:rPr>
      </w:pPr>
      <w:bookmarkStart w:id="0" w:name="OLE_LINK2"/>
      <w:r>
        <w:rPr>
          <w:rFonts w:hint="eastAsia" w:ascii="Times New Roman" w:hAnsi="Times New Roman" w:cs="Times New Roman"/>
          <w:b/>
          <w:color w:val="00B0F0"/>
          <w:sz w:val="24"/>
        </w:rPr>
        <w:t xml:space="preserve">Section 1: </w:t>
      </w:r>
      <w:r>
        <w:rPr>
          <w:rFonts w:ascii="Times New Roman" w:hAnsi="Times New Roman" w:cs="Times New Roman"/>
          <w:b/>
          <w:sz w:val="24"/>
        </w:rPr>
        <w:t xml:space="preserve">MRI Data </w:t>
      </w:r>
      <w:bookmarkEnd w:id="0"/>
      <w:r>
        <w:rPr>
          <w:rFonts w:ascii="Times New Roman" w:hAnsi="Times New Roman" w:cs="Times New Roman"/>
          <w:b/>
          <w:sz w:val="24"/>
        </w:rPr>
        <w:t>Acquisition</w:t>
      </w:r>
    </w:p>
    <w:p>
      <w:pPr>
        <w:spacing w:line="360" w:lineRule="auto"/>
        <w:rPr>
          <w:rFonts w:ascii="Times New Roman" w:hAnsi="Times New Roman" w:cs="Times New Roman"/>
          <w:b/>
          <w:sz w:val="24"/>
        </w:rPr>
      </w:pPr>
    </w:p>
    <w:p>
      <w:pPr>
        <w:spacing w:line="360" w:lineRule="auto"/>
        <w:rPr>
          <w:rFonts w:hint="default" w:ascii="Times New Roman" w:hAnsi="Times New Roman" w:cs="Times New Roman" w:eastAsiaTheme="minorEastAsia"/>
          <w:sz w:val="24"/>
          <w:lang w:val="en-US" w:eastAsia="zh-CN"/>
        </w:rPr>
      </w:pPr>
      <w:r>
        <w:rPr>
          <w:rFonts w:hint="eastAsia" w:ascii="Times New Roman" w:hAnsi="Times New Roman" w:cs="Times New Roman"/>
          <w:sz w:val="24"/>
        </w:rPr>
        <w:t>Data were collected using a GE Discovery MR750 3.0T system equipped with an 8-channel phased-array head coil</w:t>
      </w:r>
      <w:r>
        <w:rPr>
          <w:rFonts w:ascii="Times New Roman" w:hAnsi="Times New Roman" w:cs="Times New Roman"/>
          <w:sz w:val="24"/>
        </w:rPr>
        <w:t>.</w:t>
      </w:r>
      <w:r>
        <w:rPr>
          <w:rFonts w:hint="eastAsia" w:ascii="Times New Roman" w:hAnsi="Times New Roman" w:cs="Times New Roman"/>
          <w:sz w:val="24"/>
        </w:rPr>
        <w:t xml:space="preserve"> </w:t>
      </w:r>
      <w:r>
        <w:rPr>
          <w:rFonts w:hint="eastAsia" w:ascii="Times New Roman" w:hAnsi="Times New Roman" w:cs="Times New Roman"/>
          <w:sz w:val="24"/>
          <w:lang w:val="en-US" w:eastAsia="zh-CN"/>
        </w:rPr>
        <w:t>During the scanning procedure, all participants were positioned supine with their heads entering the scanner first. Foam padding was symmetrically placed on both sides of the head to minimize movement. They were instructed to keep their eyes closed, remain relaxed, and stay awake throughout the session. Post-scan verification confirmed that none of the participants had fallen asleep during the data acquisition.</w:t>
      </w:r>
    </w:p>
    <w:p>
      <w:pPr>
        <w:spacing w:line="360" w:lineRule="auto"/>
        <w:rPr>
          <w:rFonts w:ascii="Times New Roman" w:hAnsi="Times New Roman" w:cs="Times New Roman"/>
          <w:sz w:val="24"/>
        </w:rPr>
      </w:pPr>
    </w:p>
    <w:p>
      <w:pPr>
        <w:spacing w:line="360" w:lineRule="auto"/>
        <w:rPr>
          <w:rFonts w:ascii="Times New Roman" w:hAnsi="Times New Roman" w:cs="Times New Roman"/>
          <w:sz w:val="24"/>
        </w:rPr>
      </w:pPr>
      <w:r>
        <w:rPr>
          <w:rFonts w:ascii="Times New Roman" w:hAnsi="Times New Roman" w:cs="Times New Roman"/>
          <w:sz w:val="24"/>
        </w:rPr>
        <w:t>A gradient-echo echo-planar imaging sequence, configured with these parameters, was utilized to gather the rs-fMRI data: time repetition/time echo (TR/TE) = 2000/25 ms, voxel size = 3.75 × 3.75 × 3 mm</w:t>
      </w:r>
      <w:r>
        <w:rPr>
          <w:rFonts w:ascii="Times New Roman" w:hAnsi="Times New Roman" w:cs="Times New Roman"/>
          <w:sz w:val="24"/>
          <w:vertAlign w:val="superscript"/>
        </w:rPr>
        <w:t>3</w:t>
      </w:r>
      <w:r>
        <w:rPr>
          <w:rFonts w:hint="eastAsia" w:ascii="Times New Roman" w:hAnsi="Times New Roman" w:cs="Times New Roman"/>
          <w:sz w:val="24"/>
        </w:rPr>
        <w:t>,</w:t>
      </w:r>
      <w:r>
        <w:rPr>
          <w:rFonts w:ascii="Times New Roman" w:hAnsi="Times New Roman" w:cs="Times New Roman"/>
          <w:sz w:val="24"/>
        </w:rPr>
        <w:t xml:space="preserve"> flip angle = 90◦, field of view (FOV) = 240 × 240 mm</w:t>
      </w:r>
      <w:r>
        <w:rPr>
          <w:rFonts w:ascii="Times New Roman" w:hAnsi="Times New Roman" w:cs="Times New Roman"/>
          <w:sz w:val="24"/>
          <w:vertAlign w:val="superscript"/>
        </w:rPr>
        <w:t>2</w:t>
      </w:r>
      <w:r>
        <w:rPr>
          <w:rFonts w:ascii="Times New Roman" w:hAnsi="Times New Roman" w:cs="Times New Roman"/>
          <w:sz w:val="24"/>
        </w:rPr>
        <w:t>, slice thickness/gap = 3.0/1.0 mm, matrix = 64 × 64, 35 transversal slices, and 210 scans in 7 min.</w:t>
      </w:r>
      <w:r>
        <w:t xml:space="preserve"> </w:t>
      </w:r>
      <w:r>
        <w:rPr>
          <w:rFonts w:ascii="Times New Roman" w:hAnsi="Times New Roman" w:cs="Times New Roman"/>
          <w:sz w:val="24"/>
        </w:rPr>
        <w:t>Moreover, a three-dimensional brain volume imaging sequence encompassing the entire brain was employed to gather the structural data with these parameters: flip angle = 12◦, TR/TE = 8.2/3.2 ms, slice thickness/gap = 1.0/0 mm, bandwidth = 31.25 Hz, matrix = 256 × 256, NEX = 1, FOV = 240 × 240 mm, and acquisition time = 3 min 45 s. To rule out any anatomical abnormalities, routine examination images were also obtained by two skilled neuroradiologists</w:t>
      </w:r>
      <w:r>
        <w:rPr>
          <w:rFonts w:hint="eastAsia" w:ascii="Times New Roman" w:hAnsi="Times New Roman" w:cs="Times New Roman"/>
          <w:sz w:val="24"/>
        </w:rPr>
        <w:t xml:space="preserve"> </w:t>
      </w:r>
      <w:r>
        <w:rPr>
          <w:rFonts w:ascii="Times New Roman" w:hAnsi="Times New Roman" w:cs="Times New Roman"/>
          <w:sz w:val="24"/>
        </w:rPr>
        <w:t>for confirmation.</w:t>
      </w:r>
    </w:p>
    <w:p>
      <w:pPr>
        <w:spacing w:line="360" w:lineRule="auto"/>
        <w:rPr>
          <w:rFonts w:ascii="Times New Roman" w:hAnsi="Times New Roman" w:cs="Times New Roman"/>
          <w:sz w:val="24"/>
        </w:rPr>
      </w:pPr>
    </w:p>
    <w:p>
      <w:pPr>
        <w:spacing w:line="360" w:lineRule="auto"/>
        <w:rPr>
          <w:rFonts w:hint="eastAsia" w:ascii="Times New Roman" w:hAnsi="Times New Roman" w:cs="Times New Roman"/>
          <w:b/>
          <w:sz w:val="24"/>
        </w:rPr>
      </w:pPr>
      <w:r>
        <w:rPr>
          <w:rFonts w:hint="eastAsia" w:ascii="Times New Roman" w:hAnsi="Times New Roman" w:cs="Times New Roman"/>
          <w:b/>
          <w:color w:val="00B0F0"/>
          <w:sz w:val="24"/>
        </w:rPr>
        <w:t xml:space="preserve">Section </w:t>
      </w:r>
      <w:r>
        <w:rPr>
          <w:rFonts w:hint="eastAsia" w:ascii="Times New Roman" w:hAnsi="Times New Roman" w:cs="Times New Roman"/>
          <w:b/>
          <w:color w:val="00B0F0"/>
          <w:sz w:val="24"/>
          <w:lang w:val="en-US" w:eastAsia="zh-CN"/>
        </w:rPr>
        <w:t>2</w:t>
      </w:r>
      <w:r>
        <w:rPr>
          <w:rFonts w:hint="eastAsia" w:ascii="Times New Roman" w:hAnsi="Times New Roman" w:cs="Times New Roman"/>
          <w:b/>
          <w:color w:val="00B0F0"/>
          <w:sz w:val="24"/>
        </w:rPr>
        <w:t xml:space="preserve">: </w:t>
      </w:r>
      <w:r>
        <w:rPr>
          <w:rFonts w:hint="eastAsia" w:ascii="Times New Roman" w:hAnsi="Times New Roman" w:cs="Times New Roman"/>
          <w:b/>
          <w:sz w:val="24"/>
        </w:rPr>
        <w:t>Brain</w:t>
      </w:r>
      <w:bookmarkStart w:id="1" w:name="OLE_LINK7"/>
      <w:r>
        <w:rPr>
          <w:rFonts w:hint="eastAsia" w:ascii="Times New Roman" w:hAnsi="Times New Roman" w:cs="Times New Roman"/>
          <w:b/>
          <w:sz w:val="24"/>
        </w:rPr>
        <w:t xml:space="preserve"> gene expression data processing</w:t>
      </w:r>
      <w:bookmarkEnd w:id="1"/>
    </w:p>
    <w:p>
      <w:pPr>
        <w:spacing w:line="360" w:lineRule="auto"/>
        <w:rPr>
          <w:rFonts w:hint="eastAsia" w:ascii="Times New Roman" w:hAnsi="Times New Roman" w:cs="Times New Roman"/>
          <w:b/>
          <w:sz w:val="24"/>
        </w:rPr>
      </w:pPr>
    </w:p>
    <w:p>
      <w:pPr>
        <w:spacing w:line="360" w:lineRule="auto"/>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rPr>
        <w:t>The AHBA dataset (http://www.brain-map.org) provided gene expression information on the brain</w:t>
      </w:r>
      <w:r>
        <w:rPr>
          <w:rFonts w:hint="eastAsia" w:ascii="Times New Roman" w:hAnsi="Times New Roman" w:cs="Times New Roman"/>
          <w:b w:val="0"/>
          <w:bCs w:val="0"/>
          <w:color w:val="00B0F0"/>
          <w:sz w:val="24"/>
          <w:lang w:val="en-US" w:eastAsia="zh-CN"/>
        </w:rPr>
        <w:t>(28, 39)</w:t>
      </w:r>
      <w:r>
        <w:rPr>
          <w:rFonts w:hint="default" w:ascii="Times New Roman" w:hAnsi="Times New Roman" w:cs="Times New Roman"/>
          <w:b w:val="0"/>
          <w:bCs w:val="0"/>
          <w:color w:val="00B0F0"/>
          <w:sz w:val="24"/>
        </w:rPr>
        <w:t>.</w:t>
      </w:r>
      <w:r>
        <w:rPr>
          <w:rFonts w:hint="default" w:ascii="Times New Roman" w:hAnsi="Times New Roman" w:cs="Times New Roman"/>
          <w:b w:val="0"/>
          <w:bCs w:val="0"/>
          <w:color w:val="auto"/>
          <w:sz w:val="24"/>
        </w:rPr>
        <w:t xml:space="preserve"> The dataset was derived from six human post-mortem donors. The expression data of over 20,000 genes from 3,702 spatially distinct brain tissue samples were analyzed using a newly suggested pipeline</w:t>
      </w:r>
      <w:r>
        <w:rPr>
          <w:rFonts w:hint="eastAsia" w:ascii="Times New Roman" w:hAnsi="Times New Roman" w:cs="Times New Roman"/>
          <w:b w:val="0"/>
          <w:bCs w:val="0"/>
          <w:color w:val="00B0F0"/>
          <w:sz w:val="24"/>
          <w:lang w:val="en-US" w:eastAsia="zh-CN"/>
        </w:rPr>
        <w:t>(38)</w:t>
      </w:r>
      <w:r>
        <w:rPr>
          <w:rFonts w:hint="default" w:ascii="Times New Roman" w:hAnsi="Times New Roman" w:cs="Times New Roman"/>
          <w:b w:val="0"/>
          <w:bCs w:val="0"/>
          <w:color w:val="00B0F0"/>
          <w:sz w:val="24"/>
        </w:rPr>
        <w:t>.</w:t>
      </w:r>
      <w:r>
        <w:rPr>
          <w:rFonts w:hint="default" w:ascii="Times New Roman" w:hAnsi="Times New Roman" w:cs="Times New Roman"/>
          <w:b w:val="0"/>
          <w:bCs w:val="0"/>
          <w:color w:val="auto"/>
          <w:sz w:val="24"/>
        </w:rPr>
        <w:t xml:space="preserve"> In the functional analysis: (1) as a first step, we updated the probe-to-gene annotations using the latest available National Center for Biotechnology Information (NCBI) data</w:t>
      </w:r>
      <w:r>
        <w:rPr>
          <w:rFonts w:hint="eastAsia" w:ascii="Times New Roman" w:hAnsi="Times New Roman" w:cs="Times New Roman"/>
          <w:b w:val="0"/>
          <w:bCs w:val="0"/>
          <w:color w:val="auto"/>
          <w:sz w:val="24"/>
          <w:lang w:val="en-US" w:eastAsia="zh-CN"/>
        </w:rPr>
        <w:t>(</w:t>
      </w:r>
      <w:r>
        <w:rPr>
          <w:rFonts w:hint="eastAsia" w:ascii="Times New Roman" w:hAnsi="Times New Roman" w:cs="Times New Roman"/>
          <w:b w:val="0"/>
          <w:bCs w:val="0"/>
          <w:color w:val="00B0F0"/>
          <w:sz w:val="24"/>
          <w:lang w:val="en-US" w:eastAsia="zh-CN"/>
        </w:rPr>
        <w:t>40)</w:t>
      </w:r>
      <w:r>
        <w:rPr>
          <w:rFonts w:hint="default" w:ascii="Times New Roman" w:hAnsi="Times New Roman" w:cs="Times New Roman"/>
          <w:b w:val="0"/>
          <w:bCs w:val="0"/>
          <w:color w:val="00B0F0"/>
          <w:sz w:val="24"/>
        </w:rPr>
        <w:t>.</w:t>
      </w:r>
      <w:r>
        <w:rPr>
          <w:rFonts w:hint="default" w:ascii="Times New Roman" w:hAnsi="Times New Roman" w:cs="Times New Roman"/>
          <w:b w:val="0"/>
          <w:bCs w:val="0"/>
          <w:color w:val="auto"/>
          <w:sz w:val="24"/>
        </w:rPr>
        <w:t xml:space="preserve"> (2) A minimum of 50% of samples across all donors were excluded from the analysis using intensity-based filtering. (3) In order to select probes based on the RNA-seq data, we used multiple probes to measure expression levels of a single gene. Moreover, due to the large differences in gene expression between cortical and subcortical regions, including samples from subcortical regions may introduce biases</w:t>
      </w:r>
      <w:r>
        <w:rPr>
          <w:rFonts w:hint="eastAsia" w:ascii="Times New Roman" w:hAnsi="Times New Roman" w:cs="Times New Roman"/>
          <w:b w:val="0"/>
          <w:bCs w:val="0"/>
          <w:color w:val="00B0F0"/>
          <w:sz w:val="24"/>
          <w:lang w:val="en-US" w:eastAsia="zh-CN"/>
        </w:rPr>
        <w:t>(28)</w:t>
      </w:r>
      <w:r>
        <w:rPr>
          <w:rFonts w:hint="default" w:ascii="Times New Roman" w:hAnsi="Times New Roman" w:cs="Times New Roman"/>
          <w:b w:val="0"/>
          <w:bCs w:val="0"/>
          <w:color w:val="auto"/>
          <w:sz w:val="24"/>
        </w:rPr>
        <w:t>. (</w:t>
      </w:r>
      <w:r>
        <w:rPr>
          <w:rFonts w:hint="eastAsia"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sz w:val="24"/>
        </w:rPr>
        <w:t xml:space="preserve">) </w:t>
      </w:r>
      <w:r>
        <w:rPr>
          <w:rFonts w:hint="eastAsia" w:ascii="Times New Roman" w:hAnsi="Times New Roman" w:cs="Times New Roman"/>
          <w:b w:val="0"/>
          <w:bCs w:val="0"/>
          <w:color w:val="auto"/>
          <w:sz w:val="24"/>
          <w:lang w:val="en-US" w:eastAsia="zh-CN"/>
        </w:rPr>
        <w:t>T</w:t>
      </w:r>
      <w:r>
        <w:rPr>
          <w:rFonts w:hint="default" w:ascii="Times New Roman" w:hAnsi="Times New Roman" w:cs="Times New Roman"/>
          <w:b w:val="0"/>
          <w:bCs w:val="0"/>
          <w:color w:val="auto"/>
          <w:sz w:val="24"/>
        </w:rPr>
        <w:t xml:space="preserve">o associate transcriptional profiles with functional neuroimaging, analyses were restricted to gray matter cortical samples. For each retained tissue sample with valid MNI coordinates, a sphere of 3 mm radius was defined centered on its MNI coordinate. From the group-difference </w:t>
      </w:r>
      <w:r>
        <w:rPr>
          <w:rFonts w:hint="eastAsia" w:ascii="Times New Roman" w:hAnsi="Times New Roman" w:cs="Times New Roman"/>
          <w:b w:val="0"/>
          <w:bCs w:val="0"/>
          <w:color w:val="auto"/>
          <w:sz w:val="24"/>
          <w:lang w:val="en-US" w:eastAsia="zh-CN"/>
        </w:rPr>
        <w:t xml:space="preserve">functional </w:t>
      </w:r>
      <w:r>
        <w:rPr>
          <w:rFonts w:hint="default" w:ascii="Times New Roman" w:hAnsi="Times New Roman" w:cs="Times New Roman"/>
          <w:b w:val="0"/>
          <w:bCs w:val="0"/>
          <w:color w:val="auto"/>
          <w:sz w:val="24"/>
        </w:rPr>
        <w:t xml:space="preserve">map, the mean </w:t>
      </w:r>
      <w:r>
        <w:rPr>
          <w:rFonts w:hint="default" w:ascii="Times New Roman" w:hAnsi="Times New Roman" w:cs="Times New Roman"/>
          <w:b w:val="0"/>
          <w:bCs w:val="0"/>
          <w:i/>
          <w:iCs/>
          <w:color w:val="auto"/>
          <w:sz w:val="24"/>
        </w:rPr>
        <w:t>t</w:t>
      </w:r>
      <w:r>
        <w:rPr>
          <w:rFonts w:hint="default" w:ascii="Times New Roman" w:hAnsi="Times New Roman" w:cs="Times New Roman"/>
          <w:b w:val="0"/>
          <w:bCs w:val="0"/>
          <w:color w:val="auto"/>
          <w:sz w:val="24"/>
        </w:rPr>
        <w:t xml:space="preserve">-value of all voxels falling within this sphere was extracted. To account for between-sample differences and donor-specific effects, scaled robust sigmoid normalization was applied (both within-sample cross-gene and within-gene cross-sample). After quality control, this yielded a final sample × gene matrix of </w:t>
      </w:r>
      <w:r>
        <w:rPr>
          <w:rFonts w:hint="eastAsia" w:ascii="Times New Roman" w:hAnsi="Times New Roman" w:cs="Times New Roman"/>
          <w:b w:val="0"/>
          <w:bCs w:val="0"/>
          <w:color w:val="auto"/>
          <w:sz w:val="24"/>
          <w:lang w:val="en-US" w:eastAsia="zh-CN"/>
        </w:rPr>
        <w:t>1137</w:t>
      </w:r>
      <w:r>
        <w:rPr>
          <w:rFonts w:hint="default" w:ascii="Times New Roman" w:hAnsi="Times New Roman" w:cs="Times New Roman"/>
          <w:b w:val="0"/>
          <w:bCs w:val="0"/>
          <w:color w:val="auto"/>
          <w:sz w:val="24"/>
        </w:rPr>
        <w:t xml:space="preserve"> × 10,028.</w:t>
      </w:r>
    </w:p>
    <w:p>
      <w:pPr>
        <w:spacing w:line="360" w:lineRule="auto"/>
        <w:rPr>
          <w:rFonts w:hint="default" w:ascii="Times New Roman" w:hAnsi="Times New Roman" w:cs="Times New Roman"/>
          <w:b/>
          <w:color w:val="00B0F0"/>
          <w:sz w:val="24"/>
        </w:rPr>
      </w:pPr>
      <w:r>
        <w:rPr>
          <w:rFonts w:hint="default" w:ascii="Times New Roman" w:hAnsi="Times New Roman" w:cs="Times New Roman"/>
          <w:b w:val="0"/>
          <w:bCs w:val="0"/>
          <w:color w:val="auto"/>
          <w:sz w:val="24"/>
        </w:rPr>
        <w:br w:type="textWrapping"/>
      </w:r>
      <w:bookmarkStart w:id="2" w:name="_GoBack"/>
      <w:r>
        <w:rPr>
          <w:rFonts w:hint="default" w:ascii="Times New Roman" w:hAnsi="Times New Roman" w:cs="Times New Roman"/>
          <w:b/>
          <w:color w:val="00B0F0"/>
          <w:sz w:val="24"/>
        </w:rPr>
        <w:t xml:space="preserve">Section 3: </w:t>
      </w:r>
      <w:r>
        <w:rPr>
          <w:rFonts w:hint="eastAsia" w:ascii="Times New Roman" w:hAnsi="Times New Roman" w:cs="Times New Roman"/>
          <w:b/>
          <w:color w:val="00B0F0"/>
          <w:sz w:val="24"/>
          <w:lang w:val="en-US" w:eastAsia="zh-CN"/>
        </w:rPr>
        <w:t>P</w:t>
      </w:r>
      <w:r>
        <w:rPr>
          <w:rFonts w:hint="default" w:ascii="Times New Roman" w:hAnsi="Times New Roman" w:cs="Times New Roman"/>
          <w:b/>
          <w:color w:val="00B0F0"/>
          <w:sz w:val="24"/>
        </w:rPr>
        <w:t>artial correlation analysis controlling for childhood trauma</w:t>
      </w:r>
    </w:p>
    <w:p>
      <w:pPr>
        <w:spacing w:line="360" w:lineRule="auto"/>
        <w:rPr>
          <w:rFonts w:hint="default" w:ascii="Helvetica" w:hAnsi="Helvetica" w:eastAsia="Helvetica" w:cs="Helvetica"/>
          <w:i w:val="0"/>
          <w:iCs w:val="0"/>
          <w:caps w:val="0"/>
          <w:color w:val="00B0F0"/>
          <w:spacing w:val="1"/>
        </w:rPr>
      </w:pPr>
    </w:p>
    <w:p>
      <w:pPr>
        <w:spacing w:line="360" w:lineRule="auto"/>
        <w:rPr>
          <w:rFonts w:hint="default" w:ascii="Times New Roman" w:hAnsi="Times New Roman" w:cs="Times New Roman"/>
          <w:b w:val="0"/>
          <w:bCs w:val="0"/>
          <w:color w:val="00B0F0"/>
          <w:sz w:val="24"/>
        </w:rPr>
      </w:pPr>
      <w:r>
        <w:rPr>
          <w:rFonts w:hint="default" w:ascii="Times New Roman" w:hAnsi="Times New Roman" w:cs="Times New Roman"/>
          <w:b w:val="0"/>
          <w:bCs w:val="0"/>
          <w:color w:val="00B0F0"/>
          <w:sz w:val="24"/>
        </w:rPr>
        <w:t xml:space="preserve">Within the TW with GD group, bilateral PCC ALFF remained significantly correlated with GIDYQ-AA scores after controlling for CTQ total score, age, and years of education (partial </w:t>
      </w:r>
      <w:r>
        <w:rPr>
          <w:rFonts w:hint="default" w:ascii="Times New Roman" w:hAnsi="Times New Roman" w:cs="Times New Roman"/>
          <w:b w:val="0"/>
          <w:bCs w:val="0"/>
          <w:i/>
          <w:iCs/>
          <w:color w:val="00B0F0"/>
          <w:sz w:val="24"/>
        </w:rPr>
        <w:t>r</w:t>
      </w:r>
      <w:r>
        <w:rPr>
          <w:rFonts w:hint="default" w:ascii="Times New Roman" w:hAnsi="Times New Roman" w:cs="Times New Roman"/>
          <w:b w:val="0"/>
          <w:bCs w:val="0"/>
          <w:color w:val="00B0F0"/>
          <w:sz w:val="24"/>
        </w:rPr>
        <w:t xml:space="preserve"> = −0.377, </w:t>
      </w:r>
      <w:r>
        <w:rPr>
          <w:rFonts w:hint="default" w:ascii="Times New Roman" w:hAnsi="Times New Roman" w:cs="Times New Roman"/>
          <w:b w:val="0"/>
          <w:bCs w:val="0"/>
          <w:i/>
          <w:iCs/>
          <w:color w:val="00B0F0"/>
          <w:sz w:val="24"/>
        </w:rPr>
        <w:t>p</w:t>
      </w:r>
      <w:r>
        <w:rPr>
          <w:rFonts w:hint="default" w:ascii="Times New Roman" w:hAnsi="Times New Roman" w:cs="Times New Roman"/>
          <w:b w:val="0"/>
          <w:bCs w:val="0"/>
          <w:color w:val="00B0F0"/>
          <w:sz w:val="24"/>
        </w:rPr>
        <w:t xml:space="preserve"> = 0.034).</w:t>
      </w:r>
    </w:p>
    <w:bookmarkEnd w:id="2"/>
    <w:p>
      <w:pPr>
        <w:rPr>
          <w:rFonts w:hint="eastAsia" w:ascii="Helvetica" w:hAnsi="Helvetica" w:eastAsia="宋体" w:cs="Helvetica"/>
          <w:i w:val="0"/>
          <w:iCs w:val="0"/>
          <w:caps w:val="0"/>
          <w:color w:val="auto"/>
          <w:spacing w:val="1"/>
          <w:lang w:eastAsia="zh-CN"/>
        </w:rPr>
      </w:pPr>
    </w:p>
    <w:p>
      <w:pPr>
        <w:rPr>
          <w:rFonts w:hint="eastAsia" w:ascii="Helvetica" w:hAnsi="Helvetica" w:eastAsia="宋体" w:cs="Helvetica"/>
          <w:i w:val="0"/>
          <w:iCs w:val="0"/>
          <w:caps w:val="0"/>
          <w:color w:val="auto"/>
          <w:spacing w:val="1"/>
          <w:lang w:eastAsia="zh-CN"/>
        </w:rPr>
      </w:pPr>
    </w:p>
    <w:p>
      <w:pPr>
        <w:rPr>
          <w:rFonts w:hint="eastAsia" w:ascii="Helvetica" w:hAnsi="Helvetica" w:eastAsia="宋体" w:cs="Helvetica"/>
          <w:i w:val="0"/>
          <w:iCs w:val="0"/>
          <w:caps w:val="0"/>
          <w:color w:val="auto"/>
          <w:spacing w:val="1"/>
          <w:lang w:eastAsia="zh-CN"/>
        </w:rPr>
      </w:pPr>
      <w:r>
        <w:rPr>
          <w:rFonts w:hint="eastAsia" w:ascii="Helvetica" w:hAnsi="Helvetica" w:eastAsia="宋体" w:cs="Helvetica"/>
          <w:i w:val="0"/>
          <w:iCs w:val="0"/>
          <w:caps w:val="0"/>
          <w:color w:val="auto"/>
          <w:spacing w:val="1"/>
          <w:lang w:eastAsia="zh-CN"/>
        </w:rPr>
        <w:fldChar w:fldCharType="begin"/>
      </w:r>
      <w:r>
        <w:rPr>
          <w:rFonts w:hint="eastAsia" w:ascii="Helvetica" w:hAnsi="Helvetica" w:eastAsia="宋体" w:cs="Helvetica"/>
          <w:i w:val="0"/>
          <w:iCs w:val="0"/>
          <w:caps w:val="0"/>
          <w:color w:val="auto"/>
          <w:spacing w:val="1"/>
          <w:lang w:eastAsia="zh-CN"/>
        </w:rPr>
        <w:instrText xml:space="preserve"> ADDIN EN.REFLIST </w:instrText>
      </w:r>
      <w:r>
        <w:rPr>
          <w:rFonts w:hint="eastAsia" w:ascii="Helvetica" w:hAnsi="Helvetica" w:eastAsia="宋体" w:cs="Helvetica"/>
          <w:i w:val="0"/>
          <w:iCs w:val="0"/>
          <w:caps w:val="0"/>
          <w:color w:val="auto"/>
          <w:spacing w:val="1"/>
          <w:lang w:eastAsia="zh-CN"/>
        </w:rPr>
        <w:fldChar w:fldCharType="separate"/>
      </w:r>
      <w:r>
        <w:rPr>
          <w:rFonts w:hint="eastAsia" w:ascii="Helvetica" w:hAnsi="Helvetica" w:eastAsia="宋体" w:cs="Helvetica"/>
          <w:i w:val="0"/>
          <w:iCs w:val="0"/>
          <w:caps w:val="0"/>
          <w:color w:val="auto"/>
          <w:spacing w:val="1"/>
          <w:lang w:eastAsia="zh-CN"/>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jZWMwNDFlZTJkNTAxNGE5OGU2OTgyOWMzNTFjNzkifQ=="/>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3F04F1"/>
    <w:rsid w:val="00101298"/>
    <w:rsid w:val="0010295B"/>
    <w:rsid w:val="00186BF0"/>
    <w:rsid w:val="00195BF0"/>
    <w:rsid w:val="0021140E"/>
    <w:rsid w:val="003C733D"/>
    <w:rsid w:val="003D4413"/>
    <w:rsid w:val="003D78B4"/>
    <w:rsid w:val="003F04F1"/>
    <w:rsid w:val="00440400"/>
    <w:rsid w:val="00612B29"/>
    <w:rsid w:val="009D6C17"/>
    <w:rsid w:val="00AE3B39"/>
    <w:rsid w:val="00B03102"/>
    <w:rsid w:val="00F76E31"/>
    <w:rsid w:val="02B04479"/>
    <w:rsid w:val="097E5DA1"/>
    <w:rsid w:val="11F706C0"/>
    <w:rsid w:val="147541B9"/>
    <w:rsid w:val="168406E3"/>
    <w:rsid w:val="1FA2542D"/>
    <w:rsid w:val="28B90F2B"/>
    <w:rsid w:val="319D17D4"/>
    <w:rsid w:val="35750796"/>
    <w:rsid w:val="38392C84"/>
    <w:rsid w:val="43CE5DCF"/>
    <w:rsid w:val="446A4ED3"/>
    <w:rsid w:val="509953B3"/>
    <w:rsid w:val="566D4096"/>
    <w:rsid w:val="5861629E"/>
    <w:rsid w:val="58A63B6F"/>
    <w:rsid w:val="5AA8327A"/>
    <w:rsid w:val="650520CD"/>
    <w:rsid w:val="66574974"/>
    <w:rsid w:val="6B6C5E86"/>
    <w:rsid w:val="7B9A05A5"/>
    <w:rsid w:val="7EB50C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autoRedefine/>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2"/>
    <w:autoRedefine/>
    <w:semiHidden/>
    <w:unhideWhenUsed/>
    <w:qFormat/>
    <w:uiPriority w:val="99"/>
    <w:rPr>
      <w:sz w:val="18"/>
      <w:szCs w:val="18"/>
    </w:rPr>
  </w:style>
  <w:style w:type="paragraph" w:styleId="3">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4">
    <w:name w:val="Title"/>
    <w:basedOn w:val="1"/>
    <w:next w:val="1"/>
    <w:qFormat/>
    <w:uiPriority w:val="10"/>
    <w:pPr>
      <w:spacing w:before="60" w:after="60"/>
      <w:ind w:firstLine="0" w:firstLineChars="0"/>
      <w:jc w:val="center"/>
      <w:outlineLvl w:val="0"/>
    </w:pPr>
    <w:rPr>
      <w:rFonts w:cstheme="majorBidi"/>
      <w:b/>
      <w:bCs/>
      <w:sz w:val="28"/>
      <w:szCs w:val="32"/>
    </w:rPr>
  </w:style>
  <w:style w:type="character" w:styleId="7">
    <w:name w:val="Hyperlink"/>
    <w:basedOn w:val="6"/>
    <w:autoRedefine/>
    <w:unhideWhenUsed/>
    <w:qFormat/>
    <w:uiPriority w:val="99"/>
    <w:rPr>
      <w:color w:val="0000FF" w:themeColor="hyperlink"/>
      <w:u w:val="single"/>
      <w14:textFill>
        <w14:solidFill>
          <w14:schemeClr w14:val="hlink"/>
        </w14:solidFill>
      </w14:textFill>
    </w:rPr>
  </w:style>
  <w:style w:type="paragraph" w:customStyle="1" w:styleId="8">
    <w:name w:val="EndNote Bibliography Title"/>
    <w:basedOn w:val="1"/>
    <w:link w:val="9"/>
    <w:autoRedefine/>
    <w:qFormat/>
    <w:uiPriority w:val="0"/>
    <w:pPr>
      <w:jc w:val="center"/>
    </w:pPr>
    <w:rPr>
      <w:rFonts w:ascii="Calibri" w:hAnsi="Calibri" w:cs="Calibri"/>
      <w:sz w:val="20"/>
    </w:rPr>
  </w:style>
  <w:style w:type="character" w:customStyle="1" w:styleId="9">
    <w:name w:val="EndNote Bibliography Title Char"/>
    <w:basedOn w:val="6"/>
    <w:link w:val="8"/>
    <w:autoRedefine/>
    <w:qFormat/>
    <w:uiPriority w:val="0"/>
    <w:rPr>
      <w:rFonts w:ascii="Calibri" w:hAnsi="Calibri" w:cs="Calibri"/>
      <w:sz w:val="20"/>
    </w:rPr>
  </w:style>
  <w:style w:type="paragraph" w:customStyle="1" w:styleId="10">
    <w:name w:val="EndNote Bibliography"/>
    <w:basedOn w:val="1"/>
    <w:link w:val="11"/>
    <w:autoRedefine/>
    <w:qFormat/>
    <w:uiPriority w:val="0"/>
    <w:rPr>
      <w:rFonts w:ascii="Calibri" w:hAnsi="Calibri" w:cs="Calibri"/>
      <w:sz w:val="20"/>
    </w:rPr>
  </w:style>
  <w:style w:type="character" w:customStyle="1" w:styleId="11">
    <w:name w:val="EndNote Bibliography Char"/>
    <w:basedOn w:val="6"/>
    <w:link w:val="10"/>
    <w:autoRedefine/>
    <w:qFormat/>
    <w:uiPriority w:val="0"/>
    <w:rPr>
      <w:rFonts w:ascii="Calibri" w:hAnsi="Calibri" w:cs="Calibri"/>
      <w:sz w:val="20"/>
    </w:rPr>
  </w:style>
  <w:style w:type="character" w:customStyle="1" w:styleId="12">
    <w:name w:val="批注框文本 Char"/>
    <w:basedOn w:val="6"/>
    <w:link w:val="2"/>
    <w:autoRedefine/>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684</Words>
  <Characters>3980</Characters>
  <Lines>49</Lines>
  <Paragraphs>13</Paragraphs>
  <TotalTime>5</TotalTime>
  <ScaleCrop>false</ScaleCrop>
  <LinksUpToDate>false</LinksUpToDate>
  <CharactersWithSpaces>4650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2025-04-01T06:41:00Z</dcterms:created>
  <dc:creator>cgm</dc:creator>
  <cp:lastModifiedBy>陈若宜</cp:lastModifiedBy>
  <dcterms:modified xsi:type="dcterms:W3CDTF">2026-09-24T04:41:05Z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eyJoZGlkIjoiNmVlMzliMjcxNWY2MTljODI3ZWM4MzQzMmE2NzkyMTUiLCJ1c2VySWQiOiIzNjY5MzQyMjQifQ==</vt:lpwstr>
  </property>
  <property fmtid="{D5CDD505-2E9C-101B-9397-08002B2CF9AE}" pid="3" name="KSOProductBuildVer">
    <vt:lpwstr>2052-12.1.0.16250</vt:lpwstr>
  </property>
  <property fmtid="{D5CDD505-2E9C-101B-9397-08002B2CF9AE}" pid="4" name="ICV">
    <vt:lpwstr>11A00B83F6A74B239110846A068BEE5E_13</vt:lpwstr>
  </property>
</Properties>
</file>