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3281AF0">
      <w:pPr>
        <w:pBdr/>
        <w:spacing w:line="360" w:lineRule="auto"/>
        <w:ind/>
        <w:rPr>
          <w:rFonts w:hint="default" w:ascii="Times New Roman" w:hAnsi="Times New Roman" w:cs="Times New Roman"/>
          <w:color w:val="00b0f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b0f0"/>
          <w:sz w:val="24"/>
          <w:lang w:val="en-US" w:eastAsia="zh-CN"/>
        </w:rPr>
        <w:t xml:space="preserve">Fig. S1 Partial correlation between ALFF values in the bilateral PCC and GIDYQ-AA scores in TW with GD, controlling for CTQ total score, age, and years of education</w:t>
      </w:r>
      <w:r>
        <w:rPr>
          <w:rFonts w:hint="eastAsia" w:ascii="Times New Roman" w:hAnsi="Times New Roman" w:cs="Times New Roman"/>
          <w:color w:val="00b0f0"/>
          <w:sz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00b0f0"/>
          <w:sz w:val="24"/>
          <w:lang w:val="en-US" w:eastAsia="zh-CN"/>
        </w:rPr>
        <w:t xml:space="preserve">TW, transgender women; GD, gender dysphoria; GIDYQ-AA, Gender Identity/Gender Dysphoria Questionnaire for Adolescents and Adults; CTQ, Childhood Trauma Questionnaire; ALFF, amplitude of low-frequency fluctuation; PCC, posterior cingulate cortex.</w:t>
      </w:r>
      <w:r>
        <w:rPr>
          <w:rFonts w:hint="default" w:ascii="Times New Roman" w:hAnsi="Times New Roman" w:cs="Times New Roman"/>
          <w:color w:val="00b0f0"/>
          <w:sz w:val="24"/>
          <w:lang w:val="en-US" w:eastAsia="zh-CN"/>
        </w:rPr>
      </w:r>
      <w:r>
        <w:rPr>
          <w:rFonts w:hint="default" w:ascii="Times New Roman" w:hAnsi="Times New Roman" w:cs="Times New Roman"/>
          <w:color w:val="00b0f0"/>
          <w:sz w:val="24"/>
          <w:lang w:val="en-US" w:eastAsia="zh-CN"/>
        </w:rPr>
      </w:r>
    </w:p>
    <w:p>
      <w:pPr>
        <w:pBdr/>
        <w:spacing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2049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539003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3599" cy="4420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68.00pt;height:348.07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2026-10-06T12:29:50Z</dcterms:modified>
</cp:coreProperties>
</file>