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8F173" w14:textId="77777777" w:rsidR="00176E18" w:rsidRDefault="00000000">
      <w:pPr>
        <w:keepNext/>
        <w:keepLines/>
        <w:jc w:val="center"/>
        <w:rPr>
          <w:rFonts w:ascii="Arial" w:hAnsi="Arial" w:cs="Arial"/>
          <w:b/>
          <w:bCs/>
          <w:sz w:val="28"/>
          <w:szCs w:val="28"/>
        </w:rPr>
      </w:pPr>
      <w:r>
        <w:rPr>
          <w:rFonts w:ascii="Arial" w:hAnsi="Arial" w:cs="Arial" w:hint="eastAsia"/>
          <w:b/>
          <w:bCs/>
          <w:sz w:val="28"/>
          <w:szCs w:val="28"/>
        </w:rPr>
        <w:t>Additional file1</w:t>
      </w:r>
    </w:p>
    <w:sdt>
      <w:sdtPr>
        <w:rPr>
          <w:rFonts w:ascii="Arial" w:hAnsi="Arial" w:cs="Arial"/>
          <w:lang w:val="zh-CN"/>
        </w:rPr>
        <w:id w:val="1511712860"/>
        <w:docPartObj>
          <w:docPartGallery w:val="Table of Contents"/>
          <w:docPartUnique/>
        </w:docPartObj>
      </w:sdtPr>
      <w:sdtEndPr>
        <w:rPr>
          <w:b/>
          <w:bCs/>
        </w:rPr>
      </w:sdtEndPr>
      <w:sdtContent>
        <w:p w14:paraId="4F937ECD" w14:textId="77777777" w:rsidR="00176E18" w:rsidRDefault="00000000">
          <w:pPr>
            <w:pStyle w:val="TOC2"/>
            <w:tabs>
              <w:tab w:val="right" w:leader="dot" w:pos="9736"/>
            </w:tabs>
            <w:spacing w:line="336" w:lineRule="auto"/>
            <w:rPr>
              <w:rFonts w:ascii="Arial" w:hAnsi="Arial" w:cs="Arial"/>
              <w:b/>
              <w:bCs/>
              <w:sz w:val="22"/>
              <w:lang w:val="zh-CN"/>
            </w:rPr>
          </w:pPr>
          <w:r>
            <w:rPr>
              <w:rFonts w:ascii="Arial" w:hAnsi="Arial" w:cs="Arial"/>
              <w:sz w:val="22"/>
            </w:rPr>
            <w:fldChar w:fldCharType="begin"/>
          </w:r>
          <w:r>
            <w:rPr>
              <w:rFonts w:ascii="Arial" w:hAnsi="Arial" w:cs="Arial"/>
              <w:sz w:val="22"/>
            </w:rPr>
            <w:instrText xml:space="preserve"> TOC \o "1-3" \h \z \u </w:instrText>
          </w:r>
          <w:r>
            <w:rPr>
              <w:rFonts w:ascii="Arial" w:hAnsi="Arial" w:cs="Arial"/>
              <w:sz w:val="22"/>
            </w:rPr>
            <w:fldChar w:fldCharType="separate"/>
          </w:r>
        </w:p>
        <w:p w14:paraId="687456E3" w14:textId="77777777" w:rsidR="00176E18" w:rsidRDefault="00000000">
          <w:pPr>
            <w:pStyle w:val="TOC1"/>
            <w:tabs>
              <w:tab w:val="right" w:leader="dot" w:pos="9746"/>
            </w:tabs>
            <w:spacing w:line="264" w:lineRule="auto"/>
            <w:rPr>
              <w:rFonts w:ascii="Times New Roman" w:hAnsi="Times New Roman" w:cs="Times New Roman"/>
            </w:rPr>
          </w:pPr>
          <w:hyperlink w:anchor="_Toc3096" w:history="1">
            <w:r>
              <w:rPr>
                <w:rFonts w:ascii="Times New Roman" w:eastAsia="Times New Roman Uni" w:hAnsi="Times New Roman" w:cs="Times New Roman"/>
                <w:bCs/>
                <w:szCs w:val="24"/>
                <w:lang w:bidi="ar"/>
              </w:rPr>
              <w:t>Table S1</w:t>
            </w:r>
            <w:r>
              <w:rPr>
                <w:rFonts w:ascii="Times New Roman" w:eastAsia="Times New Roman Uni" w:hAnsi="Times New Roman" w:cs="Times New Roman"/>
                <w:szCs w:val="24"/>
                <w:lang w:bidi="ar"/>
              </w:rPr>
              <w:t xml:space="preserve">. </w:t>
            </w:r>
            <w:r>
              <w:rPr>
                <w:rFonts w:ascii="Times New Roman" w:eastAsia="Times New Roman Uni" w:hAnsi="Times New Roman" w:cs="Times New Roman"/>
                <w:bCs/>
                <w:szCs w:val="24"/>
                <w:lang w:bidi="ar"/>
              </w:rPr>
              <w:t>The LIP score system for sepsis screening</w:t>
            </w:r>
            <w:r>
              <w:rPr>
                <w:rFonts w:ascii="Times New Roman" w:eastAsia="Times New Roman Uni" w:hAnsi="Times New Roman" w:cs="Times New Roman"/>
                <w:szCs w:val="24"/>
                <w:lang w:bidi="ar"/>
              </w:rPr>
              <w: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_Toc3096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hyperlink>
        </w:p>
        <w:p w14:paraId="52362931" w14:textId="77777777" w:rsidR="00176E18" w:rsidRDefault="00000000">
          <w:pPr>
            <w:pStyle w:val="TOC1"/>
            <w:tabs>
              <w:tab w:val="right" w:leader="dot" w:pos="9746"/>
            </w:tabs>
            <w:spacing w:line="264" w:lineRule="auto"/>
            <w:rPr>
              <w:rFonts w:ascii="Times New Roman" w:hAnsi="Times New Roman" w:cs="Times New Roman"/>
            </w:rPr>
          </w:pPr>
          <w:hyperlink w:anchor="_Toc29815" w:history="1">
            <w:r>
              <w:rPr>
                <w:rFonts w:ascii="Times New Roman" w:eastAsia="Times New Roman Uni" w:hAnsi="Times New Roman" w:cs="Times New Roman"/>
                <w:bCs/>
                <w:szCs w:val="24"/>
                <w:lang w:bidi="ar"/>
              </w:rPr>
              <w:t>Table S2.</w:t>
            </w:r>
            <w:r>
              <w:rPr>
                <w:rFonts w:ascii="Times New Roman" w:eastAsia="等线" w:hAnsi="Times New Roman" w:cs="Times New Roman"/>
                <w:szCs w:val="24"/>
                <w:lang w:bidi="ar"/>
              </w:rPr>
              <w:t xml:space="preserve"> </w:t>
            </w:r>
            <w:r>
              <w:rPr>
                <w:rFonts w:ascii="Times New Roman" w:eastAsia="Times New Roman Uni" w:hAnsi="Times New Roman" w:cs="Times New Roman"/>
                <w:bCs/>
                <w:szCs w:val="24"/>
                <w:lang w:bidi="ar"/>
              </w:rPr>
              <w:t>The performance of different LIP score thresholds in the screening of sepsis</w:t>
            </w:r>
            <w:r>
              <w:rPr>
                <w:rFonts w:ascii="Times New Roman" w:eastAsia="Times New Roman Uni" w:hAnsi="Times New Roman" w:cs="Times New Roman"/>
                <w:szCs w:val="24"/>
                <w:lang w:bidi="ar"/>
              </w:rPr>
              <w: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_Toc29815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hyperlink>
        </w:p>
        <w:p w14:paraId="02D717C5" w14:textId="77777777" w:rsidR="00176E18" w:rsidRDefault="00000000">
          <w:pPr>
            <w:pStyle w:val="TOC1"/>
            <w:tabs>
              <w:tab w:val="right" w:leader="dot" w:pos="9746"/>
            </w:tabs>
            <w:spacing w:line="264" w:lineRule="auto"/>
            <w:rPr>
              <w:rFonts w:ascii="Times New Roman" w:hAnsi="Times New Roman" w:cs="Times New Roman"/>
            </w:rPr>
          </w:pPr>
          <w:hyperlink w:anchor="_Toc7716" w:history="1">
            <w:r>
              <w:rPr>
                <w:rFonts w:ascii="Times New Roman" w:hAnsi="Times New Roman" w:cs="Times New Roman"/>
                <w:bCs/>
                <w:szCs w:val="24"/>
              </w:rPr>
              <w:t>Table</w:t>
            </w:r>
            <w:r>
              <w:rPr>
                <w:rFonts w:ascii="Times New Roman" w:eastAsiaTheme="majorEastAsia" w:hAnsi="Times New Roman" w:cs="Times New Roman"/>
                <w:bCs/>
                <w:szCs w:val="24"/>
              </w:rPr>
              <w:t xml:space="preserve"> S3</w:t>
            </w:r>
            <w:r>
              <w:rPr>
                <w:rFonts w:ascii="Times New Roman" w:hAnsi="Times New Roman" w:cs="Times New Roman"/>
                <w:bCs/>
                <w:szCs w:val="24"/>
              </w:rPr>
              <w:t>. Early warning efficacy of LIP</w:t>
            </w:r>
            <w:r>
              <w:rPr>
                <w:rFonts w:ascii="Times New Roman" w:eastAsiaTheme="majorEastAsia" w:hAnsi="Times New Roman" w:cs="Times New Roman"/>
                <w:bCs/>
                <w:szCs w:val="24"/>
              </w:rPr>
              <w:t xml:space="preserve"> scores</w:t>
            </w:r>
            <w:r>
              <w:rPr>
                <w:rFonts w:ascii="Times New Roman" w:hAnsi="Times New Roman" w:cs="Times New Roman"/>
                <w:bCs/>
                <w:szCs w:val="24"/>
              </w:rPr>
              <w:t xml:space="preserve">* </w:t>
            </w:r>
            <w:r>
              <w:rPr>
                <w:rFonts w:ascii="Times New Roman" w:hAnsi="Times New Roman" w:cs="Times New Roman"/>
              </w:rPr>
              <w:t>(</w:t>
            </w:r>
            <w:r>
              <w:rPr>
                <w:rFonts w:ascii="Times New Roman" w:eastAsiaTheme="majorEastAsia" w:hAnsi="Times New Roman" w:cs="Times New Roman"/>
              </w:rPr>
              <w:t xml:space="preserve">when </w:t>
            </w:r>
            <w:r>
              <w:rPr>
                <w:rFonts w:ascii="Times New Roman" w:hAnsi="Times New Roman" w:cs="Times New Roman"/>
              </w:rPr>
              <w:t>any two of the three items ≥1 point)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_Toc7716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hyperlink>
        </w:p>
        <w:p w14:paraId="10B78150" w14:textId="77777777" w:rsidR="00176E18" w:rsidRDefault="00000000">
          <w:pPr>
            <w:pStyle w:val="TOC1"/>
            <w:tabs>
              <w:tab w:val="right" w:leader="dot" w:pos="9746"/>
            </w:tabs>
            <w:spacing w:line="264" w:lineRule="auto"/>
            <w:rPr>
              <w:rFonts w:ascii="Times New Roman" w:hAnsi="Times New Roman" w:cs="Times New Roman"/>
            </w:rPr>
          </w:pPr>
          <w:hyperlink w:anchor="_Toc18416" w:history="1">
            <w:r>
              <w:rPr>
                <w:rFonts w:ascii="Times New Roman" w:hAnsi="Times New Roman" w:cs="Times New Roman"/>
                <w:bCs/>
                <w:szCs w:val="24"/>
              </w:rPr>
              <w:t>Table S4. Diagnostic performance of the LIP score for sepsis screening: overall cohort vs. cohort excluding patients with a single 2-point item.</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_Toc18416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hyperlink>
        </w:p>
        <w:p w14:paraId="6AE89C00" w14:textId="77777777" w:rsidR="00176E18" w:rsidRDefault="00000000">
          <w:pPr>
            <w:pStyle w:val="TOC1"/>
            <w:tabs>
              <w:tab w:val="right" w:leader="dot" w:pos="9746"/>
            </w:tabs>
            <w:spacing w:line="264" w:lineRule="auto"/>
            <w:rPr>
              <w:rFonts w:ascii="Times New Roman" w:hAnsi="Times New Roman" w:cs="Times New Roman"/>
            </w:rPr>
          </w:pPr>
          <w:hyperlink w:anchor="_Toc10373" w:history="1">
            <w:r>
              <w:rPr>
                <w:rFonts w:ascii="Times New Roman" w:hAnsi="Times New Roman" w:cs="Times New Roman"/>
                <w:bCs/>
                <w:szCs w:val="24"/>
              </w:rPr>
              <w:t>Table S5. Prognostic performance of different LIP scores in predicting mortality.</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_Toc10373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hyperlink>
        </w:p>
        <w:p w14:paraId="78B596D8" w14:textId="42D369FC" w:rsidR="00176E18" w:rsidRDefault="00000000">
          <w:pPr>
            <w:pStyle w:val="TOC1"/>
            <w:tabs>
              <w:tab w:val="right" w:leader="dot" w:pos="9746"/>
            </w:tabs>
            <w:spacing w:line="264" w:lineRule="auto"/>
            <w:rPr>
              <w:rFonts w:ascii="Times New Roman" w:hAnsi="Times New Roman" w:cs="Times New Roman"/>
            </w:rPr>
          </w:pPr>
          <w:hyperlink w:anchor="_Toc13703" w:history="1">
            <w:r>
              <w:rPr>
                <w:rFonts w:ascii="Times New Roman" w:hAnsi="Times New Roman" w:cs="Times New Roman"/>
                <w:bCs/>
                <w:szCs w:val="24"/>
              </w:rPr>
              <w:t xml:space="preserve">Table S6. Microbiological </w:t>
            </w:r>
            <w:r w:rsidR="00AD5ADE">
              <w:rPr>
                <w:rFonts w:ascii="Times New Roman" w:hAnsi="Times New Roman" w:cs="Times New Roman" w:hint="eastAsia"/>
                <w:bCs/>
                <w:szCs w:val="24"/>
              </w:rPr>
              <w:t>p</w:t>
            </w:r>
            <w:r>
              <w:rPr>
                <w:rFonts w:ascii="Times New Roman" w:hAnsi="Times New Roman" w:cs="Times New Roman"/>
                <w:bCs/>
                <w:szCs w:val="24"/>
              </w:rPr>
              <w:t>redi</w:t>
            </w:r>
            <w:r>
              <w:rPr>
                <w:rFonts w:ascii="Times New Roman" w:hAnsi="Times New Roman" w:cs="Times New Roman"/>
                <w:bCs/>
                <w:szCs w:val="24"/>
              </w:rPr>
              <w:t>c</w:t>
            </w:r>
            <w:r>
              <w:rPr>
                <w:rFonts w:ascii="Times New Roman" w:hAnsi="Times New Roman" w:cs="Times New Roman"/>
                <w:bCs/>
                <w:szCs w:val="24"/>
              </w:rPr>
              <w:t xml:space="preserve">tion by LIP </w:t>
            </w:r>
            <w:r w:rsidR="00AD5ADE">
              <w:rPr>
                <w:rFonts w:ascii="Times New Roman" w:hAnsi="Times New Roman" w:cs="Times New Roman" w:hint="eastAsia"/>
                <w:bCs/>
                <w:szCs w:val="24"/>
              </w:rPr>
              <w:t>s</w:t>
            </w:r>
            <w:r>
              <w:rPr>
                <w:rFonts w:ascii="Times New Roman" w:hAnsi="Times New Roman" w:cs="Times New Roman"/>
                <w:bCs/>
                <w:szCs w:val="24"/>
              </w:rPr>
              <w:t xml:space="preserve">core </w:t>
            </w:r>
            <w:r w:rsidR="00AD5ADE">
              <w:rPr>
                <w:rFonts w:ascii="Times New Roman" w:hAnsi="Times New Roman" w:cs="Times New Roman" w:hint="eastAsia"/>
                <w:bCs/>
                <w:szCs w:val="24"/>
              </w:rPr>
              <w:t>t</w:t>
            </w:r>
            <w:r>
              <w:rPr>
                <w:rFonts w:ascii="Times New Roman" w:hAnsi="Times New Roman" w:cs="Times New Roman"/>
                <w:bCs/>
                <w:szCs w:val="24"/>
              </w:rPr>
              <w:t>hresholds.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_Toc13703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hyperlink>
        </w:p>
        <w:p w14:paraId="6968DD91" w14:textId="77777777" w:rsidR="00176E18" w:rsidRDefault="00000000">
          <w:pPr>
            <w:pStyle w:val="TOC1"/>
            <w:tabs>
              <w:tab w:val="right" w:leader="dot" w:pos="9746"/>
            </w:tabs>
            <w:spacing w:line="264" w:lineRule="auto"/>
            <w:rPr>
              <w:rFonts w:ascii="Times New Roman" w:hAnsi="Times New Roman" w:cs="Times New Roman"/>
            </w:rPr>
          </w:pPr>
          <w:hyperlink w:anchor="_Toc26671" w:history="1">
            <w:r>
              <w:rPr>
                <w:rFonts w:ascii="Times New Roman" w:hAnsi="Times New Roman" w:cs="Times New Roman"/>
                <w:bCs/>
                <w:szCs w:val="24"/>
              </w:rPr>
              <w:t>Table S7. Comparative evaluation of screening tools for predicting microbial positivity.</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_Toc26671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hyperlink>
        </w:p>
        <w:p w14:paraId="770902AD" w14:textId="77777777" w:rsidR="00176E18" w:rsidRDefault="00000000">
          <w:pPr>
            <w:pStyle w:val="TOC1"/>
            <w:tabs>
              <w:tab w:val="right" w:leader="dot" w:pos="9746"/>
            </w:tabs>
            <w:spacing w:line="264" w:lineRule="auto"/>
            <w:rPr>
              <w:rFonts w:ascii="Times New Roman" w:hAnsi="Times New Roman" w:cs="Times New Roman"/>
            </w:rPr>
          </w:pPr>
          <w:hyperlink w:anchor="_Toc20831" w:history="1">
            <w:r>
              <w:rPr>
                <w:rFonts w:ascii="Times New Roman" w:hAnsi="Times New Roman" w:cs="Times New Roman"/>
                <w:bCs/>
                <w:szCs w:val="24"/>
              </w:rPr>
              <w:t>Figure S1. Illustrating the exclusion dilemma for patients with unclear baseline SOFA scores.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_Toc20831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hyperlink>
        </w:p>
        <w:p w14:paraId="2FB8A27B" w14:textId="77777777" w:rsidR="00176E18" w:rsidRDefault="00000000">
          <w:pPr>
            <w:pStyle w:val="TOC1"/>
            <w:tabs>
              <w:tab w:val="right" w:leader="dot" w:pos="9746"/>
            </w:tabs>
            <w:spacing w:line="264" w:lineRule="auto"/>
            <w:rPr>
              <w:rFonts w:ascii="Times New Roman" w:hAnsi="Times New Roman" w:cs="Times New Roman"/>
            </w:rPr>
          </w:pPr>
          <w:hyperlink w:anchor="_Toc10187" w:history="1">
            <w:r>
              <w:rPr>
                <w:rFonts w:ascii="Times New Roman" w:hAnsi="Times New Roman" w:cs="Times New Roman"/>
                <w:bCs/>
                <w:szCs w:val="24"/>
              </w:rPr>
              <w:t xml:space="preserve">Figure </w:t>
            </w:r>
            <w:r>
              <w:rPr>
                <w:rFonts w:ascii="Times New Roman" w:eastAsiaTheme="majorEastAsia" w:hAnsi="Times New Roman" w:cs="Times New Roman"/>
                <w:bCs/>
                <w:szCs w:val="24"/>
              </w:rPr>
              <w:t>S2</w:t>
            </w:r>
            <w:r>
              <w:rPr>
                <w:rFonts w:ascii="Times New Roman" w:hAnsi="Times New Roman" w:cs="Times New Roman"/>
                <w:bCs/>
                <w:szCs w:val="24"/>
              </w:rPr>
              <w:t>. Distribution of SOFA, NEWS, qSOFA, SIRS, and LIP scores among all patients</w:t>
            </w:r>
            <w:r>
              <w:rPr>
                <w:rFonts w:ascii="Times New Roman" w:hAnsi="Times New Roman" w:cs="Times New Roman"/>
                <w:szCs w:val="24"/>
              </w:rPr>
              <w: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_Toc10187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hyperlink>
        </w:p>
        <w:p w14:paraId="593E176F" w14:textId="77777777" w:rsidR="00176E18" w:rsidRDefault="00000000">
          <w:pPr>
            <w:pStyle w:val="TOC1"/>
            <w:tabs>
              <w:tab w:val="right" w:leader="dot" w:pos="9746"/>
            </w:tabs>
            <w:spacing w:line="264" w:lineRule="auto"/>
            <w:rPr>
              <w:rFonts w:ascii="Times New Roman" w:hAnsi="Times New Roman" w:cs="Times New Roman"/>
            </w:rPr>
          </w:pPr>
          <w:hyperlink w:anchor="_Toc28226" w:history="1">
            <w:r>
              <w:rPr>
                <w:rFonts w:ascii="Times New Roman" w:hAnsi="Times New Roman" w:cs="Times New Roman"/>
                <w:bCs/>
                <w:szCs w:val="24"/>
              </w:rPr>
              <w:t xml:space="preserve">Figure </w:t>
            </w:r>
            <w:r>
              <w:rPr>
                <w:rFonts w:ascii="Times New Roman" w:eastAsiaTheme="majorEastAsia" w:hAnsi="Times New Roman" w:cs="Times New Roman"/>
                <w:bCs/>
                <w:szCs w:val="24"/>
              </w:rPr>
              <w:t>S3</w:t>
            </w:r>
            <w:r>
              <w:rPr>
                <w:rFonts w:ascii="Times New Roman" w:hAnsi="Times New Roman" w:cs="Times New Roman"/>
                <w:bCs/>
                <w:szCs w:val="24"/>
              </w:rPr>
              <w:t>. Distribution of the five scoring systems (SOFA/NEWS/qSOFA/SIRS/LIP) in ICU and Non-ICU patients.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_Toc28226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hyperlink>
        </w:p>
        <w:p w14:paraId="3E15D37E" w14:textId="77777777" w:rsidR="00176E18" w:rsidRDefault="00000000">
          <w:pPr>
            <w:pStyle w:val="TOC1"/>
            <w:tabs>
              <w:tab w:val="right" w:leader="dot" w:pos="9746"/>
            </w:tabs>
            <w:spacing w:line="264" w:lineRule="auto"/>
            <w:rPr>
              <w:rFonts w:ascii="Times New Roman" w:hAnsi="Times New Roman" w:cs="Times New Roman"/>
            </w:rPr>
          </w:pPr>
          <w:hyperlink w:anchor="_Toc32408" w:history="1">
            <w:r>
              <w:rPr>
                <w:rFonts w:ascii="Times New Roman" w:hAnsi="Times New Roman" w:cs="Times New Roman"/>
                <w:bCs/>
                <w:szCs w:val="24"/>
              </w:rPr>
              <w:t xml:space="preserve">Figure </w:t>
            </w:r>
            <w:r>
              <w:rPr>
                <w:rFonts w:ascii="Times New Roman" w:eastAsiaTheme="majorEastAsia" w:hAnsi="Times New Roman" w:cs="Times New Roman"/>
                <w:bCs/>
                <w:szCs w:val="24"/>
              </w:rPr>
              <w:t>S4</w:t>
            </w:r>
            <w:r>
              <w:rPr>
                <w:rFonts w:ascii="Times New Roman" w:hAnsi="Times New Roman" w:cs="Times New Roman"/>
                <w:bCs/>
                <w:szCs w:val="24"/>
              </w:rPr>
              <w:t>. Distribution of SOFA scores across participating centers.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_Toc32408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hyperlink>
        </w:p>
        <w:p w14:paraId="665F5E44" w14:textId="77777777" w:rsidR="00176E18" w:rsidRDefault="00000000">
          <w:pPr>
            <w:pStyle w:val="TOC1"/>
            <w:tabs>
              <w:tab w:val="right" w:leader="dot" w:pos="9746"/>
            </w:tabs>
            <w:spacing w:line="264" w:lineRule="auto"/>
            <w:rPr>
              <w:rFonts w:ascii="Times New Roman" w:hAnsi="Times New Roman" w:cs="Times New Roman"/>
            </w:rPr>
          </w:pPr>
          <w:hyperlink w:anchor="_Toc8078" w:history="1">
            <w:r>
              <w:rPr>
                <w:rFonts w:ascii="Times New Roman" w:hAnsi="Times New Roman" w:cs="Times New Roman"/>
                <w:bCs/>
                <w:szCs w:val="24"/>
              </w:rPr>
              <w:t xml:space="preserve">Figure </w:t>
            </w:r>
            <w:r>
              <w:rPr>
                <w:rFonts w:ascii="Times New Roman" w:eastAsiaTheme="majorEastAsia" w:hAnsi="Times New Roman" w:cs="Times New Roman"/>
                <w:bCs/>
                <w:szCs w:val="24"/>
              </w:rPr>
              <w:t>S5</w:t>
            </w:r>
            <w:r>
              <w:rPr>
                <w:rFonts w:ascii="Times New Roman" w:hAnsi="Times New Roman" w:cs="Times New Roman"/>
                <w:bCs/>
                <w:szCs w:val="24"/>
              </w:rPr>
              <w:t>. Distribution of NEWS scores across participating centers.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_Toc8078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hyperlink>
        </w:p>
        <w:p w14:paraId="73B03A34" w14:textId="77777777" w:rsidR="00176E18" w:rsidRDefault="00000000">
          <w:pPr>
            <w:pStyle w:val="TOC1"/>
            <w:tabs>
              <w:tab w:val="right" w:leader="dot" w:pos="9746"/>
            </w:tabs>
            <w:spacing w:line="264" w:lineRule="auto"/>
            <w:rPr>
              <w:rFonts w:ascii="Times New Roman" w:hAnsi="Times New Roman" w:cs="Times New Roman"/>
            </w:rPr>
          </w:pPr>
          <w:hyperlink w:anchor="_Toc3896" w:history="1">
            <w:r>
              <w:rPr>
                <w:rFonts w:ascii="Times New Roman" w:hAnsi="Times New Roman" w:cs="Times New Roman"/>
                <w:bCs/>
                <w:szCs w:val="24"/>
              </w:rPr>
              <w:t xml:space="preserve">Figure </w:t>
            </w:r>
            <w:r>
              <w:rPr>
                <w:rFonts w:ascii="Times New Roman" w:eastAsiaTheme="majorEastAsia" w:hAnsi="Times New Roman" w:cs="Times New Roman"/>
                <w:bCs/>
                <w:szCs w:val="24"/>
              </w:rPr>
              <w:t>S6</w:t>
            </w:r>
            <w:r>
              <w:rPr>
                <w:rFonts w:ascii="Times New Roman" w:hAnsi="Times New Roman" w:cs="Times New Roman"/>
                <w:bCs/>
                <w:szCs w:val="24"/>
              </w:rPr>
              <w:t>. Distribution of qSOFA scores across participating centers.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_Toc3896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hyperlink>
        </w:p>
        <w:p w14:paraId="4AB5E57C" w14:textId="77777777" w:rsidR="00176E18" w:rsidRDefault="00000000">
          <w:pPr>
            <w:pStyle w:val="TOC1"/>
            <w:tabs>
              <w:tab w:val="right" w:leader="dot" w:pos="9746"/>
            </w:tabs>
            <w:spacing w:line="264" w:lineRule="auto"/>
            <w:rPr>
              <w:rFonts w:ascii="Times New Roman" w:hAnsi="Times New Roman" w:cs="Times New Roman"/>
            </w:rPr>
          </w:pPr>
          <w:hyperlink w:anchor="_Toc12109" w:history="1">
            <w:r>
              <w:rPr>
                <w:rFonts w:ascii="Times New Roman" w:hAnsi="Times New Roman" w:cs="Times New Roman"/>
                <w:bCs/>
                <w:szCs w:val="24"/>
              </w:rPr>
              <w:t xml:space="preserve">Figure </w:t>
            </w:r>
            <w:r>
              <w:rPr>
                <w:rFonts w:ascii="Times New Roman" w:eastAsiaTheme="majorEastAsia" w:hAnsi="Times New Roman" w:cs="Times New Roman"/>
                <w:bCs/>
                <w:szCs w:val="24"/>
              </w:rPr>
              <w:t>S7</w:t>
            </w:r>
            <w:r>
              <w:rPr>
                <w:rFonts w:ascii="Times New Roman" w:hAnsi="Times New Roman" w:cs="Times New Roman"/>
                <w:bCs/>
                <w:szCs w:val="24"/>
              </w:rPr>
              <w:t>. Distribution of SIRS scores across participating centers.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_Toc12109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hyperlink>
        </w:p>
        <w:p w14:paraId="3F31A4FB" w14:textId="77777777" w:rsidR="00176E18" w:rsidRDefault="00000000">
          <w:pPr>
            <w:pStyle w:val="TOC1"/>
            <w:tabs>
              <w:tab w:val="right" w:leader="dot" w:pos="9746"/>
            </w:tabs>
            <w:spacing w:line="264" w:lineRule="auto"/>
            <w:rPr>
              <w:rFonts w:ascii="Times New Roman" w:hAnsi="Times New Roman" w:cs="Times New Roman"/>
            </w:rPr>
          </w:pPr>
          <w:hyperlink w:anchor="_Toc3527" w:history="1">
            <w:r>
              <w:rPr>
                <w:rFonts w:ascii="Times New Roman" w:hAnsi="Times New Roman" w:cs="Times New Roman"/>
                <w:bCs/>
                <w:szCs w:val="24"/>
              </w:rPr>
              <w:t xml:space="preserve">Figure </w:t>
            </w:r>
            <w:r>
              <w:rPr>
                <w:rFonts w:ascii="Times New Roman" w:eastAsiaTheme="majorEastAsia" w:hAnsi="Times New Roman" w:cs="Times New Roman"/>
                <w:bCs/>
                <w:szCs w:val="24"/>
              </w:rPr>
              <w:t>S8</w:t>
            </w:r>
            <w:r>
              <w:rPr>
                <w:rFonts w:ascii="Times New Roman" w:hAnsi="Times New Roman" w:cs="Times New Roman"/>
                <w:bCs/>
                <w:szCs w:val="24"/>
              </w:rPr>
              <w:t>. Distribution of LIP scores across participating centers.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_Toc3527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hyperlink>
        </w:p>
        <w:p w14:paraId="6E931057" w14:textId="77777777" w:rsidR="00176E18" w:rsidRDefault="00000000">
          <w:pPr>
            <w:pStyle w:val="TOC1"/>
            <w:tabs>
              <w:tab w:val="right" w:leader="dot" w:pos="9746"/>
            </w:tabs>
            <w:spacing w:line="264" w:lineRule="auto"/>
            <w:rPr>
              <w:rFonts w:ascii="Times New Roman" w:hAnsi="Times New Roman" w:cs="Times New Roman"/>
            </w:rPr>
          </w:pPr>
          <w:hyperlink w:anchor="_Toc21083" w:history="1">
            <w:r>
              <w:rPr>
                <w:rFonts w:ascii="Times New Roman" w:hAnsi="Times New Roman" w:cs="Times New Roman"/>
                <w:bCs/>
                <w:szCs w:val="24"/>
              </w:rPr>
              <w:t>Figure S9. Sankey diagram visualizes the relationship between different scoring tools and the SOFA score.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_Toc21083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hyperlink>
        </w:p>
        <w:p w14:paraId="1AE6CDAC" w14:textId="77777777" w:rsidR="00176E18" w:rsidRDefault="00000000">
          <w:pPr>
            <w:pStyle w:val="TOC1"/>
            <w:tabs>
              <w:tab w:val="right" w:leader="dot" w:pos="9746"/>
            </w:tabs>
            <w:spacing w:line="264" w:lineRule="auto"/>
            <w:rPr>
              <w:rFonts w:ascii="Times New Roman" w:hAnsi="Times New Roman" w:cs="Times New Roman"/>
            </w:rPr>
          </w:pPr>
          <w:hyperlink w:anchor="_Toc20482" w:history="1">
            <w:r>
              <w:rPr>
                <w:rFonts w:ascii="Times New Roman" w:hAnsi="Times New Roman" w:cs="Times New Roman"/>
                <w:bCs/>
                <w:szCs w:val="24"/>
              </w:rPr>
              <w:t xml:space="preserve">Figure </w:t>
            </w:r>
            <w:r>
              <w:rPr>
                <w:rFonts w:ascii="Times New Roman" w:eastAsiaTheme="majorEastAsia" w:hAnsi="Times New Roman" w:cs="Times New Roman"/>
                <w:bCs/>
                <w:szCs w:val="24"/>
              </w:rPr>
              <w:t>S10</w:t>
            </w:r>
            <w:r>
              <w:rPr>
                <w:rFonts w:ascii="Times New Roman" w:hAnsi="Times New Roman" w:cs="Times New Roman"/>
                <w:bCs/>
                <w:szCs w:val="24"/>
              </w:rPr>
              <w:t>. Distribution of pulmonary and non-pulmonary infections cases under the screening thresholds of different scoring tools.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_Toc20482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hyperlink>
        </w:p>
        <w:p w14:paraId="236D00E6" w14:textId="77777777" w:rsidR="00176E18" w:rsidRDefault="00000000">
          <w:pPr>
            <w:pStyle w:val="TOC1"/>
            <w:tabs>
              <w:tab w:val="right" w:leader="dot" w:pos="9746"/>
            </w:tabs>
            <w:spacing w:line="264" w:lineRule="auto"/>
            <w:rPr>
              <w:rFonts w:ascii="Times New Roman" w:hAnsi="Times New Roman" w:cs="Times New Roman"/>
            </w:rPr>
          </w:pPr>
          <w:hyperlink w:anchor="_Toc29331" w:history="1">
            <w:r>
              <w:rPr>
                <w:rFonts w:ascii="Times New Roman" w:hAnsi="Times New Roman" w:cs="Times New Roman"/>
                <w:bCs/>
                <w:szCs w:val="24"/>
              </w:rPr>
              <w:t xml:space="preserve">Figure </w:t>
            </w:r>
            <w:r>
              <w:rPr>
                <w:rFonts w:ascii="Times New Roman" w:eastAsiaTheme="majorEastAsia" w:hAnsi="Times New Roman" w:cs="Times New Roman"/>
                <w:bCs/>
                <w:szCs w:val="24"/>
              </w:rPr>
              <w:t>S11</w:t>
            </w:r>
            <w:r>
              <w:rPr>
                <w:rFonts w:ascii="Times New Roman" w:hAnsi="Times New Roman" w:cs="Times New Roman"/>
                <w:bCs/>
                <w:szCs w:val="24"/>
              </w:rPr>
              <w:t>. Distribution of sepsis and non-sepsis cases under the screening thresholds of different scoring tools.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_Toc29331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hyperlink>
        </w:p>
        <w:p w14:paraId="27C840FC" w14:textId="77777777" w:rsidR="00176E18" w:rsidRDefault="00000000">
          <w:pPr>
            <w:pStyle w:val="TOC1"/>
            <w:tabs>
              <w:tab w:val="right" w:leader="dot" w:pos="9746"/>
            </w:tabs>
            <w:spacing w:line="264" w:lineRule="auto"/>
            <w:rPr>
              <w:rFonts w:ascii="Times New Roman" w:hAnsi="Times New Roman" w:cs="Times New Roman"/>
            </w:rPr>
          </w:pPr>
          <w:hyperlink w:anchor="_Toc32578" w:history="1">
            <w:r>
              <w:rPr>
                <w:rFonts w:ascii="Times New Roman" w:hAnsi="Times New Roman" w:cs="Times New Roman"/>
                <w:bCs/>
                <w:szCs w:val="24"/>
              </w:rPr>
              <w:t xml:space="preserve">Figure </w:t>
            </w:r>
            <w:r>
              <w:rPr>
                <w:rFonts w:ascii="Times New Roman" w:eastAsiaTheme="majorEastAsia" w:hAnsi="Times New Roman" w:cs="Times New Roman"/>
                <w:bCs/>
                <w:szCs w:val="24"/>
              </w:rPr>
              <w:t>S12</w:t>
            </w:r>
            <w:r>
              <w:rPr>
                <w:rFonts w:ascii="Times New Roman" w:hAnsi="Times New Roman" w:cs="Times New Roman"/>
                <w:bCs/>
                <w:szCs w:val="24"/>
              </w:rPr>
              <w:t>.</w:t>
            </w:r>
            <w:r>
              <w:rPr>
                <w:rFonts w:ascii="Times New Roman" w:eastAsiaTheme="majorEastAsia" w:hAnsi="Times New Roman" w:cs="Times New Roman"/>
                <w:bCs/>
                <w:szCs w:val="24"/>
              </w:rPr>
              <w:t xml:space="preserve"> The performance of Lym, INR and PCT in screening for sepsis.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_Toc32578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19</w:t>
            </w:r>
            <w:r>
              <w:rPr>
                <w:rFonts w:ascii="Times New Roman" w:hAnsi="Times New Roman" w:cs="Times New Roman"/>
              </w:rPr>
              <w:fldChar w:fldCharType="end"/>
            </w:r>
          </w:hyperlink>
        </w:p>
        <w:p w14:paraId="4871DDAF" w14:textId="77777777" w:rsidR="00176E18" w:rsidRDefault="00000000">
          <w:pPr>
            <w:pStyle w:val="TOC1"/>
            <w:tabs>
              <w:tab w:val="right" w:leader="dot" w:pos="9746"/>
            </w:tabs>
            <w:spacing w:line="264" w:lineRule="auto"/>
            <w:rPr>
              <w:rFonts w:ascii="Times New Roman" w:hAnsi="Times New Roman" w:cs="Times New Roman"/>
            </w:rPr>
          </w:pPr>
          <w:hyperlink w:anchor="_Toc908" w:history="1">
            <w:r>
              <w:rPr>
                <w:rFonts w:ascii="Times New Roman" w:hAnsi="Times New Roman" w:cs="Times New Roman"/>
                <w:bCs/>
                <w:szCs w:val="24"/>
              </w:rPr>
              <w:t xml:space="preserve">Figure </w:t>
            </w:r>
            <w:r>
              <w:rPr>
                <w:rFonts w:ascii="Times New Roman" w:eastAsiaTheme="majorEastAsia" w:hAnsi="Times New Roman" w:cs="Times New Roman"/>
                <w:bCs/>
                <w:szCs w:val="24"/>
              </w:rPr>
              <w:t>S13</w:t>
            </w:r>
            <w:r>
              <w:rPr>
                <w:rFonts w:ascii="Times New Roman" w:hAnsi="Times New Roman" w:cs="Times New Roman"/>
                <w:bCs/>
                <w:szCs w:val="24"/>
              </w:rPr>
              <w:t xml:space="preserve">. Diagnostic performance of biomarkers and scoring systems for sepsis in pulmonary </w:t>
            </w:r>
            <w:r>
              <w:rPr>
                <w:rFonts w:ascii="Times New Roman" w:hAnsi="Times New Roman" w:cs="Times New Roman"/>
                <w:bCs/>
                <w:i/>
                <w:iCs/>
                <w:szCs w:val="24"/>
              </w:rPr>
              <w:t>vs</w:t>
            </w:r>
            <w:r>
              <w:rPr>
                <w:rFonts w:ascii="Times New Roman" w:hAnsi="Times New Roman" w:cs="Times New Roman"/>
                <w:bCs/>
                <w:szCs w:val="24"/>
              </w:rPr>
              <w:t>. non-pulmonary infections.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_Toc908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hyperlink>
        </w:p>
        <w:p w14:paraId="5352701E" w14:textId="77777777" w:rsidR="00176E18" w:rsidRDefault="00000000">
          <w:pPr>
            <w:pStyle w:val="TOC1"/>
            <w:tabs>
              <w:tab w:val="right" w:leader="dot" w:pos="9746"/>
            </w:tabs>
            <w:spacing w:line="264" w:lineRule="auto"/>
            <w:rPr>
              <w:rFonts w:ascii="Times New Roman" w:hAnsi="Times New Roman" w:cs="Times New Roman"/>
            </w:rPr>
          </w:pPr>
          <w:hyperlink w:anchor="_Toc30337" w:history="1">
            <w:r>
              <w:rPr>
                <w:rFonts w:ascii="Times New Roman" w:hAnsi="Times New Roman" w:cs="Times New Roman"/>
                <w:bCs/>
                <w:szCs w:val="24"/>
              </w:rPr>
              <w:t xml:space="preserve">Figure </w:t>
            </w:r>
            <w:r>
              <w:rPr>
                <w:rFonts w:ascii="Times New Roman" w:eastAsiaTheme="majorEastAsia" w:hAnsi="Times New Roman" w:cs="Times New Roman"/>
                <w:bCs/>
                <w:szCs w:val="24"/>
              </w:rPr>
              <w:t>S14. Analysis of calibration of the LIP score and its Diagnostic efficacy for sepsis in ICU patients and Out of ICU patients.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_Toc30337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hyperlink>
        </w:p>
        <w:p w14:paraId="1CA41E2B" w14:textId="77777777" w:rsidR="00176E18" w:rsidRDefault="00000000">
          <w:pPr>
            <w:pStyle w:val="TOC1"/>
            <w:tabs>
              <w:tab w:val="right" w:leader="dot" w:pos="9746"/>
            </w:tabs>
            <w:spacing w:line="264" w:lineRule="auto"/>
            <w:rPr>
              <w:rFonts w:ascii="Times New Roman" w:hAnsi="Times New Roman" w:cs="Times New Roman"/>
            </w:rPr>
          </w:pPr>
          <w:hyperlink w:anchor="_Toc14357" w:history="1">
            <w:r>
              <w:rPr>
                <w:rFonts w:ascii="Times New Roman" w:hAnsi="Times New Roman" w:cs="Times New Roman"/>
                <w:bCs/>
                <w:szCs w:val="24"/>
              </w:rPr>
              <w:t xml:space="preserve">Figure </w:t>
            </w:r>
            <w:r>
              <w:rPr>
                <w:rFonts w:ascii="Times New Roman" w:eastAsiaTheme="majorEastAsia" w:hAnsi="Times New Roman" w:cs="Times New Roman"/>
                <w:bCs/>
                <w:szCs w:val="24"/>
              </w:rPr>
              <w:t>S15</w:t>
            </w:r>
            <w:r>
              <w:rPr>
                <w:rFonts w:ascii="Times New Roman" w:hAnsi="Times New Roman" w:cs="Times New Roman"/>
                <w:bCs/>
                <w:szCs w:val="24"/>
              </w:rPr>
              <w:t>. Performance metrics (sensitivity, specificity, PPV, NPV) of screening tools at established diagnostic thresholds.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_Toc14357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22</w:t>
            </w:r>
            <w:r>
              <w:rPr>
                <w:rFonts w:ascii="Times New Roman" w:hAnsi="Times New Roman" w:cs="Times New Roman"/>
              </w:rPr>
              <w:fldChar w:fldCharType="end"/>
            </w:r>
          </w:hyperlink>
        </w:p>
        <w:p w14:paraId="5F262758" w14:textId="77777777" w:rsidR="00176E18" w:rsidRDefault="00000000">
          <w:pPr>
            <w:pStyle w:val="TOC1"/>
            <w:tabs>
              <w:tab w:val="right" w:leader="dot" w:pos="9746"/>
            </w:tabs>
            <w:spacing w:line="264" w:lineRule="auto"/>
            <w:rPr>
              <w:rFonts w:ascii="Times New Roman" w:hAnsi="Times New Roman" w:cs="Times New Roman"/>
            </w:rPr>
          </w:pPr>
          <w:hyperlink w:anchor="_Toc3627" w:history="1">
            <w:r>
              <w:rPr>
                <w:rFonts w:ascii="Times New Roman" w:eastAsia="Times New Roman Uni" w:hAnsi="Times New Roman" w:cs="Times New Roman"/>
                <w:bCs/>
                <w:szCs w:val="24"/>
                <w:lang w:bidi="ar"/>
              </w:rPr>
              <w:t>Figure S16</w:t>
            </w:r>
            <w:r>
              <w:rPr>
                <w:rFonts w:ascii="Times New Roman" w:eastAsia="Times New Roman Uni" w:hAnsi="Times New Roman" w:cs="Times New Roman"/>
                <w:szCs w:val="24"/>
                <w:lang w:bidi="ar"/>
              </w:rPr>
              <w:t>.</w:t>
            </w:r>
            <w:r>
              <w:rPr>
                <w:rFonts w:ascii="Times New Roman" w:eastAsia="Times New Roman Uni" w:hAnsi="Times New Roman" w:cs="Times New Roman"/>
                <w:bCs/>
                <w:szCs w:val="24"/>
                <w:lang w:bidi="ar"/>
              </w:rPr>
              <w:t xml:space="preserve"> Sensitivity and specificity of LIP thresholds for sepsis screening.</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_Toc3627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hyperlink>
        </w:p>
        <w:p w14:paraId="55C03EFF" w14:textId="77777777" w:rsidR="00176E18" w:rsidRDefault="00000000">
          <w:pPr>
            <w:pStyle w:val="TOC1"/>
            <w:tabs>
              <w:tab w:val="right" w:leader="dot" w:pos="9746"/>
            </w:tabs>
            <w:spacing w:line="264" w:lineRule="auto"/>
            <w:rPr>
              <w:rFonts w:ascii="Times New Roman" w:hAnsi="Times New Roman" w:cs="Times New Roman"/>
            </w:rPr>
          </w:pPr>
          <w:hyperlink w:anchor="_Toc15589" w:history="1">
            <w:r>
              <w:rPr>
                <w:rFonts w:ascii="Times New Roman" w:hAnsi="Times New Roman" w:cs="Times New Roman"/>
                <w:bCs/>
                <w:szCs w:val="24"/>
              </w:rPr>
              <w:t xml:space="preserve">Figure </w:t>
            </w:r>
            <w:r>
              <w:rPr>
                <w:rFonts w:ascii="Times New Roman" w:eastAsiaTheme="majorEastAsia" w:hAnsi="Times New Roman" w:cs="Times New Roman"/>
                <w:bCs/>
                <w:szCs w:val="24"/>
              </w:rPr>
              <w:t>S17</w:t>
            </w:r>
            <w:r>
              <w:rPr>
                <w:rFonts w:ascii="Times New Roman" w:hAnsi="Times New Roman" w:cs="Times New Roman"/>
                <w:bCs/>
                <w:szCs w:val="24"/>
              </w:rPr>
              <w:t>. SHAP feature importance ranking of mortality prognostic biomarkers in</w:t>
            </w:r>
            <w:r>
              <w:rPr>
                <w:rFonts w:ascii="Times New Roman" w:eastAsiaTheme="majorEastAsia" w:hAnsi="Times New Roman" w:cs="Times New Roman"/>
                <w:bCs/>
                <w:szCs w:val="24"/>
              </w:rPr>
              <w:t xml:space="preserve"> </w:t>
            </w:r>
            <w:r>
              <w:rPr>
                <w:rFonts w:ascii="Times New Roman" w:hAnsi="Times New Roman" w:cs="Times New Roman"/>
                <w:bCs/>
                <w:szCs w:val="24"/>
              </w:rPr>
              <w:t>sepsis.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_Toc15589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hyperlink>
        </w:p>
        <w:p w14:paraId="4B3DA948" w14:textId="77777777" w:rsidR="00176E18" w:rsidRDefault="00000000">
          <w:pPr>
            <w:pStyle w:val="TOC1"/>
            <w:tabs>
              <w:tab w:val="right" w:leader="dot" w:pos="9746"/>
            </w:tabs>
            <w:spacing w:line="264" w:lineRule="auto"/>
            <w:rPr>
              <w:rFonts w:ascii="Times New Roman" w:hAnsi="Times New Roman" w:cs="Times New Roman"/>
            </w:rPr>
          </w:pPr>
          <w:hyperlink w:anchor="_Toc22902" w:history="1">
            <w:r>
              <w:rPr>
                <w:rFonts w:ascii="Times New Roman" w:hAnsi="Times New Roman" w:cs="Times New Roman"/>
                <w:bCs/>
                <w:szCs w:val="24"/>
              </w:rPr>
              <w:t xml:space="preserve">Figure S18. Prognostic performance of biomarkers and scoring systems for sepsis in pulmonary </w:t>
            </w:r>
            <w:r>
              <w:rPr>
                <w:rFonts w:ascii="Times New Roman" w:hAnsi="Times New Roman" w:cs="Times New Roman"/>
                <w:bCs/>
                <w:i/>
                <w:iCs/>
                <w:szCs w:val="24"/>
              </w:rPr>
              <w:t>vs</w:t>
            </w:r>
            <w:r>
              <w:rPr>
                <w:rFonts w:ascii="Times New Roman" w:hAnsi="Times New Roman" w:cs="Times New Roman"/>
                <w:bCs/>
                <w:szCs w:val="24"/>
              </w:rPr>
              <w:t>. non-pulmonary infections.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_Toc22902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25</w:t>
            </w:r>
            <w:r>
              <w:rPr>
                <w:rFonts w:ascii="Times New Roman" w:hAnsi="Times New Roman" w:cs="Times New Roman"/>
              </w:rPr>
              <w:fldChar w:fldCharType="end"/>
            </w:r>
          </w:hyperlink>
        </w:p>
        <w:p w14:paraId="17941789" w14:textId="77777777" w:rsidR="00176E18" w:rsidRDefault="00000000">
          <w:pPr>
            <w:pStyle w:val="TOC1"/>
            <w:tabs>
              <w:tab w:val="right" w:leader="dot" w:pos="9746"/>
            </w:tabs>
            <w:spacing w:line="264" w:lineRule="auto"/>
            <w:rPr>
              <w:rFonts w:ascii="Times New Roman" w:hAnsi="Times New Roman" w:cs="Times New Roman"/>
            </w:rPr>
          </w:pPr>
          <w:hyperlink w:anchor="_Toc5751" w:history="1">
            <w:r>
              <w:rPr>
                <w:rFonts w:ascii="Times New Roman" w:hAnsi="Times New Roman" w:cs="Times New Roman"/>
                <w:bCs/>
                <w:szCs w:val="24"/>
              </w:rPr>
              <w:t xml:space="preserve">Figure </w:t>
            </w:r>
            <w:r>
              <w:rPr>
                <w:rFonts w:ascii="Times New Roman" w:eastAsiaTheme="majorEastAsia" w:hAnsi="Times New Roman" w:cs="Times New Roman"/>
                <w:bCs/>
                <w:szCs w:val="24"/>
              </w:rPr>
              <w:t>S19</w:t>
            </w:r>
            <w:r>
              <w:rPr>
                <w:rFonts w:ascii="Times New Roman" w:hAnsi="Times New Roman" w:cs="Times New Roman"/>
                <w:bCs/>
                <w:szCs w:val="24"/>
              </w:rPr>
              <w:t>. Sepsis mortality and ICU length of stay at different LIP scores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_Toc5751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26</w:t>
            </w:r>
            <w:r>
              <w:rPr>
                <w:rFonts w:ascii="Times New Roman" w:hAnsi="Times New Roman" w:cs="Times New Roman"/>
              </w:rPr>
              <w:fldChar w:fldCharType="end"/>
            </w:r>
          </w:hyperlink>
        </w:p>
        <w:p w14:paraId="27579739" w14:textId="77777777" w:rsidR="00176E18" w:rsidRDefault="00000000">
          <w:pPr>
            <w:pStyle w:val="TOC1"/>
            <w:tabs>
              <w:tab w:val="right" w:leader="dot" w:pos="9746"/>
            </w:tabs>
            <w:spacing w:line="264" w:lineRule="auto"/>
            <w:rPr>
              <w:rFonts w:ascii="Times New Roman" w:hAnsi="Times New Roman" w:cs="Times New Roman"/>
            </w:rPr>
          </w:pPr>
          <w:hyperlink w:anchor="_Toc16518" w:history="1">
            <w:r>
              <w:rPr>
                <w:rFonts w:ascii="Times New Roman" w:hAnsi="Times New Roman" w:cs="Times New Roman"/>
                <w:bCs/>
                <w:szCs w:val="24"/>
              </w:rPr>
              <w:t xml:space="preserve">Figure </w:t>
            </w:r>
            <w:r>
              <w:rPr>
                <w:rFonts w:ascii="Times New Roman" w:eastAsiaTheme="majorEastAsia" w:hAnsi="Times New Roman" w:cs="Times New Roman"/>
                <w:bCs/>
                <w:szCs w:val="24"/>
              </w:rPr>
              <w:t>S20</w:t>
            </w:r>
            <w:r>
              <w:rPr>
                <w:rFonts w:ascii="Times New Roman" w:hAnsi="Times New Roman" w:cs="Times New Roman"/>
                <w:bCs/>
                <w:szCs w:val="24"/>
              </w:rPr>
              <w:t>. Predictive performance of various scoring systems for microbiological positivity in pulmonary and non-pulmonary infections</w:t>
            </w:r>
            <w:r>
              <w:rPr>
                <w:rFonts w:ascii="Times New Roman" w:hAnsi="Times New Roman" w:cs="Times New Roman"/>
                <w:szCs w:val="24"/>
              </w:rPr>
              <w:t>.</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_Toc16518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27</w:t>
            </w:r>
            <w:r>
              <w:rPr>
                <w:rFonts w:ascii="Times New Roman" w:hAnsi="Times New Roman" w:cs="Times New Roman"/>
              </w:rPr>
              <w:fldChar w:fldCharType="end"/>
            </w:r>
          </w:hyperlink>
        </w:p>
        <w:p w14:paraId="66511EE0" w14:textId="77777777" w:rsidR="00176E18" w:rsidRDefault="00000000">
          <w:pPr>
            <w:pStyle w:val="TOC1"/>
            <w:tabs>
              <w:tab w:val="right" w:leader="dot" w:pos="9746"/>
            </w:tabs>
            <w:spacing w:line="264" w:lineRule="auto"/>
            <w:rPr>
              <w:rFonts w:hint="eastAsia"/>
            </w:rPr>
          </w:pPr>
          <w:hyperlink w:anchor="_Toc5009" w:history="1">
            <w:r>
              <w:rPr>
                <w:rFonts w:ascii="Times New Roman" w:hAnsi="Times New Roman" w:cs="Times New Roman"/>
                <w:bCs/>
                <w:szCs w:val="24"/>
              </w:rPr>
              <w:t>Figure S21. Performance of PCT</w:t>
            </w:r>
            <w:r>
              <w:rPr>
                <w:rFonts w:ascii="Times New Roman" w:hAnsi="Times New Roman" w:cs="Times New Roman" w:hint="eastAsia"/>
                <w:bCs/>
                <w:szCs w:val="24"/>
              </w:rPr>
              <w:t xml:space="preserve"> </w:t>
            </w:r>
            <w:r>
              <w:rPr>
                <w:rFonts w:ascii="Times New Roman" w:hAnsi="Times New Roman" w:cs="Times New Roman"/>
                <w:bCs/>
                <w:szCs w:val="24"/>
              </w:rPr>
              <w:t>for sepsis screening and comparison with the LIP score.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_Toc5009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28</w:t>
            </w:r>
            <w:r>
              <w:rPr>
                <w:rFonts w:ascii="Times New Roman" w:hAnsi="Times New Roman" w:cs="Times New Roman"/>
              </w:rPr>
              <w:fldChar w:fldCharType="end"/>
            </w:r>
          </w:hyperlink>
        </w:p>
        <w:p w14:paraId="511A67EB" w14:textId="77777777" w:rsidR="00176E18" w:rsidRDefault="00000000">
          <w:pPr>
            <w:tabs>
              <w:tab w:val="right" w:leader="dot" w:pos="9736"/>
            </w:tabs>
            <w:rPr>
              <w:rFonts w:ascii="Arial" w:hAnsi="Arial" w:cs="Arial"/>
            </w:rPr>
          </w:pPr>
          <w:r>
            <w:rPr>
              <w:rFonts w:ascii="Arial" w:hAnsi="Arial" w:cs="Arial"/>
              <w:b/>
              <w:bCs/>
              <w:sz w:val="22"/>
              <w:lang w:val="zh-CN"/>
            </w:rPr>
            <w:fldChar w:fldCharType="end"/>
          </w:r>
        </w:p>
      </w:sdtContent>
    </w:sdt>
    <w:p w14:paraId="7D117577" w14:textId="77777777" w:rsidR="00176E18" w:rsidRDefault="00176E18">
      <w:pPr>
        <w:spacing w:line="240" w:lineRule="exact"/>
        <w:rPr>
          <w:rStyle w:val="20"/>
          <w:rFonts w:ascii="Arial" w:hAnsi="Arial" w:cs="Arial"/>
          <w:color w:val="auto"/>
          <w:sz w:val="16"/>
          <w:szCs w:val="16"/>
        </w:rPr>
        <w:sectPr w:rsidR="00176E18">
          <w:footerReference w:type="default" r:id="rId8"/>
          <w:pgSz w:w="11906" w:h="16838"/>
          <w:pgMar w:top="1440" w:right="1080" w:bottom="1440" w:left="1080" w:header="851" w:footer="992" w:gutter="0"/>
          <w:pgNumType w:start="0"/>
          <w:cols w:space="425"/>
          <w:docGrid w:type="lines" w:linePitch="312"/>
        </w:sectPr>
      </w:pPr>
    </w:p>
    <w:p w14:paraId="21D440EE" w14:textId="77777777" w:rsidR="00176E18" w:rsidRDefault="00000000">
      <w:pPr>
        <w:pageBreakBefore/>
        <w:spacing w:line="360" w:lineRule="auto"/>
        <w:outlineLvl w:val="0"/>
        <w:rPr>
          <w:rFonts w:ascii="Arial" w:eastAsia="Times New Roman Uni" w:hAnsi="Arial" w:cs="Arial"/>
          <w:sz w:val="24"/>
          <w:szCs w:val="24"/>
        </w:rPr>
      </w:pPr>
      <w:bookmarkStart w:id="0" w:name="_Toc3096"/>
      <w:r>
        <w:rPr>
          <w:rFonts w:ascii="Arial" w:eastAsia="Times New Roman Uni" w:hAnsi="Arial" w:cs="Arial"/>
          <w:b/>
          <w:bCs/>
          <w:sz w:val="24"/>
          <w:szCs w:val="24"/>
          <w:lang w:bidi="ar"/>
        </w:rPr>
        <w:lastRenderedPageBreak/>
        <w:t xml:space="preserve">Table </w:t>
      </w:r>
      <w:r>
        <w:rPr>
          <w:rFonts w:ascii="Arial" w:eastAsia="Times New Roman Uni" w:hAnsi="Arial" w:cs="Arial" w:hint="eastAsia"/>
          <w:b/>
          <w:bCs/>
          <w:sz w:val="24"/>
          <w:szCs w:val="24"/>
          <w:lang w:bidi="ar"/>
        </w:rPr>
        <w:t>S</w:t>
      </w:r>
      <w:r>
        <w:rPr>
          <w:rFonts w:ascii="Arial" w:eastAsia="Times New Roman Uni" w:hAnsi="Arial" w:cs="Arial"/>
          <w:b/>
          <w:bCs/>
          <w:sz w:val="24"/>
          <w:szCs w:val="24"/>
          <w:lang w:bidi="ar"/>
        </w:rPr>
        <w:t>1</w:t>
      </w:r>
      <w:r>
        <w:rPr>
          <w:rFonts w:ascii="Arial" w:eastAsia="Times New Roman Uni" w:hAnsi="Arial" w:cs="Arial"/>
          <w:sz w:val="24"/>
          <w:szCs w:val="24"/>
          <w:lang w:bidi="ar"/>
        </w:rPr>
        <w:t xml:space="preserve">. </w:t>
      </w:r>
      <w:r>
        <w:rPr>
          <w:rFonts w:ascii="Arial" w:eastAsia="Times New Roman Uni" w:hAnsi="Arial" w:cs="Arial"/>
          <w:b/>
          <w:bCs/>
          <w:sz w:val="24"/>
          <w:szCs w:val="24"/>
          <w:lang w:bidi="ar"/>
        </w:rPr>
        <w:t>The LIP score system for sepsis screening</w:t>
      </w:r>
      <w:r>
        <w:rPr>
          <w:rFonts w:ascii="Arial" w:eastAsia="Times New Roman Uni" w:hAnsi="Arial" w:cs="Arial"/>
          <w:sz w:val="24"/>
          <w:szCs w:val="24"/>
          <w:lang w:bidi="ar"/>
        </w:rPr>
        <w:t>.</w:t>
      </w:r>
      <w:bookmarkEnd w:id="0"/>
    </w:p>
    <w:tbl>
      <w:tblPr>
        <w:tblStyle w:val="ab"/>
        <w:tblW w:w="9942" w:type="dxa"/>
        <w:tblInd w:w="-5" w:type="dxa"/>
        <w:tblLook w:val="04A0" w:firstRow="1" w:lastRow="0" w:firstColumn="1" w:lastColumn="0" w:noHBand="0" w:noVBand="1"/>
      </w:tblPr>
      <w:tblGrid>
        <w:gridCol w:w="3752"/>
        <w:gridCol w:w="2063"/>
        <w:gridCol w:w="2063"/>
        <w:gridCol w:w="2064"/>
      </w:tblGrid>
      <w:tr w:rsidR="00176E18" w14:paraId="21C8B994" w14:textId="77777777">
        <w:trPr>
          <w:trHeight w:val="247"/>
        </w:trPr>
        <w:tc>
          <w:tcPr>
            <w:tcW w:w="3752" w:type="dxa"/>
            <w:vMerge w:val="restart"/>
            <w:tcBorders>
              <w:top w:val="single" w:sz="4" w:space="0" w:color="auto"/>
              <w:left w:val="single" w:sz="4" w:space="0" w:color="auto"/>
              <w:bottom w:val="single" w:sz="4" w:space="0" w:color="auto"/>
              <w:right w:val="single" w:sz="4" w:space="0" w:color="auto"/>
            </w:tcBorders>
            <w:shd w:val="clear" w:color="auto" w:fill="D9D9D9"/>
          </w:tcPr>
          <w:p w14:paraId="66CBB71C" w14:textId="77777777" w:rsidR="00176E18" w:rsidRDefault="00000000">
            <w:pPr>
              <w:spacing w:beforeLines="50" w:before="156" w:line="360" w:lineRule="exact"/>
              <w:rPr>
                <w:rFonts w:ascii="Arial" w:eastAsia="Times New Roman Uni" w:hAnsi="Arial" w:cs="Arial"/>
                <w:b/>
                <w:bCs/>
                <w:sz w:val="20"/>
                <w:szCs w:val="20"/>
              </w:rPr>
            </w:pPr>
            <w:r>
              <w:rPr>
                <w:rFonts w:ascii="Arial" w:eastAsia="Times New Roman Uni" w:hAnsi="Arial" w:cs="Arial"/>
                <w:b/>
                <w:bCs/>
                <w:sz w:val="20"/>
                <w:szCs w:val="20"/>
                <w:lang w:bidi="ar"/>
              </w:rPr>
              <w:t>Items</w:t>
            </w:r>
          </w:p>
        </w:tc>
        <w:tc>
          <w:tcPr>
            <w:tcW w:w="6190" w:type="dxa"/>
            <w:gridSpan w:val="3"/>
            <w:tcBorders>
              <w:top w:val="single" w:sz="4" w:space="0" w:color="auto"/>
              <w:left w:val="single" w:sz="4" w:space="0" w:color="auto"/>
              <w:bottom w:val="single" w:sz="4" w:space="0" w:color="auto"/>
              <w:right w:val="single" w:sz="4" w:space="0" w:color="auto"/>
            </w:tcBorders>
            <w:shd w:val="clear" w:color="auto" w:fill="D9D9D9"/>
          </w:tcPr>
          <w:p w14:paraId="303CA668" w14:textId="77777777" w:rsidR="00176E18" w:rsidRDefault="00000000">
            <w:pPr>
              <w:spacing w:line="360" w:lineRule="exact"/>
              <w:jc w:val="center"/>
              <w:rPr>
                <w:rFonts w:ascii="Arial" w:eastAsia="Times New Roman Uni" w:hAnsi="Arial" w:cs="Arial"/>
                <w:b/>
                <w:bCs/>
                <w:sz w:val="20"/>
                <w:szCs w:val="20"/>
              </w:rPr>
            </w:pPr>
            <w:r>
              <w:rPr>
                <w:rFonts w:ascii="Arial" w:eastAsia="Times New Roman Uni" w:hAnsi="Arial" w:cs="Arial"/>
                <w:b/>
                <w:bCs/>
                <w:sz w:val="20"/>
                <w:szCs w:val="20"/>
                <w:lang w:bidi="ar"/>
              </w:rPr>
              <w:t>Score*</w:t>
            </w:r>
          </w:p>
        </w:tc>
      </w:tr>
      <w:tr w:rsidR="00176E18" w14:paraId="0AF42842" w14:textId="77777777">
        <w:trPr>
          <w:trHeight w:val="247"/>
        </w:trPr>
        <w:tc>
          <w:tcPr>
            <w:tcW w:w="3752" w:type="dxa"/>
            <w:vMerge/>
            <w:tcBorders>
              <w:top w:val="single" w:sz="4" w:space="0" w:color="auto"/>
              <w:left w:val="single" w:sz="4" w:space="0" w:color="auto"/>
              <w:bottom w:val="single" w:sz="4" w:space="0" w:color="auto"/>
              <w:right w:val="single" w:sz="4" w:space="0" w:color="auto"/>
            </w:tcBorders>
            <w:shd w:val="clear" w:color="auto" w:fill="D9D9D9"/>
          </w:tcPr>
          <w:p w14:paraId="2C84156B" w14:textId="77777777" w:rsidR="00176E18" w:rsidRDefault="00176E18">
            <w:pPr>
              <w:rPr>
                <w:rFonts w:ascii="Arial" w:hAnsi="Arial" w:cs="Arial"/>
                <w:sz w:val="20"/>
                <w:szCs w:val="20"/>
              </w:rPr>
            </w:pPr>
          </w:p>
        </w:tc>
        <w:tc>
          <w:tcPr>
            <w:tcW w:w="2063" w:type="dxa"/>
            <w:tcBorders>
              <w:top w:val="single" w:sz="4" w:space="0" w:color="auto"/>
              <w:left w:val="single" w:sz="4" w:space="0" w:color="auto"/>
              <w:bottom w:val="single" w:sz="4" w:space="0" w:color="auto"/>
              <w:right w:val="single" w:sz="4" w:space="0" w:color="auto"/>
            </w:tcBorders>
            <w:shd w:val="clear" w:color="auto" w:fill="D9D9D9"/>
          </w:tcPr>
          <w:p w14:paraId="62367B9E" w14:textId="77777777" w:rsidR="00176E18" w:rsidRDefault="00000000">
            <w:pPr>
              <w:spacing w:line="360" w:lineRule="exact"/>
              <w:jc w:val="center"/>
              <w:rPr>
                <w:rFonts w:ascii="Arial" w:eastAsia="Times New Roman Uni" w:hAnsi="Arial" w:cs="Arial"/>
                <w:b/>
                <w:bCs/>
                <w:sz w:val="20"/>
                <w:szCs w:val="20"/>
              </w:rPr>
            </w:pPr>
            <w:r>
              <w:rPr>
                <w:rFonts w:ascii="Arial" w:eastAsia="Times New Roman Uni" w:hAnsi="Arial" w:cs="Arial"/>
                <w:b/>
                <w:bCs/>
                <w:sz w:val="20"/>
                <w:szCs w:val="20"/>
                <w:lang w:bidi="ar"/>
              </w:rPr>
              <w:t>0</w:t>
            </w:r>
          </w:p>
        </w:tc>
        <w:tc>
          <w:tcPr>
            <w:tcW w:w="2063" w:type="dxa"/>
            <w:tcBorders>
              <w:top w:val="single" w:sz="4" w:space="0" w:color="auto"/>
              <w:left w:val="single" w:sz="4" w:space="0" w:color="auto"/>
              <w:bottom w:val="single" w:sz="4" w:space="0" w:color="auto"/>
              <w:right w:val="single" w:sz="4" w:space="0" w:color="auto"/>
            </w:tcBorders>
            <w:shd w:val="clear" w:color="auto" w:fill="D9D9D9"/>
          </w:tcPr>
          <w:p w14:paraId="5F313CC1" w14:textId="77777777" w:rsidR="00176E18" w:rsidRDefault="00000000">
            <w:pPr>
              <w:spacing w:line="360" w:lineRule="exact"/>
              <w:jc w:val="center"/>
              <w:rPr>
                <w:rFonts w:ascii="Arial" w:eastAsia="Times New Roman Uni" w:hAnsi="Arial" w:cs="Arial"/>
                <w:b/>
                <w:bCs/>
                <w:sz w:val="20"/>
                <w:szCs w:val="20"/>
              </w:rPr>
            </w:pPr>
            <w:r>
              <w:rPr>
                <w:rFonts w:ascii="Arial" w:eastAsia="Times New Roman Uni" w:hAnsi="Arial" w:cs="Arial"/>
                <w:b/>
                <w:bCs/>
                <w:sz w:val="20"/>
                <w:szCs w:val="20"/>
                <w:lang w:bidi="ar"/>
              </w:rPr>
              <w:t>1</w:t>
            </w:r>
          </w:p>
        </w:tc>
        <w:tc>
          <w:tcPr>
            <w:tcW w:w="2064" w:type="dxa"/>
            <w:tcBorders>
              <w:top w:val="single" w:sz="4" w:space="0" w:color="auto"/>
              <w:left w:val="single" w:sz="4" w:space="0" w:color="auto"/>
              <w:bottom w:val="single" w:sz="4" w:space="0" w:color="auto"/>
              <w:right w:val="single" w:sz="4" w:space="0" w:color="auto"/>
            </w:tcBorders>
            <w:shd w:val="clear" w:color="auto" w:fill="D9D9D9"/>
          </w:tcPr>
          <w:p w14:paraId="7EF4A894" w14:textId="77777777" w:rsidR="00176E18" w:rsidRDefault="00000000">
            <w:pPr>
              <w:spacing w:line="360" w:lineRule="exact"/>
              <w:jc w:val="center"/>
              <w:rPr>
                <w:rFonts w:ascii="Arial" w:eastAsia="Times New Roman Uni" w:hAnsi="Arial" w:cs="Arial"/>
                <w:b/>
                <w:bCs/>
                <w:sz w:val="20"/>
                <w:szCs w:val="20"/>
              </w:rPr>
            </w:pPr>
            <w:r>
              <w:rPr>
                <w:rFonts w:ascii="Arial" w:eastAsia="Times New Roman Uni" w:hAnsi="Arial" w:cs="Arial"/>
                <w:b/>
                <w:bCs/>
                <w:sz w:val="20"/>
                <w:szCs w:val="20"/>
                <w:lang w:bidi="ar"/>
              </w:rPr>
              <w:t>2</w:t>
            </w:r>
          </w:p>
        </w:tc>
      </w:tr>
      <w:tr w:rsidR="00176E18" w14:paraId="3E8A4EB9" w14:textId="77777777">
        <w:trPr>
          <w:trHeight w:val="247"/>
        </w:trPr>
        <w:tc>
          <w:tcPr>
            <w:tcW w:w="3752" w:type="dxa"/>
            <w:tcBorders>
              <w:top w:val="single" w:sz="4" w:space="0" w:color="auto"/>
              <w:left w:val="single" w:sz="4" w:space="0" w:color="auto"/>
              <w:bottom w:val="single" w:sz="4" w:space="0" w:color="auto"/>
              <w:right w:val="single" w:sz="4" w:space="0" w:color="auto"/>
            </w:tcBorders>
          </w:tcPr>
          <w:p w14:paraId="53B9346E" w14:textId="77777777" w:rsidR="00176E18" w:rsidRDefault="00000000">
            <w:pPr>
              <w:spacing w:line="360" w:lineRule="exact"/>
              <w:rPr>
                <w:rFonts w:ascii="Arial" w:eastAsia="Times New Roman Uni" w:hAnsi="Arial" w:cs="Arial"/>
                <w:sz w:val="20"/>
                <w:szCs w:val="20"/>
              </w:rPr>
            </w:pPr>
            <w:r>
              <w:rPr>
                <w:rFonts w:ascii="Arial" w:eastAsia="Times New Roman Uni" w:hAnsi="Arial" w:cs="Arial"/>
                <w:sz w:val="20"/>
                <w:szCs w:val="20"/>
                <w:lang w:bidi="ar"/>
              </w:rPr>
              <w:t>Lymphocyte count (*10^9/L)</w:t>
            </w:r>
          </w:p>
        </w:tc>
        <w:tc>
          <w:tcPr>
            <w:tcW w:w="2063" w:type="dxa"/>
            <w:tcBorders>
              <w:top w:val="single" w:sz="4" w:space="0" w:color="auto"/>
              <w:left w:val="single" w:sz="4" w:space="0" w:color="auto"/>
              <w:bottom w:val="single" w:sz="4" w:space="0" w:color="auto"/>
              <w:right w:val="single" w:sz="4" w:space="0" w:color="auto"/>
            </w:tcBorders>
          </w:tcPr>
          <w:p w14:paraId="031D529B"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w:t>
            </w:r>
            <w:r>
              <w:rPr>
                <w:rFonts w:ascii="Arial" w:eastAsia="Times New Roman Uni" w:hAnsi="Arial" w:cs="Arial"/>
                <w:sz w:val="20"/>
                <w:szCs w:val="20"/>
                <w:lang w:bidi="ar"/>
              </w:rPr>
              <w:t>1.0</w:t>
            </w:r>
          </w:p>
        </w:tc>
        <w:tc>
          <w:tcPr>
            <w:tcW w:w="2063" w:type="dxa"/>
            <w:tcBorders>
              <w:top w:val="single" w:sz="4" w:space="0" w:color="auto"/>
              <w:left w:val="single" w:sz="4" w:space="0" w:color="auto"/>
              <w:bottom w:val="single" w:sz="4" w:space="0" w:color="auto"/>
              <w:right w:val="single" w:sz="4" w:space="0" w:color="auto"/>
            </w:tcBorders>
          </w:tcPr>
          <w:p w14:paraId="16F6B457"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0.7~1.0</w:t>
            </w:r>
          </w:p>
        </w:tc>
        <w:tc>
          <w:tcPr>
            <w:tcW w:w="2064" w:type="dxa"/>
            <w:tcBorders>
              <w:top w:val="single" w:sz="4" w:space="0" w:color="auto"/>
              <w:left w:val="single" w:sz="4" w:space="0" w:color="auto"/>
              <w:bottom w:val="single" w:sz="4" w:space="0" w:color="auto"/>
              <w:right w:val="single" w:sz="4" w:space="0" w:color="auto"/>
            </w:tcBorders>
          </w:tcPr>
          <w:p w14:paraId="117131A5"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w:t>
            </w:r>
            <w:r>
              <w:rPr>
                <w:rFonts w:ascii="Arial" w:eastAsia="Times New Roman Uni" w:hAnsi="Arial" w:cs="Arial"/>
                <w:sz w:val="20"/>
                <w:szCs w:val="20"/>
                <w:lang w:bidi="ar"/>
              </w:rPr>
              <w:t>0.7</w:t>
            </w:r>
          </w:p>
        </w:tc>
      </w:tr>
      <w:tr w:rsidR="00176E18" w14:paraId="4A3571B5" w14:textId="77777777">
        <w:trPr>
          <w:trHeight w:val="252"/>
        </w:trPr>
        <w:tc>
          <w:tcPr>
            <w:tcW w:w="3752" w:type="dxa"/>
            <w:tcBorders>
              <w:top w:val="single" w:sz="4" w:space="0" w:color="auto"/>
              <w:left w:val="single" w:sz="4" w:space="0" w:color="auto"/>
              <w:bottom w:val="single" w:sz="4" w:space="0" w:color="auto"/>
              <w:right w:val="single" w:sz="4" w:space="0" w:color="auto"/>
            </w:tcBorders>
          </w:tcPr>
          <w:p w14:paraId="5AFAE97F" w14:textId="77777777" w:rsidR="00176E18" w:rsidRDefault="00000000">
            <w:pPr>
              <w:spacing w:line="360" w:lineRule="exact"/>
              <w:rPr>
                <w:rFonts w:ascii="Arial" w:eastAsia="Times New Roman Uni" w:hAnsi="Arial" w:cs="Arial"/>
                <w:sz w:val="20"/>
                <w:szCs w:val="20"/>
              </w:rPr>
            </w:pPr>
            <w:r>
              <w:rPr>
                <w:rFonts w:ascii="Arial" w:eastAsia="Times New Roman Uni" w:hAnsi="Arial" w:cs="Arial"/>
                <w:sz w:val="20"/>
                <w:szCs w:val="20"/>
                <w:lang w:bidi="ar"/>
              </w:rPr>
              <w:t>International normalized ratio (INR)</w:t>
            </w:r>
          </w:p>
        </w:tc>
        <w:tc>
          <w:tcPr>
            <w:tcW w:w="2063" w:type="dxa"/>
            <w:tcBorders>
              <w:top w:val="single" w:sz="4" w:space="0" w:color="auto"/>
              <w:left w:val="single" w:sz="4" w:space="0" w:color="auto"/>
              <w:bottom w:val="single" w:sz="4" w:space="0" w:color="auto"/>
              <w:right w:val="single" w:sz="4" w:space="0" w:color="auto"/>
            </w:tcBorders>
          </w:tcPr>
          <w:p w14:paraId="66DC8241"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w:t>
            </w:r>
            <w:r>
              <w:rPr>
                <w:rFonts w:ascii="Arial" w:eastAsia="Times New Roman Uni" w:hAnsi="Arial" w:cs="Arial"/>
                <w:sz w:val="20"/>
                <w:szCs w:val="20"/>
                <w:lang w:bidi="ar"/>
              </w:rPr>
              <w:t>1.2</w:t>
            </w:r>
          </w:p>
        </w:tc>
        <w:tc>
          <w:tcPr>
            <w:tcW w:w="2063" w:type="dxa"/>
            <w:tcBorders>
              <w:top w:val="single" w:sz="4" w:space="0" w:color="auto"/>
              <w:left w:val="single" w:sz="4" w:space="0" w:color="auto"/>
              <w:bottom w:val="single" w:sz="4" w:space="0" w:color="auto"/>
              <w:right w:val="single" w:sz="4" w:space="0" w:color="auto"/>
            </w:tcBorders>
          </w:tcPr>
          <w:p w14:paraId="347DDEA4"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1.2~1.4</w:t>
            </w:r>
          </w:p>
        </w:tc>
        <w:tc>
          <w:tcPr>
            <w:tcW w:w="2064" w:type="dxa"/>
            <w:tcBorders>
              <w:top w:val="single" w:sz="4" w:space="0" w:color="auto"/>
              <w:left w:val="single" w:sz="4" w:space="0" w:color="auto"/>
              <w:bottom w:val="single" w:sz="4" w:space="0" w:color="auto"/>
              <w:right w:val="single" w:sz="4" w:space="0" w:color="auto"/>
            </w:tcBorders>
          </w:tcPr>
          <w:p w14:paraId="5BD30A0D"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w:t>
            </w:r>
            <w:r>
              <w:rPr>
                <w:rFonts w:ascii="Arial" w:eastAsia="Times New Roman Uni" w:hAnsi="Arial" w:cs="Arial"/>
                <w:sz w:val="20"/>
                <w:szCs w:val="20"/>
                <w:lang w:bidi="ar"/>
              </w:rPr>
              <w:t>1.4</w:t>
            </w:r>
          </w:p>
        </w:tc>
      </w:tr>
      <w:tr w:rsidR="00176E18" w14:paraId="52F55439" w14:textId="77777777">
        <w:trPr>
          <w:trHeight w:val="247"/>
        </w:trPr>
        <w:tc>
          <w:tcPr>
            <w:tcW w:w="3752" w:type="dxa"/>
            <w:tcBorders>
              <w:top w:val="single" w:sz="4" w:space="0" w:color="auto"/>
              <w:left w:val="single" w:sz="4" w:space="0" w:color="auto"/>
              <w:bottom w:val="single" w:sz="4" w:space="0" w:color="auto"/>
              <w:right w:val="single" w:sz="4" w:space="0" w:color="auto"/>
            </w:tcBorders>
          </w:tcPr>
          <w:p w14:paraId="7F58168D" w14:textId="77777777" w:rsidR="00176E18" w:rsidRDefault="00000000">
            <w:pPr>
              <w:spacing w:line="360" w:lineRule="exact"/>
              <w:rPr>
                <w:rFonts w:ascii="Arial" w:eastAsia="Times New Roman Uni" w:hAnsi="Arial" w:cs="Arial"/>
                <w:sz w:val="20"/>
                <w:szCs w:val="20"/>
              </w:rPr>
            </w:pPr>
            <w:r>
              <w:rPr>
                <w:rFonts w:ascii="Arial" w:eastAsia="Times New Roman Uni" w:hAnsi="Arial" w:cs="Arial"/>
                <w:sz w:val="20"/>
                <w:szCs w:val="20"/>
                <w:lang w:bidi="ar"/>
              </w:rPr>
              <w:t>Procalcitonin (PCT, ng/ml)</w:t>
            </w:r>
          </w:p>
        </w:tc>
        <w:tc>
          <w:tcPr>
            <w:tcW w:w="2063" w:type="dxa"/>
            <w:tcBorders>
              <w:top w:val="single" w:sz="4" w:space="0" w:color="auto"/>
              <w:left w:val="single" w:sz="4" w:space="0" w:color="auto"/>
              <w:bottom w:val="single" w:sz="4" w:space="0" w:color="auto"/>
              <w:right w:val="single" w:sz="4" w:space="0" w:color="auto"/>
            </w:tcBorders>
          </w:tcPr>
          <w:p w14:paraId="71660B57"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w:t>
            </w:r>
            <w:r>
              <w:rPr>
                <w:rFonts w:ascii="Arial" w:eastAsia="Times New Roman Uni" w:hAnsi="Arial" w:cs="Arial"/>
                <w:sz w:val="20"/>
                <w:szCs w:val="20"/>
                <w:lang w:bidi="ar"/>
              </w:rPr>
              <w:t>0.5</w:t>
            </w:r>
          </w:p>
        </w:tc>
        <w:tc>
          <w:tcPr>
            <w:tcW w:w="2063" w:type="dxa"/>
            <w:tcBorders>
              <w:top w:val="single" w:sz="4" w:space="0" w:color="auto"/>
              <w:left w:val="single" w:sz="4" w:space="0" w:color="auto"/>
              <w:bottom w:val="single" w:sz="4" w:space="0" w:color="auto"/>
              <w:right w:val="single" w:sz="4" w:space="0" w:color="auto"/>
            </w:tcBorders>
          </w:tcPr>
          <w:p w14:paraId="72CE0D00"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0.5~2.0</w:t>
            </w:r>
          </w:p>
        </w:tc>
        <w:tc>
          <w:tcPr>
            <w:tcW w:w="2064" w:type="dxa"/>
            <w:tcBorders>
              <w:top w:val="single" w:sz="4" w:space="0" w:color="auto"/>
              <w:left w:val="single" w:sz="4" w:space="0" w:color="auto"/>
              <w:bottom w:val="single" w:sz="4" w:space="0" w:color="auto"/>
              <w:right w:val="single" w:sz="4" w:space="0" w:color="auto"/>
            </w:tcBorders>
          </w:tcPr>
          <w:p w14:paraId="65D5B7B4" w14:textId="77777777" w:rsidR="00176E18" w:rsidRDefault="00000000">
            <w:pPr>
              <w:spacing w:line="360" w:lineRule="exact"/>
              <w:jc w:val="center"/>
              <w:rPr>
                <w:rFonts w:ascii="Arial" w:eastAsia="Times New Roman Uni" w:hAnsi="Arial" w:cs="Arial"/>
                <w:sz w:val="20"/>
                <w:szCs w:val="20"/>
              </w:rPr>
            </w:pPr>
            <w:r>
              <w:rPr>
                <w:rFonts w:ascii="Arial" w:eastAsia="Times New Roman Uni" w:hAnsi="Arial" w:cs="Arial"/>
                <w:sz w:val="20"/>
                <w:szCs w:val="20"/>
                <w:lang w:bidi="ar"/>
              </w:rPr>
              <w:t>＞</w:t>
            </w:r>
            <w:r>
              <w:rPr>
                <w:rFonts w:ascii="Arial" w:eastAsia="Times New Roman Uni" w:hAnsi="Arial" w:cs="Arial"/>
                <w:sz w:val="20"/>
                <w:szCs w:val="20"/>
                <w:lang w:bidi="ar"/>
              </w:rPr>
              <w:t>2.0</w:t>
            </w:r>
          </w:p>
        </w:tc>
      </w:tr>
    </w:tbl>
    <w:p w14:paraId="28ACF4C3" w14:textId="77777777" w:rsidR="00176E18" w:rsidRDefault="00000000">
      <w:pPr>
        <w:spacing w:line="360" w:lineRule="exact"/>
        <w:rPr>
          <w:rFonts w:ascii="Arial" w:eastAsia="Times New Roman Uni" w:hAnsi="Arial" w:cs="Arial"/>
          <w:sz w:val="20"/>
          <w:szCs w:val="20"/>
        </w:rPr>
      </w:pPr>
      <w:r>
        <w:rPr>
          <w:rFonts w:ascii="Arial" w:eastAsia="Times New Roman Uni" w:hAnsi="Arial" w:cs="Arial"/>
          <w:sz w:val="20"/>
          <w:szCs w:val="20"/>
          <w:lang w:bidi="ar"/>
        </w:rPr>
        <w:t xml:space="preserve">* Sepsis should be considered, when the LIP score is greater than or equal to 3 points. </w:t>
      </w:r>
      <w:r>
        <w:rPr>
          <w:rFonts w:ascii="Arial" w:eastAsia="Times New Roman Uni" w:hAnsi="Arial" w:cs="Arial"/>
          <w:i/>
          <w:iCs/>
          <w:sz w:val="20"/>
          <w:szCs w:val="20"/>
          <w:lang w:bidi="ar"/>
        </w:rPr>
        <w:t>LIP</w:t>
      </w:r>
      <w:r>
        <w:rPr>
          <w:rFonts w:ascii="Arial" w:eastAsia="Times New Roman Uni" w:hAnsi="Arial" w:cs="Arial"/>
          <w:sz w:val="20"/>
          <w:szCs w:val="20"/>
          <w:lang w:bidi="ar"/>
        </w:rPr>
        <w:t>, Lymphocyte, INR, and Procalcitonin-based Sepsis Screening Score.</w:t>
      </w:r>
    </w:p>
    <w:p w14:paraId="0E369F74" w14:textId="77777777" w:rsidR="00176E18" w:rsidRDefault="00176E18">
      <w:pPr>
        <w:spacing w:afterLines="50" w:after="156" w:line="280" w:lineRule="exact"/>
        <w:rPr>
          <w:rStyle w:val="20"/>
          <w:rFonts w:ascii="Arial" w:hAnsi="Arial" w:cs="Arial"/>
          <w:b/>
          <w:bCs/>
          <w:color w:val="auto"/>
          <w:sz w:val="22"/>
          <w:szCs w:val="22"/>
        </w:rPr>
      </w:pPr>
    </w:p>
    <w:p w14:paraId="608FEAF9" w14:textId="77777777" w:rsidR="00176E18" w:rsidRDefault="00000000">
      <w:pPr>
        <w:pageBreakBefore/>
        <w:spacing w:line="360" w:lineRule="auto"/>
        <w:outlineLvl w:val="0"/>
        <w:rPr>
          <w:rFonts w:ascii="Arial" w:eastAsia="Times New Roman Uni" w:hAnsi="Arial" w:cs="Arial"/>
          <w:b/>
          <w:bCs/>
          <w:sz w:val="24"/>
          <w:szCs w:val="24"/>
        </w:rPr>
      </w:pPr>
      <w:bookmarkStart w:id="1" w:name="_Toc29815"/>
      <w:r>
        <w:rPr>
          <w:rFonts w:ascii="Arial" w:eastAsia="Times New Roman Uni" w:hAnsi="Arial" w:cs="Arial"/>
          <w:b/>
          <w:bCs/>
          <w:sz w:val="24"/>
          <w:szCs w:val="24"/>
          <w:lang w:bidi="ar"/>
        </w:rPr>
        <w:lastRenderedPageBreak/>
        <w:t xml:space="preserve">Table </w:t>
      </w:r>
      <w:r>
        <w:rPr>
          <w:rFonts w:ascii="Arial" w:eastAsia="Times New Roman Uni" w:hAnsi="Arial" w:cs="Arial" w:hint="eastAsia"/>
          <w:b/>
          <w:bCs/>
          <w:sz w:val="24"/>
          <w:szCs w:val="24"/>
          <w:lang w:bidi="ar"/>
        </w:rPr>
        <w:t>S</w:t>
      </w:r>
      <w:r>
        <w:rPr>
          <w:rFonts w:ascii="Arial" w:eastAsia="Times New Roman Uni" w:hAnsi="Arial" w:cs="Arial"/>
          <w:b/>
          <w:bCs/>
          <w:sz w:val="24"/>
          <w:szCs w:val="24"/>
          <w:lang w:bidi="ar"/>
        </w:rPr>
        <w:t>2.</w:t>
      </w:r>
      <w:r>
        <w:rPr>
          <w:rFonts w:ascii="Arial" w:eastAsia="等线" w:hAnsi="Arial" w:cs="Arial"/>
          <w:sz w:val="24"/>
          <w:szCs w:val="24"/>
          <w:lang w:bidi="ar"/>
        </w:rPr>
        <w:t xml:space="preserve"> </w:t>
      </w:r>
      <w:r>
        <w:rPr>
          <w:rFonts w:ascii="Arial" w:eastAsia="Times New Roman Uni" w:hAnsi="Arial" w:cs="Arial"/>
          <w:b/>
          <w:bCs/>
          <w:sz w:val="24"/>
          <w:szCs w:val="24"/>
          <w:lang w:bidi="ar"/>
        </w:rPr>
        <w:t>The performance of different LIP score thresholds in the screening of sepsis</w:t>
      </w:r>
      <w:r>
        <w:rPr>
          <w:rFonts w:ascii="Arial" w:eastAsia="Times New Roman Uni" w:hAnsi="Arial" w:cs="Arial"/>
          <w:sz w:val="24"/>
          <w:szCs w:val="24"/>
          <w:lang w:bidi="ar"/>
        </w:rPr>
        <w:t>.</w:t>
      </w:r>
      <w:bookmarkEnd w:id="1"/>
    </w:p>
    <w:tbl>
      <w:tblPr>
        <w:tblStyle w:val="ab"/>
        <w:tblW w:w="10072" w:type="dxa"/>
        <w:jc w:val="center"/>
        <w:tblLook w:val="04A0" w:firstRow="1" w:lastRow="0" w:firstColumn="1" w:lastColumn="0" w:noHBand="0" w:noVBand="1"/>
      </w:tblPr>
      <w:tblGrid>
        <w:gridCol w:w="850"/>
        <w:gridCol w:w="1896"/>
        <w:gridCol w:w="1904"/>
        <w:gridCol w:w="1921"/>
        <w:gridCol w:w="1896"/>
        <w:gridCol w:w="745"/>
        <w:gridCol w:w="860"/>
      </w:tblGrid>
      <w:tr w:rsidR="00176E18" w14:paraId="16F79E25" w14:textId="77777777">
        <w:trPr>
          <w:jc w:val="center"/>
        </w:trPr>
        <w:tc>
          <w:tcPr>
            <w:tcW w:w="10072" w:type="dxa"/>
            <w:gridSpan w:val="7"/>
            <w:tcBorders>
              <w:top w:val="single" w:sz="4" w:space="0" w:color="auto"/>
              <w:left w:val="single" w:sz="4" w:space="0" w:color="auto"/>
              <w:bottom w:val="single" w:sz="4" w:space="0" w:color="auto"/>
              <w:right w:val="single" w:sz="4" w:space="0" w:color="auto"/>
            </w:tcBorders>
            <w:shd w:val="clear" w:color="auto" w:fill="D9D9D9"/>
          </w:tcPr>
          <w:p w14:paraId="0C363764" w14:textId="77777777" w:rsidR="00176E18" w:rsidRDefault="00000000">
            <w:pPr>
              <w:jc w:val="left"/>
              <w:rPr>
                <w:rFonts w:ascii="Arial" w:hAnsi="Arial" w:cs="Arial"/>
                <w:b/>
                <w:bCs/>
                <w:sz w:val="20"/>
                <w:szCs w:val="20"/>
              </w:rPr>
            </w:pPr>
            <w:r>
              <w:rPr>
                <w:rFonts w:ascii="Arial" w:eastAsia="等线" w:hAnsi="Arial" w:cs="Arial"/>
                <w:b/>
                <w:bCs/>
                <w:sz w:val="20"/>
                <w:szCs w:val="20"/>
                <w:lang w:bidi="ar"/>
              </w:rPr>
              <w:t>All patients</w:t>
            </w:r>
          </w:p>
        </w:tc>
      </w:tr>
      <w:tr w:rsidR="00176E18" w14:paraId="16354C26"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347AA85D" w14:textId="77777777" w:rsidR="00176E18" w:rsidRDefault="00000000">
            <w:pPr>
              <w:jc w:val="left"/>
              <w:rPr>
                <w:rFonts w:ascii="Arial" w:hAnsi="Arial" w:cs="Arial"/>
                <w:sz w:val="20"/>
                <w:szCs w:val="20"/>
              </w:rPr>
            </w:pPr>
            <w:r>
              <w:rPr>
                <w:rFonts w:ascii="Arial" w:eastAsia="等线" w:hAnsi="Arial" w:cs="Arial"/>
                <w:sz w:val="20"/>
                <w:szCs w:val="20"/>
                <w:lang w:bidi="ar"/>
              </w:rPr>
              <w:t>Score</w:t>
            </w:r>
          </w:p>
        </w:tc>
        <w:tc>
          <w:tcPr>
            <w:tcW w:w="1896" w:type="dxa"/>
            <w:tcBorders>
              <w:top w:val="single" w:sz="4" w:space="0" w:color="auto"/>
              <w:left w:val="single" w:sz="4" w:space="0" w:color="auto"/>
              <w:bottom w:val="single" w:sz="4" w:space="0" w:color="auto"/>
              <w:right w:val="single" w:sz="4" w:space="0" w:color="auto"/>
            </w:tcBorders>
          </w:tcPr>
          <w:p w14:paraId="6099D718" w14:textId="77777777" w:rsidR="00176E18" w:rsidRDefault="00000000">
            <w:pPr>
              <w:jc w:val="left"/>
              <w:rPr>
                <w:rFonts w:ascii="Arial" w:hAnsi="Arial" w:cs="Arial"/>
                <w:b/>
                <w:bCs/>
                <w:sz w:val="20"/>
                <w:szCs w:val="20"/>
              </w:rPr>
            </w:pPr>
            <w:r>
              <w:rPr>
                <w:rFonts w:ascii="Arial" w:eastAsia="等线" w:hAnsi="Arial" w:cs="Arial"/>
                <w:sz w:val="20"/>
                <w:szCs w:val="20"/>
                <w:lang w:bidi="ar"/>
              </w:rPr>
              <w:t>Sen, 95% CI</w:t>
            </w:r>
          </w:p>
        </w:tc>
        <w:tc>
          <w:tcPr>
            <w:tcW w:w="1904" w:type="dxa"/>
            <w:tcBorders>
              <w:top w:val="single" w:sz="4" w:space="0" w:color="auto"/>
              <w:left w:val="single" w:sz="4" w:space="0" w:color="auto"/>
              <w:bottom w:val="single" w:sz="4" w:space="0" w:color="auto"/>
              <w:right w:val="single" w:sz="4" w:space="0" w:color="auto"/>
            </w:tcBorders>
          </w:tcPr>
          <w:p w14:paraId="08DD8F5C" w14:textId="77777777" w:rsidR="00176E18" w:rsidRDefault="00000000">
            <w:pPr>
              <w:jc w:val="left"/>
              <w:rPr>
                <w:rFonts w:ascii="Arial" w:hAnsi="Arial" w:cs="Arial"/>
                <w:b/>
                <w:bCs/>
                <w:sz w:val="20"/>
                <w:szCs w:val="20"/>
              </w:rPr>
            </w:pPr>
            <w:r>
              <w:rPr>
                <w:rFonts w:ascii="Arial" w:eastAsia="等线" w:hAnsi="Arial" w:cs="Arial"/>
                <w:sz w:val="20"/>
                <w:szCs w:val="20"/>
                <w:lang w:bidi="ar"/>
              </w:rPr>
              <w:t>Spe, 95% CI</w:t>
            </w:r>
          </w:p>
        </w:tc>
        <w:tc>
          <w:tcPr>
            <w:tcW w:w="1921" w:type="dxa"/>
            <w:tcBorders>
              <w:top w:val="single" w:sz="4" w:space="0" w:color="auto"/>
              <w:left w:val="single" w:sz="4" w:space="0" w:color="auto"/>
              <w:bottom w:val="single" w:sz="4" w:space="0" w:color="auto"/>
              <w:right w:val="single" w:sz="4" w:space="0" w:color="auto"/>
            </w:tcBorders>
          </w:tcPr>
          <w:p w14:paraId="36D17585" w14:textId="77777777" w:rsidR="00176E18" w:rsidRDefault="00000000">
            <w:pPr>
              <w:jc w:val="left"/>
              <w:rPr>
                <w:rFonts w:ascii="Arial" w:hAnsi="Arial" w:cs="Arial"/>
                <w:b/>
                <w:bCs/>
                <w:sz w:val="20"/>
                <w:szCs w:val="20"/>
              </w:rPr>
            </w:pPr>
            <w:r>
              <w:rPr>
                <w:rFonts w:ascii="Arial" w:eastAsia="等线" w:hAnsi="Arial" w:cs="Arial"/>
                <w:sz w:val="20"/>
                <w:szCs w:val="20"/>
                <w:lang w:bidi="ar"/>
              </w:rPr>
              <w:t>+LR, 95% CI</w:t>
            </w:r>
          </w:p>
        </w:tc>
        <w:tc>
          <w:tcPr>
            <w:tcW w:w="1896" w:type="dxa"/>
            <w:tcBorders>
              <w:top w:val="single" w:sz="4" w:space="0" w:color="auto"/>
              <w:left w:val="single" w:sz="4" w:space="0" w:color="auto"/>
              <w:bottom w:val="single" w:sz="4" w:space="0" w:color="auto"/>
              <w:right w:val="single" w:sz="4" w:space="0" w:color="auto"/>
            </w:tcBorders>
          </w:tcPr>
          <w:p w14:paraId="1C963288" w14:textId="77777777" w:rsidR="00176E18" w:rsidRDefault="00000000">
            <w:pPr>
              <w:jc w:val="left"/>
              <w:rPr>
                <w:rFonts w:ascii="Arial" w:hAnsi="Arial" w:cs="Arial"/>
                <w:b/>
                <w:bCs/>
                <w:sz w:val="20"/>
                <w:szCs w:val="20"/>
              </w:rPr>
            </w:pPr>
            <w:r>
              <w:rPr>
                <w:rFonts w:ascii="Arial" w:eastAsia="等线" w:hAnsi="Arial" w:cs="Arial"/>
                <w:sz w:val="20"/>
                <w:szCs w:val="20"/>
                <w:lang w:bidi="ar"/>
              </w:rPr>
              <w:t>-LR, 95% CI</w:t>
            </w:r>
          </w:p>
        </w:tc>
        <w:tc>
          <w:tcPr>
            <w:tcW w:w="745" w:type="dxa"/>
            <w:tcBorders>
              <w:top w:val="single" w:sz="4" w:space="0" w:color="auto"/>
              <w:left w:val="single" w:sz="4" w:space="0" w:color="auto"/>
              <w:bottom w:val="single" w:sz="4" w:space="0" w:color="auto"/>
              <w:right w:val="single" w:sz="4" w:space="0" w:color="auto"/>
            </w:tcBorders>
          </w:tcPr>
          <w:p w14:paraId="491D3C42" w14:textId="77777777" w:rsidR="00176E18" w:rsidRDefault="00000000">
            <w:pPr>
              <w:jc w:val="left"/>
              <w:rPr>
                <w:rFonts w:ascii="Arial" w:hAnsi="Arial" w:cs="Arial"/>
                <w:b/>
                <w:bCs/>
                <w:sz w:val="20"/>
                <w:szCs w:val="20"/>
              </w:rPr>
            </w:pPr>
            <w:r>
              <w:rPr>
                <w:rFonts w:ascii="Arial" w:eastAsia="等线" w:hAnsi="Arial" w:cs="Arial"/>
                <w:sz w:val="20"/>
                <w:szCs w:val="20"/>
                <w:lang w:bidi="ar"/>
              </w:rPr>
              <w:t>PPV</w:t>
            </w:r>
          </w:p>
        </w:tc>
        <w:tc>
          <w:tcPr>
            <w:tcW w:w="860" w:type="dxa"/>
            <w:tcBorders>
              <w:top w:val="single" w:sz="4" w:space="0" w:color="auto"/>
              <w:left w:val="single" w:sz="4" w:space="0" w:color="auto"/>
              <w:bottom w:val="single" w:sz="4" w:space="0" w:color="auto"/>
              <w:right w:val="single" w:sz="4" w:space="0" w:color="auto"/>
            </w:tcBorders>
          </w:tcPr>
          <w:p w14:paraId="019D9A4E" w14:textId="77777777" w:rsidR="00176E18" w:rsidRDefault="00000000">
            <w:pPr>
              <w:jc w:val="left"/>
              <w:rPr>
                <w:rFonts w:ascii="Arial" w:hAnsi="Arial" w:cs="Arial"/>
                <w:b/>
                <w:bCs/>
                <w:sz w:val="20"/>
                <w:szCs w:val="20"/>
              </w:rPr>
            </w:pPr>
            <w:r>
              <w:rPr>
                <w:rFonts w:ascii="Arial" w:eastAsia="等线" w:hAnsi="Arial" w:cs="Arial"/>
                <w:sz w:val="20"/>
                <w:szCs w:val="20"/>
                <w:lang w:bidi="ar"/>
              </w:rPr>
              <w:t>NPV</w:t>
            </w:r>
          </w:p>
        </w:tc>
      </w:tr>
      <w:tr w:rsidR="00176E18" w14:paraId="2FCB5FDF"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15B70EEC" w14:textId="77777777" w:rsidR="00176E18" w:rsidRDefault="00000000">
            <w:pPr>
              <w:jc w:val="left"/>
              <w:rPr>
                <w:rFonts w:ascii="Arial" w:hAnsi="Arial" w:cs="Arial"/>
                <w:b/>
                <w:bCs/>
                <w:sz w:val="20"/>
                <w:szCs w:val="20"/>
              </w:rPr>
            </w:pPr>
            <w:r>
              <w:rPr>
                <w:rFonts w:ascii="Arial" w:eastAsia="等线" w:hAnsi="Arial" w:cs="Arial"/>
                <w:sz w:val="20"/>
                <w:szCs w:val="20"/>
                <w:lang w:bidi="ar"/>
              </w:rPr>
              <w:t>0</w:t>
            </w:r>
          </w:p>
        </w:tc>
        <w:tc>
          <w:tcPr>
            <w:tcW w:w="1896" w:type="dxa"/>
            <w:tcBorders>
              <w:top w:val="single" w:sz="4" w:space="0" w:color="auto"/>
              <w:left w:val="single" w:sz="4" w:space="0" w:color="auto"/>
              <w:bottom w:val="single" w:sz="4" w:space="0" w:color="auto"/>
              <w:right w:val="single" w:sz="4" w:space="0" w:color="auto"/>
            </w:tcBorders>
          </w:tcPr>
          <w:p w14:paraId="2AC42CCB" w14:textId="77777777" w:rsidR="00176E18" w:rsidRDefault="00000000">
            <w:pPr>
              <w:jc w:val="left"/>
              <w:rPr>
                <w:rFonts w:ascii="Arial" w:hAnsi="Arial" w:cs="Arial"/>
                <w:sz w:val="20"/>
                <w:szCs w:val="20"/>
              </w:rPr>
            </w:pPr>
            <w:r>
              <w:rPr>
                <w:rFonts w:ascii="Arial" w:eastAsia="等线" w:hAnsi="Arial" w:cs="Arial"/>
                <w:sz w:val="20"/>
                <w:szCs w:val="20"/>
                <w:lang w:bidi="ar"/>
              </w:rPr>
              <w:t>100(99.5-100.0)</w:t>
            </w:r>
          </w:p>
        </w:tc>
        <w:tc>
          <w:tcPr>
            <w:tcW w:w="1904" w:type="dxa"/>
            <w:tcBorders>
              <w:top w:val="single" w:sz="4" w:space="0" w:color="auto"/>
              <w:left w:val="single" w:sz="4" w:space="0" w:color="auto"/>
              <w:bottom w:val="single" w:sz="4" w:space="0" w:color="auto"/>
              <w:right w:val="single" w:sz="4" w:space="0" w:color="auto"/>
            </w:tcBorders>
          </w:tcPr>
          <w:p w14:paraId="42F73AA8" w14:textId="77777777" w:rsidR="00176E18" w:rsidRDefault="00000000">
            <w:pPr>
              <w:jc w:val="left"/>
              <w:rPr>
                <w:rFonts w:ascii="Arial" w:hAnsi="Arial" w:cs="Arial"/>
                <w:sz w:val="20"/>
                <w:szCs w:val="20"/>
              </w:rPr>
            </w:pPr>
            <w:r>
              <w:rPr>
                <w:rFonts w:ascii="Arial" w:eastAsia="等线" w:hAnsi="Arial" w:cs="Arial"/>
                <w:sz w:val="20"/>
                <w:szCs w:val="20"/>
                <w:lang w:bidi="ar"/>
              </w:rPr>
              <w:t>0(0.0-0.8)</w:t>
            </w:r>
          </w:p>
        </w:tc>
        <w:tc>
          <w:tcPr>
            <w:tcW w:w="1921" w:type="dxa"/>
            <w:tcBorders>
              <w:top w:val="single" w:sz="4" w:space="0" w:color="auto"/>
              <w:left w:val="single" w:sz="4" w:space="0" w:color="auto"/>
              <w:bottom w:val="single" w:sz="4" w:space="0" w:color="auto"/>
              <w:right w:val="single" w:sz="4" w:space="0" w:color="auto"/>
            </w:tcBorders>
          </w:tcPr>
          <w:p w14:paraId="21920521" w14:textId="77777777" w:rsidR="00176E18" w:rsidRDefault="00000000">
            <w:pPr>
              <w:jc w:val="left"/>
              <w:rPr>
                <w:rFonts w:ascii="Arial" w:hAnsi="Arial" w:cs="Arial"/>
                <w:sz w:val="20"/>
                <w:szCs w:val="20"/>
              </w:rPr>
            </w:pPr>
            <w:r>
              <w:rPr>
                <w:rFonts w:ascii="Arial" w:eastAsia="等线" w:hAnsi="Arial" w:cs="Arial"/>
                <w:sz w:val="20"/>
                <w:szCs w:val="20"/>
                <w:lang w:bidi="ar"/>
              </w:rPr>
              <w:t>1(1.0-1.0)</w:t>
            </w:r>
          </w:p>
        </w:tc>
        <w:tc>
          <w:tcPr>
            <w:tcW w:w="1896" w:type="dxa"/>
            <w:tcBorders>
              <w:top w:val="single" w:sz="4" w:space="0" w:color="auto"/>
              <w:left w:val="single" w:sz="4" w:space="0" w:color="auto"/>
              <w:bottom w:val="single" w:sz="4" w:space="0" w:color="auto"/>
              <w:right w:val="single" w:sz="4" w:space="0" w:color="auto"/>
            </w:tcBorders>
          </w:tcPr>
          <w:p w14:paraId="79DB86B8" w14:textId="77777777" w:rsidR="00176E18" w:rsidRDefault="00000000">
            <w:pPr>
              <w:jc w:val="left"/>
              <w:rPr>
                <w:rFonts w:ascii="Arial" w:hAnsi="Arial" w:cs="Arial"/>
                <w:sz w:val="20"/>
                <w:szCs w:val="20"/>
              </w:rPr>
            </w:pPr>
            <w:r>
              <w:rPr>
                <w:rFonts w:ascii="Arial" w:eastAsia="等线" w:hAnsi="Arial" w:cs="Arial"/>
                <w:sz w:val="20"/>
                <w:szCs w:val="20"/>
                <w:lang w:bidi="ar"/>
              </w:rPr>
              <w:t>N/A</w:t>
            </w:r>
          </w:p>
        </w:tc>
        <w:tc>
          <w:tcPr>
            <w:tcW w:w="745" w:type="dxa"/>
            <w:tcBorders>
              <w:top w:val="single" w:sz="4" w:space="0" w:color="auto"/>
              <w:left w:val="single" w:sz="4" w:space="0" w:color="auto"/>
              <w:bottom w:val="single" w:sz="4" w:space="0" w:color="auto"/>
              <w:right w:val="single" w:sz="4" w:space="0" w:color="auto"/>
            </w:tcBorders>
          </w:tcPr>
          <w:p w14:paraId="75CC48D6"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61.40</w:t>
            </w:r>
          </w:p>
        </w:tc>
        <w:tc>
          <w:tcPr>
            <w:tcW w:w="860" w:type="dxa"/>
            <w:tcBorders>
              <w:top w:val="single" w:sz="4" w:space="0" w:color="auto"/>
              <w:left w:val="single" w:sz="4" w:space="0" w:color="auto"/>
              <w:bottom w:val="single" w:sz="4" w:space="0" w:color="auto"/>
              <w:right w:val="single" w:sz="4" w:space="0" w:color="auto"/>
            </w:tcBorders>
          </w:tcPr>
          <w:p w14:paraId="39132DA8" w14:textId="77777777" w:rsidR="00176E18" w:rsidRDefault="00000000">
            <w:pPr>
              <w:jc w:val="left"/>
              <w:rPr>
                <w:rFonts w:ascii="Arial" w:hAnsi="Arial" w:cs="Arial"/>
                <w:sz w:val="20"/>
                <w:szCs w:val="20"/>
              </w:rPr>
            </w:pPr>
            <w:r>
              <w:rPr>
                <w:rFonts w:ascii="Arial" w:eastAsia="等线" w:hAnsi="Arial" w:cs="Arial"/>
                <w:sz w:val="20"/>
                <w:szCs w:val="20"/>
                <w:lang w:bidi="ar"/>
              </w:rPr>
              <w:t>0</w:t>
            </w:r>
          </w:p>
        </w:tc>
      </w:tr>
      <w:tr w:rsidR="00176E18" w14:paraId="6B5D37AB"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2829BFAF" w14:textId="77777777" w:rsidR="00176E18" w:rsidRDefault="00000000">
            <w:pPr>
              <w:jc w:val="left"/>
              <w:rPr>
                <w:rFonts w:ascii="Arial" w:hAnsi="Arial" w:cs="Arial"/>
                <w:b/>
                <w:bCs/>
                <w:sz w:val="20"/>
                <w:szCs w:val="20"/>
              </w:rPr>
            </w:pPr>
            <w:r>
              <w:rPr>
                <w:rFonts w:ascii="Arial" w:eastAsia="等线" w:hAnsi="Arial" w:cs="Arial"/>
                <w:sz w:val="20"/>
                <w:szCs w:val="20"/>
                <w:lang w:bidi="ar"/>
              </w:rPr>
              <w:t>1</w:t>
            </w:r>
          </w:p>
        </w:tc>
        <w:tc>
          <w:tcPr>
            <w:tcW w:w="1896" w:type="dxa"/>
            <w:tcBorders>
              <w:top w:val="single" w:sz="4" w:space="0" w:color="auto"/>
              <w:left w:val="single" w:sz="4" w:space="0" w:color="auto"/>
              <w:bottom w:val="single" w:sz="4" w:space="0" w:color="auto"/>
              <w:right w:val="single" w:sz="4" w:space="0" w:color="auto"/>
            </w:tcBorders>
          </w:tcPr>
          <w:p w14:paraId="64AB75F6"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97.7(96.3-98.7)</w:t>
            </w:r>
          </w:p>
        </w:tc>
        <w:tc>
          <w:tcPr>
            <w:tcW w:w="1904" w:type="dxa"/>
            <w:tcBorders>
              <w:top w:val="single" w:sz="4" w:space="0" w:color="auto"/>
              <w:left w:val="single" w:sz="4" w:space="0" w:color="auto"/>
              <w:bottom w:val="single" w:sz="4" w:space="0" w:color="auto"/>
              <w:right w:val="single" w:sz="4" w:space="0" w:color="auto"/>
            </w:tcBorders>
          </w:tcPr>
          <w:p w14:paraId="20D952F5"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37.5(33.1-42.1)</w:t>
            </w:r>
          </w:p>
        </w:tc>
        <w:tc>
          <w:tcPr>
            <w:tcW w:w="1921" w:type="dxa"/>
            <w:tcBorders>
              <w:top w:val="single" w:sz="4" w:space="0" w:color="auto"/>
              <w:left w:val="single" w:sz="4" w:space="0" w:color="auto"/>
              <w:bottom w:val="single" w:sz="4" w:space="0" w:color="auto"/>
              <w:right w:val="single" w:sz="4" w:space="0" w:color="auto"/>
            </w:tcBorders>
          </w:tcPr>
          <w:p w14:paraId="4C504CC2"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1.56(1.5-1.7)</w:t>
            </w:r>
          </w:p>
        </w:tc>
        <w:tc>
          <w:tcPr>
            <w:tcW w:w="1896" w:type="dxa"/>
            <w:tcBorders>
              <w:top w:val="single" w:sz="4" w:space="0" w:color="auto"/>
              <w:left w:val="single" w:sz="4" w:space="0" w:color="auto"/>
              <w:bottom w:val="single" w:sz="4" w:space="0" w:color="auto"/>
              <w:right w:val="single" w:sz="4" w:space="0" w:color="auto"/>
            </w:tcBorders>
          </w:tcPr>
          <w:p w14:paraId="3F9D7A74"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0.061(0.04-0.10)</w:t>
            </w:r>
          </w:p>
        </w:tc>
        <w:tc>
          <w:tcPr>
            <w:tcW w:w="745" w:type="dxa"/>
            <w:tcBorders>
              <w:top w:val="single" w:sz="4" w:space="0" w:color="auto"/>
              <w:left w:val="single" w:sz="4" w:space="0" w:color="auto"/>
              <w:bottom w:val="single" w:sz="4" w:space="0" w:color="auto"/>
              <w:right w:val="single" w:sz="4" w:space="0" w:color="auto"/>
            </w:tcBorders>
          </w:tcPr>
          <w:p w14:paraId="176F9507"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71.32</w:t>
            </w:r>
          </w:p>
        </w:tc>
        <w:tc>
          <w:tcPr>
            <w:tcW w:w="860" w:type="dxa"/>
            <w:tcBorders>
              <w:top w:val="single" w:sz="4" w:space="0" w:color="auto"/>
              <w:left w:val="single" w:sz="4" w:space="0" w:color="auto"/>
              <w:bottom w:val="single" w:sz="4" w:space="0" w:color="auto"/>
              <w:right w:val="single" w:sz="4" w:space="0" w:color="auto"/>
            </w:tcBorders>
          </w:tcPr>
          <w:p w14:paraId="2EB4DBB3"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91.10</w:t>
            </w:r>
          </w:p>
        </w:tc>
      </w:tr>
      <w:tr w:rsidR="00176E18" w14:paraId="28E2A379"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722D8C8F" w14:textId="77777777" w:rsidR="00176E18" w:rsidRDefault="00000000">
            <w:pPr>
              <w:jc w:val="left"/>
              <w:rPr>
                <w:rFonts w:ascii="Arial" w:hAnsi="Arial" w:cs="Arial"/>
                <w:b/>
                <w:bCs/>
                <w:sz w:val="20"/>
                <w:szCs w:val="20"/>
              </w:rPr>
            </w:pPr>
            <w:r>
              <w:rPr>
                <w:rFonts w:ascii="Arial" w:eastAsia="等线" w:hAnsi="Arial" w:cs="Arial"/>
                <w:sz w:val="20"/>
                <w:szCs w:val="20"/>
                <w:lang w:bidi="ar"/>
              </w:rPr>
              <w:t>2</w:t>
            </w:r>
          </w:p>
        </w:tc>
        <w:tc>
          <w:tcPr>
            <w:tcW w:w="1896" w:type="dxa"/>
            <w:tcBorders>
              <w:top w:val="single" w:sz="4" w:space="0" w:color="auto"/>
              <w:left w:val="single" w:sz="4" w:space="0" w:color="auto"/>
              <w:bottom w:val="single" w:sz="4" w:space="0" w:color="auto"/>
              <w:right w:val="single" w:sz="4" w:space="0" w:color="auto"/>
            </w:tcBorders>
          </w:tcPr>
          <w:p w14:paraId="58764A73"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94.58(92.7-96.1)</w:t>
            </w:r>
          </w:p>
        </w:tc>
        <w:tc>
          <w:tcPr>
            <w:tcW w:w="1904" w:type="dxa"/>
            <w:tcBorders>
              <w:top w:val="single" w:sz="4" w:space="0" w:color="auto"/>
              <w:left w:val="single" w:sz="4" w:space="0" w:color="auto"/>
              <w:bottom w:val="single" w:sz="4" w:space="0" w:color="auto"/>
              <w:right w:val="single" w:sz="4" w:space="0" w:color="auto"/>
            </w:tcBorders>
          </w:tcPr>
          <w:p w14:paraId="4D130B66"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62.72(58.1-67.1)</w:t>
            </w:r>
          </w:p>
        </w:tc>
        <w:tc>
          <w:tcPr>
            <w:tcW w:w="1921" w:type="dxa"/>
            <w:tcBorders>
              <w:top w:val="single" w:sz="4" w:space="0" w:color="auto"/>
              <w:left w:val="single" w:sz="4" w:space="0" w:color="auto"/>
              <w:bottom w:val="single" w:sz="4" w:space="0" w:color="auto"/>
              <w:right w:val="single" w:sz="4" w:space="0" w:color="auto"/>
            </w:tcBorders>
          </w:tcPr>
          <w:p w14:paraId="6EA917ED" w14:textId="77777777" w:rsidR="00176E18" w:rsidRDefault="00000000">
            <w:pPr>
              <w:jc w:val="left"/>
              <w:rPr>
                <w:rFonts w:ascii="Arial" w:hAnsi="Arial" w:cs="Arial"/>
                <w:sz w:val="20"/>
                <w:szCs w:val="20"/>
              </w:rPr>
            </w:pPr>
            <w:r>
              <w:rPr>
                <w:rFonts w:ascii="Arial" w:eastAsia="等线" w:hAnsi="Arial" w:cs="Arial"/>
                <w:sz w:val="20"/>
                <w:szCs w:val="20"/>
                <w:lang w:bidi="ar"/>
              </w:rPr>
              <w:t>2.54(2.3-2.9)</w:t>
            </w:r>
          </w:p>
        </w:tc>
        <w:tc>
          <w:tcPr>
            <w:tcW w:w="1896" w:type="dxa"/>
            <w:tcBorders>
              <w:top w:val="single" w:sz="4" w:space="0" w:color="auto"/>
              <w:left w:val="single" w:sz="4" w:space="0" w:color="auto"/>
              <w:bottom w:val="single" w:sz="4" w:space="0" w:color="auto"/>
              <w:right w:val="single" w:sz="4" w:space="0" w:color="auto"/>
            </w:tcBorders>
          </w:tcPr>
          <w:p w14:paraId="6807D110" w14:textId="77777777" w:rsidR="00176E18" w:rsidRDefault="00000000">
            <w:pPr>
              <w:jc w:val="left"/>
              <w:rPr>
                <w:rFonts w:ascii="Arial" w:hAnsi="Arial" w:cs="Arial"/>
                <w:sz w:val="20"/>
                <w:szCs w:val="20"/>
              </w:rPr>
            </w:pPr>
            <w:r>
              <w:rPr>
                <w:rFonts w:ascii="Arial" w:eastAsia="等线" w:hAnsi="Arial" w:cs="Arial"/>
                <w:sz w:val="20"/>
                <w:szCs w:val="20"/>
                <w:lang w:bidi="ar"/>
              </w:rPr>
              <w:t>0.086(0.06-0.1)</w:t>
            </w:r>
          </w:p>
        </w:tc>
        <w:tc>
          <w:tcPr>
            <w:tcW w:w="745" w:type="dxa"/>
            <w:tcBorders>
              <w:top w:val="nil"/>
              <w:left w:val="nil"/>
              <w:bottom w:val="single" w:sz="4" w:space="0" w:color="auto"/>
              <w:right w:val="single" w:sz="4" w:space="0" w:color="auto"/>
            </w:tcBorders>
          </w:tcPr>
          <w:p w14:paraId="0EEC374B"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80.14</w:t>
            </w:r>
          </w:p>
        </w:tc>
        <w:tc>
          <w:tcPr>
            <w:tcW w:w="860" w:type="dxa"/>
            <w:tcBorders>
              <w:top w:val="nil"/>
              <w:left w:val="nil"/>
              <w:bottom w:val="single" w:sz="4" w:space="0" w:color="auto"/>
              <w:right w:val="single" w:sz="4" w:space="0" w:color="auto"/>
            </w:tcBorders>
          </w:tcPr>
          <w:p w14:paraId="171201FA"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87.92</w:t>
            </w:r>
          </w:p>
        </w:tc>
      </w:tr>
      <w:tr w:rsidR="00176E18" w14:paraId="4C877F34"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19A60FA8" w14:textId="77777777" w:rsidR="00176E18" w:rsidRDefault="00000000">
            <w:pPr>
              <w:jc w:val="left"/>
              <w:rPr>
                <w:rFonts w:ascii="Arial" w:hAnsi="Arial" w:cs="Arial"/>
                <w:b/>
                <w:bCs/>
                <w:sz w:val="20"/>
                <w:szCs w:val="20"/>
              </w:rPr>
            </w:pPr>
            <w:r>
              <w:rPr>
                <w:rFonts w:ascii="Arial" w:eastAsia="等线" w:hAnsi="Arial" w:cs="Arial"/>
                <w:sz w:val="20"/>
                <w:szCs w:val="20"/>
                <w:lang w:bidi="ar"/>
              </w:rPr>
              <w:t>3</w:t>
            </w:r>
          </w:p>
        </w:tc>
        <w:tc>
          <w:tcPr>
            <w:tcW w:w="1896" w:type="dxa"/>
            <w:tcBorders>
              <w:top w:val="single" w:sz="4" w:space="0" w:color="auto"/>
              <w:left w:val="single" w:sz="4" w:space="0" w:color="auto"/>
              <w:bottom w:val="single" w:sz="4" w:space="0" w:color="auto"/>
              <w:right w:val="single" w:sz="4" w:space="0" w:color="auto"/>
            </w:tcBorders>
          </w:tcPr>
          <w:p w14:paraId="12B36A70" w14:textId="77777777" w:rsidR="00176E18" w:rsidRDefault="00000000">
            <w:pPr>
              <w:jc w:val="left"/>
              <w:rPr>
                <w:rFonts w:ascii="Arial" w:hAnsi="Arial" w:cs="Arial"/>
                <w:sz w:val="20"/>
                <w:szCs w:val="20"/>
              </w:rPr>
            </w:pPr>
            <w:r>
              <w:rPr>
                <w:rFonts w:ascii="Arial" w:eastAsia="等线" w:hAnsi="Arial" w:cs="Arial"/>
                <w:sz w:val="20"/>
                <w:szCs w:val="20"/>
                <w:lang w:bidi="ar"/>
              </w:rPr>
              <w:t>85.37(82.6-87.8)</w:t>
            </w:r>
          </w:p>
        </w:tc>
        <w:tc>
          <w:tcPr>
            <w:tcW w:w="1904" w:type="dxa"/>
            <w:tcBorders>
              <w:top w:val="single" w:sz="4" w:space="0" w:color="auto"/>
              <w:left w:val="single" w:sz="4" w:space="0" w:color="auto"/>
              <w:bottom w:val="single" w:sz="4" w:space="0" w:color="auto"/>
              <w:right w:val="single" w:sz="4" w:space="0" w:color="auto"/>
            </w:tcBorders>
          </w:tcPr>
          <w:p w14:paraId="08070C54" w14:textId="77777777" w:rsidR="00176E18" w:rsidRDefault="00000000">
            <w:pPr>
              <w:jc w:val="left"/>
              <w:rPr>
                <w:rFonts w:ascii="Arial" w:hAnsi="Arial" w:cs="Arial"/>
                <w:sz w:val="20"/>
                <w:szCs w:val="20"/>
              </w:rPr>
            </w:pPr>
            <w:r>
              <w:rPr>
                <w:rFonts w:ascii="Arial" w:eastAsia="等线" w:hAnsi="Arial" w:cs="Arial"/>
                <w:sz w:val="20"/>
                <w:szCs w:val="20"/>
                <w:lang w:bidi="ar"/>
              </w:rPr>
              <w:t>94.83(92.4-96.7)</w:t>
            </w:r>
          </w:p>
        </w:tc>
        <w:tc>
          <w:tcPr>
            <w:tcW w:w="1921" w:type="dxa"/>
            <w:tcBorders>
              <w:top w:val="single" w:sz="4" w:space="0" w:color="auto"/>
              <w:left w:val="single" w:sz="4" w:space="0" w:color="auto"/>
              <w:bottom w:val="single" w:sz="4" w:space="0" w:color="auto"/>
              <w:right w:val="single" w:sz="4" w:space="0" w:color="auto"/>
            </w:tcBorders>
          </w:tcPr>
          <w:p w14:paraId="1170AA7D" w14:textId="77777777" w:rsidR="00176E18" w:rsidRDefault="00000000">
            <w:pPr>
              <w:jc w:val="left"/>
              <w:rPr>
                <w:rFonts w:ascii="Arial" w:hAnsi="Arial" w:cs="Arial"/>
                <w:sz w:val="20"/>
                <w:szCs w:val="20"/>
              </w:rPr>
            </w:pPr>
            <w:r>
              <w:rPr>
                <w:rFonts w:ascii="Arial" w:eastAsia="等线" w:hAnsi="Arial" w:cs="Arial"/>
                <w:sz w:val="20"/>
                <w:szCs w:val="20"/>
                <w:lang w:bidi="ar"/>
              </w:rPr>
              <w:t>16.5(11.2-24.4)</w:t>
            </w:r>
          </w:p>
        </w:tc>
        <w:tc>
          <w:tcPr>
            <w:tcW w:w="1896" w:type="dxa"/>
            <w:tcBorders>
              <w:top w:val="single" w:sz="4" w:space="0" w:color="auto"/>
              <w:left w:val="single" w:sz="4" w:space="0" w:color="auto"/>
              <w:bottom w:val="single" w:sz="4" w:space="0" w:color="auto"/>
              <w:right w:val="single" w:sz="4" w:space="0" w:color="auto"/>
            </w:tcBorders>
          </w:tcPr>
          <w:p w14:paraId="2A494B30" w14:textId="77777777" w:rsidR="00176E18" w:rsidRDefault="00000000">
            <w:pPr>
              <w:jc w:val="left"/>
              <w:rPr>
                <w:rFonts w:ascii="Arial" w:hAnsi="Arial" w:cs="Arial"/>
                <w:sz w:val="20"/>
                <w:szCs w:val="20"/>
              </w:rPr>
            </w:pPr>
            <w:r>
              <w:rPr>
                <w:rFonts w:ascii="Arial" w:eastAsia="等线" w:hAnsi="Arial" w:cs="Arial"/>
                <w:sz w:val="20"/>
                <w:szCs w:val="20"/>
                <w:lang w:bidi="ar"/>
              </w:rPr>
              <w:t>0.15(0.1-0.2)</w:t>
            </w:r>
          </w:p>
        </w:tc>
        <w:tc>
          <w:tcPr>
            <w:tcW w:w="745" w:type="dxa"/>
            <w:tcBorders>
              <w:top w:val="nil"/>
              <w:left w:val="nil"/>
              <w:bottom w:val="single" w:sz="4" w:space="0" w:color="auto"/>
              <w:right w:val="single" w:sz="4" w:space="0" w:color="auto"/>
            </w:tcBorders>
          </w:tcPr>
          <w:p w14:paraId="58D638BE"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96.33</w:t>
            </w:r>
          </w:p>
        </w:tc>
        <w:tc>
          <w:tcPr>
            <w:tcW w:w="860" w:type="dxa"/>
            <w:tcBorders>
              <w:top w:val="nil"/>
              <w:left w:val="nil"/>
              <w:bottom w:val="single" w:sz="4" w:space="0" w:color="auto"/>
              <w:right w:val="single" w:sz="4" w:space="0" w:color="auto"/>
            </w:tcBorders>
          </w:tcPr>
          <w:p w14:paraId="2D4BB5BB"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80.29</w:t>
            </w:r>
          </w:p>
        </w:tc>
      </w:tr>
      <w:tr w:rsidR="00176E18" w14:paraId="3B41CB85"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0527D78B" w14:textId="77777777" w:rsidR="00176E18" w:rsidRDefault="00000000">
            <w:pPr>
              <w:jc w:val="left"/>
              <w:rPr>
                <w:rFonts w:ascii="Arial" w:hAnsi="Arial" w:cs="Arial"/>
                <w:b/>
                <w:bCs/>
                <w:sz w:val="20"/>
                <w:szCs w:val="20"/>
              </w:rPr>
            </w:pPr>
            <w:r>
              <w:rPr>
                <w:rFonts w:ascii="Arial" w:eastAsia="等线" w:hAnsi="Arial" w:cs="Arial"/>
                <w:sz w:val="20"/>
                <w:szCs w:val="20"/>
                <w:lang w:bidi="ar"/>
              </w:rPr>
              <w:t>4</w:t>
            </w:r>
          </w:p>
        </w:tc>
        <w:tc>
          <w:tcPr>
            <w:tcW w:w="1896" w:type="dxa"/>
            <w:tcBorders>
              <w:top w:val="nil"/>
              <w:left w:val="nil"/>
              <w:bottom w:val="single" w:sz="4" w:space="0" w:color="auto"/>
              <w:right w:val="single" w:sz="4" w:space="0" w:color="auto"/>
            </w:tcBorders>
            <w:vAlign w:val="bottom"/>
          </w:tcPr>
          <w:p w14:paraId="6484A751"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61.52(57.9-65.0)</w:t>
            </w:r>
          </w:p>
        </w:tc>
        <w:tc>
          <w:tcPr>
            <w:tcW w:w="1904" w:type="dxa"/>
            <w:tcBorders>
              <w:top w:val="nil"/>
              <w:left w:val="nil"/>
              <w:bottom w:val="single" w:sz="4" w:space="0" w:color="auto"/>
              <w:right w:val="single" w:sz="4" w:space="0" w:color="auto"/>
            </w:tcBorders>
            <w:vAlign w:val="bottom"/>
          </w:tcPr>
          <w:p w14:paraId="5013B4A1"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97.41(95.5-98.7)</w:t>
            </w:r>
          </w:p>
        </w:tc>
        <w:tc>
          <w:tcPr>
            <w:tcW w:w="1921" w:type="dxa"/>
            <w:tcBorders>
              <w:top w:val="nil"/>
              <w:left w:val="nil"/>
              <w:bottom w:val="single" w:sz="4" w:space="0" w:color="auto"/>
              <w:right w:val="single" w:sz="4" w:space="0" w:color="auto"/>
            </w:tcBorders>
            <w:vAlign w:val="bottom"/>
          </w:tcPr>
          <w:p w14:paraId="1F05550A"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23.79(13.6-41.7)</w:t>
            </w:r>
          </w:p>
        </w:tc>
        <w:tc>
          <w:tcPr>
            <w:tcW w:w="1896" w:type="dxa"/>
            <w:tcBorders>
              <w:top w:val="nil"/>
              <w:left w:val="nil"/>
              <w:bottom w:val="single" w:sz="4" w:space="0" w:color="auto"/>
              <w:right w:val="single" w:sz="4" w:space="0" w:color="auto"/>
            </w:tcBorders>
            <w:vAlign w:val="bottom"/>
          </w:tcPr>
          <w:p w14:paraId="2A9C1E3A"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0.4(0.4-0.4)</w:t>
            </w:r>
          </w:p>
        </w:tc>
        <w:tc>
          <w:tcPr>
            <w:tcW w:w="745" w:type="dxa"/>
            <w:tcBorders>
              <w:top w:val="nil"/>
              <w:left w:val="nil"/>
              <w:bottom w:val="single" w:sz="4" w:space="0" w:color="auto"/>
              <w:right w:val="single" w:sz="4" w:space="0" w:color="auto"/>
            </w:tcBorders>
          </w:tcPr>
          <w:p w14:paraId="42405663"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97.42</w:t>
            </w:r>
          </w:p>
        </w:tc>
        <w:tc>
          <w:tcPr>
            <w:tcW w:w="860" w:type="dxa"/>
            <w:tcBorders>
              <w:top w:val="nil"/>
              <w:left w:val="nil"/>
              <w:bottom w:val="single" w:sz="4" w:space="0" w:color="auto"/>
              <w:right w:val="single" w:sz="4" w:space="0" w:color="auto"/>
            </w:tcBorders>
          </w:tcPr>
          <w:p w14:paraId="393EDA19"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61.41</w:t>
            </w:r>
          </w:p>
        </w:tc>
      </w:tr>
      <w:tr w:rsidR="00176E18" w14:paraId="1895B13B"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6629905F" w14:textId="77777777" w:rsidR="00176E18" w:rsidRDefault="00000000">
            <w:pPr>
              <w:jc w:val="left"/>
              <w:rPr>
                <w:rFonts w:ascii="Arial" w:hAnsi="Arial" w:cs="Arial"/>
                <w:b/>
                <w:bCs/>
                <w:sz w:val="20"/>
                <w:szCs w:val="20"/>
              </w:rPr>
            </w:pPr>
            <w:r>
              <w:rPr>
                <w:rFonts w:ascii="Arial" w:eastAsia="等线" w:hAnsi="Arial" w:cs="Arial"/>
                <w:sz w:val="20"/>
                <w:szCs w:val="20"/>
                <w:lang w:bidi="ar"/>
              </w:rPr>
              <w:t>5</w:t>
            </w:r>
          </w:p>
        </w:tc>
        <w:tc>
          <w:tcPr>
            <w:tcW w:w="1896" w:type="dxa"/>
            <w:tcBorders>
              <w:top w:val="nil"/>
              <w:left w:val="nil"/>
              <w:bottom w:val="single" w:sz="4" w:space="0" w:color="auto"/>
              <w:right w:val="single" w:sz="4" w:space="0" w:color="auto"/>
            </w:tcBorders>
            <w:vAlign w:val="bottom"/>
          </w:tcPr>
          <w:p w14:paraId="63946B4B"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32.38(29.0-35.9)</w:t>
            </w:r>
          </w:p>
        </w:tc>
        <w:tc>
          <w:tcPr>
            <w:tcW w:w="1904" w:type="dxa"/>
            <w:tcBorders>
              <w:top w:val="nil"/>
              <w:left w:val="nil"/>
              <w:bottom w:val="single" w:sz="4" w:space="0" w:color="auto"/>
              <w:right w:val="single" w:sz="4" w:space="0" w:color="auto"/>
            </w:tcBorders>
            <w:vAlign w:val="bottom"/>
          </w:tcPr>
          <w:p w14:paraId="4FE513D5"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99.57(98.5-99.9)</w:t>
            </w:r>
          </w:p>
        </w:tc>
        <w:tc>
          <w:tcPr>
            <w:tcW w:w="1921" w:type="dxa"/>
            <w:tcBorders>
              <w:top w:val="nil"/>
              <w:left w:val="nil"/>
              <w:bottom w:val="single" w:sz="4" w:space="0" w:color="auto"/>
              <w:right w:val="single" w:sz="4" w:space="0" w:color="auto"/>
            </w:tcBorders>
            <w:vAlign w:val="bottom"/>
          </w:tcPr>
          <w:p w14:paraId="2236A853"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75.13(18.8-300.7)</w:t>
            </w:r>
          </w:p>
        </w:tc>
        <w:tc>
          <w:tcPr>
            <w:tcW w:w="1896" w:type="dxa"/>
            <w:tcBorders>
              <w:top w:val="nil"/>
              <w:left w:val="nil"/>
              <w:bottom w:val="single" w:sz="4" w:space="0" w:color="auto"/>
              <w:right w:val="single" w:sz="4" w:space="0" w:color="auto"/>
            </w:tcBorders>
            <w:vAlign w:val="bottom"/>
          </w:tcPr>
          <w:p w14:paraId="25E438BE"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0.68(0.6-0.7)</w:t>
            </w:r>
          </w:p>
        </w:tc>
        <w:tc>
          <w:tcPr>
            <w:tcW w:w="745" w:type="dxa"/>
            <w:tcBorders>
              <w:top w:val="nil"/>
              <w:left w:val="nil"/>
              <w:bottom w:val="single" w:sz="4" w:space="0" w:color="auto"/>
              <w:right w:val="single" w:sz="4" w:space="0" w:color="auto"/>
            </w:tcBorders>
          </w:tcPr>
          <w:p w14:paraId="3F619A87"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99.17</w:t>
            </w:r>
          </w:p>
        </w:tc>
        <w:tc>
          <w:tcPr>
            <w:tcW w:w="860" w:type="dxa"/>
            <w:tcBorders>
              <w:top w:val="nil"/>
              <w:left w:val="nil"/>
              <w:bottom w:val="single" w:sz="4" w:space="0" w:color="auto"/>
              <w:right w:val="single" w:sz="4" w:space="0" w:color="auto"/>
            </w:tcBorders>
          </w:tcPr>
          <w:p w14:paraId="1E720E27"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48.07</w:t>
            </w:r>
          </w:p>
        </w:tc>
      </w:tr>
      <w:tr w:rsidR="00176E18" w14:paraId="1D605B25"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41BCEDB7" w14:textId="77777777" w:rsidR="00176E18" w:rsidRDefault="00000000">
            <w:pPr>
              <w:jc w:val="left"/>
              <w:rPr>
                <w:rFonts w:ascii="Arial" w:hAnsi="Arial" w:cs="Arial"/>
                <w:b/>
                <w:bCs/>
                <w:sz w:val="20"/>
                <w:szCs w:val="20"/>
              </w:rPr>
            </w:pPr>
            <w:r>
              <w:rPr>
                <w:rFonts w:ascii="Arial" w:eastAsia="等线" w:hAnsi="Arial" w:cs="Arial"/>
                <w:sz w:val="20"/>
                <w:szCs w:val="20"/>
                <w:lang w:bidi="ar"/>
              </w:rPr>
              <w:t>6</w:t>
            </w:r>
          </w:p>
        </w:tc>
        <w:tc>
          <w:tcPr>
            <w:tcW w:w="1896" w:type="dxa"/>
            <w:tcBorders>
              <w:top w:val="nil"/>
              <w:left w:val="nil"/>
              <w:bottom w:val="single" w:sz="4" w:space="0" w:color="auto"/>
              <w:right w:val="single" w:sz="4" w:space="0" w:color="auto"/>
            </w:tcBorders>
            <w:vAlign w:val="bottom"/>
          </w:tcPr>
          <w:p w14:paraId="07F851B0"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14.36(11.9-17.1)</w:t>
            </w:r>
          </w:p>
        </w:tc>
        <w:tc>
          <w:tcPr>
            <w:tcW w:w="1904" w:type="dxa"/>
            <w:tcBorders>
              <w:top w:val="nil"/>
              <w:left w:val="nil"/>
              <w:bottom w:val="single" w:sz="4" w:space="0" w:color="auto"/>
              <w:right w:val="single" w:sz="4" w:space="0" w:color="auto"/>
            </w:tcBorders>
            <w:vAlign w:val="bottom"/>
          </w:tcPr>
          <w:p w14:paraId="5C6275FF"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99.78(98.8-100.0)</w:t>
            </w:r>
          </w:p>
        </w:tc>
        <w:tc>
          <w:tcPr>
            <w:tcW w:w="1921" w:type="dxa"/>
            <w:tcBorders>
              <w:top w:val="nil"/>
              <w:left w:val="nil"/>
              <w:bottom w:val="single" w:sz="4" w:space="0" w:color="auto"/>
              <w:right w:val="single" w:sz="4" w:space="0" w:color="auto"/>
            </w:tcBorders>
            <w:vAlign w:val="bottom"/>
          </w:tcPr>
          <w:p w14:paraId="4855A628"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66.64(9.3-475.9)</w:t>
            </w:r>
          </w:p>
        </w:tc>
        <w:tc>
          <w:tcPr>
            <w:tcW w:w="1896" w:type="dxa"/>
            <w:tcBorders>
              <w:top w:val="nil"/>
              <w:left w:val="nil"/>
              <w:bottom w:val="single" w:sz="4" w:space="0" w:color="auto"/>
              <w:right w:val="single" w:sz="4" w:space="0" w:color="auto"/>
            </w:tcBorders>
            <w:vAlign w:val="bottom"/>
          </w:tcPr>
          <w:p w14:paraId="18D4234D"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0.86(0.8-0.9)</w:t>
            </w:r>
          </w:p>
        </w:tc>
        <w:tc>
          <w:tcPr>
            <w:tcW w:w="745" w:type="dxa"/>
            <w:tcBorders>
              <w:top w:val="nil"/>
              <w:left w:val="nil"/>
              <w:bottom w:val="single" w:sz="4" w:space="0" w:color="auto"/>
              <w:right w:val="single" w:sz="4" w:space="0" w:color="auto"/>
            </w:tcBorders>
          </w:tcPr>
          <w:p w14:paraId="1D5B017D"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99.07</w:t>
            </w:r>
          </w:p>
        </w:tc>
        <w:tc>
          <w:tcPr>
            <w:tcW w:w="860" w:type="dxa"/>
            <w:tcBorders>
              <w:top w:val="nil"/>
              <w:left w:val="nil"/>
              <w:bottom w:val="single" w:sz="4" w:space="0" w:color="auto"/>
              <w:right w:val="single" w:sz="4" w:space="0" w:color="auto"/>
            </w:tcBorders>
          </w:tcPr>
          <w:p w14:paraId="4754DAF2" w14:textId="77777777" w:rsidR="00176E18" w:rsidRDefault="00000000">
            <w:pPr>
              <w:jc w:val="left"/>
              <w:rPr>
                <w:rFonts w:ascii="Arial" w:hAnsi="Arial" w:cs="Arial"/>
                <w:b/>
                <w:bCs/>
                <w:sz w:val="20"/>
                <w:szCs w:val="20"/>
              </w:rPr>
            </w:pPr>
            <w:r>
              <w:rPr>
                <w:rFonts w:ascii="Arial" w:eastAsia="等线" w:hAnsi="Arial" w:cs="Arial"/>
                <w:kern w:val="0"/>
                <w:sz w:val="20"/>
                <w:szCs w:val="20"/>
                <w:lang w:bidi="ar"/>
              </w:rPr>
              <w:t>42.28</w:t>
            </w:r>
          </w:p>
        </w:tc>
      </w:tr>
      <w:tr w:rsidR="00176E18" w14:paraId="412287CA" w14:textId="77777777">
        <w:trPr>
          <w:jc w:val="center"/>
        </w:trPr>
        <w:tc>
          <w:tcPr>
            <w:tcW w:w="10072" w:type="dxa"/>
            <w:gridSpan w:val="7"/>
            <w:tcBorders>
              <w:top w:val="single" w:sz="4" w:space="0" w:color="auto"/>
              <w:left w:val="single" w:sz="4" w:space="0" w:color="auto"/>
              <w:bottom w:val="single" w:sz="4" w:space="0" w:color="auto"/>
              <w:right w:val="single" w:sz="4" w:space="0" w:color="auto"/>
            </w:tcBorders>
            <w:shd w:val="clear" w:color="auto" w:fill="D9D9D9"/>
          </w:tcPr>
          <w:p w14:paraId="14955D21" w14:textId="77777777" w:rsidR="00176E18" w:rsidRDefault="00000000">
            <w:pPr>
              <w:jc w:val="left"/>
              <w:rPr>
                <w:rFonts w:ascii="Arial" w:hAnsi="Arial" w:cs="Arial"/>
                <w:b/>
                <w:bCs/>
                <w:sz w:val="20"/>
                <w:szCs w:val="20"/>
              </w:rPr>
            </w:pPr>
            <w:r>
              <w:rPr>
                <w:rFonts w:ascii="Arial" w:eastAsia="等线" w:hAnsi="Arial" w:cs="Arial"/>
                <w:b/>
                <w:bCs/>
                <w:sz w:val="20"/>
                <w:szCs w:val="20"/>
                <w:lang w:bidi="ar"/>
              </w:rPr>
              <w:t>Pulmonary infection subgroup</w:t>
            </w:r>
          </w:p>
        </w:tc>
      </w:tr>
      <w:tr w:rsidR="00176E18" w14:paraId="70395D21"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64C03130" w14:textId="77777777" w:rsidR="00176E18" w:rsidRDefault="00000000">
            <w:pPr>
              <w:jc w:val="left"/>
              <w:rPr>
                <w:rFonts w:ascii="Arial" w:hAnsi="Arial" w:cs="Arial"/>
                <w:sz w:val="20"/>
                <w:szCs w:val="20"/>
              </w:rPr>
            </w:pPr>
            <w:r>
              <w:rPr>
                <w:rFonts w:ascii="Arial" w:eastAsia="等线" w:hAnsi="Arial" w:cs="Arial"/>
                <w:sz w:val="20"/>
                <w:szCs w:val="20"/>
                <w:lang w:bidi="ar"/>
              </w:rPr>
              <w:t>Score</w:t>
            </w:r>
          </w:p>
        </w:tc>
        <w:tc>
          <w:tcPr>
            <w:tcW w:w="1896" w:type="dxa"/>
            <w:tcBorders>
              <w:top w:val="single" w:sz="4" w:space="0" w:color="auto"/>
              <w:left w:val="single" w:sz="4" w:space="0" w:color="auto"/>
              <w:bottom w:val="single" w:sz="4" w:space="0" w:color="auto"/>
              <w:right w:val="single" w:sz="4" w:space="0" w:color="auto"/>
            </w:tcBorders>
          </w:tcPr>
          <w:p w14:paraId="3C2BF25A" w14:textId="77777777" w:rsidR="00176E18" w:rsidRDefault="00000000">
            <w:pPr>
              <w:jc w:val="left"/>
              <w:rPr>
                <w:rFonts w:ascii="Arial" w:hAnsi="Arial" w:cs="Arial"/>
                <w:b/>
                <w:bCs/>
                <w:sz w:val="20"/>
                <w:szCs w:val="20"/>
              </w:rPr>
            </w:pPr>
            <w:r>
              <w:rPr>
                <w:rFonts w:ascii="Arial" w:eastAsia="等线" w:hAnsi="Arial" w:cs="Arial"/>
                <w:sz w:val="20"/>
                <w:szCs w:val="20"/>
                <w:lang w:bidi="ar"/>
              </w:rPr>
              <w:t>Sen, 95% CI</w:t>
            </w:r>
          </w:p>
        </w:tc>
        <w:tc>
          <w:tcPr>
            <w:tcW w:w="1904" w:type="dxa"/>
            <w:tcBorders>
              <w:top w:val="single" w:sz="4" w:space="0" w:color="auto"/>
              <w:left w:val="single" w:sz="4" w:space="0" w:color="auto"/>
              <w:bottom w:val="single" w:sz="4" w:space="0" w:color="auto"/>
              <w:right w:val="single" w:sz="4" w:space="0" w:color="auto"/>
            </w:tcBorders>
          </w:tcPr>
          <w:p w14:paraId="7CFD4075" w14:textId="77777777" w:rsidR="00176E18" w:rsidRDefault="00000000">
            <w:pPr>
              <w:jc w:val="left"/>
              <w:rPr>
                <w:rFonts w:ascii="Arial" w:hAnsi="Arial" w:cs="Arial"/>
                <w:b/>
                <w:bCs/>
                <w:sz w:val="20"/>
                <w:szCs w:val="20"/>
              </w:rPr>
            </w:pPr>
            <w:r>
              <w:rPr>
                <w:rFonts w:ascii="Arial" w:eastAsia="等线" w:hAnsi="Arial" w:cs="Arial"/>
                <w:sz w:val="20"/>
                <w:szCs w:val="20"/>
                <w:lang w:bidi="ar"/>
              </w:rPr>
              <w:t>Spe, 95% CI</w:t>
            </w:r>
          </w:p>
        </w:tc>
        <w:tc>
          <w:tcPr>
            <w:tcW w:w="1921" w:type="dxa"/>
            <w:tcBorders>
              <w:top w:val="single" w:sz="4" w:space="0" w:color="auto"/>
              <w:left w:val="single" w:sz="4" w:space="0" w:color="auto"/>
              <w:bottom w:val="single" w:sz="4" w:space="0" w:color="auto"/>
              <w:right w:val="single" w:sz="4" w:space="0" w:color="auto"/>
            </w:tcBorders>
          </w:tcPr>
          <w:p w14:paraId="1A9EB993" w14:textId="77777777" w:rsidR="00176E18" w:rsidRDefault="00000000">
            <w:pPr>
              <w:jc w:val="left"/>
              <w:rPr>
                <w:rFonts w:ascii="Arial" w:hAnsi="Arial" w:cs="Arial"/>
                <w:b/>
                <w:bCs/>
                <w:sz w:val="20"/>
                <w:szCs w:val="20"/>
              </w:rPr>
            </w:pPr>
            <w:r>
              <w:rPr>
                <w:rFonts w:ascii="Arial" w:eastAsia="等线" w:hAnsi="Arial" w:cs="Arial"/>
                <w:sz w:val="20"/>
                <w:szCs w:val="20"/>
                <w:lang w:bidi="ar"/>
              </w:rPr>
              <w:t>+LR, 95% CI</w:t>
            </w:r>
          </w:p>
        </w:tc>
        <w:tc>
          <w:tcPr>
            <w:tcW w:w="1896" w:type="dxa"/>
            <w:tcBorders>
              <w:top w:val="single" w:sz="4" w:space="0" w:color="auto"/>
              <w:left w:val="single" w:sz="4" w:space="0" w:color="auto"/>
              <w:bottom w:val="single" w:sz="4" w:space="0" w:color="auto"/>
              <w:right w:val="single" w:sz="4" w:space="0" w:color="auto"/>
            </w:tcBorders>
          </w:tcPr>
          <w:p w14:paraId="5641F3A0" w14:textId="77777777" w:rsidR="00176E18" w:rsidRDefault="00000000">
            <w:pPr>
              <w:jc w:val="left"/>
              <w:rPr>
                <w:rFonts w:ascii="Arial" w:hAnsi="Arial" w:cs="Arial"/>
                <w:b/>
                <w:bCs/>
                <w:sz w:val="20"/>
                <w:szCs w:val="20"/>
              </w:rPr>
            </w:pPr>
            <w:r>
              <w:rPr>
                <w:rFonts w:ascii="Arial" w:eastAsia="等线" w:hAnsi="Arial" w:cs="Arial"/>
                <w:sz w:val="20"/>
                <w:szCs w:val="20"/>
                <w:lang w:bidi="ar"/>
              </w:rPr>
              <w:t>-LR, 95% CI</w:t>
            </w:r>
          </w:p>
        </w:tc>
        <w:tc>
          <w:tcPr>
            <w:tcW w:w="745" w:type="dxa"/>
            <w:tcBorders>
              <w:top w:val="single" w:sz="4" w:space="0" w:color="auto"/>
              <w:left w:val="single" w:sz="4" w:space="0" w:color="auto"/>
              <w:bottom w:val="single" w:sz="4" w:space="0" w:color="auto"/>
              <w:right w:val="single" w:sz="4" w:space="0" w:color="auto"/>
            </w:tcBorders>
          </w:tcPr>
          <w:p w14:paraId="3B2C15F2" w14:textId="77777777" w:rsidR="00176E18" w:rsidRDefault="00000000">
            <w:pPr>
              <w:jc w:val="left"/>
              <w:rPr>
                <w:rFonts w:ascii="Arial" w:hAnsi="Arial" w:cs="Arial"/>
                <w:b/>
                <w:bCs/>
                <w:sz w:val="20"/>
                <w:szCs w:val="20"/>
              </w:rPr>
            </w:pPr>
            <w:r>
              <w:rPr>
                <w:rFonts w:ascii="Arial" w:eastAsia="等线" w:hAnsi="Arial" w:cs="Arial"/>
                <w:sz w:val="20"/>
                <w:szCs w:val="20"/>
                <w:lang w:bidi="ar"/>
              </w:rPr>
              <w:t>PPV</w:t>
            </w:r>
          </w:p>
        </w:tc>
        <w:tc>
          <w:tcPr>
            <w:tcW w:w="860" w:type="dxa"/>
            <w:tcBorders>
              <w:top w:val="single" w:sz="4" w:space="0" w:color="auto"/>
              <w:left w:val="single" w:sz="4" w:space="0" w:color="auto"/>
              <w:bottom w:val="single" w:sz="4" w:space="0" w:color="auto"/>
              <w:right w:val="single" w:sz="4" w:space="0" w:color="auto"/>
            </w:tcBorders>
          </w:tcPr>
          <w:p w14:paraId="2552B012" w14:textId="77777777" w:rsidR="00176E18" w:rsidRDefault="00000000">
            <w:pPr>
              <w:jc w:val="left"/>
              <w:rPr>
                <w:rFonts w:ascii="Arial" w:hAnsi="Arial" w:cs="Arial"/>
                <w:b/>
                <w:bCs/>
                <w:sz w:val="20"/>
                <w:szCs w:val="20"/>
              </w:rPr>
            </w:pPr>
            <w:r>
              <w:rPr>
                <w:rFonts w:ascii="Arial" w:eastAsia="等线" w:hAnsi="Arial" w:cs="Arial"/>
                <w:sz w:val="20"/>
                <w:szCs w:val="20"/>
                <w:lang w:bidi="ar"/>
              </w:rPr>
              <w:t>NPV</w:t>
            </w:r>
          </w:p>
        </w:tc>
      </w:tr>
      <w:tr w:rsidR="00176E18" w14:paraId="4B9F43E3"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63B6BCD6" w14:textId="77777777" w:rsidR="00176E18" w:rsidRDefault="00000000">
            <w:pPr>
              <w:jc w:val="left"/>
              <w:rPr>
                <w:rFonts w:ascii="Arial" w:hAnsi="Arial" w:cs="Arial"/>
                <w:b/>
                <w:bCs/>
                <w:sz w:val="20"/>
                <w:szCs w:val="20"/>
              </w:rPr>
            </w:pPr>
            <w:r>
              <w:rPr>
                <w:rFonts w:ascii="Arial" w:eastAsia="等线" w:hAnsi="Arial" w:cs="Arial"/>
                <w:sz w:val="20"/>
                <w:szCs w:val="20"/>
                <w:lang w:bidi="ar"/>
              </w:rPr>
              <w:t>0</w:t>
            </w:r>
          </w:p>
        </w:tc>
        <w:tc>
          <w:tcPr>
            <w:tcW w:w="1896" w:type="dxa"/>
            <w:tcBorders>
              <w:top w:val="single" w:sz="4" w:space="0" w:color="auto"/>
              <w:left w:val="single" w:sz="4" w:space="0" w:color="auto"/>
              <w:bottom w:val="single" w:sz="4" w:space="0" w:color="auto"/>
              <w:right w:val="single" w:sz="4" w:space="0" w:color="auto"/>
            </w:tcBorders>
          </w:tcPr>
          <w:p w14:paraId="747755B3" w14:textId="77777777" w:rsidR="00176E18" w:rsidRDefault="00000000">
            <w:pPr>
              <w:jc w:val="left"/>
              <w:rPr>
                <w:rFonts w:ascii="Arial" w:hAnsi="Arial" w:cs="Arial"/>
                <w:b/>
                <w:bCs/>
                <w:sz w:val="20"/>
                <w:szCs w:val="20"/>
              </w:rPr>
            </w:pPr>
            <w:r>
              <w:rPr>
                <w:rFonts w:ascii="Arial" w:eastAsia="等线" w:hAnsi="Arial" w:cs="Arial"/>
                <w:sz w:val="20"/>
                <w:szCs w:val="20"/>
                <w:lang w:bidi="ar"/>
              </w:rPr>
              <w:t>100(99.0-100.0)</w:t>
            </w:r>
          </w:p>
        </w:tc>
        <w:tc>
          <w:tcPr>
            <w:tcW w:w="1904" w:type="dxa"/>
            <w:tcBorders>
              <w:top w:val="single" w:sz="4" w:space="0" w:color="auto"/>
              <w:left w:val="single" w:sz="4" w:space="0" w:color="auto"/>
              <w:bottom w:val="single" w:sz="4" w:space="0" w:color="auto"/>
              <w:right w:val="single" w:sz="4" w:space="0" w:color="auto"/>
            </w:tcBorders>
          </w:tcPr>
          <w:p w14:paraId="211FACD0" w14:textId="77777777" w:rsidR="00176E18" w:rsidRDefault="00000000">
            <w:pPr>
              <w:jc w:val="left"/>
              <w:rPr>
                <w:rFonts w:ascii="Arial" w:hAnsi="Arial" w:cs="Arial"/>
                <w:b/>
                <w:bCs/>
                <w:sz w:val="20"/>
                <w:szCs w:val="20"/>
              </w:rPr>
            </w:pPr>
            <w:r>
              <w:rPr>
                <w:rFonts w:ascii="Arial" w:eastAsia="等线" w:hAnsi="Arial" w:cs="Arial"/>
                <w:sz w:val="20"/>
                <w:szCs w:val="20"/>
                <w:lang w:bidi="ar"/>
              </w:rPr>
              <w:t>0(0.0-1.8)</w:t>
            </w:r>
          </w:p>
        </w:tc>
        <w:tc>
          <w:tcPr>
            <w:tcW w:w="1921" w:type="dxa"/>
            <w:tcBorders>
              <w:top w:val="single" w:sz="4" w:space="0" w:color="auto"/>
              <w:left w:val="single" w:sz="4" w:space="0" w:color="auto"/>
              <w:bottom w:val="single" w:sz="4" w:space="0" w:color="auto"/>
              <w:right w:val="single" w:sz="4" w:space="0" w:color="auto"/>
            </w:tcBorders>
          </w:tcPr>
          <w:p w14:paraId="573579E8" w14:textId="77777777" w:rsidR="00176E18" w:rsidRDefault="00000000">
            <w:pPr>
              <w:jc w:val="left"/>
              <w:rPr>
                <w:rFonts w:ascii="Arial" w:hAnsi="Arial" w:cs="Arial"/>
                <w:sz w:val="20"/>
                <w:szCs w:val="20"/>
              </w:rPr>
            </w:pPr>
            <w:r>
              <w:rPr>
                <w:rFonts w:ascii="Arial" w:eastAsia="等线" w:hAnsi="Arial" w:cs="Arial"/>
                <w:sz w:val="20"/>
                <w:szCs w:val="20"/>
                <w:lang w:bidi="ar"/>
              </w:rPr>
              <w:t>1(1.0-1.0)</w:t>
            </w:r>
          </w:p>
        </w:tc>
        <w:tc>
          <w:tcPr>
            <w:tcW w:w="1896" w:type="dxa"/>
            <w:tcBorders>
              <w:top w:val="single" w:sz="4" w:space="0" w:color="auto"/>
              <w:left w:val="single" w:sz="4" w:space="0" w:color="auto"/>
              <w:bottom w:val="single" w:sz="4" w:space="0" w:color="auto"/>
              <w:right w:val="single" w:sz="4" w:space="0" w:color="auto"/>
            </w:tcBorders>
          </w:tcPr>
          <w:p w14:paraId="3992AB06" w14:textId="77777777" w:rsidR="00176E18" w:rsidRDefault="00000000">
            <w:pPr>
              <w:jc w:val="left"/>
              <w:rPr>
                <w:rFonts w:ascii="Arial" w:hAnsi="Arial" w:cs="Arial"/>
                <w:sz w:val="20"/>
                <w:szCs w:val="20"/>
              </w:rPr>
            </w:pPr>
            <w:r>
              <w:rPr>
                <w:rFonts w:ascii="Arial" w:eastAsia="等线" w:hAnsi="Arial" w:cs="Arial"/>
                <w:sz w:val="20"/>
                <w:szCs w:val="20"/>
                <w:lang w:bidi="ar"/>
              </w:rPr>
              <w:t>N/A</w:t>
            </w:r>
          </w:p>
        </w:tc>
        <w:tc>
          <w:tcPr>
            <w:tcW w:w="745" w:type="dxa"/>
            <w:tcBorders>
              <w:top w:val="single" w:sz="4" w:space="0" w:color="auto"/>
              <w:left w:val="single" w:sz="4" w:space="0" w:color="auto"/>
              <w:bottom w:val="single" w:sz="4" w:space="0" w:color="auto"/>
              <w:right w:val="single" w:sz="4" w:space="0" w:color="auto"/>
            </w:tcBorders>
          </w:tcPr>
          <w:p w14:paraId="4AB7D4AE" w14:textId="77777777" w:rsidR="00176E18" w:rsidRDefault="00000000">
            <w:pPr>
              <w:jc w:val="left"/>
              <w:rPr>
                <w:rFonts w:ascii="Arial" w:hAnsi="Arial" w:cs="Arial"/>
                <w:b/>
                <w:bCs/>
                <w:sz w:val="20"/>
                <w:szCs w:val="20"/>
              </w:rPr>
            </w:pPr>
            <w:r>
              <w:rPr>
                <w:rFonts w:ascii="Arial" w:eastAsia="等线" w:hAnsi="Arial" w:cs="Arial"/>
                <w:sz w:val="20"/>
                <w:szCs w:val="20"/>
                <w:lang w:bidi="ar"/>
              </w:rPr>
              <w:t>64.10</w:t>
            </w:r>
          </w:p>
        </w:tc>
        <w:tc>
          <w:tcPr>
            <w:tcW w:w="860" w:type="dxa"/>
            <w:tcBorders>
              <w:top w:val="single" w:sz="4" w:space="0" w:color="auto"/>
              <w:left w:val="single" w:sz="4" w:space="0" w:color="auto"/>
              <w:bottom w:val="single" w:sz="4" w:space="0" w:color="auto"/>
              <w:right w:val="single" w:sz="4" w:space="0" w:color="auto"/>
            </w:tcBorders>
          </w:tcPr>
          <w:p w14:paraId="0966E657" w14:textId="77777777" w:rsidR="00176E18" w:rsidRDefault="00000000">
            <w:pPr>
              <w:jc w:val="left"/>
              <w:rPr>
                <w:rFonts w:ascii="Arial" w:hAnsi="Arial" w:cs="Arial"/>
                <w:b/>
                <w:bCs/>
                <w:sz w:val="20"/>
                <w:szCs w:val="20"/>
              </w:rPr>
            </w:pPr>
            <w:r>
              <w:rPr>
                <w:rFonts w:ascii="Arial" w:eastAsia="等线" w:hAnsi="Arial" w:cs="Arial"/>
                <w:sz w:val="20"/>
                <w:szCs w:val="20"/>
                <w:lang w:bidi="ar"/>
              </w:rPr>
              <w:t>0</w:t>
            </w:r>
          </w:p>
        </w:tc>
      </w:tr>
      <w:tr w:rsidR="00176E18" w14:paraId="6709880A"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37FC42B8" w14:textId="77777777" w:rsidR="00176E18" w:rsidRDefault="00000000">
            <w:pPr>
              <w:jc w:val="left"/>
              <w:rPr>
                <w:rFonts w:ascii="Arial" w:hAnsi="Arial" w:cs="Arial"/>
                <w:b/>
                <w:bCs/>
                <w:sz w:val="20"/>
                <w:szCs w:val="20"/>
              </w:rPr>
            </w:pPr>
            <w:r>
              <w:rPr>
                <w:rFonts w:ascii="Arial" w:eastAsia="等线" w:hAnsi="Arial" w:cs="Arial"/>
                <w:sz w:val="20"/>
                <w:szCs w:val="20"/>
                <w:lang w:bidi="ar"/>
              </w:rPr>
              <w:t>1</w:t>
            </w:r>
          </w:p>
        </w:tc>
        <w:tc>
          <w:tcPr>
            <w:tcW w:w="1896" w:type="dxa"/>
            <w:tcBorders>
              <w:top w:val="single" w:sz="4" w:space="0" w:color="auto"/>
              <w:left w:val="single" w:sz="4" w:space="0" w:color="auto"/>
              <w:bottom w:val="single" w:sz="4" w:space="0" w:color="auto"/>
              <w:right w:val="single" w:sz="4" w:space="0" w:color="auto"/>
            </w:tcBorders>
          </w:tcPr>
          <w:p w14:paraId="63984BDB" w14:textId="77777777" w:rsidR="00176E18" w:rsidRDefault="00000000">
            <w:pPr>
              <w:jc w:val="left"/>
              <w:rPr>
                <w:rFonts w:ascii="Arial" w:hAnsi="Arial" w:cs="Arial"/>
                <w:b/>
                <w:bCs/>
                <w:sz w:val="20"/>
                <w:szCs w:val="20"/>
              </w:rPr>
            </w:pPr>
            <w:r>
              <w:rPr>
                <w:rFonts w:ascii="Arial" w:eastAsia="等线" w:hAnsi="Arial" w:cs="Arial"/>
                <w:sz w:val="20"/>
                <w:szCs w:val="20"/>
                <w:lang w:bidi="ar"/>
              </w:rPr>
              <w:t>97.54(95.4-98.9)</w:t>
            </w:r>
          </w:p>
        </w:tc>
        <w:tc>
          <w:tcPr>
            <w:tcW w:w="1904" w:type="dxa"/>
            <w:tcBorders>
              <w:top w:val="single" w:sz="4" w:space="0" w:color="auto"/>
              <w:left w:val="single" w:sz="4" w:space="0" w:color="auto"/>
              <w:bottom w:val="single" w:sz="4" w:space="0" w:color="auto"/>
              <w:right w:val="single" w:sz="4" w:space="0" w:color="auto"/>
            </w:tcBorders>
          </w:tcPr>
          <w:p w14:paraId="64A3078B" w14:textId="77777777" w:rsidR="00176E18" w:rsidRDefault="00000000">
            <w:pPr>
              <w:jc w:val="left"/>
              <w:rPr>
                <w:rFonts w:ascii="Arial" w:hAnsi="Arial" w:cs="Arial"/>
                <w:b/>
                <w:bCs/>
                <w:sz w:val="20"/>
                <w:szCs w:val="20"/>
              </w:rPr>
            </w:pPr>
            <w:r>
              <w:rPr>
                <w:rFonts w:ascii="Arial" w:eastAsia="等线" w:hAnsi="Arial" w:cs="Arial"/>
                <w:sz w:val="20"/>
                <w:szCs w:val="20"/>
                <w:lang w:bidi="ar"/>
              </w:rPr>
              <w:t>32.2(25.9-39.1)</w:t>
            </w:r>
          </w:p>
        </w:tc>
        <w:tc>
          <w:tcPr>
            <w:tcW w:w="1921" w:type="dxa"/>
            <w:tcBorders>
              <w:top w:val="single" w:sz="4" w:space="0" w:color="auto"/>
              <w:left w:val="single" w:sz="4" w:space="0" w:color="auto"/>
              <w:bottom w:val="single" w:sz="4" w:space="0" w:color="auto"/>
              <w:right w:val="single" w:sz="4" w:space="0" w:color="auto"/>
            </w:tcBorders>
          </w:tcPr>
          <w:p w14:paraId="5D654A6B" w14:textId="77777777" w:rsidR="00176E18" w:rsidRDefault="00000000">
            <w:pPr>
              <w:jc w:val="left"/>
              <w:rPr>
                <w:rFonts w:ascii="Arial" w:hAnsi="Arial" w:cs="Arial"/>
                <w:b/>
                <w:bCs/>
                <w:sz w:val="20"/>
                <w:szCs w:val="20"/>
              </w:rPr>
            </w:pPr>
            <w:r>
              <w:rPr>
                <w:rFonts w:ascii="Arial" w:eastAsia="等线" w:hAnsi="Arial" w:cs="Arial"/>
                <w:sz w:val="20"/>
                <w:szCs w:val="20"/>
                <w:lang w:bidi="ar"/>
              </w:rPr>
              <w:t>1.44(1.3-1.6)</w:t>
            </w:r>
          </w:p>
        </w:tc>
        <w:tc>
          <w:tcPr>
            <w:tcW w:w="1896" w:type="dxa"/>
            <w:tcBorders>
              <w:top w:val="single" w:sz="4" w:space="0" w:color="auto"/>
              <w:left w:val="single" w:sz="4" w:space="0" w:color="auto"/>
              <w:bottom w:val="single" w:sz="4" w:space="0" w:color="auto"/>
              <w:right w:val="single" w:sz="4" w:space="0" w:color="auto"/>
            </w:tcBorders>
          </w:tcPr>
          <w:p w14:paraId="11E4CC6E" w14:textId="77777777" w:rsidR="00176E18" w:rsidRDefault="00000000">
            <w:pPr>
              <w:jc w:val="left"/>
              <w:rPr>
                <w:rFonts w:ascii="Arial" w:hAnsi="Arial" w:cs="Arial"/>
                <w:b/>
                <w:bCs/>
                <w:sz w:val="20"/>
                <w:szCs w:val="20"/>
              </w:rPr>
            </w:pPr>
            <w:r>
              <w:rPr>
                <w:rFonts w:ascii="Arial" w:eastAsia="等线" w:hAnsi="Arial" w:cs="Arial"/>
                <w:sz w:val="20"/>
                <w:szCs w:val="20"/>
                <w:lang w:bidi="ar"/>
              </w:rPr>
              <w:t>0.076(0.04-0.2)</w:t>
            </w:r>
          </w:p>
        </w:tc>
        <w:tc>
          <w:tcPr>
            <w:tcW w:w="745" w:type="dxa"/>
            <w:tcBorders>
              <w:top w:val="single" w:sz="4" w:space="0" w:color="auto"/>
              <w:left w:val="single" w:sz="4" w:space="0" w:color="auto"/>
              <w:bottom w:val="single" w:sz="4" w:space="0" w:color="auto"/>
              <w:right w:val="single" w:sz="4" w:space="0" w:color="auto"/>
            </w:tcBorders>
          </w:tcPr>
          <w:p w14:paraId="11835E79" w14:textId="77777777" w:rsidR="00176E18" w:rsidRDefault="00000000">
            <w:pPr>
              <w:jc w:val="left"/>
              <w:rPr>
                <w:rFonts w:ascii="Arial" w:hAnsi="Arial" w:cs="Arial"/>
                <w:b/>
                <w:bCs/>
                <w:sz w:val="20"/>
                <w:szCs w:val="20"/>
              </w:rPr>
            </w:pPr>
            <w:r>
              <w:rPr>
                <w:rFonts w:ascii="Arial" w:eastAsia="等线" w:hAnsi="Arial" w:cs="Arial"/>
                <w:sz w:val="20"/>
                <w:szCs w:val="20"/>
                <w:lang w:bidi="ar"/>
              </w:rPr>
              <w:t>71.98</w:t>
            </w:r>
          </w:p>
        </w:tc>
        <w:tc>
          <w:tcPr>
            <w:tcW w:w="860" w:type="dxa"/>
            <w:tcBorders>
              <w:top w:val="single" w:sz="4" w:space="0" w:color="auto"/>
              <w:left w:val="single" w:sz="4" w:space="0" w:color="auto"/>
              <w:bottom w:val="single" w:sz="4" w:space="0" w:color="auto"/>
              <w:right w:val="single" w:sz="4" w:space="0" w:color="auto"/>
            </w:tcBorders>
          </w:tcPr>
          <w:p w14:paraId="77CBF882" w14:textId="77777777" w:rsidR="00176E18" w:rsidRDefault="00000000">
            <w:pPr>
              <w:jc w:val="left"/>
              <w:rPr>
                <w:rFonts w:ascii="Arial" w:hAnsi="Arial" w:cs="Arial"/>
                <w:b/>
                <w:bCs/>
                <w:sz w:val="20"/>
                <w:szCs w:val="20"/>
              </w:rPr>
            </w:pPr>
            <w:r>
              <w:rPr>
                <w:rFonts w:ascii="Arial" w:eastAsia="等线" w:hAnsi="Arial" w:cs="Arial"/>
                <w:sz w:val="20"/>
                <w:szCs w:val="20"/>
                <w:lang w:bidi="ar"/>
              </w:rPr>
              <w:t>88.00</w:t>
            </w:r>
          </w:p>
        </w:tc>
      </w:tr>
      <w:tr w:rsidR="00176E18" w14:paraId="515435B7"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73B4C85D" w14:textId="77777777" w:rsidR="00176E18" w:rsidRDefault="00000000">
            <w:pPr>
              <w:jc w:val="left"/>
              <w:rPr>
                <w:rFonts w:ascii="Arial" w:hAnsi="Arial" w:cs="Arial"/>
                <w:b/>
                <w:bCs/>
                <w:sz w:val="20"/>
                <w:szCs w:val="20"/>
              </w:rPr>
            </w:pPr>
            <w:r>
              <w:rPr>
                <w:rFonts w:ascii="Arial" w:eastAsia="等线" w:hAnsi="Arial" w:cs="Arial"/>
                <w:sz w:val="20"/>
                <w:szCs w:val="20"/>
                <w:lang w:bidi="ar"/>
              </w:rPr>
              <w:t>2</w:t>
            </w:r>
          </w:p>
        </w:tc>
        <w:tc>
          <w:tcPr>
            <w:tcW w:w="1896" w:type="dxa"/>
            <w:tcBorders>
              <w:top w:val="single" w:sz="4" w:space="0" w:color="auto"/>
              <w:left w:val="single" w:sz="4" w:space="0" w:color="auto"/>
              <w:bottom w:val="single" w:sz="4" w:space="0" w:color="auto"/>
              <w:right w:val="single" w:sz="4" w:space="0" w:color="auto"/>
            </w:tcBorders>
          </w:tcPr>
          <w:p w14:paraId="797784BA" w14:textId="77777777" w:rsidR="00176E18" w:rsidRDefault="00000000">
            <w:pPr>
              <w:jc w:val="left"/>
              <w:rPr>
                <w:rFonts w:ascii="Arial" w:hAnsi="Arial" w:cs="Arial"/>
                <w:b/>
                <w:bCs/>
                <w:sz w:val="20"/>
                <w:szCs w:val="20"/>
              </w:rPr>
            </w:pPr>
            <w:r>
              <w:rPr>
                <w:rFonts w:ascii="Arial" w:eastAsia="等线" w:hAnsi="Arial" w:cs="Arial"/>
                <w:sz w:val="20"/>
                <w:szCs w:val="20"/>
                <w:lang w:bidi="ar"/>
              </w:rPr>
              <w:t>93.17(90.1-95.5)</w:t>
            </w:r>
          </w:p>
        </w:tc>
        <w:tc>
          <w:tcPr>
            <w:tcW w:w="1904" w:type="dxa"/>
            <w:tcBorders>
              <w:top w:val="single" w:sz="4" w:space="0" w:color="auto"/>
              <w:left w:val="single" w:sz="4" w:space="0" w:color="auto"/>
              <w:bottom w:val="single" w:sz="4" w:space="0" w:color="auto"/>
              <w:right w:val="single" w:sz="4" w:space="0" w:color="auto"/>
            </w:tcBorders>
          </w:tcPr>
          <w:p w14:paraId="792BD7F7" w14:textId="77777777" w:rsidR="00176E18" w:rsidRDefault="00000000">
            <w:pPr>
              <w:jc w:val="left"/>
              <w:rPr>
                <w:rFonts w:ascii="Arial" w:hAnsi="Arial" w:cs="Arial"/>
                <w:b/>
                <w:bCs/>
                <w:sz w:val="20"/>
                <w:szCs w:val="20"/>
              </w:rPr>
            </w:pPr>
            <w:r>
              <w:rPr>
                <w:rFonts w:ascii="Arial" w:eastAsia="等线" w:hAnsi="Arial" w:cs="Arial"/>
                <w:sz w:val="20"/>
                <w:szCs w:val="20"/>
                <w:lang w:bidi="ar"/>
              </w:rPr>
              <w:t>57.56(50.5-64.4)</w:t>
            </w:r>
          </w:p>
        </w:tc>
        <w:tc>
          <w:tcPr>
            <w:tcW w:w="1921" w:type="dxa"/>
            <w:tcBorders>
              <w:top w:val="single" w:sz="4" w:space="0" w:color="auto"/>
              <w:left w:val="single" w:sz="4" w:space="0" w:color="auto"/>
              <w:bottom w:val="single" w:sz="4" w:space="0" w:color="auto"/>
              <w:right w:val="single" w:sz="4" w:space="0" w:color="auto"/>
            </w:tcBorders>
          </w:tcPr>
          <w:p w14:paraId="22091D70" w14:textId="77777777" w:rsidR="00176E18" w:rsidRDefault="00000000">
            <w:pPr>
              <w:jc w:val="left"/>
              <w:rPr>
                <w:rFonts w:ascii="Arial" w:hAnsi="Arial" w:cs="Arial"/>
                <w:b/>
                <w:bCs/>
                <w:sz w:val="20"/>
                <w:szCs w:val="20"/>
              </w:rPr>
            </w:pPr>
            <w:r>
              <w:rPr>
                <w:rFonts w:ascii="Arial" w:eastAsia="等线" w:hAnsi="Arial" w:cs="Arial"/>
                <w:sz w:val="20"/>
                <w:szCs w:val="20"/>
                <w:lang w:bidi="ar"/>
              </w:rPr>
              <w:t>2.2(1.9-2.6)</w:t>
            </w:r>
          </w:p>
        </w:tc>
        <w:tc>
          <w:tcPr>
            <w:tcW w:w="1896" w:type="dxa"/>
            <w:tcBorders>
              <w:top w:val="single" w:sz="4" w:space="0" w:color="auto"/>
              <w:left w:val="single" w:sz="4" w:space="0" w:color="auto"/>
              <w:bottom w:val="single" w:sz="4" w:space="0" w:color="auto"/>
              <w:right w:val="single" w:sz="4" w:space="0" w:color="auto"/>
            </w:tcBorders>
          </w:tcPr>
          <w:p w14:paraId="52BB0B28" w14:textId="77777777" w:rsidR="00176E18" w:rsidRDefault="00000000">
            <w:pPr>
              <w:jc w:val="left"/>
              <w:rPr>
                <w:rFonts w:ascii="Arial" w:hAnsi="Arial" w:cs="Arial"/>
                <w:b/>
                <w:bCs/>
                <w:sz w:val="20"/>
                <w:szCs w:val="20"/>
              </w:rPr>
            </w:pPr>
            <w:r>
              <w:rPr>
                <w:rFonts w:ascii="Arial" w:eastAsia="等线" w:hAnsi="Arial" w:cs="Arial"/>
                <w:sz w:val="20"/>
                <w:szCs w:val="20"/>
                <w:lang w:bidi="ar"/>
              </w:rPr>
              <w:t>0.12(0.08-0.2)</w:t>
            </w:r>
          </w:p>
        </w:tc>
        <w:tc>
          <w:tcPr>
            <w:tcW w:w="745" w:type="dxa"/>
            <w:tcBorders>
              <w:top w:val="single" w:sz="4" w:space="0" w:color="auto"/>
              <w:left w:val="single" w:sz="4" w:space="0" w:color="auto"/>
              <w:bottom w:val="single" w:sz="4" w:space="0" w:color="auto"/>
              <w:right w:val="single" w:sz="4" w:space="0" w:color="auto"/>
            </w:tcBorders>
          </w:tcPr>
          <w:p w14:paraId="6CA7E395" w14:textId="77777777" w:rsidR="00176E18" w:rsidRDefault="00000000">
            <w:pPr>
              <w:jc w:val="left"/>
              <w:rPr>
                <w:rFonts w:ascii="Arial" w:hAnsi="Arial" w:cs="Arial"/>
                <w:b/>
                <w:bCs/>
                <w:sz w:val="20"/>
                <w:szCs w:val="20"/>
              </w:rPr>
            </w:pPr>
            <w:r>
              <w:rPr>
                <w:rFonts w:ascii="Arial" w:eastAsia="等线" w:hAnsi="Arial" w:cs="Arial"/>
                <w:sz w:val="20"/>
                <w:szCs w:val="20"/>
                <w:lang w:bidi="ar"/>
              </w:rPr>
              <w:t>79.67</w:t>
            </w:r>
          </w:p>
        </w:tc>
        <w:tc>
          <w:tcPr>
            <w:tcW w:w="860" w:type="dxa"/>
            <w:tcBorders>
              <w:top w:val="single" w:sz="4" w:space="0" w:color="auto"/>
              <w:left w:val="single" w:sz="4" w:space="0" w:color="auto"/>
              <w:bottom w:val="single" w:sz="4" w:space="0" w:color="auto"/>
              <w:right w:val="single" w:sz="4" w:space="0" w:color="auto"/>
            </w:tcBorders>
          </w:tcPr>
          <w:p w14:paraId="7FD2B41A" w14:textId="77777777" w:rsidR="00176E18" w:rsidRDefault="00000000">
            <w:pPr>
              <w:jc w:val="left"/>
              <w:rPr>
                <w:rFonts w:ascii="Arial" w:hAnsi="Arial" w:cs="Arial"/>
                <w:b/>
                <w:bCs/>
                <w:sz w:val="20"/>
                <w:szCs w:val="20"/>
              </w:rPr>
            </w:pPr>
            <w:r>
              <w:rPr>
                <w:rFonts w:ascii="Arial" w:eastAsia="等线" w:hAnsi="Arial" w:cs="Arial"/>
                <w:sz w:val="20"/>
                <w:szCs w:val="20"/>
                <w:lang w:bidi="ar"/>
              </w:rPr>
              <w:t>82.52</w:t>
            </w:r>
          </w:p>
        </w:tc>
      </w:tr>
      <w:tr w:rsidR="00176E18" w14:paraId="61700C86"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269D9974" w14:textId="77777777" w:rsidR="00176E18" w:rsidRDefault="00000000">
            <w:pPr>
              <w:jc w:val="left"/>
              <w:rPr>
                <w:rFonts w:ascii="Arial" w:hAnsi="Arial" w:cs="Arial"/>
                <w:b/>
                <w:bCs/>
                <w:sz w:val="20"/>
                <w:szCs w:val="20"/>
              </w:rPr>
            </w:pPr>
            <w:r>
              <w:rPr>
                <w:rFonts w:ascii="Arial" w:eastAsia="等线" w:hAnsi="Arial" w:cs="Arial"/>
                <w:sz w:val="20"/>
                <w:szCs w:val="20"/>
                <w:lang w:bidi="ar"/>
              </w:rPr>
              <w:t>3</w:t>
            </w:r>
          </w:p>
        </w:tc>
        <w:tc>
          <w:tcPr>
            <w:tcW w:w="1896" w:type="dxa"/>
            <w:tcBorders>
              <w:top w:val="single" w:sz="4" w:space="0" w:color="auto"/>
              <w:left w:val="single" w:sz="4" w:space="0" w:color="auto"/>
              <w:bottom w:val="single" w:sz="4" w:space="0" w:color="auto"/>
              <w:right w:val="single" w:sz="4" w:space="0" w:color="auto"/>
            </w:tcBorders>
          </w:tcPr>
          <w:p w14:paraId="0714C72B" w14:textId="77777777" w:rsidR="00176E18" w:rsidRDefault="00000000">
            <w:pPr>
              <w:jc w:val="left"/>
              <w:rPr>
                <w:rFonts w:ascii="Arial" w:hAnsi="Arial" w:cs="Arial"/>
                <w:b/>
                <w:bCs/>
                <w:sz w:val="20"/>
                <w:szCs w:val="20"/>
              </w:rPr>
            </w:pPr>
            <w:r>
              <w:rPr>
                <w:rFonts w:ascii="Arial" w:eastAsia="等线" w:hAnsi="Arial" w:cs="Arial"/>
                <w:sz w:val="20"/>
                <w:szCs w:val="20"/>
                <w:lang w:bidi="ar"/>
              </w:rPr>
              <w:t>81.15(76.8-85.0)</w:t>
            </w:r>
          </w:p>
        </w:tc>
        <w:tc>
          <w:tcPr>
            <w:tcW w:w="1904" w:type="dxa"/>
            <w:tcBorders>
              <w:top w:val="single" w:sz="4" w:space="0" w:color="auto"/>
              <w:left w:val="single" w:sz="4" w:space="0" w:color="auto"/>
              <w:bottom w:val="single" w:sz="4" w:space="0" w:color="auto"/>
              <w:right w:val="single" w:sz="4" w:space="0" w:color="auto"/>
            </w:tcBorders>
          </w:tcPr>
          <w:p w14:paraId="43296FCC" w14:textId="77777777" w:rsidR="00176E18" w:rsidRDefault="00000000">
            <w:pPr>
              <w:jc w:val="left"/>
              <w:rPr>
                <w:rFonts w:ascii="Arial" w:hAnsi="Arial" w:cs="Arial"/>
                <w:b/>
                <w:bCs/>
                <w:sz w:val="20"/>
                <w:szCs w:val="20"/>
              </w:rPr>
            </w:pPr>
            <w:r>
              <w:rPr>
                <w:rFonts w:ascii="Arial" w:eastAsia="等线" w:hAnsi="Arial" w:cs="Arial"/>
                <w:sz w:val="20"/>
                <w:szCs w:val="20"/>
                <w:lang w:bidi="ar"/>
              </w:rPr>
              <w:t>96.1(92.5-98.3)</w:t>
            </w:r>
          </w:p>
        </w:tc>
        <w:tc>
          <w:tcPr>
            <w:tcW w:w="1921" w:type="dxa"/>
            <w:tcBorders>
              <w:top w:val="single" w:sz="4" w:space="0" w:color="auto"/>
              <w:left w:val="single" w:sz="4" w:space="0" w:color="auto"/>
              <w:bottom w:val="single" w:sz="4" w:space="0" w:color="auto"/>
              <w:right w:val="single" w:sz="4" w:space="0" w:color="auto"/>
            </w:tcBorders>
          </w:tcPr>
          <w:p w14:paraId="27B2C146" w14:textId="77777777" w:rsidR="00176E18" w:rsidRDefault="00000000">
            <w:pPr>
              <w:jc w:val="left"/>
              <w:rPr>
                <w:rFonts w:ascii="Arial" w:hAnsi="Arial" w:cs="Arial"/>
                <w:b/>
                <w:bCs/>
                <w:sz w:val="20"/>
                <w:szCs w:val="20"/>
              </w:rPr>
            </w:pPr>
            <w:r>
              <w:rPr>
                <w:rFonts w:ascii="Arial" w:eastAsia="等线" w:hAnsi="Arial" w:cs="Arial"/>
                <w:sz w:val="20"/>
                <w:szCs w:val="20"/>
                <w:lang w:bidi="ar"/>
              </w:rPr>
              <w:t>20.79(10.5-41.1)</w:t>
            </w:r>
          </w:p>
        </w:tc>
        <w:tc>
          <w:tcPr>
            <w:tcW w:w="1896" w:type="dxa"/>
            <w:tcBorders>
              <w:top w:val="single" w:sz="4" w:space="0" w:color="auto"/>
              <w:left w:val="single" w:sz="4" w:space="0" w:color="auto"/>
              <w:bottom w:val="single" w:sz="4" w:space="0" w:color="auto"/>
              <w:right w:val="single" w:sz="4" w:space="0" w:color="auto"/>
            </w:tcBorders>
          </w:tcPr>
          <w:p w14:paraId="0FAD5DF1" w14:textId="77777777" w:rsidR="00176E18" w:rsidRDefault="00000000">
            <w:pPr>
              <w:jc w:val="left"/>
              <w:rPr>
                <w:rFonts w:ascii="Arial" w:hAnsi="Arial" w:cs="Arial"/>
                <w:b/>
                <w:bCs/>
                <w:sz w:val="20"/>
                <w:szCs w:val="20"/>
              </w:rPr>
            </w:pPr>
            <w:r>
              <w:rPr>
                <w:rFonts w:ascii="Arial" w:eastAsia="等线" w:hAnsi="Arial" w:cs="Arial"/>
                <w:sz w:val="20"/>
                <w:szCs w:val="20"/>
                <w:lang w:bidi="ar"/>
              </w:rPr>
              <w:t>0.2(0.2-0.2)</w:t>
            </w:r>
          </w:p>
        </w:tc>
        <w:tc>
          <w:tcPr>
            <w:tcW w:w="745" w:type="dxa"/>
            <w:tcBorders>
              <w:top w:val="single" w:sz="4" w:space="0" w:color="auto"/>
              <w:left w:val="single" w:sz="4" w:space="0" w:color="auto"/>
              <w:bottom w:val="single" w:sz="4" w:space="0" w:color="auto"/>
              <w:right w:val="single" w:sz="4" w:space="0" w:color="auto"/>
            </w:tcBorders>
          </w:tcPr>
          <w:p w14:paraId="08F9B348" w14:textId="77777777" w:rsidR="00176E18" w:rsidRDefault="00000000">
            <w:pPr>
              <w:jc w:val="left"/>
              <w:rPr>
                <w:rFonts w:ascii="Arial" w:hAnsi="Arial" w:cs="Arial"/>
                <w:b/>
                <w:bCs/>
                <w:sz w:val="20"/>
                <w:szCs w:val="20"/>
              </w:rPr>
            </w:pPr>
            <w:r>
              <w:rPr>
                <w:rFonts w:ascii="Arial" w:eastAsia="等线" w:hAnsi="Arial" w:cs="Arial"/>
                <w:sz w:val="20"/>
                <w:szCs w:val="20"/>
                <w:lang w:bidi="ar"/>
              </w:rPr>
              <w:t>97.38</w:t>
            </w:r>
          </w:p>
        </w:tc>
        <w:tc>
          <w:tcPr>
            <w:tcW w:w="860" w:type="dxa"/>
            <w:tcBorders>
              <w:top w:val="single" w:sz="4" w:space="0" w:color="auto"/>
              <w:left w:val="single" w:sz="4" w:space="0" w:color="auto"/>
              <w:bottom w:val="single" w:sz="4" w:space="0" w:color="auto"/>
              <w:right w:val="single" w:sz="4" w:space="0" w:color="auto"/>
            </w:tcBorders>
          </w:tcPr>
          <w:p w14:paraId="6E5F84A1" w14:textId="77777777" w:rsidR="00176E18" w:rsidRDefault="00000000">
            <w:pPr>
              <w:jc w:val="left"/>
              <w:rPr>
                <w:rFonts w:ascii="Arial" w:hAnsi="Arial" w:cs="Arial"/>
                <w:b/>
                <w:bCs/>
                <w:sz w:val="20"/>
                <w:szCs w:val="20"/>
              </w:rPr>
            </w:pPr>
            <w:r>
              <w:rPr>
                <w:rFonts w:ascii="Arial" w:eastAsia="等线" w:hAnsi="Arial" w:cs="Arial"/>
                <w:sz w:val="20"/>
                <w:szCs w:val="20"/>
                <w:lang w:bidi="ar"/>
              </w:rPr>
              <w:t>74.06</w:t>
            </w:r>
          </w:p>
        </w:tc>
      </w:tr>
      <w:tr w:rsidR="00176E18" w14:paraId="0C5E0B85"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229D4A39" w14:textId="77777777" w:rsidR="00176E18" w:rsidRDefault="00000000">
            <w:pPr>
              <w:jc w:val="left"/>
              <w:rPr>
                <w:rFonts w:ascii="Arial" w:hAnsi="Arial" w:cs="Arial"/>
                <w:b/>
                <w:bCs/>
                <w:sz w:val="20"/>
                <w:szCs w:val="20"/>
              </w:rPr>
            </w:pPr>
            <w:r>
              <w:rPr>
                <w:rFonts w:ascii="Arial" w:eastAsia="等线" w:hAnsi="Arial" w:cs="Arial"/>
                <w:sz w:val="20"/>
                <w:szCs w:val="20"/>
                <w:lang w:bidi="ar"/>
              </w:rPr>
              <w:t>4</w:t>
            </w:r>
          </w:p>
        </w:tc>
        <w:tc>
          <w:tcPr>
            <w:tcW w:w="1896" w:type="dxa"/>
            <w:tcBorders>
              <w:top w:val="single" w:sz="4" w:space="0" w:color="auto"/>
              <w:left w:val="single" w:sz="4" w:space="0" w:color="auto"/>
              <w:bottom w:val="single" w:sz="4" w:space="0" w:color="auto"/>
              <w:right w:val="single" w:sz="4" w:space="0" w:color="auto"/>
            </w:tcBorders>
          </w:tcPr>
          <w:p w14:paraId="07352282" w14:textId="77777777" w:rsidR="00176E18" w:rsidRDefault="00000000">
            <w:pPr>
              <w:jc w:val="left"/>
              <w:rPr>
                <w:rFonts w:ascii="Arial" w:hAnsi="Arial" w:cs="Arial"/>
                <w:b/>
                <w:bCs/>
                <w:sz w:val="20"/>
                <w:szCs w:val="20"/>
              </w:rPr>
            </w:pPr>
            <w:r>
              <w:rPr>
                <w:rFonts w:ascii="Arial" w:eastAsia="等线" w:hAnsi="Arial" w:cs="Arial"/>
                <w:sz w:val="20"/>
                <w:szCs w:val="20"/>
                <w:lang w:bidi="ar"/>
              </w:rPr>
              <w:t>55.74(50.5-60.9)</w:t>
            </w:r>
          </w:p>
        </w:tc>
        <w:tc>
          <w:tcPr>
            <w:tcW w:w="1904" w:type="dxa"/>
            <w:tcBorders>
              <w:top w:val="single" w:sz="4" w:space="0" w:color="auto"/>
              <w:left w:val="single" w:sz="4" w:space="0" w:color="auto"/>
              <w:bottom w:val="single" w:sz="4" w:space="0" w:color="auto"/>
              <w:right w:val="single" w:sz="4" w:space="0" w:color="auto"/>
            </w:tcBorders>
          </w:tcPr>
          <w:p w14:paraId="1C7998BD" w14:textId="77777777" w:rsidR="00176E18" w:rsidRDefault="00000000">
            <w:pPr>
              <w:jc w:val="left"/>
              <w:rPr>
                <w:rFonts w:ascii="Arial" w:hAnsi="Arial" w:cs="Arial"/>
                <w:b/>
                <w:bCs/>
                <w:sz w:val="20"/>
                <w:szCs w:val="20"/>
              </w:rPr>
            </w:pPr>
            <w:r>
              <w:rPr>
                <w:rFonts w:ascii="Arial" w:eastAsia="等线" w:hAnsi="Arial" w:cs="Arial"/>
                <w:sz w:val="20"/>
                <w:szCs w:val="20"/>
                <w:lang w:bidi="ar"/>
              </w:rPr>
              <w:t>98.05(95.1-99.5)</w:t>
            </w:r>
          </w:p>
        </w:tc>
        <w:tc>
          <w:tcPr>
            <w:tcW w:w="1921" w:type="dxa"/>
            <w:tcBorders>
              <w:top w:val="single" w:sz="4" w:space="0" w:color="auto"/>
              <w:left w:val="single" w:sz="4" w:space="0" w:color="auto"/>
              <w:bottom w:val="single" w:sz="4" w:space="0" w:color="auto"/>
              <w:right w:val="single" w:sz="4" w:space="0" w:color="auto"/>
            </w:tcBorders>
          </w:tcPr>
          <w:p w14:paraId="7FE55762" w14:textId="77777777" w:rsidR="00176E18" w:rsidRDefault="00000000">
            <w:pPr>
              <w:jc w:val="left"/>
              <w:rPr>
                <w:rFonts w:ascii="Arial" w:hAnsi="Arial" w:cs="Arial"/>
                <w:b/>
                <w:bCs/>
                <w:sz w:val="20"/>
                <w:szCs w:val="20"/>
              </w:rPr>
            </w:pPr>
            <w:r>
              <w:rPr>
                <w:rFonts w:ascii="Arial" w:eastAsia="等线" w:hAnsi="Arial" w:cs="Arial"/>
                <w:sz w:val="20"/>
                <w:szCs w:val="20"/>
                <w:lang w:bidi="ar"/>
              </w:rPr>
              <w:t>28.57(10.8-75.7)</w:t>
            </w:r>
          </w:p>
        </w:tc>
        <w:tc>
          <w:tcPr>
            <w:tcW w:w="1896" w:type="dxa"/>
            <w:tcBorders>
              <w:top w:val="single" w:sz="4" w:space="0" w:color="auto"/>
              <w:left w:val="single" w:sz="4" w:space="0" w:color="auto"/>
              <w:bottom w:val="single" w:sz="4" w:space="0" w:color="auto"/>
              <w:right w:val="single" w:sz="4" w:space="0" w:color="auto"/>
            </w:tcBorders>
          </w:tcPr>
          <w:p w14:paraId="1C564ACE" w14:textId="77777777" w:rsidR="00176E18" w:rsidRDefault="00000000">
            <w:pPr>
              <w:jc w:val="left"/>
              <w:rPr>
                <w:rFonts w:ascii="Arial" w:hAnsi="Arial" w:cs="Arial"/>
                <w:b/>
                <w:bCs/>
                <w:sz w:val="20"/>
                <w:szCs w:val="20"/>
              </w:rPr>
            </w:pPr>
            <w:r>
              <w:rPr>
                <w:rFonts w:ascii="Arial" w:eastAsia="等线" w:hAnsi="Arial" w:cs="Arial"/>
                <w:sz w:val="20"/>
                <w:szCs w:val="20"/>
                <w:lang w:bidi="ar"/>
              </w:rPr>
              <w:t>0.45(0.4-0.5)</w:t>
            </w:r>
          </w:p>
        </w:tc>
        <w:tc>
          <w:tcPr>
            <w:tcW w:w="745" w:type="dxa"/>
            <w:tcBorders>
              <w:top w:val="single" w:sz="4" w:space="0" w:color="auto"/>
              <w:left w:val="single" w:sz="4" w:space="0" w:color="auto"/>
              <w:bottom w:val="single" w:sz="4" w:space="0" w:color="auto"/>
              <w:right w:val="single" w:sz="4" w:space="0" w:color="auto"/>
            </w:tcBorders>
          </w:tcPr>
          <w:p w14:paraId="35809295" w14:textId="77777777" w:rsidR="00176E18" w:rsidRDefault="00000000">
            <w:pPr>
              <w:jc w:val="left"/>
              <w:rPr>
                <w:rFonts w:ascii="Arial" w:hAnsi="Arial" w:cs="Arial"/>
                <w:b/>
                <w:bCs/>
                <w:sz w:val="20"/>
                <w:szCs w:val="20"/>
              </w:rPr>
            </w:pPr>
            <w:r>
              <w:rPr>
                <w:rFonts w:ascii="Arial" w:eastAsia="等线" w:hAnsi="Arial" w:cs="Arial"/>
                <w:sz w:val="20"/>
                <w:szCs w:val="20"/>
                <w:lang w:bidi="ar"/>
              </w:rPr>
              <w:t>98.08</w:t>
            </w:r>
          </w:p>
        </w:tc>
        <w:tc>
          <w:tcPr>
            <w:tcW w:w="860" w:type="dxa"/>
            <w:tcBorders>
              <w:top w:val="single" w:sz="4" w:space="0" w:color="auto"/>
              <w:left w:val="single" w:sz="4" w:space="0" w:color="auto"/>
              <w:bottom w:val="single" w:sz="4" w:space="0" w:color="auto"/>
              <w:right w:val="single" w:sz="4" w:space="0" w:color="auto"/>
            </w:tcBorders>
          </w:tcPr>
          <w:p w14:paraId="20843E7D" w14:textId="77777777" w:rsidR="00176E18" w:rsidRDefault="00000000">
            <w:pPr>
              <w:jc w:val="left"/>
              <w:rPr>
                <w:rFonts w:ascii="Arial" w:hAnsi="Arial" w:cs="Arial"/>
                <w:b/>
                <w:bCs/>
                <w:sz w:val="20"/>
                <w:szCs w:val="20"/>
              </w:rPr>
            </w:pPr>
            <w:r>
              <w:rPr>
                <w:rFonts w:ascii="Arial" w:eastAsia="等线" w:hAnsi="Arial" w:cs="Arial"/>
                <w:sz w:val="20"/>
                <w:szCs w:val="20"/>
                <w:lang w:bidi="ar"/>
              </w:rPr>
              <w:t>55.37</w:t>
            </w:r>
          </w:p>
        </w:tc>
      </w:tr>
      <w:tr w:rsidR="00176E18" w14:paraId="59436621"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0EEC9315" w14:textId="77777777" w:rsidR="00176E18" w:rsidRDefault="00000000">
            <w:pPr>
              <w:jc w:val="left"/>
              <w:rPr>
                <w:rFonts w:ascii="Arial" w:hAnsi="Arial" w:cs="Arial"/>
                <w:b/>
                <w:bCs/>
                <w:sz w:val="20"/>
                <w:szCs w:val="20"/>
              </w:rPr>
            </w:pPr>
            <w:r>
              <w:rPr>
                <w:rFonts w:ascii="Arial" w:eastAsia="等线" w:hAnsi="Arial" w:cs="Arial"/>
                <w:sz w:val="20"/>
                <w:szCs w:val="20"/>
                <w:lang w:bidi="ar"/>
              </w:rPr>
              <w:t>5</w:t>
            </w:r>
          </w:p>
        </w:tc>
        <w:tc>
          <w:tcPr>
            <w:tcW w:w="1896" w:type="dxa"/>
            <w:tcBorders>
              <w:top w:val="single" w:sz="4" w:space="0" w:color="auto"/>
              <w:left w:val="single" w:sz="4" w:space="0" w:color="auto"/>
              <w:bottom w:val="single" w:sz="4" w:space="0" w:color="auto"/>
              <w:right w:val="single" w:sz="4" w:space="0" w:color="auto"/>
            </w:tcBorders>
          </w:tcPr>
          <w:p w14:paraId="24D35516" w14:textId="77777777" w:rsidR="00176E18" w:rsidRDefault="00000000">
            <w:pPr>
              <w:jc w:val="left"/>
              <w:rPr>
                <w:rFonts w:ascii="Arial" w:hAnsi="Arial" w:cs="Arial"/>
                <w:b/>
                <w:bCs/>
                <w:sz w:val="20"/>
                <w:szCs w:val="20"/>
              </w:rPr>
            </w:pPr>
            <w:r>
              <w:rPr>
                <w:rFonts w:ascii="Arial" w:eastAsia="等线" w:hAnsi="Arial" w:cs="Arial"/>
                <w:sz w:val="20"/>
                <w:szCs w:val="20"/>
                <w:lang w:bidi="ar"/>
              </w:rPr>
              <w:t>25.41(21.0-30.2)</w:t>
            </w:r>
          </w:p>
        </w:tc>
        <w:tc>
          <w:tcPr>
            <w:tcW w:w="1904" w:type="dxa"/>
            <w:tcBorders>
              <w:top w:val="single" w:sz="4" w:space="0" w:color="auto"/>
              <w:left w:val="single" w:sz="4" w:space="0" w:color="auto"/>
              <w:bottom w:val="single" w:sz="4" w:space="0" w:color="auto"/>
              <w:right w:val="single" w:sz="4" w:space="0" w:color="auto"/>
            </w:tcBorders>
          </w:tcPr>
          <w:p w14:paraId="5A73F945" w14:textId="77777777" w:rsidR="00176E18" w:rsidRDefault="00000000">
            <w:pPr>
              <w:jc w:val="left"/>
              <w:rPr>
                <w:rFonts w:ascii="Arial" w:hAnsi="Arial" w:cs="Arial"/>
                <w:b/>
                <w:bCs/>
                <w:sz w:val="20"/>
                <w:szCs w:val="20"/>
              </w:rPr>
            </w:pPr>
            <w:r>
              <w:rPr>
                <w:rFonts w:ascii="Arial" w:eastAsia="等线" w:hAnsi="Arial" w:cs="Arial"/>
                <w:sz w:val="20"/>
                <w:szCs w:val="20"/>
                <w:lang w:bidi="ar"/>
              </w:rPr>
              <w:t>99.51(97.3-100.0)</w:t>
            </w:r>
          </w:p>
        </w:tc>
        <w:tc>
          <w:tcPr>
            <w:tcW w:w="1921" w:type="dxa"/>
            <w:tcBorders>
              <w:top w:val="single" w:sz="4" w:space="0" w:color="auto"/>
              <w:left w:val="single" w:sz="4" w:space="0" w:color="auto"/>
              <w:bottom w:val="single" w:sz="4" w:space="0" w:color="auto"/>
              <w:right w:val="single" w:sz="4" w:space="0" w:color="auto"/>
            </w:tcBorders>
          </w:tcPr>
          <w:p w14:paraId="2E2EA276" w14:textId="77777777" w:rsidR="00176E18" w:rsidRDefault="00000000">
            <w:pPr>
              <w:jc w:val="left"/>
              <w:rPr>
                <w:rFonts w:ascii="Arial" w:hAnsi="Arial" w:cs="Arial"/>
                <w:b/>
                <w:bCs/>
                <w:sz w:val="20"/>
                <w:szCs w:val="20"/>
              </w:rPr>
            </w:pPr>
            <w:r>
              <w:rPr>
                <w:rFonts w:ascii="Arial" w:eastAsia="等线" w:hAnsi="Arial" w:cs="Arial"/>
                <w:sz w:val="20"/>
                <w:szCs w:val="20"/>
                <w:lang w:bidi="ar"/>
              </w:rPr>
              <w:t>52.09(7.3-370.9)</w:t>
            </w:r>
          </w:p>
        </w:tc>
        <w:tc>
          <w:tcPr>
            <w:tcW w:w="1896" w:type="dxa"/>
            <w:tcBorders>
              <w:top w:val="single" w:sz="4" w:space="0" w:color="auto"/>
              <w:left w:val="single" w:sz="4" w:space="0" w:color="auto"/>
              <w:bottom w:val="single" w:sz="4" w:space="0" w:color="auto"/>
              <w:right w:val="single" w:sz="4" w:space="0" w:color="auto"/>
            </w:tcBorders>
          </w:tcPr>
          <w:p w14:paraId="4E1B4CE7" w14:textId="77777777" w:rsidR="00176E18" w:rsidRDefault="00000000">
            <w:pPr>
              <w:jc w:val="left"/>
              <w:rPr>
                <w:rFonts w:ascii="Arial" w:hAnsi="Arial" w:cs="Arial"/>
                <w:b/>
                <w:bCs/>
                <w:sz w:val="20"/>
                <w:szCs w:val="20"/>
              </w:rPr>
            </w:pPr>
            <w:r>
              <w:rPr>
                <w:rFonts w:ascii="Arial" w:eastAsia="等线" w:hAnsi="Arial" w:cs="Arial"/>
                <w:sz w:val="20"/>
                <w:szCs w:val="20"/>
                <w:lang w:bidi="ar"/>
              </w:rPr>
              <w:t>0.75(0.7-0.8)</w:t>
            </w:r>
          </w:p>
        </w:tc>
        <w:tc>
          <w:tcPr>
            <w:tcW w:w="745" w:type="dxa"/>
            <w:tcBorders>
              <w:top w:val="single" w:sz="4" w:space="0" w:color="auto"/>
              <w:left w:val="single" w:sz="4" w:space="0" w:color="auto"/>
              <w:bottom w:val="single" w:sz="4" w:space="0" w:color="auto"/>
              <w:right w:val="single" w:sz="4" w:space="0" w:color="auto"/>
            </w:tcBorders>
          </w:tcPr>
          <w:p w14:paraId="08621110" w14:textId="77777777" w:rsidR="00176E18" w:rsidRDefault="00000000">
            <w:pPr>
              <w:jc w:val="left"/>
              <w:rPr>
                <w:rFonts w:ascii="Arial" w:hAnsi="Arial" w:cs="Arial"/>
                <w:b/>
                <w:bCs/>
                <w:sz w:val="20"/>
                <w:szCs w:val="20"/>
              </w:rPr>
            </w:pPr>
            <w:r>
              <w:rPr>
                <w:rFonts w:ascii="Arial" w:eastAsia="等线" w:hAnsi="Arial" w:cs="Arial"/>
                <w:sz w:val="20"/>
                <w:szCs w:val="20"/>
                <w:lang w:bidi="ar"/>
              </w:rPr>
              <w:t>98.94</w:t>
            </w:r>
          </w:p>
        </w:tc>
        <w:tc>
          <w:tcPr>
            <w:tcW w:w="860" w:type="dxa"/>
            <w:tcBorders>
              <w:top w:val="single" w:sz="4" w:space="0" w:color="auto"/>
              <w:left w:val="single" w:sz="4" w:space="0" w:color="auto"/>
              <w:bottom w:val="single" w:sz="4" w:space="0" w:color="auto"/>
              <w:right w:val="single" w:sz="4" w:space="0" w:color="auto"/>
            </w:tcBorders>
          </w:tcPr>
          <w:p w14:paraId="35354FCE" w14:textId="77777777" w:rsidR="00176E18" w:rsidRDefault="00000000">
            <w:pPr>
              <w:jc w:val="left"/>
              <w:rPr>
                <w:rFonts w:ascii="Arial" w:hAnsi="Arial" w:cs="Arial"/>
                <w:b/>
                <w:bCs/>
                <w:sz w:val="20"/>
                <w:szCs w:val="20"/>
              </w:rPr>
            </w:pPr>
            <w:r>
              <w:rPr>
                <w:rFonts w:ascii="Arial" w:eastAsia="等线" w:hAnsi="Arial" w:cs="Arial"/>
                <w:sz w:val="20"/>
                <w:szCs w:val="20"/>
                <w:lang w:bidi="ar"/>
              </w:rPr>
              <w:t>42.77</w:t>
            </w:r>
          </w:p>
        </w:tc>
      </w:tr>
      <w:tr w:rsidR="00176E18" w14:paraId="4B96072F"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09B1E718" w14:textId="77777777" w:rsidR="00176E18" w:rsidRDefault="00000000">
            <w:pPr>
              <w:jc w:val="left"/>
              <w:rPr>
                <w:rFonts w:ascii="Arial" w:hAnsi="Arial" w:cs="Arial"/>
                <w:b/>
                <w:bCs/>
                <w:sz w:val="20"/>
                <w:szCs w:val="20"/>
              </w:rPr>
            </w:pPr>
            <w:r>
              <w:rPr>
                <w:rFonts w:ascii="Arial" w:eastAsia="等线" w:hAnsi="Arial" w:cs="Arial"/>
                <w:sz w:val="20"/>
                <w:szCs w:val="20"/>
                <w:lang w:bidi="ar"/>
              </w:rPr>
              <w:t>6</w:t>
            </w:r>
          </w:p>
        </w:tc>
        <w:tc>
          <w:tcPr>
            <w:tcW w:w="1896" w:type="dxa"/>
            <w:tcBorders>
              <w:top w:val="single" w:sz="4" w:space="0" w:color="auto"/>
              <w:left w:val="single" w:sz="4" w:space="0" w:color="auto"/>
              <w:bottom w:val="single" w:sz="4" w:space="0" w:color="auto"/>
              <w:right w:val="single" w:sz="4" w:space="0" w:color="auto"/>
            </w:tcBorders>
          </w:tcPr>
          <w:p w14:paraId="08FB34CD" w14:textId="77777777" w:rsidR="00176E18" w:rsidRDefault="00000000">
            <w:pPr>
              <w:jc w:val="left"/>
              <w:rPr>
                <w:rFonts w:ascii="Arial" w:hAnsi="Arial" w:cs="Arial"/>
                <w:b/>
                <w:bCs/>
                <w:sz w:val="20"/>
                <w:szCs w:val="20"/>
              </w:rPr>
            </w:pPr>
            <w:r>
              <w:rPr>
                <w:rFonts w:ascii="Arial" w:eastAsia="等线" w:hAnsi="Arial" w:cs="Arial"/>
                <w:sz w:val="20"/>
                <w:szCs w:val="20"/>
                <w:lang w:bidi="ar"/>
              </w:rPr>
              <w:t>10.93(7.9-14.6)</w:t>
            </w:r>
          </w:p>
        </w:tc>
        <w:tc>
          <w:tcPr>
            <w:tcW w:w="1904" w:type="dxa"/>
            <w:tcBorders>
              <w:top w:val="single" w:sz="4" w:space="0" w:color="auto"/>
              <w:left w:val="single" w:sz="4" w:space="0" w:color="auto"/>
              <w:bottom w:val="single" w:sz="4" w:space="0" w:color="auto"/>
              <w:right w:val="single" w:sz="4" w:space="0" w:color="auto"/>
            </w:tcBorders>
          </w:tcPr>
          <w:p w14:paraId="28254EFA" w14:textId="77777777" w:rsidR="00176E18" w:rsidRDefault="00000000">
            <w:pPr>
              <w:jc w:val="left"/>
              <w:rPr>
                <w:rFonts w:ascii="Arial" w:hAnsi="Arial" w:cs="Arial"/>
                <w:sz w:val="20"/>
                <w:szCs w:val="20"/>
              </w:rPr>
            </w:pPr>
            <w:r>
              <w:rPr>
                <w:rFonts w:ascii="Arial" w:eastAsia="等线" w:hAnsi="Arial" w:cs="Arial"/>
                <w:sz w:val="20"/>
                <w:szCs w:val="20"/>
                <w:lang w:bidi="ar"/>
              </w:rPr>
              <w:t>100(98.2-100.0)</w:t>
            </w:r>
          </w:p>
        </w:tc>
        <w:tc>
          <w:tcPr>
            <w:tcW w:w="1921" w:type="dxa"/>
            <w:tcBorders>
              <w:top w:val="single" w:sz="4" w:space="0" w:color="auto"/>
              <w:left w:val="single" w:sz="4" w:space="0" w:color="auto"/>
              <w:bottom w:val="single" w:sz="4" w:space="0" w:color="auto"/>
              <w:right w:val="single" w:sz="4" w:space="0" w:color="auto"/>
            </w:tcBorders>
          </w:tcPr>
          <w:p w14:paraId="3A5390A2" w14:textId="77777777" w:rsidR="00176E18" w:rsidRDefault="00000000">
            <w:pPr>
              <w:jc w:val="left"/>
              <w:rPr>
                <w:rFonts w:ascii="Arial" w:hAnsi="Arial" w:cs="Arial"/>
                <w:sz w:val="20"/>
                <w:szCs w:val="20"/>
              </w:rPr>
            </w:pPr>
            <w:r>
              <w:rPr>
                <w:rFonts w:ascii="Arial" w:eastAsia="等线" w:hAnsi="Arial" w:cs="Arial"/>
                <w:sz w:val="20"/>
                <w:szCs w:val="20"/>
                <w:lang w:bidi="ar"/>
              </w:rPr>
              <w:t>N/A</w:t>
            </w:r>
          </w:p>
        </w:tc>
        <w:tc>
          <w:tcPr>
            <w:tcW w:w="1896" w:type="dxa"/>
            <w:tcBorders>
              <w:top w:val="single" w:sz="4" w:space="0" w:color="auto"/>
              <w:left w:val="single" w:sz="4" w:space="0" w:color="auto"/>
              <w:bottom w:val="single" w:sz="4" w:space="0" w:color="auto"/>
              <w:right w:val="single" w:sz="4" w:space="0" w:color="auto"/>
            </w:tcBorders>
          </w:tcPr>
          <w:p w14:paraId="32E05917" w14:textId="77777777" w:rsidR="00176E18" w:rsidRDefault="00000000">
            <w:pPr>
              <w:jc w:val="left"/>
              <w:rPr>
                <w:rFonts w:ascii="Arial" w:hAnsi="Arial" w:cs="Arial"/>
                <w:b/>
                <w:bCs/>
                <w:sz w:val="20"/>
                <w:szCs w:val="20"/>
              </w:rPr>
            </w:pPr>
            <w:r>
              <w:rPr>
                <w:rFonts w:ascii="Arial" w:eastAsia="等线" w:hAnsi="Arial" w:cs="Arial"/>
                <w:sz w:val="20"/>
                <w:szCs w:val="20"/>
                <w:lang w:bidi="ar"/>
              </w:rPr>
              <w:t>0.89(0.9-0.9)</w:t>
            </w:r>
          </w:p>
        </w:tc>
        <w:tc>
          <w:tcPr>
            <w:tcW w:w="745" w:type="dxa"/>
            <w:tcBorders>
              <w:top w:val="single" w:sz="4" w:space="0" w:color="auto"/>
              <w:left w:val="single" w:sz="4" w:space="0" w:color="auto"/>
              <w:bottom w:val="single" w:sz="4" w:space="0" w:color="auto"/>
              <w:right w:val="single" w:sz="4" w:space="0" w:color="auto"/>
            </w:tcBorders>
          </w:tcPr>
          <w:p w14:paraId="63C690B5" w14:textId="77777777" w:rsidR="00176E18" w:rsidRDefault="00000000">
            <w:pPr>
              <w:jc w:val="left"/>
              <w:rPr>
                <w:rFonts w:ascii="Arial" w:hAnsi="Arial" w:cs="Arial"/>
                <w:b/>
                <w:bCs/>
                <w:sz w:val="20"/>
                <w:szCs w:val="20"/>
              </w:rPr>
            </w:pPr>
            <w:r>
              <w:rPr>
                <w:rFonts w:ascii="Arial" w:eastAsia="等线" w:hAnsi="Arial" w:cs="Arial"/>
                <w:sz w:val="20"/>
                <w:szCs w:val="20"/>
                <w:lang w:bidi="ar"/>
              </w:rPr>
              <w:t>0</w:t>
            </w:r>
          </w:p>
        </w:tc>
        <w:tc>
          <w:tcPr>
            <w:tcW w:w="860" w:type="dxa"/>
            <w:tcBorders>
              <w:top w:val="single" w:sz="4" w:space="0" w:color="auto"/>
              <w:left w:val="single" w:sz="4" w:space="0" w:color="auto"/>
              <w:bottom w:val="single" w:sz="4" w:space="0" w:color="auto"/>
              <w:right w:val="single" w:sz="4" w:space="0" w:color="auto"/>
            </w:tcBorders>
          </w:tcPr>
          <w:p w14:paraId="53AA6949" w14:textId="77777777" w:rsidR="00176E18" w:rsidRDefault="00000000">
            <w:pPr>
              <w:jc w:val="left"/>
              <w:rPr>
                <w:rFonts w:ascii="Arial" w:hAnsi="Arial" w:cs="Arial"/>
                <w:b/>
                <w:bCs/>
                <w:sz w:val="20"/>
                <w:szCs w:val="20"/>
              </w:rPr>
            </w:pPr>
            <w:r>
              <w:rPr>
                <w:rFonts w:ascii="Arial" w:eastAsia="等线" w:hAnsi="Arial" w:cs="Arial"/>
                <w:sz w:val="20"/>
                <w:szCs w:val="20"/>
                <w:lang w:bidi="ar"/>
              </w:rPr>
              <w:t>35.90</w:t>
            </w:r>
          </w:p>
        </w:tc>
      </w:tr>
      <w:tr w:rsidR="00176E18" w14:paraId="3D5FF157" w14:textId="77777777">
        <w:trPr>
          <w:jc w:val="center"/>
        </w:trPr>
        <w:tc>
          <w:tcPr>
            <w:tcW w:w="10072" w:type="dxa"/>
            <w:gridSpan w:val="7"/>
            <w:tcBorders>
              <w:top w:val="single" w:sz="4" w:space="0" w:color="auto"/>
              <w:left w:val="single" w:sz="4" w:space="0" w:color="auto"/>
              <w:bottom w:val="single" w:sz="4" w:space="0" w:color="auto"/>
              <w:right w:val="single" w:sz="4" w:space="0" w:color="auto"/>
            </w:tcBorders>
            <w:shd w:val="clear" w:color="auto" w:fill="D9D9D9"/>
          </w:tcPr>
          <w:p w14:paraId="559E84F8" w14:textId="77777777" w:rsidR="00176E18" w:rsidRDefault="00000000">
            <w:pPr>
              <w:jc w:val="left"/>
              <w:rPr>
                <w:rFonts w:ascii="Arial" w:hAnsi="Arial" w:cs="Arial"/>
                <w:b/>
                <w:bCs/>
                <w:sz w:val="20"/>
                <w:szCs w:val="20"/>
              </w:rPr>
            </w:pPr>
            <w:r>
              <w:rPr>
                <w:rFonts w:ascii="Arial" w:eastAsia="等线" w:hAnsi="Arial" w:cs="Arial"/>
                <w:b/>
                <w:bCs/>
                <w:sz w:val="20"/>
                <w:szCs w:val="20"/>
                <w:lang w:bidi="ar"/>
              </w:rPr>
              <w:t>Non-pulmonary infection subgroup</w:t>
            </w:r>
          </w:p>
        </w:tc>
      </w:tr>
      <w:tr w:rsidR="00176E18" w14:paraId="3554F57D"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24BA68E1" w14:textId="77777777" w:rsidR="00176E18" w:rsidRDefault="00000000">
            <w:pPr>
              <w:jc w:val="left"/>
              <w:rPr>
                <w:rFonts w:ascii="Arial" w:hAnsi="Arial" w:cs="Arial"/>
                <w:sz w:val="20"/>
                <w:szCs w:val="20"/>
              </w:rPr>
            </w:pPr>
            <w:r>
              <w:rPr>
                <w:rFonts w:ascii="Arial" w:eastAsia="等线" w:hAnsi="Arial" w:cs="Arial"/>
                <w:sz w:val="20"/>
                <w:szCs w:val="20"/>
                <w:lang w:bidi="ar"/>
              </w:rPr>
              <w:t>Score</w:t>
            </w:r>
          </w:p>
        </w:tc>
        <w:tc>
          <w:tcPr>
            <w:tcW w:w="1896" w:type="dxa"/>
            <w:tcBorders>
              <w:top w:val="single" w:sz="4" w:space="0" w:color="auto"/>
              <w:left w:val="single" w:sz="4" w:space="0" w:color="auto"/>
              <w:bottom w:val="single" w:sz="4" w:space="0" w:color="auto"/>
              <w:right w:val="single" w:sz="4" w:space="0" w:color="auto"/>
            </w:tcBorders>
          </w:tcPr>
          <w:p w14:paraId="1E564426" w14:textId="77777777" w:rsidR="00176E18" w:rsidRDefault="00000000">
            <w:pPr>
              <w:jc w:val="left"/>
              <w:rPr>
                <w:rFonts w:ascii="Arial" w:hAnsi="Arial" w:cs="Arial"/>
                <w:b/>
                <w:bCs/>
                <w:sz w:val="20"/>
                <w:szCs w:val="20"/>
              </w:rPr>
            </w:pPr>
            <w:r>
              <w:rPr>
                <w:rFonts w:ascii="Arial" w:eastAsia="等线" w:hAnsi="Arial" w:cs="Arial"/>
                <w:sz w:val="20"/>
                <w:szCs w:val="20"/>
                <w:lang w:bidi="ar"/>
              </w:rPr>
              <w:t>Sen, 95% CI</w:t>
            </w:r>
          </w:p>
        </w:tc>
        <w:tc>
          <w:tcPr>
            <w:tcW w:w="1904" w:type="dxa"/>
            <w:tcBorders>
              <w:top w:val="single" w:sz="4" w:space="0" w:color="auto"/>
              <w:left w:val="single" w:sz="4" w:space="0" w:color="auto"/>
              <w:bottom w:val="single" w:sz="4" w:space="0" w:color="auto"/>
              <w:right w:val="single" w:sz="4" w:space="0" w:color="auto"/>
            </w:tcBorders>
          </w:tcPr>
          <w:p w14:paraId="6E81396C" w14:textId="77777777" w:rsidR="00176E18" w:rsidRDefault="00000000">
            <w:pPr>
              <w:jc w:val="left"/>
              <w:rPr>
                <w:rFonts w:ascii="Arial" w:hAnsi="Arial" w:cs="Arial"/>
                <w:b/>
                <w:bCs/>
                <w:sz w:val="20"/>
                <w:szCs w:val="20"/>
              </w:rPr>
            </w:pPr>
            <w:r>
              <w:rPr>
                <w:rFonts w:ascii="Arial" w:eastAsia="等线" w:hAnsi="Arial" w:cs="Arial"/>
                <w:sz w:val="20"/>
                <w:szCs w:val="20"/>
                <w:lang w:bidi="ar"/>
              </w:rPr>
              <w:t>Spe, 95% CI</w:t>
            </w:r>
          </w:p>
        </w:tc>
        <w:tc>
          <w:tcPr>
            <w:tcW w:w="1921" w:type="dxa"/>
            <w:tcBorders>
              <w:top w:val="single" w:sz="4" w:space="0" w:color="auto"/>
              <w:left w:val="single" w:sz="4" w:space="0" w:color="auto"/>
              <w:bottom w:val="single" w:sz="4" w:space="0" w:color="auto"/>
              <w:right w:val="single" w:sz="4" w:space="0" w:color="auto"/>
            </w:tcBorders>
          </w:tcPr>
          <w:p w14:paraId="6E84D958" w14:textId="77777777" w:rsidR="00176E18" w:rsidRDefault="00000000">
            <w:pPr>
              <w:jc w:val="left"/>
              <w:rPr>
                <w:rFonts w:ascii="Arial" w:hAnsi="Arial" w:cs="Arial"/>
                <w:b/>
                <w:bCs/>
                <w:sz w:val="20"/>
                <w:szCs w:val="20"/>
              </w:rPr>
            </w:pPr>
            <w:r>
              <w:rPr>
                <w:rFonts w:ascii="Arial" w:eastAsia="等线" w:hAnsi="Arial" w:cs="Arial"/>
                <w:sz w:val="20"/>
                <w:szCs w:val="20"/>
                <w:lang w:bidi="ar"/>
              </w:rPr>
              <w:t>+LR, 95% CI</w:t>
            </w:r>
          </w:p>
        </w:tc>
        <w:tc>
          <w:tcPr>
            <w:tcW w:w="1896" w:type="dxa"/>
            <w:tcBorders>
              <w:top w:val="single" w:sz="4" w:space="0" w:color="auto"/>
              <w:left w:val="single" w:sz="4" w:space="0" w:color="auto"/>
              <w:bottom w:val="single" w:sz="4" w:space="0" w:color="auto"/>
              <w:right w:val="single" w:sz="4" w:space="0" w:color="auto"/>
            </w:tcBorders>
          </w:tcPr>
          <w:p w14:paraId="79930192" w14:textId="77777777" w:rsidR="00176E18" w:rsidRDefault="00000000">
            <w:pPr>
              <w:jc w:val="left"/>
              <w:rPr>
                <w:rFonts w:ascii="Arial" w:hAnsi="Arial" w:cs="Arial"/>
                <w:b/>
                <w:bCs/>
                <w:sz w:val="20"/>
                <w:szCs w:val="20"/>
              </w:rPr>
            </w:pPr>
            <w:r>
              <w:rPr>
                <w:rFonts w:ascii="Arial" w:eastAsia="等线" w:hAnsi="Arial" w:cs="Arial"/>
                <w:sz w:val="20"/>
                <w:szCs w:val="20"/>
                <w:lang w:bidi="ar"/>
              </w:rPr>
              <w:t>-LR, 95% CI</w:t>
            </w:r>
          </w:p>
        </w:tc>
        <w:tc>
          <w:tcPr>
            <w:tcW w:w="745" w:type="dxa"/>
            <w:tcBorders>
              <w:top w:val="single" w:sz="4" w:space="0" w:color="auto"/>
              <w:left w:val="single" w:sz="4" w:space="0" w:color="auto"/>
              <w:bottom w:val="single" w:sz="4" w:space="0" w:color="auto"/>
              <w:right w:val="single" w:sz="4" w:space="0" w:color="auto"/>
            </w:tcBorders>
          </w:tcPr>
          <w:p w14:paraId="17B040F1" w14:textId="77777777" w:rsidR="00176E18" w:rsidRDefault="00000000">
            <w:pPr>
              <w:jc w:val="left"/>
              <w:rPr>
                <w:rFonts w:ascii="Arial" w:hAnsi="Arial" w:cs="Arial"/>
                <w:b/>
                <w:bCs/>
                <w:sz w:val="20"/>
                <w:szCs w:val="20"/>
              </w:rPr>
            </w:pPr>
            <w:r>
              <w:rPr>
                <w:rFonts w:ascii="Arial" w:eastAsia="等线" w:hAnsi="Arial" w:cs="Arial"/>
                <w:sz w:val="20"/>
                <w:szCs w:val="20"/>
                <w:lang w:bidi="ar"/>
              </w:rPr>
              <w:t>PPV</w:t>
            </w:r>
          </w:p>
        </w:tc>
        <w:tc>
          <w:tcPr>
            <w:tcW w:w="860" w:type="dxa"/>
            <w:tcBorders>
              <w:top w:val="single" w:sz="4" w:space="0" w:color="auto"/>
              <w:left w:val="single" w:sz="4" w:space="0" w:color="auto"/>
              <w:bottom w:val="single" w:sz="4" w:space="0" w:color="auto"/>
              <w:right w:val="single" w:sz="4" w:space="0" w:color="auto"/>
            </w:tcBorders>
          </w:tcPr>
          <w:p w14:paraId="5FB81D9D" w14:textId="77777777" w:rsidR="00176E18" w:rsidRDefault="00000000">
            <w:pPr>
              <w:jc w:val="left"/>
              <w:rPr>
                <w:rFonts w:ascii="Arial" w:hAnsi="Arial" w:cs="Arial"/>
                <w:b/>
                <w:bCs/>
                <w:sz w:val="20"/>
                <w:szCs w:val="20"/>
              </w:rPr>
            </w:pPr>
            <w:r>
              <w:rPr>
                <w:rFonts w:ascii="Arial" w:eastAsia="等线" w:hAnsi="Arial" w:cs="Arial"/>
                <w:sz w:val="20"/>
                <w:szCs w:val="20"/>
                <w:lang w:bidi="ar"/>
              </w:rPr>
              <w:t>NPV</w:t>
            </w:r>
          </w:p>
        </w:tc>
      </w:tr>
      <w:tr w:rsidR="00176E18" w14:paraId="537E9D5E"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175A9401" w14:textId="77777777" w:rsidR="00176E18" w:rsidRDefault="00000000">
            <w:pPr>
              <w:jc w:val="left"/>
              <w:rPr>
                <w:rFonts w:ascii="Arial" w:hAnsi="Arial" w:cs="Arial"/>
                <w:b/>
                <w:bCs/>
                <w:sz w:val="20"/>
                <w:szCs w:val="20"/>
              </w:rPr>
            </w:pPr>
            <w:r>
              <w:rPr>
                <w:rFonts w:ascii="Arial" w:eastAsia="等线" w:hAnsi="Arial" w:cs="Arial"/>
                <w:sz w:val="20"/>
                <w:szCs w:val="20"/>
                <w:lang w:bidi="ar"/>
              </w:rPr>
              <w:t>0</w:t>
            </w:r>
          </w:p>
        </w:tc>
        <w:tc>
          <w:tcPr>
            <w:tcW w:w="1896" w:type="dxa"/>
            <w:tcBorders>
              <w:top w:val="single" w:sz="4" w:space="0" w:color="auto"/>
              <w:left w:val="single" w:sz="4" w:space="0" w:color="auto"/>
              <w:bottom w:val="single" w:sz="4" w:space="0" w:color="auto"/>
              <w:right w:val="single" w:sz="4" w:space="0" w:color="auto"/>
            </w:tcBorders>
          </w:tcPr>
          <w:p w14:paraId="08ECAACE" w14:textId="77777777" w:rsidR="00176E18" w:rsidRDefault="00000000">
            <w:pPr>
              <w:jc w:val="left"/>
              <w:rPr>
                <w:rFonts w:ascii="Arial" w:hAnsi="Arial" w:cs="Arial"/>
                <w:b/>
                <w:bCs/>
                <w:sz w:val="20"/>
                <w:szCs w:val="20"/>
              </w:rPr>
            </w:pPr>
            <w:r>
              <w:rPr>
                <w:rFonts w:ascii="Arial" w:eastAsia="等线" w:hAnsi="Arial" w:cs="Arial"/>
                <w:sz w:val="20"/>
                <w:szCs w:val="20"/>
                <w:lang w:bidi="ar"/>
              </w:rPr>
              <w:t>100(99.0-100.0)</w:t>
            </w:r>
          </w:p>
        </w:tc>
        <w:tc>
          <w:tcPr>
            <w:tcW w:w="1904" w:type="dxa"/>
            <w:tcBorders>
              <w:top w:val="single" w:sz="4" w:space="0" w:color="auto"/>
              <w:left w:val="single" w:sz="4" w:space="0" w:color="auto"/>
              <w:bottom w:val="single" w:sz="4" w:space="0" w:color="auto"/>
              <w:right w:val="single" w:sz="4" w:space="0" w:color="auto"/>
            </w:tcBorders>
          </w:tcPr>
          <w:p w14:paraId="7A615C67" w14:textId="77777777" w:rsidR="00176E18" w:rsidRDefault="00000000">
            <w:pPr>
              <w:jc w:val="left"/>
              <w:rPr>
                <w:rFonts w:ascii="Arial" w:hAnsi="Arial" w:cs="Arial"/>
                <w:b/>
                <w:bCs/>
                <w:sz w:val="20"/>
                <w:szCs w:val="20"/>
              </w:rPr>
            </w:pPr>
            <w:r>
              <w:rPr>
                <w:rFonts w:ascii="Arial" w:eastAsia="等线" w:hAnsi="Arial" w:cs="Arial"/>
                <w:sz w:val="20"/>
                <w:szCs w:val="20"/>
                <w:lang w:bidi="ar"/>
              </w:rPr>
              <w:t>0(0.0-1.4)</w:t>
            </w:r>
          </w:p>
        </w:tc>
        <w:tc>
          <w:tcPr>
            <w:tcW w:w="1921" w:type="dxa"/>
            <w:tcBorders>
              <w:top w:val="single" w:sz="4" w:space="0" w:color="auto"/>
              <w:left w:val="single" w:sz="4" w:space="0" w:color="auto"/>
              <w:bottom w:val="single" w:sz="4" w:space="0" w:color="auto"/>
              <w:right w:val="single" w:sz="4" w:space="0" w:color="auto"/>
            </w:tcBorders>
          </w:tcPr>
          <w:p w14:paraId="0422C4C5" w14:textId="77777777" w:rsidR="00176E18" w:rsidRDefault="00000000">
            <w:pPr>
              <w:jc w:val="left"/>
              <w:rPr>
                <w:rFonts w:ascii="Arial" w:hAnsi="Arial" w:cs="Arial"/>
                <w:b/>
                <w:bCs/>
                <w:sz w:val="20"/>
                <w:szCs w:val="20"/>
              </w:rPr>
            </w:pPr>
            <w:r>
              <w:rPr>
                <w:rFonts w:ascii="Arial" w:eastAsia="等线" w:hAnsi="Arial" w:cs="Arial"/>
                <w:sz w:val="20"/>
                <w:szCs w:val="20"/>
                <w:lang w:bidi="ar"/>
              </w:rPr>
              <w:t>1(1.0-1.0)</w:t>
            </w:r>
          </w:p>
        </w:tc>
        <w:tc>
          <w:tcPr>
            <w:tcW w:w="1896" w:type="dxa"/>
            <w:tcBorders>
              <w:top w:val="single" w:sz="4" w:space="0" w:color="auto"/>
              <w:left w:val="single" w:sz="4" w:space="0" w:color="auto"/>
              <w:bottom w:val="single" w:sz="4" w:space="0" w:color="auto"/>
              <w:right w:val="single" w:sz="4" w:space="0" w:color="auto"/>
            </w:tcBorders>
          </w:tcPr>
          <w:p w14:paraId="44E37C07" w14:textId="77777777" w:rsidR="00176E18" w:rsidRDefault="00000000">
            <w:pPr>
              <w:jc w:val="left"/>
              <w:rPr>
                <w:rFonts w:ascii="Arial" w:hAnsi="Arial" w:cs="Arial"/>
                <w:sz w:val="20"/>
                <w:szCs w:val="20"/>
              </w:rPr>
            </w:pPr>
            <w:r>
              <w:rPr>
                <w:rFonts w:ascii="Arial" w:eastAsia="等线" w:hAnsi="Arial" w:cs="Arial"/>
                <w:sz w:val="20"/>
                <w:szCs w:val="20"/>
                <w:lang w:bidi="ar"/>
              </w:rPr>
              <w:t>N/A</w:t>
            </w:r>
          </w:p>
        </w:tc>
        <w:tc>
          <w:tcPr>
            <w:tcW w:w="745" w:type="dxa"/>
            <w:tcBorders>
              <w:top w:val="single" w:sz="4" w:space="0" w:color="auto"/>
              <w:left w:val="single" w:sz="4" w:space="0" w:color="auto"/>
              <w:bottom w:val="single" w:sz="4" w:space="0" w:color="auto"/>
              <w:right w:val="single" w:sz="4" w:space="0" w:color="auto"/>
            </w:tcBorders>
          </w:tcPr>
          <w:p w14:paraId="6619F6CD" w14:textId="77777777" w:rsidR="00176E18" w:rsidRDefault="00000000">
            <w:pPr>
              <w:jc w:val="left"/>
              <w:rPr>
                <w:rFonts w:ascii="Arial" w:hAnsi="Arial" w:cs="Arial"/>
                <w:b/>
                <w:bCs/>
                <w:sz w:val="20"/>
                <w:szCs w:val="20"/>
              </w:rPr>
            </w:pPr>
            <w:r>
              <w:rPr>
                <w:rFonts w:ascii="Arial" w:eastAsia="等线" w:hAnsi="Arial" w:cs="Arial"/>
                <w:sz w:val="20"/>
                <w:szCs w:val="20"/>
                <w:lang w:bidi="ar"/>
              </w:rPr>
              <w:t>58.95</w:t>
            </w:r>
          </w:p>
        </w:tc>
        <w:tc>
          <w:tcPr>
            <w:tcW w:w="860" w:type="dxa"/>
            <w:tcBorders>
              <w:top w:val="single" w:sz="4" w:space="0" w:color="auto"/>
              <w:left w:val="single" w:sz="4" w:space="0" w:color="auto"/>
              <w:bottom w:val="single" w:sz="4" w:space="0" w:color="auto"/>
              <w:right w:val="single" w:sz="4" w:space="0" w:color="auto"/>
            </w:tcBorders>
          </w:tcPr>
          <w:p w14:paraId="0D1E03A6" w14:textId="77777777" w:rsidR="00176E18" w:rsidRDefault="00000000">
            <w:pPr>
              <w:jc w:val="left"/>
              <w:rPr>
                <w:rFonts w:ascii="Arial" w:hAnsi="Arial" w:cs="Arial"/>
                <w:b/>
                <w:bCs/>
                <w:sz w:val="20"/>
                <w:szCs w:val="20"/>
              </w:rPr>
            </w:pPr>
            <w:r>
              <w:rPr>
                <w:rFonts w:ascii="Arial" w:eastAsia="等线" w:hAnsi="Arial" w:cs="Arial"/>
                <w:sz w:val="20"/>
                <w:szCs w:val="20"/>
                <w:lang w:bidi="ar"/>
              </w:rPr>
              <w:t>0</w:t>
            </w:r>
          </w:p>
        </w:tc>
      </w:tr>
      <w:tr w:rsidR="00176E18" w14:paraId="5F65FE22"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3B68037A" w14:textId="77777777" w:rsidR="00176E18" w:rsidRDefault="00000000">
            <w:pPr>
              <w:jc w:val="left"/>
              <w:rPr>
                <w:rFonts w:ascii="Arial" w:hAnsi="Arial" w:cs="Arial"/>
                <w:b/>
                <w:bCs/>
                <w:sz w:val="20"/>
                <w:szCs w:val="20"/>
              </w:rPr>
            </w:pPr>
            <w:r>
              <w:rPr>
                <w:rFonts w:ascii="Arial" w:eastAsia="等线" w:hAnsi="Arial" w:cs="Arial"/>
                <w:sz w:val="20"/>
                <w:szCs w:val="20"/>
                <w:lang w:bidi="ar"/>
              </w:rPr>
              <w:t>1</w:t>
            </w:r>
          </w:p>
        </w:tc>
        <w:tc>
          <w:tcPr>
            <w:tcW w:w="1896" w:type="dxa"/>
            <w:tcBorders>
              <w:top w:val="single" w:sz="4" w:space="0" w:color="auto"/>
              <w:left w:val="single" w:sz="4" w:space="0" w:color="auto"/>
              <w:bottom w:val="single" w:sz="4" w:space="0" w:color="auto"/>
              <w:right w:val="single" w:sz="4" w:space="0" w:color="auto"/>
            </w:tcBorders>
          </w:tcPr>
          <w:p w14:paraId="205A417B" w14:textId="77777777" w:rsidR="00176E18" w:rsidRDefault="00000000">
            <w:pPr>
              <w:jc w:val="left"/>
              <w:rPr>
                <w:rFonts w:ascii="Arial" w:hAnsi="Arial" w:cs="Arial"/>
                <w:b/>
                <w:bCs/>
                <w:sz w:val="20"/>
                <w:szCs w:val="20"/>
              </w:rPr>
            </w:pPr>
            <w:r>
              <w:rPr>
                <w:rFonts w:ascii="Arial" w:eastAsia="等线" w:hAnsi="Arial" w:cs="Arial"/>
                <w:sz w:val="20"/>
                <w:szCs w:val="20"/>
                <w:lang w:bidi="ar"/>
              </w:rPr>
              <w:t>97.85(95.8-99.1)</w:t>
            </w:r>
          </w:p>
        </w:tc>
        <w:tc>
          <w:tcPr>
            <w:tcW w:w="1904" w:type="dxa"/>
            <w:tcBorders>
              <w:top w:val="single" w:sz="4" w:space="0" w:color="auto"/>
              <w:left w:val="single" w:sz="4" w:space="0" w:color="auto"/>
              <w:bottom w:val="single" w:sz="4" w:space="0" w:color="auto"/>
              <w:right w:val="single" w:sz="4" w:space="0" w:color="auto"/>
            </w:tcBorders>
          </w:tcPr>
          <w:p w14:paraId="418EBD36" w14:textId="77777777" w:rsidR="00176E18" w:rsidRDefault="00000000">
            <w:pPr>
              <w:jc w:val="left"/>
              <w:rPr>
                <w:rFonts w:ascii="Arial" w:hAnsi="Arial" w:cs="Arial"/>
                <w:b/>
                <w:bCs/>
                <w:sz w:val="20"/>
                <w:szCs w:val="20"/>
              </w:rPr>
            </w:pPr>
            <w:r>
              <w:rPr>
                <w:rFonts w:ascii="Arial" w:eastAsia="等线" w:hAnsi="Arial" w:cs="Arial"/>
                <w:sz w:val="20"/>
                <w:szCs w:val="20"/>
                <w:lang w:bidi="ar"/>
              </w:rPr>
              <w:t>41.7(35.6-48.0)</w:t>
            </w:r>
          </w:p>
        </w:tc>
        <w:tc>
          <w:tcPr>
            <w:tcW w:w="1921" w:type="dxa"/>
            <w:tcBorders>
              <w:top w:val="single" w:sz="4" w:space="0" w:color="auto"/>
              <w:left w:val="single" w:sz="4" w:space="0" w:color="auto"/>
              <w:bottom w:val="single" w:sz="4" w:space="0" w:color="auto"/>
              <w:right w:val="single" w:sz="4" w:space="0" w:color="auto"/>
            </w:tcBorders>
          </w:tcPr>
          <w:p w14:paraId="1BFD9CEE" w14:textId="77777777" w:rsidR="00176E18" w:rsidRDefault="00000000">
            <w:pPr>
              <w:jc w:val="left"/>
              <w:rPr>
                <w:rFonts w:ascii="Arial" w:hAnsi="Arial" w:cs="Arial"/>
                <w:b/>
                <w:bCs/>
                <w:sz w:val="20"/>
                <w:szCs w:val="20"/>
              </w:rPr>
            </w:pPr>
            <w:r>
              <w:rPr>
                <w:rFonts w:ascii="Arial" w:eastAsia="等线" w:hAnsi="Arial" w:cs="Arial"/>
                <w:sz w:val="20"/>
                <w:szCs w:val="20"/>
                <w:lang w:bidi="ar"/>
              </w:rPr>
              <w:t>1.68(1.5-1.9)</w:t>
            </w:r>
          </w:p>
        </w:tc>
        <w:tc>
          <w:tcPr>
            <w:tcW w:w="1896" w:type="dxa"/>
            <w:tcBorders>
              <w:top w:val="single" w:sz="4" w:space="0" w:color="auto"/>
              <w:left w:val="single" w:sz="4" w:space="0" w:color="auto"/>
              <w:bottom w:val="single" w:sz="4" w:space="0" w:color="auto"/>
              <w:right w:val="single" w:sz="4" w:space="0" w:color="auto"/>
            </w:tcBorders>
          </w:tcPr>
          <w:p w14:paraId="6B7A27E8" w14:textId="77777777" w:rsidR="00176E18" w:rsidRDefault="00000000">
            <w:pPr>
              <w:jc w:val="left"/>
              <w:rPr>
                <w:rFonts w:ascii="Arial" w:hAnsi="Arial" w:cs="Arial"/>
                <w:b/>
                <w:bCs/>
                <w:sz w:val="20"/>
                <w:szCs w:val="20"/>
              </w:rPr>
            </w:pPr>
            <w:r>
              <w:rPr>
                <w:rFonts w:ascii="Arial" w:eastAsia="等线" w:hAnsi="Arial" w:cs="Arial"/>
                <w:sz w:val="20"/>
                <w:szCs w:val="20"/>
                <w:lang w:bidi="ar"/>
              </w:rPr>
              <w:t>0.052(0.03-0.1)</w:t>
            </w:r>
          </w:p>
        </w:tc>
        <w:tc>
          <w:tcPr>
            <w:tcW w:w="745" w:type="dxa"/>
            <w:tcBorders>
              <w:top w:val="single" w:sz="4" w:space="0" w:color="auto"/>
              <w:left w:val="single" w:sz="4" w:space="0" w:color="auto"/>
              <w:bottom w:val="single" w:sz="4" w:space="0" w:color="auto"/>
              <w:right w:val="single" w:sz="4" w:space="0" w:color="auto"/>
            </w:tcBorders>
          </w:tcPr>
          <w:p w14:paraId="4859DA21" w14:textId="77777777" w:rsidR="00176E18" w:rsidRDefault="00000000">
            <w:pPr>
              <w:jc w:val="left"/>
              <w:rPr>
                <w:rFonts w:ascii="Arial" w:hAnsi="Arial" w:cs="Arial"/>
                <w:b/>
                <w:bCs/>
                <w:sz w:val="20"/>
                <w:szCs w:val="20"/>
              </w:rPr>
            </w:pPr>
            <w:r>
              <w:rPr>
                <w:rFonts w:ascii="Arial" w:eastAsia="等线" w:hAnsi="Arial" w:cs="Arial"/>
                <w:sz w:val="20"/>
                <w:szCs w:val="20"/>
                <w:lang w:bidi="ar"/>
              </w:rPr>
              <w:t>70.68</w:t>
            </w:r>
          </w:p>
        </w:tc>
        <w:tc>
          <w:tcPr>
            <w:tcW w:w="860" w:type="dxa"/>
            <w:tcBorders>
              <w:top w:val="single" w:sz="4" w:space="0" w:color="auto"/>
              <w:left w:val="single" w:sz="4" w:space="0" w:color="auto"/>
              <w:bottom w:val="single" w:sz="4" w:space="0" w:color="auto"/>
              <w:right w:val="single" w:sz="4" w:space="0" w:color="auto"/>
            </w:tcBorders>
          </w:tcPr>
          <w:p w14:paraId="3A11FEBA" w14:textId="77777777" w:rsidR="00176E18" w:rsidRDefault="00000000">
            <w:pPr>
              <w:jc w:val="left"/>
              <w:rPr>
                <w:rFonts w:ascii="Arial" w:hAnsi="Arial" w:cs="Arial"/>
                <w:b/>
                <w:bCs/>
                <w:sz w:val="20"/>
                <w:szCs w:val="20"/>
              </w:rPr>
            </w:pPr>
            <w:r>
              <w:rPr>
                <w:rFonts w:ascii="Arial" w:eastAsia="等线" w:hAnsi="Arial" w:cs="Arial"/>
                <w:sz w:val="20"/>
                <w:szCs w:val="20"/>
                <w:lang w:bidi="ar"/>
              </w:rPr>
              <w:t>93.10</w:t>
            </w:r>
          </w:p>
        </w:tc>
      </w:tr>
      <w:tr w:rsidR="00176E18" w14:paraId="6106BAE5"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66D35303" w14:textId="77777777" w:rsidR="00176E18" w:rsidRDefault="00000000">
            <w:pPr>
              <w:jc w:val="left"/>
              <w:rPr>
                <w:rFonts w:ascii="Arial" w:hAnsi="Arial" w:cs="Arial"/>
                <w:b/>
                <w:bCs/>
                <w:sz w:val="20"/>
                <w:szCs w:val="20"/>
              </w:rPr>
            </w:pPr>
            <w:r>
              <w:rPr>
                <w:rFonts w:ascii="Arial" w:eastAsia="等线" w:hAnsi="Arial" w:cs="Arial"/>
                <w:sz w:val="20"/>
                <w:szCs w:val="20"/>
                <w:lang w:bidi="ar"/>
              </w:rPr>
              <w:t>2</w:t>
            </w:r>
          </w:p>
        </w:tc>
        <w:tc>
          <w:tcPr>
            <w:tcW w:w="1896" w:type="dxa"/>
            <w:tcBorders>
              <w:top w:val="single" w:sz="4" w:space="0" w:color="auto"/>
              <w:left w:val="single" w:sz="4" w:space="0" w:color="auto"/>
              <w:bottom w:val="single" w:sz="4" w:space="0" w:color="auto"/>
              <w:right w:val="single" w:sz="4" w:space="0" w:color="auto"/>
            </w:tcBorders>
          </w:tcPr>
          <w:p w14:paraId="5424932C" w14:textId="77777777" w:rsidR="00176E18" w:rsidRDefault="00000000">
            <w:pPr>
              <w:jc w:val="left"/>
              <w:rPr>
                <w:rFonts w:ascii="Arial" w:hAnsi="Arial" w:cs="Arial"/>
                <w:b/>
                <w:bCs/>
                <w:sz w:val="20"/>
                <w:szCs w:val="20"/>
              </w:rPr>
            </w:pPr>
            <w:r>
              <w:rPr>
                <w:rFonts w:ascii="Arial" w:eastAsia="等线" w:hAnsi="Arial" w:cs="Arial"/>
                <w:sz w:val="20"/>
                <w:szCs w:val="20"/>
                <w:lang w:bidi="ar"/>
              </w:rPr>
              <w:t>95.97(93.4-97.7)</w:t>
            </w:r>
          </w:p>
        </w:tc>
        <w:tc>
          <w:tcPr>
            <w:tcW w:w="1904" w:type="dxa"/>
            <w:tcBorders>
              <w:top w:val="single" w:sz="4" w:space="0" w:color="auto"/>
              <w:left w:val="single" w:sz="4" w:space="0" w:color="auto"/>
              <w:bottom w:val="single" w:sz="4" w:space="0" w:color="auto"/>
              <w:right w:val="single" w:sz="4" w:space="0" w:color="auto"/>
            </w:tcBorders>
          </w:tcPr>
          <w:p w14:paraId="1A2EED35" w14:textId="77777777" w:rsidR="00176E18" w:rsidRDefault="00000000">
            <w:pPr>
              <w:jc w:val="left"/>
              <w:rPr>
                <w:rFonts w:ascii="Arial" w:hAnsi="Arial" w:cs="Arial"/>
                <w:b/>
                <w:bCs/>
                <w:sz w:val="20"/>
                <w:szCs w:val="20"/>
              </w:rPr>
            </w:pPr>
            <w:r>
              <w:rPr>
                <w:rFonts w:ascii="Arial" w:eastAsia="等线" w:hAnsi="Arial" w:cs="Arial"/>
                <w:sz w:val="20"/>
                <w:szCs w:val="20"/>
                <w:lang w:bidi="ar"/>
              </w:rPr>
              <w:t>66.8(60.7-72.5)</w:t>
            </w:r>
          </w:p>
        </w:tc>
        <w:tc>
          <w:tcPr>
            <w:tcW w:w="1921" w:type="dxa"/>
            <w:tcBorders>
              <w:top w:val="single" w:sz="4" w:space="0" w:color="auto"/>
              <w:left w:val="single" w:sz="4" w:space="0" w:color="auto"/>
              <w:bottom w:val="single" w:sz="4" w:space="0" w:color="auto"/>
              <w:right w:val="single" w:sz="4" w:space="0" w:color="auto"/>
            </w:tcBorders>
          </w:tcPr>
          <w:p w14:paraId="154EC527" w14:textId="77777777" w:rsidR="00176E18" w:rsidRDefault="00000000">
            <w:pPr>
              <w:jc w:val="left"/>
              <w:rPr>
                <w:rFonts w:ascii="Arial" w:hAnsi="Arial" w:cs="Arial"/>
                <w:b/>
                <w:bCs/>
                <w:sz w:val="20"/>
                <w:szCs w:val="20"/>
              </w:rPr>
            </w:pPr>
            <w:r>
              <w:rPr>
                <w:rFonts w:ascii="Arial" w:eastAsia="等线" w:hAnsi="Arial" w:cs="Arial"/>
                <w:sz w:val="20"/>
                <w:szCs w:val="20"/>
                <w:lang w:bidi="ar"/>
              </w:rPr>
              <w:t>2.89(2.4-3.4)</w:t>
            </w:r>
          </w:p>
        </w:tc>
        <w:tc>
          <w:tcPr>
            <w:tcW w:w="1896" w:type="dxa"/>
            <w:tcBorders>
              <w:top w:val="single" w:sz="4" w:space="0" w:color="auto"/>
              <w:left w:val="single" w:sz="4" w:space="0" w:color="auto"/>
              <w:bottom w:val="single" w:sz="4" w:space="0" w:color="auto"/>
              <w:right w:val="single" w:sz="4" w:space="0" w:color="auto"/>
            </w:tcBorders>
          </w:tcPr>
          <w:p w14:paraId="09EE13CE" w14:textId="77777777" w:rsidR="00176E18" w:rsidRDefault="00000000">
            <w:pPr>
              <w:jc w:val="left"/>
              <w:rPr>
                <w:rFonts w:ascii="Arial" w:hAnsi="Arial" w:cs="Arial"/>
                <w:b/>
                <w:bCs/>
                <w:sz w:val="20"/>
                <w:szCs w:val="20"/>
              </w:rPr>
            </w:pPr>
            <w:r>
              <w:rPr>
                <w:rFonts w:ascii="Arial" w:eastAsia="等线" w:hAnsi="Arial" w:cs="Arial"/>
                <w:sz w:val="20"/>
                <w:szCs w:val="20"/>
                <w:lang w:bidi="ar"/>
              </w:rPr>
              <w:t>0.06(0.04-0.10)</w:t>
            </w:r>
          </w:p>
        </w:tc>
        <w:tc>
          <w:tcPr>
            <w:tcW w:w="745" w:type="dxa"/>
            <w:tcBorders>
              <w:top w:val="single" w:sz="4" w:space="0" w:color="auto"/>
              <w:left w:val="single" w:sz="4" w:space="0" w:color="auto"/>
              <w:bottom w:val="single" w:sz="4" w:space="0" w:color="auto"/>
              <w:right w:val="single" w:sz="4" w:space="0" w:color="auto"/>
            </w:tcBorders>
          </w:tcPr>
          <w:p w14:paraId="0D7A86E1" w14:textId="77777777" w:rsidR="00176E18" w:rsidRDefault="00000000">
            <w:pPr>
              <w:jc w:val="left"/>
              <w:rPr>
                <w:rFonts w:ascii="Arial" w:hAnsi="Arial" w:cs="Arial"/>
                <w:b/>
                <w:bCs/>
                <w:sz w:val="20"/>
                <w:szCs w:val="20"/>
              </w:rPr>
            </w:pPr>
            <w:r>
              <w:rPr>
                <w:rFonts w:ascii="Arial" w:eastAsia="等线" w:hAnsi="Arial" w:cs="Arial"/>
                <w:sz w:val="20"/>
                <w:szCs w:val="20"/>
                <w:lang w:bidi="ar"/>
              </w:rPr>
              <w:t>80.59</w:t>
            </w:r>
          </w:p>
        </w:tc>
        <w:tc>
          <w:tcPr>
            <w:tcW w:w="860" w:type="dxa"/>
            <w:tcBorders>
              <w:top w:val="single" w:sz="4" w:space="0" w:color="auto"/>
              <w:left w:val="single" w:sz="4" w:space="0" w:color="auto"/>
              <w:bottom w:val="single" w:sz="4" w:space="0" w:color="auto"/>
              <w:right w:val="single" w:sz="4" w:space="0" w:color="auto"/>
            </w:tcBorders>
          </w:tcPr>
          <w:p w14:paraId="30950C54" w14:textId="77777777" w:rsidR="00176E18" w:rsidRDefault="00000000">
            <w:pPr>
              <w:jc w:val="left"/>
              <w:rPr>
                <w:rFonts w:ascii="Arial" w:hAnsi="Arial" w:cs="Arial"/>
                <w:b/>
                <w:bCs/>
                <w:sz w:val="20"/>
                <w:szCs w:val="20"/>
              </w:rPr>
            </w:pPr>
            <w:r>
              <w:rPr>
                <w:rFonts w:ascii="Arial" w:eastAsia="等线" w:hAnsi="Arial" w:cs="Arial"/>
                <w:sz w:val="20"/>
                <w:szCs w:val="20"/>
                <w:lang w:bidi="ar"/>
              </w:rPr>
              <w:t>92.02</w:t>
            </w:r>
          </w:p>
        </w:tc>
      </w:tr>
      <w:tr w:rsidR="00176E18" w14:paraId="13D3EAC4"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5A3CCEDD" w14:textId="77777777" w:rsidR="00176E18" w:rsidRDefault="00000000">
            <w:pPr>
              <w:jc w:val="left"/>
              <w:rPr>
                <w:rFonts w:ascii="Arial" w:hAnsi="Arial" w:cs="Arial"/>
                <w:b/>
                <w:bCs/>
                <w:sz w:val="20"/>
                <w:szCs w:val="20"/>
              </w:rPr>
            </w:pPr>
            <w:r>
              <w:rPr>
                <w:rFonts w:ascii="Arial" w:eastAsia="等线" w:hAnsi="Arial" w:cs="Arial"/>
                <w:sz w:val="20"/>
                <w:szCs w:val="20"/>
                <w:lang w:bidi="ar"/>
              </w:rPr>
              <w:t>3</w:t>
            </w:r>
          </w:p>
        </w:tc>
        <w:tc>
          <w:tcPr>
            <w:tcW w:w="1896" w:type="dxa"/>
            <w:tcBorders>
              <w:top w:val="single" w:sz="4" w:space="0" w:color="auto"/>
              <w:left w:val="single" w:sz="4" w:space="0" w:color="auto"/>
              <w:bottom w:val="single" w:sz="4" w:space="0" w:color="auto"/>
              <w:right w:val="single" w:sz="4" w:space="0" w:color="auto"/>
            </w:tcBorders>
          </w:tcPr>
          <w:p w14:paraId="69D8CECC" w14:textId="77777777" w:rsidR="00176E18" w:rsidRDefault="00000000">
            <w:pPr>
              <w:jc w:val="left"/>
              <w:rPr>
                <w:rFonts w:ascii="Arial" w:hAnsi="Arial" w:cs="Arial"/>
                <w:b/>
                <w:bCs/>
                <w:sz w:val="20"/>
                <w:szCs w:val="20"/>
              </w:rPr>
            </w:pPr>
            <w:r>
              <w:rPr>
                <w:rFonts w:ascii="Arial" w:eastAsia="等线" w:hAnsi="Arial" w:cs="Arial"/>
                <w:sz w:val="20"/>
                <w:szCs w:val="20"/>
                <w:lang w:bidi="ar"/>
              </w:rPr>
              <w:t>89.52(85.9-92.4)</w:t>
            </w:r>
          </w:p>
        </w:tc>
        <w:tc>
          <w:tcPr>
            <w:tcW w:w="1904" w:type="dxa"/>
            <w:tcBorders>
              <w:top w:val="single" w:sz="4" w:space="0" w:color="auto"/>
              <w:left w:val="single" w:sz="4" w:space="0" w:color="auto"/>
              <w:bottom w:val="single" w:sz="4" w:space="0" w:color="auto"/>
              <w:right w:val="single" w:sz="4" w:space="0" w:color="auto"/>
            </w:tcBorders>
          </w:tcPr>
          <w:p w14:paraId="3D825222" w14:textId="77777777" w:rsidR="00176E18" w:rsidRDefault="00000000">
            <w:pPr>
              <w:jc w:val="left"/>
              <w:rPr>
                <w:rFonts w:ascii="Arial" w:hAnsi="Arial" w:cs="Arial"/>
                <w:b/>
                <w:bCs/>
                <w:sz w:val="20"/>
                <w:szCs w:val="20"/>
              </w:rPr>
            </w:pPr>
            <w:r>
              <w:rPr>
                <w:rFonts w:ascii="Arial" w:eastAsia="等线" w:hAnsi="Arial" w:cs="Arial"/>
                <w:sz w:val="20"/>
                <w:szCs w:val="20"/>
                <w:lang w:bidi="ar"/>
              </w:rPr>
              <w:t>93.82(90.2-96.4)</w:t>
            </w:r>
          </w:p>
        </w:tc>
        <w:tc>
          <w:tcPr>
            <w:tcW w:w="1921" w:type="dxa"/>
            <w:tcBorders>
              <w:top w:val="single" w:sz="4" w:space="0" w:color="auto"/>
              <w:left w:val="single" w:sz="4" w:space="0" w:color="auto"/>
              <w:bottom w:val="single" w:sz="4" w:space="0" w:color="auto"/>
              <w:right w:val="single" w:sz="4" w:space="0" w:color="auto"/>
            </w:tcBorders>
          </w:tcPr>
          <w:p w14:paraId="4B95BD04" w14:textId="77777777" w:rsidR="00176E18" w:rsidRDefault="00000000">
            <w:pPr>
              <w:jc w:val="left"/>
              <w:rPr>
                <w:rFonts w:ascii="Arial" w:hAnsi="Arial" w:cs="Arial"/>
                <w:b/>
                <w:bCs/>
                <w:sz w:val="20"/>
                <w:szCs w:val="20"/>
              </w:rPr>
            </w:pPr>
            <w:r>
              <w:rPr>
                <w:rFonts w:ascii="Arial" w:eastAsia="等线" w:hAnsi="Arial" w:cs="Arial"/>
                <w:sz w:val="20"/>
                <w:szCs w:val="20"/>
                <w:lang w:bidi="ar"/>
              </w:rPr>
              <w:t>14.49(9.0-23.3)</w:t>
            </w:r>
          </w:p>
        </w:tc>
        <w:tc>
          <w:tcPr>
            <w:tcW w:w="1896" w:type="dxa"/>
            <w:tcBorders>
              <w:top w:val="single" w:sz="4" w:space="0" w:color="auto"/>
              <w:left w:val="single" w:sz="4" w:space="0" w:color="auto"/>
              <w:bottom w:val="single" w:sz="4" w:space="0" w:color="auto"/>
              <w:right w:val="single" w:sz="4" w:space="0" w:color="auto"/>
            </w:tcBorders>
          </w:tcPr>
          <w:p w14:paraId="4A81140D" w14:textId="77777777" w:rsidR="00176E18" w:rsidRDefault="00000000">
            <w:pPr>
              <w:jc w:val="left"/>
              <w:rPr>
                <w:rFonts w:ascii="Arial" w:hAnsi="Arial" w:cs="Arial"/>
                <w:b/>
                <w:bCs/>
                <w:sz w:val="20"/>
                <w:szCs w:val="20"/>
              </w:rPr>
            </w:pPr>
            <w:r>
              <w:rPr>
                <w:rFonts w:ascii="Arial" w:eastAsia="等线" w:hAnsi="Arial" w:cs="Arial"/>
                <w:sz w:val="20"/>
                <w:szCs w:val="20"/>
                <w:lang w:bidi="ar"/>
              </w:rPr>
              <w:t>0.11(0.08-0.2)</w:t>
            </w:r>
          </w:p>
        </w:tc>
        <w:tc>
          <w:tcPr>
            <w:tcW w:w="745" w:type="dxa"/>
            <w:tcBorders>
              <w:top w:val="single" w:sz="4" w:space="0" w:color="auto"/>
              <w:left w:val="single" w:sz="4" w:space="0" w:color="auto"/>
              <w:bottom w:val="single" w:sz="4" w:space="0" w:color="auto"/>
              <w:right w:val="single" w:sz="4" w:space="0" w:color="auto"/>
            </w:tcBorders>
          </w:tcPr>
          <w:p w14:paraId="54EB0925" w14:textId="77777777" w:rsidR="00176E18" w:rsidRDefault="00000000">
            <w:pPr>
              <w:jc w:val="left"/>
              <w:rPr>
                <w:rFonts w:ascii="Arial" w:hAnsi="Arial" w:cs="Arial"/>
                <w:b/>
                <w:bCs/>
                <w:sz w:val="20"/>
                <w:szCs w:val="20"/>
              </w:rPr>
            </w:pPr>
            <w:r>
              <w:rPr>
                <w:rFonts w:ascii="Arial" w:eastAsia="等线" w:hAnsi="Arial" w:cs="Arial"/>
                <w:sz w:val="20"/>
                <w:szCs w:val="20"/>
                <w:lang w:bidi="ar"/>
              </w:rPr>
              <w:t>95.42</w:t>
            </w:r>
          </w:p>
        </w:tc>
        <w:tc>
          <w:tcPr>
            <w:tcW w:w="860" w:type="dxa"/>
            <w:tcBorders>
              <w:top w:val="single" w:sz="4" w:space="0" w:color="auto"/>
              <w:left w:val="single" w:sz="4" w:space="0" w:color="auto"/>
              <w:bottom w:val="single" w:sz="4" w:space="0" w:color="auto"/>
              <w:right w:val="single" w:sz="4" w:space="0" w:color="auto"/>
            </w:tcBorders>
          </w:tcPr>
          <w:p w14:paraId="57CAA2C9" w14:textId="77777777" w:rsidR="00176E18" w:rsidRDefault="00000000">
            <w:pPr>
              <w:jc w:val="left"/>
              <w:rPr>
                <w:rFonts w:ascii="Arial" w:hAnsi="Arial" w:cs="Arial"/>
                <w:b/>
                <w:bCs/>
                <w:sz w:val="20"/>
                <w:szCs w:val="20"/>
              </w:rPr>
            </w:pPr>
            <w:r>
              <w:rPr>
                <w:rFonts w:ascii="Arial" w:eastAsia="等线" w:hAnsi="Arial" w:cs="Arial"/>
                <w:sz w:val="20"/>
                <w:szCs w:val="20"/>
                <w:lang w:bidi="ar"/>
              </w:rPr>
              <w:t>86.17</w:t>
            </w:r>
          </w:p>
        </w:tc>
      </w:tr>
      <w:tr w:rsidR="00176E18" w14:paraId="7502FAC5"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43E20A57" w14:textId="77777777" w:rsidR="00176E18" w:rsidRDefault="00000000">
            <w:pPr>
              <w:jc w:val="left"/>
              <w:rPr>
                <w:rFonts w:ascii="Arial" w:hAnsi="Arial" w:cs="Arial"/>
                <w:b/>
                <w:bCs/>
                <w:sz w:val="20"/>
                <w:szCs w:val="20"/>
              </w:rPr>
            </w:pPr>
            <w:r>
              <w:rPr>
                <w:rFonts w:ascii="Arial" w:eastAsia="等线" w:hAnsi="Arial" w:cs="Arial"/>
                <w:sz w:val="20"/>
                <w:szCs w:val="20"/>
                <w:lang w:bidi="ar"/>
              </w:rPr>
              <w:t>4</w:t>
            </w:r>
          </w:p>
        </w:tc>
        <w:tc>
          <w:tcPr>
            <w:tcW w:w="1896" w:type="dxa"/>
            <w:tcBorders>
              <w:top w:val="single" w:sz="4" w:space="0" w:color="auto"/>
              <w:left w:val="single" w:sz="4" w:space="0" w:color="auto"/>
              <w:bottom w:val="single" w:sz="4" w:space="0" w:color="auto"/>
              <w:right w:val="single" w:sz="4" w:space="0" w:color="auto"/>
            </w:tcBorders>
          </w:tcPr>
          <w:p w14:paraId="51B37ABB" w14:textId="77777777" w:rsidR="00176E18" w:rsidRDefault="00000000">
            <w:pPr>
              <w:jc w:val="left"/>
              <w:rPr>
                <w:rFonts w:ascii="Arial" w:hAnsi="Arial" w:cs="Arial"/>
                <w:b/>
                <w:bCs/>
                <w:sz w:val="20"/>
                <w:szCs w:val="20"/>
              </w:rPr>
            </w:pPr>
            <w:r>
              <w:rPr>
                <w:rFonts w:ascii="Arial" w:eastAsia="等线" w:hAnsi="Arial" w:cs="Arial"/>
                <w:sz w:val="20"/>
                <w:szCs w:val="20"/>
                <w:lang w:bidi="ar"/>
              </w:rPr>
              <w:t>67.2(62.2-72.0)</w:t>
            </w:r>
          </w:p>
        </w:tc>
        <w:tc>
          <w:tcPr>
            <w:tcW w:w="1904" w:type="dxa"/>
            <w:tcBorders>
              <w:top w:val="single" w:sz="4" w:space="0" w:color="auto"/>
              <w:left w:val="single" w:sz="4" w:space="0" w:color="auto"/>
              <w:bottom w:val="single" w:sz="4" w:space="0" w:color="auto"/>
              <w:right w:val="single" w:sz="4" w:space="0" w:color="auto"/>
            </w:tcBorders>
          </w:tcPr>
          <w:p w14:paraId="6D782A94" w14:textId="77777777" w:rsidR="00176E18" w:rsidRDefault="00000000">
            <w:pPr>
              <w:jc w:val="left"/>
              <w:rPr>
                <w:rFonts w:ascii="Arial" w:hAnsi="Arial" w:cs="Arial"/>
                <w:b/>
                <w:bCs/>
                <w:sz w:val="20"/>
                <w:szCs w:val="20"/>
              </w:rPr>
            </w:pPr>
            <w:r>
              <w:rPr>
                <w:rFonts w:ascii="Arial" w:eastAsia="等线" w:hAnsi="Arial" w:cs="Arial"/>
                <w:sz w:val="20"/>
                <w:szCs w:val="20"/>
                <w:lang w:bidi="ar"/>
              </w:rPr>
              <w:t>96.91(94.0-98.7)</w:t>
            </w:r>
          </w:p>
        </w:tc>
        <w:tc>
          <w:tcPr>
            <w:tcW w:w="1921" w:type="dxa"/>
            <w:tcBorders>
              <w:top w:val="single" w:sz="4" w:space="0" w:color="auto"/>
              <w:left w:val="single" w:sz="4" w:space="0" w:color="auto"/>
              <w:bottom w:val="single" w:sz="4" w:space="0" w:color="auto"/>
              <w:right w:val="single" w:sz="4" w:space="0" w:color="auto"/>
            </w:tcBorders>
          </w:tcPr>
          <w:p w14:paraId="36065705" w14:textId="77777777" w:rsidR="00176E18" w:rsidRDefault="00000000">
            <w:pPr>
              <w:jc w:val="left"/>
              <w:rPr>
                <w:rFonts w:ascii="Arial" w:hAnsi="Arial" w:cs="Arial"/>
                <w:b/>
                <w:bCs/>
                <w:sz w:val="20"/>
                <w:szCs w:val="20"/>
              </w:rPr>
            </w:pPr>
            <w:r>
              <w:rPr>
                <w:rFonts w:ascii="Arial" w:eastAsia="等线" w:hAnsi="Arial" w:cs="Arial"/>
                <w:sz w:val="20"/>
                <w:szCs w:val="20"/>
                <w:lang w:bidi="ar"/>
              </w:rPr>
              <w:t>21.76(11.0-43.2)</w:t>
            </w:r>
          </w:p>
        </w:tc>
        <w:tc>
          <w:tcPr>
            <w:tcW w:w="1896" w:type="dxa"/>
            <w:tcBorders>
              <w:top w:val="single" w:sz="4" w:space="0" w:color="auto"/>
              <w:left w:val="single" w:sz="4" w:space="0" w:color="auto"/>
              <w:bottom w:val="single" w:sz="4" w:space="0" w:color="auto"/>
              <w:right w:val="single" w:sz="4" w:space="0" w:color="auto"/>
            </w:tcBorders>
          </w:tcPr>
          <w:p w14:paraId="2C4519FC" w14:textId="77777777" w:rsidR="00176E18" w:rsidRDefault="00000000">
            <w:pPr>
              <w:jc w:val="left"/>
              <w:rPr>
                <w:rFonts w:ascii="Arial" w:hAnsi="Arial" w:cs="Arial"/>
                <w:b/>
                <w:bCs/>
                <w:sz w:val="20"/>
                <w:szCs w:val="20"/>
              </w:rPr>
            </w:pPr>
            <w:r>
              <w:rPr>
                <w:rFonts w:ascii="Arial" w:eastAsia="等线" w:hAnsi="Arial" w:cs="Arial"/>
                <w:sz w:val="20"/>
                <w:szCs w:val="20"/>
                <w:lang w:bidi="ar"/>
              </w:rPr>
              <w:t>0.34(0.3-0.4)</w:t>
            </w:r>
          </w:p>
        </w:tc>
        <w:tc>
          <w:tcPr>
            <w:tcW w:w="745" w:type="dxa"/>
            <w:tcBorders>
              <w:top w:val="single" w:sz="4" w:space="0" w:color="auto"/>
              <w:left w:val="single" w:sz="4" w:space="0" w:color="auto"/>
              <w:bottom w:val="single" w:sz="4" w:space="0" w:color="auto"/>
              <w:right w:val="single" w:sz="4" w:space="0" w:color="auto"/>
            </w:tcBorders>
          </w:tcPr>
          <w:p w14:paraId="720290BE" w14:textId="77777777" w:rsidR="00176E18" w:rsidRDefault="00000000">
            <w:pPr>
              <w:jc w:val="left"/>
              <w:rPr>
                <w:rFonts w:ascii="Arial" w:hAnsi="Arial" w:cs="Arial"/>
                <w:b/>
                <w:bCs/>
                <w:sz w:val="20"/>
                <w:szCs w:val="20"/>
              </w:rPr>
            </w:pPr>
            <w:r>
              <w:rPr>
                <w:rFonts w:ascii="Arial" w:eastAsia="等线" w:hAnsi="Arial" w:cs="Arial"/>
                <w:sz w:val="20"/>
                <w:szCs w:val="20"/>
                <w:lang w:bidi="ar"/>
              </w:rPr>
              <w:t>95.51</w:t>
            </w:r>
          </w:p>
        </w:tc>
        <w:tc>
          <w:tcPr>
            <w:tcW w:w="860" w:type="dxa"/>
            <w:tcBorders>
              <w:top w:val="single" w:sz="4" w:space="0" w:color="auto"/>
              <w:left w:val="single" w:sz="4" w:space="0" w:color="auto"/>
              <w:bottom w:val="single" w:sz="4" w:space="0" w:color="auto"/>
              <w:right w:val="single" w:sz="4" w:space="0" w:color="auto"/>
            </w:tcBorders>
          </w:tcPr>
          <w:p w14:paraId="6777ABB4" w14:textId="77777777" w:rsidR="00176E18" w:rsidRDefault="00000000">
            <w:pPr>
              <w:jc w:val="left"/>
              <w:rPr>
                <w:rFonts w:ascii="Arial" w:hAnsi="Arial" w:cs="Arial"/>
                <w:b/>
                <w:bCs/>
                <w:sz w:val="20"/>
                <w:szCs w:val="20"/>
              </w:rPr>
            </w:pPr>
            <w:r>
              <w:rPr>
                <w:rFonts w:ascii="Arial" w:eastAsia="等线" w:hAnsi="Arial" w:cs="Arial"/>
                <w:sz w:val="20"/>
                <w:szCs w:val="20"/>
                <w:lang w:bidi="ar"/>
              </w:rPr>
              <w:t>55.41</w:t>
            </w:r>
          </w:p>
        </w:tc>
      </w:tr>
      <w:tr w:rsidR="00176E18" w14:paraId="3628387C"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0E5B445E" w14:textId="77777777" w:rsidR="00176E18" w:rsidRDefault="00000000">
            <w:pPr>
              <w:jc w:val="left"/>
              <w:rPr>
                <w:rFonts w:ascii="Arial" w:hAnsi="Arial" w:cs="Arial"/>
                <w:b/>
                <w:bCs/>
                <w:sz w:val="20"/>
                <w:szCs w:val="20"/>
              </w:rPr>
            </w:pPr>
            <w:r>
              <w:rPr>
                <w:rFonts w:ascii="Arial" w:eastAsia="等线" w:hAnsi="Arial" w:cs="Arial"/>
                <w:sz w:val="20"/>
                <w:szCs w:val="20"/>
                <w:lang w:bidi="ar"/>
              </w:rPr>
              <w:t>5</w:t>
            </w:r>
          </w:p>
        </w:tc>
        <w:tc>
          <w:tcPr>
            <w:tcW w:w="1896" w:type="dxa"/>
            <w:tcBorders>
              <w:top w:val="single" w:sz="4" w:space="0" w:color="auto"/>
              <w:left w:val="single" w:sz="4" w:space="0" w:color="auto"/>
              <w:bottom w:val="single" w:sz="4" w:space="0" w:color="auto"/>
              <w:right w:val="single" w:sz="4" w:space="0" w:color="auto"/>
            </w:tcBorders>
          </w:tcPr>
          <w:p w14:paraId="5E5A73BB" w14:textId="77777777" w:rsidR="00176E18" w:rsidRDefault="00000000">
            <w:pPr>
              <w:jc w:val="left"/>
              <w:rPr>
                <w:rFonts w:ascii="Arial" w:hAnsi="Arial" w:cs="Arial"/>
                <w:b/>
                <w:bCs/>
                <w:sz w:val="20"/>
                <w:szCs w:val="20"/>
              </w:rPr>
            </w:pPr>
            <w:r>
              <w:rPr>
                <w:rFonts w:ascii="Arial" w:eastAsia="等线" w:hAnsi="Arial" w:cs="Arial"/>
                <w:sz w:val="20"/>
                <w:szCs w:val="20"/>
                <w:lang w:bidi="ar"/>
              </w:rPr>
              <w:t>39.25(34.3-44.4)</w:t>
            </w:r>
          </w:p>
        </w:tc>
        <w:tc>
          <w:tcPr>
            <w:tcW w:w="1904" w:type="dxa"/>
            <w:tcBorders>
              <w:top w:val="single" w:sz="4" w:space="0" w:color="auto"/>
              <w:left w:val="single" w:sz="4" w:space="0" w:color="auto"/>
              <w:bottom w:val="single" w:sz="4" w:space="0" w:color="auto"/>
              <w:right w:val="single" w:sz="4" w:space="0" w:color="auto"/>
            </w:tcBorders>
          </w:tcPr>
          <w:p w14:paraId="4F16C5DE" w14:textId="77777777" w:rsidR="00176E18" w:rsidRDefault="00000000">
            <w:pPr>
              <w:jc w:val="left"/>
              <w:rPr>
                <w:rFonts w:ascii="Arial" w:hAnsi="Arial" w:cs="Arial"/>
                <w:b/>
                <w:bCs/>
                <w:sz w:val="20"/>
                <w:szCs w:val="20"/>
              </w:rPr>
            </w:pPr>
            <w:r>
              <w:rPr>
                <w:rFonts w:ascii="Arial" w:eastAsia="等线" w:hAnsi="Arial" w:cs="Arial"/>
                <w:sz w:val="20"/>
                <w:szCs w:val="20"/>
                <w:lang w:bidi="ar"/>
              </w:rPr>
              <w:t>99.61(97.9-100.0)</w:t>
            </w:r>
          </w:p>
        </w:tc>
        <w:tc>
          <w:tcPr>
            <w:tcW w:w="1921" w:type="dxa"/>
            <w:tcBorders>
              <w:top w:val="single" w:sz="4" w:space="0" w:color="auto"/>
              <w:left w:val="single" w:sz="4" w:space="0" w:color="auto"/>
              <w:bottom w:val="single" w:sz="4" w:space="0" w:color="auto"/>
              <w:right w:val="single" w:sz="4" w:space="0" w:color="auto"/>
            </w:tcBorders>
          </w:tcPr>
          <w:p w14:paraId="37B1B5EF" w14:textId="77777777" w:rsidR="00176E18" w:rsidRDefault="00000000">
            <w:pPr>
              <w:jc w:val="left"/>
              <w:rPr>
                <w:rFonts w:ascii="Arial" w:hAnsi="Arial" w:cs="Arial"/>
                <w:b/>
                <w:bCs/>
                <w:sz w:val="20"/>
                <w:szCs w:val="20"/>
              </w:rPr>
            </w:pPr>
            <w:r>
              <w:rPr>
                <w:rFonts w:ascii="Arial" w:eastAsia="等线" w:hAnsi="Arial" w:cs="Arial"/>
                <w:sz w:val="20"/>
                <w:szCs w:val="20"/>
                <w:lang w:bidi="ar"/>
              </w:rPr>
              <w:t>101.65(14.3-721.9)</w:t>
            </w:r>
          </w:p>
        </w:tc>
        <w:tc>
          <w:tcPr>
            <w:tcW w:w="1896" w:type="dxa"/>
            <w:tcBorders>
              <w:top w:val="single" w:sz="4" w:space="0" w:color="auto"/>
              <w:left w:val="single" w:sz="4" w:space="0" w:color="auto"/>
              <w:bottom w:val="single" w:sz="4" w:space="0" w:color="auto"/>
              <w:right w:val="single" w:sz="4" w:space="0" w:color="auto"/>
            </w:tcBorders>
          </w:tcPr>
          <w:p w14:paraId="379D54F6" w14:textId="77777777" w:rsidR="00176E18" w:rsidRDefault="00000000">
            <w:pPr>
              <w:jc w:val="left"/>
              <w:rPr>
                <w:rFonts w:ascii="Arial" w:hAnsi="Arial" w:cs="Arial"/>
                <w:b/>
                <w:bCs/>
                <w:sz w:val="20"/>
                <w:szCs w:val="20"/>
              </w:rPr>
            </w:pPr>
            <w:r>
              <w:rPr>
                <w:rFonts w:ascii="Arial" w:eastAsia="等线" w:hAnsi="Arial" w:cs="Arial"/>
                <w:sz w:val="20"/>
                <w:szCs w:val="20"/>
                <w:lang w:bidi="ar"/>
              </w:rPr>
              <w:t>0.61(0.6-0.7)</w:t>
            </w:r>
          </w:p>
        </w:tc>
        <w:tc>
          <w:tcPr>
            <w:tcW w:w="745" w:type="dxa"/>
            <w:tcBorders>
              <w:top w:val="single" w:sz="4" w:space="0" w:color="auto"/>
              <w:left w:val="single" w:sz="4" w:space="0" w:color="auto"/>
              <w:bottom w:val="single" w:sz="4" w:space="0" w:color="auto"/>
              <w:right w:val="single" w:sz="4" w:space="0" w:color="auto"/>
            </w:tcBorders>
          </w:tcPr>
          <w:p w14:paraId="29D1319E" w14:textId="77777777" w:rsidR="00176E18" w:rsidRDefault="00000000">
            <w:pPr>
              <w:jc w:val="left"/>
              <w:rPr>
                <w:rFonts w:ascii="Arial" w:hAnsi="Arial" w:cs="Arial"/>
                <w:b/>
                <w:bCs/>
                <w:sz w:val="20"/>
                <w:szCs w:val="20"/>
              </w:rPr>
            </w:pPr>
            <w:r>
              <w:rPr>
                <w:rFonts w:ascii="Arial" w:eastAsia="等线" w:hAnsi="Arial" w:cs="Arial"/>
                <w:sz w:val="20"/>
                <w:szCs w:val="20"/>
                <w:lang w:bidi="ar"/>
              </w:rPr>
              <w:t>N/A</w:t>
            </w:r>
          </w:p>
        </w:tc>
        <w:tc>
          <w:tcPr>
            <w:tcW w:w="860" w:type="dxa"/>
            <w:tcBorders>
              <w:top w:val="single" w:sz="4" w:space="0" w:color="auto"/>
              <w:left w:val="single" w:sz="4" w:space="0" w:color="auto"/>
              <w:bottom w:val="single" w:sz="4" w:space="0" w:color="auto"/>
              <w:right w:val="single" w:sz="4" w:space="0" w:color="auto"/>
            </w:tcBorders>
          </w:tcPr>
          <w:p w14:paraId="5969427A" w14:textId="77777777" w:rsidR="00176E18" w:rsidRDefault="00000000">
            <w:pPr>
              <w:jc w:val="left"/>
              <w:rPr>
                <w:rFonts w:ascii="Arial" w:hAnsi="Arial" w:cs="Arial"/>
                <w:b/>
                <w:bCs/>
                <w:sz w:val="20"/>
                <w:szCs w:val="20"/>
              </w:rPr>
            </w:pPr>
            <w:r>
              <w:rPr>
                <w:rFonts w:ascii="Arial" w:eastAsia="等线" w:hAnsi="Arial" w:cs="Arial"/>
                <w:sz w:val="20"/>
                <w:szCs w:val="20"/>
                <w:lang w:bidi="ar"/>
              </w:rPr>
              <w:t>N/A</w:t>
            </w:r>
          </w:p>
        </w:tc>
      </w:tr>
      <w:tr w:rsidR="00176E18" w14:paraId="0F7361CB" w14:textId="77777777">
        <w:trPr>
          <w:jc w:val="center"/>
        </w:trPr>
        <w:tc>
          <w:tcPr>
            <w:tcW w:w="850" w:type="dxa"/>
            <w:tcBorders>
              <w:top w:val="single" w:sz="4" w:space="0" w:color="auto"/>
              <w:left w:val="single" w:sz="4" w:space="0" w:color="auto"/>
              <w:bottom w:val="single" w:sz="4" w:space="0" w:color="auto"/>
              <w:right w:val="single" w:sz="4" w:space="0" w:color="auto"/>
            </w:tcBorders>
          </w:tcPr>
          <w:p w14:paraId="400BB1AE" w14:textId="77777777" w:rsidR="00176E18" w:rsidRDefault="00000000">
            <w:pPr>
              <w:jc w:val="left"/>
              <w:rPr>
                <w:rFonts w:ascii="Arial" w:hAnsi="Arial" w:cs="Arial"/>
                <w:b/>
                <w:bCs/>
                <w:sz w:val="20"/>
                <w:szCs w:val="20"/>
              </w:rPr>
            </w:pPr>
            <w:r>
              <w:rPr>
                <w:rFonts w:ascii="Arial" w:eastAsia="等线" w:hAnsi="Arial" w:cs="Arial"/>
                <w:sz w:val="20"/>
                <w:szCs w:val="20"/>
                <w:lang w:bidi="ar"/>
              </w:rPr>
              <w:t>6</w:t>
            </w:r>
          </w:p>
        </w:tc>
        <w:tc>
          <w:tcPr>
            <w:tcW w:w="1896" w:type="dxa"/>
            <w:tcBorders>
              <w:top w:val="single" w:sz="4" w:space="0" w:color="auto"/>
              <w:left w:val="single" w:sz="4" w:space="0" w:color="auto"/>
              <w:bottom w:val="single" w:sz="4" w:space="0" w:color="auto"/>
              <w:right w:val="single" w:sz="4" w:space="0" w:color="auto"/>
            </w:tcBorders>
          </w:tcPr>
          <w:p w14:paraId="1BAC48BD" w14:textId="77777777" w:rsidR="00176E18" w:rsidRDefault="00000000">
            <w:pPr>
              <w:jc w:val="left"/>
              <w:rPr>
                <w:rFonts w:ascii="Arial" w:hAnsi="Arial" w:cs="Arial"/>
                <w:b/>
                <w:bCs/>
                <w:sz w:val="20"/>
                <w:szCs w:val="20"/>
              </w:rPr>
            </w:pPr>
            <w:r>
              <w:rPr>
                <w:rFonts w:ascii="Arial" w:eastAsia="等线" w:hAnsi="Arial" w:cs="Arial"/>
                <w:sz w:val="20"/>
                <w:szCs w:val="20"/>
                <w:lang w:bidi="ar"/>
              </w:rPr>
              <w:t>17.74(14.0-22.0)</w:t>
            </w:r>
          </w:p>
        </w:tc>
        <w:tc>
          <w:tcPr>
            <w:tcW w:w="1904" w:type="dxa"/>
            <w:tcBorders>
              <w:top w:val="single" w:sz="4" w:space="0" w:color="auto"/>
              <w:left w:val="single" w:sz="4" w:space="0" w:color="auto"/>
              <w:bottom w:val="single" w:sz="4" w:space="0" w:color="auto"/>
              <w:right w:val="single" w:sz="4" w:space="0" w:color="auto"/>
            </w:tcBorders>
          </w:tcPr>
          <w:p w14:paraId="3B6F3D0C" w14:textId="77777777" w:rsidR="00176E18" w:rsidRDefault="00000000">
            <w:pPr>
              <w:jc w:val="left"/>
              <w:rPr>
                <w:rFonts w:ascii="Arial" w:hAnsi="Arial" w:cs="Arial"/>
                <w:b/>
                <w:bCs/>
                <w:sz w:val="20"/>
                <w:szCs w:val="20"/>
              </w:rPr>
            </w:pPr>
            <w:r>
              <w:rPr>
                <w:rFonts w:ascii="Arial" w:eastAsia="等线" w:hAnsi="Arial" w:cs="Arial"/>
                <w:sz w:val="20"/>
                <w:szCs w:val="20"/>
                <w:lang w:bidi="ar"/>
              </w:rPr>
              <w:t>99.61(97.9-100.0)</w:t>
            </w:r>
          </w:p>
        </w:tc>
        <w:tc>
          <w:tcPr>
            <w:tcW w:w="1921" w:type="dxa"/>
            <w:tcBorders>
              <w:top w:val="single" w:sz="4" w:space="0" w:color="auto"/>
              <w:left w:val="single" w:sz="4" w:space="0" w:color="auto"/>
              <w:bottom w:val="single" w:sz="4" w:space="0" w:color="auto"/>
              <w:right w:val="single" w:sz="4" w:space="0" w:color="auto"/>
            </w:tcBorders>
          </w:tcPr>
          <w:p w14:paraId="3585CCA7" w14:textId="77777777" w:rsidR="00176E18" w:rsidRDefault="00000000">
            <w:pPr>
              <w:jc w:val="left"/>
              <w:rPr>
                <w:rFonts w:ascii="Arial" w:hAnsi="Arial" w:cs="Arial"/>
                <w:b/>
                <w:bCs/>
                <w:sz w:val="20"/>
                <w:szCs w:val="20"/>
              </w:rPr>
            </w:pPr>
            <w:r>
              <w:rPr>
                <w:rFonts w:ascii="Arial" w:eastAsia="等线" w:hAnsi="Arial" w:cs="Arial"/>
                <w:sz w:val="20"/>
                <w:szCs w:val="20"/>
                <w:lang w:bidi="ar"/>
              </w:rPr>
              <w:t>45.95(6.4-329.0)</w:t>
            </w:r>
          </w:p>
        </w:tc>
        <w:tc>
          <w:tcPr>
            <w:tcW w:w="1896" w:type="dxa"/>
            <w:tcBorders>
              <w:top w:val="single" w:sz="4" w:space="0" w:color="auto"/>
              <w:left w:val="single" w:sz="4" w:space="0" w:color="auto"/>
              <w:bottom w:val="single" w:sz="4" w:space="0" w:color="auto"/>
              <w:right w:val="single" w:sz="4" w:space="0" w:color="auto"/>
            </w:tcBorders>
          </w:tcPr>
          <w:p w14:paraId="6908ED98" w14:textId="77777777" w:rsidR="00176E18" w:rsidRDefault="00000000">
            <w:pPr>
              <w:jc w:val="left"/>
              <w:rPr>
                <w:rFonts w:ascii="Arial" w:hAnsi="Arial" w:cs="Arial"/>
                <w:b/>
                <w:bCs/>
                <w:sz w:val="20"/>
                <w:szCs w:val="20"/>
              </w:rPr>
            </w:pPr>
            <w:r>
              <w:rPr>
                <w:rFonts w:ascii="Arial" w:eastAsia="等线" w:hAnsi="Arial" w:cs="Arial"/>
                <w:sz w:val="20"/>
                <w:szCs w:val="20"/>
                <w:lang w:bidi="ar"/>
              </w:rPr>
              <w:t>0.83(0.8-0.9)</w:t>
            </w:r>
          </w:p>
        </w:tc>
        <w:tc>
          <w:tcPr>
            <w:tcW w:w="745" w:type="dxa"/>
            <w:tcBorders>
              <w:top w:val="single" w:sz="4" w:space="0" w:color="auto"/>
              <w:left w:val="single" w:sz="4" w:space="0" w:color="auto"/>
              <w:bottom w:val="single" w:sz="4" w:space="0" w:color="auto"/>
              <w:right w:val="single" w:sz="4" w:space="0" w:color="auto"/>
            </w:tcBorders>
          </w:tcPr>
          <w:p w14:paraId="168FD2A3" w14:textId="77777777" w:rsidR="00176E18" w:rsidRDefault="00000000">
            <w:pPr>
              <w:jc w:val="left"/>
              <w:rPr>
                <w:rFonts w:ascii="Arial" w:hAnsi="Arial" w:cs="Arial"/>
                <w:b/>
                <w:bCs/>
                <w:sz w:val="20"/>
                <w:szCs w:val="20"/>
              </w:rPr>
            </w:pPr>
            <w:r>
              <w:rPr>
                <w:rFonts w:ascii="Arial" w:eastAsia="等线" w:hAnsi="Arial" w:cs="Arial"/>
                <w:sz w:val="20"/>
                <w:szCs w:val="20"/>
                <w:lang w:bidi="ar"/>
              </w:rPr>
              <w:t>0</w:t>
            </w:r>
          </w:p>
        </w:tc>
        <w:tc>
          <w:tcPr>
            <w:tcW w:w="860" w:type="dxa"/>
            <w:tcBorders>
              <w:top w:val="single" w:sz="4" w:space="0" w:color="auto"/>
              <w:left w:val="single" w:sz="4" w:space="0" w:color="auto"/>
              <w:bottom w:val="single" w:sz="4" w:space="0" w:color="auto"/>
              <w:right w:val="single" w:sz="4" w:space="0" w:color="auto"/>
            </w:tcBorders>
          </w:tcPr>
          <w:p w14:paraId="269078B4" w14:textId="77777777" w:rsidR="00176E18" w:rsidRDefault="00000000">
            <w:pPr>
              <w:jc w:val="left"/>
              <w:rPr>
                <w:rFonts w:ascii="Arial" w:hAnsi="Arial" w:cs="Arial"/>
                <w:b/>
                <w:bCs/>
                <w:sz w:val="20"/>
                <w:szCs w:val="20"/>
              </w:rPr>
            </w:pPr>
            <w:r>
              <w:rPr>
                <w:rFonts w:ascii="Arial" w:eastAsia="等线" w:hAnsi="Arial" w:cs="Arial"/>
                <w:sz w:val="20"/>
                <w:szCs w:val="20"/>
                <w:lang w:bidi="ar"/>
              </w:rPr>
              <w:t>41.05</w:t>
            </w:r>
          </w:p>
        </w:tc>
      </w:tr>
    </w:tbl>
    <w:p w14:paraId="587B5866" w14:textId="77777777" w:rsidR="00176E18" w:rsidRDefault="00000000">
      <w:pPr>
        <w:spacing w:line="240" w:lineRule="exact"/>
        <w:rPr>
          <w:rFonts w:ascii="Arial" w:eastAsia="Times New Roman Uni" w:hAnsi="Arial" w:cs="Arial"/>
          <w:b/>
          <w:bCs/>
          <w:sz w:val="20"/>
          <w:szCs w:val="20"/>
        </w:rPr>
      </w:pPr>
      <w:r>
        <w:rPr>
          <w:rFonts w:ascii="Arial" w:eastAsia="Times New Roman Uni" w:hAnsi="Arial" w:cs="Arial"/>
          <w:i/>
          <w:iCs/>
          <w:sz w:val="20"/>
          <w:szCs w:val="20"/>
          <w:lang w:bidi="ar"/>
        </w:rPr>
        <w:t>Sen</w:t>
      </w:r>
      <w:r>
        <w:rPr>
          <w:rFonts w:ascii="Arial" w:eastAsia="Times New Roman Uni" w:hAnsi="Arial" w:cs="Arial"/>
          <w:sz w:val="20"/>
          <w:szCs w:val="20"/>
          <w:lang w:bidi="ar"/>
        </w:rPr>
        <w:t xml:space="preserve">, Sensitivity; </w:t>
      </w:r>
      <w:r>
        <w:rPr>
          <w:rFonts w:ascii="Arial" w:eastAsia="Times New Roman Uni" w:hAnsi="Arial" w:cs="Arial"/>
          <w:i/>
          <w:iCs/>
          <w:sz w:val="20"/>
          <w:szCs w:val="20"/>
          <w:lang w:bidi="ar"/>
        </w:rPr>
        <w:t>Spe</w:t>
      </w:r>
      <w:r>
        <w:rPr>
          <w:rFonts w:ascii="Arial" w:eastAsia="Times New Roman Uni" w:hAnsi="Arial" w:cs="Arial"/>
          <w:sz w:val="20"/>
          <w:szCs w:val="20"/>
          <w:lang w:bidi="ar"/>
        </w:rPr>
        <w:t xml:space="preserve">, Specificity; </w:t>
      </w:r>
      <w:r>
        <w:rPr>
          <w:rFonts w:ascii="Arial" w:eastAsia="Times New Roman Uni" w:hAnsi="Arial" w:cs="Arial"/>
          <w:i/>
          <w:iCs/>
          <w:sz w:val="20"/>
          <w:szCs w:val="20"/>
          <w:lang w:bidi="ar"/>
        </w:rPr>
        <w:t>+ LR</w:t>
      </w:r>
      <w:r>
        <w:rPr>
          <w:rFonts w:ascii="Arial" w:eastAsia="Times New Roman Uni" w:hAnsi="Arial" w:cs="Arial"/>
          <w:sz w:val="20"/>
          <w:szCs w:val="20"/>
          <w:lang w:bidi="ar"/>
        </w:rPr>
        <w:t xml:space="preserve">, Positive likelihood ratio; </w:t>
      </w:r>
      <w:r>
        <w:rPr>
          <w:rFonts w:ascii="Arial" w:eastAsia="Times New Roman Uni" w:hAnsi="Arial" w:cs="Arial"/>
          <w:i/>
          <w:iCs/>
          <w:sz w:val="20"/>
          <w:szCs w:val="20"/>
          <w:lang w:bidi="ar"/>
        </w:rPr>
        <w:t>- LR</w:t>
      </w:r>
      <w:r>
        <w:rPr>
          <w:rFonts w:ascii="Arial" w:eastAsia="Times New Roman Uni" w:hAnsi="Arial" w:cs="Arial"/>
          <w:sz w:val="20"/>
          <w:szCs w:val="20"/>
          <w:lang w:bidi="ar"/>
        </w:rPr>
        <w:t xml:space="preserve">, Negative likelihood ratio; </w:t>
      </w:r>
      <w:r>
        <w:rPr>
          <w:rFonts w:ascii="Arial" w:eastAsia="Times New Roman Uni" w:hAnsi="Arial" w:cs="Arial"/>
          <w:i/>
          <w:iCs/>
          <w:sz w:val="20"/>
          <w:szCs w:val="20"/>
          <w:lang w:bidi="ar"/>
        </w:rPr>
        <w:t>95% CI</w:t>
      </w:r>
      <w:r>
        <w:rPr>
          <w:rFonts w:ascii="Arial" w:eastAsia="Times New Roman Uni" w:hAnsi="Arial" w:cs="Arial"/>
          <w:sz w:val="20"/>
          <w:szCs w:val="20"/>
          <w:lang w:bidi="ar"/>
        </w:rPr>
        <w:t>, 95% Confidence Interval;</w:t>
      </w:r>
      <w:r>
        <w:rPr>
          <w:rFonts w:ascii="Arial" w:eastAsia="Times New Roman Uni" w:hAnsi="Arial" w:cs="Arial"/>
          <w:i/>
          <w:iCs/>
          <w:sz w:val="20"/>
          <w:szCs w:val="20"/>
          <w:lang w:bidi="ar"/>
        </w:rPr>
        <w:t xml:space="preserve"> PPV</w:t>
      </w:r>
      <w:r>
        <w:rPr>
          <w:rFonts w:ascii="Arial" w:eastAsia="Times New Roman Uni" w:hAnsi="Arial" w:cs="Arial"/>
          <w:sz w:val="20"/>
          <w:szCs w:val="20"/>
          <w:lang w:bidi="ar"/>
        </w:rPr>
        <w:t xml:space="preserve">, Positive predictive value; </w:t>
      </w:r>
      <w:r>
        <w:rPr>
          <w:rFonts w:ascii="Arial" w:eastAsia="Times New Roman Uni" w:hAnsi="Arial" w:cs="Arial"/>
          <w:i/>
          <w:iCs/>
          <w:sz w:val="20"/>
          <w:szCs w:val="20"/>
          <w:lang w:bidi="ar"/>
        </w:rPr>
        <w:t>NPV</w:t>
      </w:r>
      <w:r>
        <w:rPr>
          <w:rFonts w:ascii="Arial" w:eastAsia="Times New Roman Uni" w:hAnsi="Arial" w:cs="Arial"/>
          <w:sz w:val="20"/>
          <w:szCs w:val="20"/>
          <w:lang w:bidi="ar"/>
        </w:rPr>
        <w:t>, Negative predictive value.</w:t>
      </w:r>
    </w:p>
    <w:p w14:paraId="0EFB2EFA" w14:textId="77777777" w:rsidR="00176E18" w:rsidRDefault="00176E18">
      <w:pPr>
        <w:spacing w:line="360" w:lineRule="exact"/>
        <w:rPr>
          <w:rFonts w:ascii="Arial" w:eastAsia="Times New Roman Uni" w:hAnsi="Arial" w:cs="Arial"/>
          <w:sz w:val="22"/>
        </w:rPr>
      </w:pPr>
    </w:p>
    <w:p w14:paraId="5545F234" w14:textId="77777777" w:rsidR="00176E18" w:rsidRDefault="00176E18">
      <w:pPr>
        <w:spacing w:afterLines="50" w:after="156" w:line="280" w:lineRule="exact"/>
        <w:rPr>
          <w:rStyle w:val="20"/>
          <w:rFonts w:ascii="Arial" w:hAnsi="Arial" w:cs="Arial"/>
          <w:b/>
          <w:bCs/>
          <w:color w:val="auto"/>
          <w:sz w:val="22"/>
          <w:szCs w:val="22"/>
        </w:rPr>
      </w:pPr>
    </w:p>
    <w:p w14:paraId="7769965F" w14:textId="77777777" w:rsidR="00176E18" w:rsidRDefault="00176E18">
      <w:pPr>
        <w:spacing w:afterLines="50" w:after="156" w:line="280" w:lineRule="exact"/>
        <w:rPr>
          <w:rStyle w:val="20"/>
          <w:rFonts w:ascii="Arial" w:hAnsi="Arial" w:cs="Arial"/>
          <w:b/>
          <w:bCs/>
          <w:color w:val="auto"/>
          <w:sz w:val="22"/>
          <w:szCs w:val="22"/>
        </w:rPr>
      </w:pPr>
    </w:p>
    <w:p w14:paraId="28BAA06A" w14:textId="77777777" w:rsidR="00176E18" w:rsidRDefault="00176E18">
      <w:pPr>
        <w:spacing w:afterLines="50" w:after="156" w:line="280" w:lineRule="exact"/>
        <w:rPr>
          <w:rStyle w:val="20"/>
          <w:rFonts w:ascii="Arial" w:hAnsi="Arial" w:cs="Arial"/>
          <w:b/>
          <w:bCs/>
          <w:color w:val="auto"/>
          <w:sz w:val="22"/>
          <w:szCs w:val="22"/>
        </w:rPr>
      </w:pPr>
    </w:p>
    <w:p w14:paraId="1AA8DD8C" w14:textId="77777777" w:rsidR="00176E18" w:rsidRDefault="00176E18">
      <w:pPr>
        <w:spacing w:afterLines="50" w:after="156" w:line="280" w:lineRule="exact"/>
        <w:rPr>
          <w:rStyle w:val="20"/>
          <w:rFonts w:ascii="Arial" w:hAnsi="Arial" w:cs="Arial"/>
          <w:b/>
          <w:bCs/>
          <w:color w:val="auto"/>
          <w:sz w:val="22"/>
          <w:szCs w:val="22"/>
        </w:rPr>
      </w:pPr>
    </w:p>
    <w:p w14:paraId="5B4811EF" w14:textId="77777777" w:rsidR="00176E18" w:rsidRDefault="00176E18">
      <w:pPr>
        <w:spacing w:afterLines="50" w:after="156" w:line="280" w:lineRule="exact"/>
        <w:rPr>
          <w:rStyle w:val="20"/>
          <w:rFonts w:ascii="Arial" w:hAnsi="Arial" w:cs="Arial"/>
          <w:b/>
          <w:bCs/>
          <w:color w:val="auto"/>
          <w:sz w:val="22"/>
          <w:szCs w:val="22"/>
        </w:rPr>
      </w:pPr>
    </w:p>
    <w:p w14:paraId="76E4E200" w14:textId="77777777" w:rsidR="00176E18" w:rsidRDefault="00000000">
      <w:pPr>
        <w:pageBreakBefore/>
        <w:spacing w:afterLines="50" w:after="156" w:line="280" w:lineRule="exact"/>
        <w:outlineLvl w:val="0"/>
        <w:rPr>
          <w:rFonts w:ascii="Arial" w:eastAsia="Times New Roman Uni" w:hAnsi="Arial" w:cs="Arial"/>
          <w:b/>
          <w:bCs/>
          <w:sz w:val="22"/>
        </w:rPr>
      </w:pPr>
      <w:bookmarkStart w:id="2" w:name="_Toc7716"/>
      <w:r>
        <w:rPr>
          <w:rStyle w:val="20"/>
          <w:rFonts w:ascii="Arial" w:hAnsi="Arial" w:cs="Arial"/>
          <w:b/>
          <w:bCs/>
          <w:color w:val="auto"/>
          <w:sz w:val="24"/>
          <w:szCs w:val="24"/>
        </w:rPr>
        <w:lastRenderedPageBreak/>
        <w:t xml:space="preserve">Table </w:t>
      </w:r>
      <w:r>
        <w:rPr>
          <w:rStyle w:val="20"/>
          <w:rFonts w:ascii="Arial" w:hAnsi="Arial" w:cs="Arial" w:hint="eastAsia"/>
          <w:b/>
          <w:bCs/>
          <w:color w:val="auto"/>
          <w:sz w:val="24"/>
          <w:szCs w:val="24"/>
        </w:rPr>
        <w:t>S</w:t>
      </w:r>
      <w:r>
        <w:rPr>
          <w:rStyle w:val="20"/>
          <w:rFonts w:ascii="Arial" w:hAnsi="Arial" w:cs="Arial"/>
          <w:b/>
          <w:bCs/>
          <w:color w:val="auto"/>
          <w:sz w:val="24"/>
          <w:szCs w:val="24"/>
        </w:rPr>
        <w:t xml:space="preserve">3. Early warning efficacy of LIP scores* </w:t>
      </w:r>
      <w:r>
        <w:rPr>
          <w:rStyle w:val="20"/>
          <w:rFonts w:ascii="Arial" w:hAnsi="Arial" w:cs="Arial"/>
          <w:color w:val="auto"/>
          <w:sz w:val="22"/>
          <w:szCs w:val="22"/>
        </w:rPr>
        <w:t>(when any two of the three items ≥1 point)</w:t>
      </w:r>
      <w:bookmarkEnd w:id="2"/>
    </w:p>
    <w:tbl>
      <w:tblPr>
        <w:tblStyle w:val="ab"/>
        <w:tblW w:w="10180" w:type="dxa"/>
        <w:jc w:val="center"/>
        <w:tblLook w:val="04A0" w:firstRow="1" w:lastRow="0" w:firstColumn="1" w:lastColumn="0" w:noHBand="0" w:noVBand="1"/>
      </w:tblPr>
      <w:tblGrid>
        <w:gridCol w:w="828"/>
        <w:gridCol w:w="1871"/>
        <w:gridCol w:w="1890"/>
        <w:gridCol w:w="1890"/>
        <w:gridCol w:w="1539"/>
        <w:gridCol w:w="1068"/>
        <w:gridCol w:w="1094"/>
      </w:tblGrid>
      <w:tr w:rsidR="00176E18" w14:paraId="7F6806A3" w14:textId="77777777">
        <w:trPr>
          <w:trHeight w:val="354"/>
          <w:jc w:val="center"/>
        </w:trPr>
        <w:tc>
          <w:tcPr>
            <w:tcW w:w="828" w:type="dxa"/>
            <w:shd w:val="clear" w:color="auto" w:fill="C9C9C9" w:themeFill="accent3" w:themeFillTint="99"/>
          </w:tcPr>
          <w:p w14:paraId="45BF149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Item</w:t>
            </w:r>
          </w:p>
        </w:tc>
        <w:tc>
          <w:tcPr>
            <w:tcW w:w="1871" w:type="dxa"/>
            <w:shd w:val="clear" w:color="auto" w:fill="C9C9C9" w:themeFill="accent3" w:themeFillTint="99"/>
          </w:tcPr>
          <w:p w14:paraId="4E857843"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Sen, 95%CI</w:t>
            </w:r>
          </w:p>
        </w:tc>
        <w:tc>
          <w:tcPr>
            <w:tcW w:w="1890" w:type="dxa"/>
            <w:shd w:val="clear" w:color="auto" w:fill="C9C9C9" w:themeFill="accent3" w:themeFillTint="99"/>
          </w:tcPr>
          <w:p w14:paraId="71637DE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Spe, 95%CI</w:t>
            </w:r>
          </w:p>
        </w:tc>
        <w:tc>
          <w:tcPr>
            <w:tcW w:w="1890" w:type="dxa"/>
            <w:shd w:val="clear" w:color="auto" w:fill="C9C9C9" w:themeFill="accent3" w:themeFillTint="99"/>
          </w:tcPr>
          <w:p w14:paraId="10E1DF6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+LR, 95%CI</w:t>
            </w:r>
          </w:p>
        </w:tc>
        <w:tc>
          <w:tcPr>
            <w:tcW w:w="1539" w:type="dxa"/>
            <w:shd w:val="clear" w:color="auto" w:fill="C9C9C9" w:themeFill="accent3" w:themeFillTint="99"/>
          </w:tcPr>
          <w:p w14:paraId="4444868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-LR, 95%CI</w:t>
            </w:r>
          </w:p>
        </w:tc>
        <w:tc>
          <w:tcPr>
            <w:tcW w:w="1068" w:type="dxa"/>
            <w:shd w:val="clear" w:color="auto" w:fill="C9C9C9" w:themeFill="accent3" w:themeFillTint="99"/>
          </w:tcPr>
          <w:p w14:paraId="13EAAD0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PPV (%)</w:t>
            </w:r>
          </w:p>
        </w:tc>
        <w:tc>
          <w:tcPr>
            <w:tcW w:w="1094" w:type="dxa"/>
            <w:shd w:val="clear" w:color="auto" w:fill="C9C9C9" w:themeFill="accent3" w:themeFillTint="99"/>
          </w:tcPr>
          <w:p w14:paraId="2CFCF5A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NPV (%)</w:t>
            </w:r>
          </w:p>
        </w:tc>
      </w:tr>
      <w:tr w:rsidR="00176E18" w14:paraId="3092FFE1" w14:textId="77777777">
        <w:trPr>
          <w:trHeight w:val="336"/>
          <w:jc w:val="center"/>
        </w:trPr>
        <w:tc>
          <w:tcPr>
            <w:tcW w:w="828" w:type="dxa"/>
          </w:tcPr>
          <w:p w14:paraId="54D3A3A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w:t>
            </w:r>
          </w:p>
        </w:tc>
        <w:tc>
          <w:tcPr>
            <w:tcW w:w="1871" w:type="dxa"/>
            <w:tcBorders>
              <w:top w:val="single" w:sz="4" w:space="0" w:color="auto"/>
              <w:left w:val="single" w:sz="4" w:space="0" w:color="auto"/>
              <w:bottom w:val="single" w:sz="4" w:space="0" w:color="auto"/>
              <w:right w:val="single" w:sz="4" w:space="0" w:color="auto"/>
            </w:tcBorders>
            <w:vAlign w:val="bottom"/>
          </w:tcPr>
          <w:p w14:paraId="563A5B64"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100(99.5-100.0)</w:t>
            </w:r>
          </w:p>
        </w:tc>
        <w:tc>
          <w:tcPr>
            <w:tcW w:w="1890" w:type="dxa"/>
            <w:tcBorders>
              <w:top w:val="single" w:sz="4" w:space="0" w:color="auto"/>
              <w:left w:val="single" w:sz="4" w:space="0" w:color="auto"/>
              <w:bottom w:val="single" w:sz="4" w:space="0" w:color="auto"/>
              <w:right w:val="single" w:sz="4" w:space="0" w:color="auto"/>
            </w:tcBorders>
            <w:vAlign w:val="bottom"/>
          </w:tcPr>
          <w:p w14:paraId="17D0F2BB"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0(0.0-1.0)</w:t>
            </w:r>
          </w:p>
        </w:tc>
        <w:tc>
          <w:tcPr>
            <w:tcW w:w="1890" w:type="dxa"/>
            <w:tcBorders>
              <w:top w:val="single" w:sz="4" w:space="0" w:color="auto"/>
              <w:left w:val="single" w:sz="4" w:space="0" w:color="auto"/>
              <w:bottom w:val="single" w:sz="4" w:space="0" w:color="auto"/>
              <w:right w:val="single" w:sz="4" w:space="0" w:color="auto"/>
            </w:tcBorders>
            <w:vAlign w:val="bottom"/>
          </w:tcPr>
          <w:p w14:paraId="45FCBCE3"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1(1.0-1.0)</w:t>
            </w:r>
          </w:p>
        </w:tc>
        <w:tc>
          <w:tcPr>
            <w:tcW w:w="1539" w:type="dxa"/>
            <w:tcBorders>
              <w:top w:val="single" w:sz="4" w:space="0" w:color="auto"/>
              <w:left w:val="single" w:sz="4" w:space="0" w:color="auto"/>
              <w:bottom w:val="single" w:sz="4" w:space="0" w:color="auto"/>
              <w:right w:val="single" w:sz="4" w:space="0" w:color="auto"/>
            </w:tcBorders>
            <w:vAlign w:val="bottom"/>
          </w:tcPr>
          <w:p w14:paraId="0BE718D9"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N/A</w:t>
            </w:r>
          </w:p>
        </w:tc>
        <w:tc>
          <w:tcPr>
            <w:tcW w:w="1068" w:type="dxa"/>
            <w:tcBorders>
              <w:top w:val="single" w:sz="4" w:space="0" w:color="auto"/>
              <w:left w:val="single" w:sz="4" w:space="0" w:color="auto"/>
              <w:bottom w:val="single" w:sz="4" w:space="0" w:color="auto"/>
              <w:right w:val="single" w:sz="4" w:space="0" w:color="auto"/>
            </w:tcBorders>
            <w:vAlign w:val="bottom"/>
          </w:tcPr>
          <w:p w14:paraId="3BB10224"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66.38</w:t>
            </w:r>
          </w:p>
        </w:tc>
        <w:tc>
          <w:tcPr>
            <w:tcW w:w="1094" w:type="dxa"/>
            <w:tcBorders>
              <w:top w:val="single" w:sz="4" w:space="0" w:color="auto"/>
              <w:left w:val="nil"/>
              <w:bottom w:val="single" w:sz="4" w:space="0" w:color="auto"/>
              <w:right w:val="single" w:sz="4" w:space="0" w:color="auto"/>
            </w:tcBorders>
            <w:vAlign w:val="bottom"/>
          </w:tcPr>
          <w:p w14:paraId="10ABF998"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N/A</w:t>
            </w:r>
          </w:p>
        </w:tc>
      </w:tr>
      <w:tr w:rsidR="00176E18" w14:paraId="42854B5A" w14:textId="77777777">
        <w:trPr>
          <w:trHeight w:val="336"/>
          <w:jc w:val="center"/>
        </w:trPr>
        <w:tc>
          <w:tcPr>
            <w:tcW w:w="828" w:type="dxa"/>
          </w:tcPr>
          <w:p w14:paraId="126F356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w:t>
            </w:r>
          </w:p>
        </w:tc>
        <w:tc>
          <w:tcPr>
            <w:tcW w:w="1871" w:type="dxa"/>
            <w:tcBorders>
              <w:top w:val="nil"/>
              <w:left w:val="single" w:sz="4" w:space="0" w:color="auto"/>
              <w:bottom w:val="single" w:sz="4" w:space="0" w:color="auto"/>
              <w:right w:val="single" w:sz="4" w:space="0" w:color="auto"/>
            </w:tcBorders>
            <w:vAlign w:val="bottom"/>
          </w:tcPr>
          <w:p w14:paraId="4F608204"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97.54(96.1-98.6)</w:t>
            </w:r>
          </w:p>
        </w:tc>
        <w:tc>
          <w:tcPr>
            <w:tcW w:w="1890" w:type="dxa"/>
            <w:tcBorders>
              <w:top w:val="nil"/>
              <w:left w:val="single" w:sz="4" w:space="0" w:color="auto"/>
              <w:bottom w:val="single" w:sz="4" w:space="0" w:color="auto"/>
              <w:right w:val="single" w:sz="4" w:space="0" w:color="auto"/>
            </w:tcBorders>
            <w:vAlign w:val="bottom"/>
          </w:tcPr>
          <w:p w14:paraId="4468A5E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49.71(44.4-55.1)</w:t>
            </w:r>
          </w:p>
        </w:tc>
        <w:tc>
          <w:tcPr>
            <w:tcW w:w="1890" w:type="dxa"/>
            <w:tcBorders>
              <w:top w:val="nil"/>
              <w:left w:val="single" w:sz="4" w:space="0" w:color="auto"/>
              <w:bottom w:val="single" w:sz="4" w:space="0" w:color="auto"/>
              <w:right w:val="single" w:sz="4" w:space="0" w:color="auto"/>
            </w:tcBorders>
            <w:vAlign w:val="bottom"/>
          </w:tcPr>
          <w:p w14:paraId="7DB054B8"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1.94(1.7-2.2)</w:t>
            </w:r>
          </w:p>
        </w:tc>
        <w:tc>
          <w:tcPr>
            <w:tcW w:w="1539" w:type="dxa"/>
            <w:tcBorders>
              <w:top w:val="nil"/>
              <w:left w:val="single" w:sz="4" w:space="0" w:color="auto"/>
              <w:bottom w:val="single" w:sz="4" w:space="0" w:color="auto"/>
              <w:right w:val="single" w:sz="4" w:space="0" w:color="auto"/>
            </w:tcBorders>
            <w:vAlign w:val="bottom"/>
          </w:tcPr>
          <w:p w14:paraId="70AF089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0.05(0.03-0.08)</w:t>
            </w:r>
          </w:p>
        </w:tc>
        <w:tc>
          <w:tcPr>
            <w:tcW w:w="1068" w:type="dxa"/>
            <w:tcBorders>
              <w:top w:val="nil"/>
              <w:left w:val="single" w:sz="4" w:space="0" w:color="auto"/>
              <w:bottom w:val="single" w:sz="4" w:space="0" w:color="auto"/>
              <w:right w:val="single" w:sz="4" w:space="0" w:color="auto"/>
            </w:tcBorders>
            <w:vAlign w:val="bottom"/>
          </w:tcPr>
          <w:p w14:paraId="05E9322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79.29</w:t>
            </w:r>
          </w:p>
        </w:tc>
        <w:tc>
          <w:tcPr>
            <w:tcW w:w="1094" w:type="dxa"/>
            <w:tcBorders>
              <w:top w:val="nil"/>
              <w:left w:val="nil"/>
              <w:bottom w:val="single" w:sz="4" w:space="0" w:color="auto"/>
              <w:right w:val="single" w:sz="4" w:space="0" w:color="auto"/>
            </w:tcBorders>
            <w:vAlign w:val="bottom"/>
          </w:tcPr>
          <w:p w14:paraId="5E356C3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91.10</w:t>
            </w:r>
          </w:p>
        </w:tc>
      </w:tr>
      <w:tr w:rsidR="00176E18" w14:paraId="1A3F13B6" w14:textId="77777777">
        <w:trPr>
          <w:trHeight w:val="336"/>
          <w:jc w:val="center"/>
        </w:trPr>
        <w:tc>
          <w:tcPr>
            <w:tcW w:w="828" w:type="dxa"/>
          </w:tcPr>
          <w:p w14:paraId="0EA89F94"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w:t>
            </w:r>
          </w:p>
        </w:tc>
        <w:tc>
          <w:tcPr>
            <w:tcW w:w="1871" w:type="dxa"/>
            <w:tcBorders>
              <w:top w:val="nil"/>
              <w:left w:val="single" w:sz="4" w:space="0" w:color="auto"/>
              <w:bottom w:val="single" w:sz="4" w:space="0" w:color="auto"/>
              <w:right w:val="single" w:sz="4" w:space="0" w:color="auto"/>
            </w:tcBorders>
            <w:vAlign w:val="bottom"/>
          </w:tcPr>
          <w:p w14:paraId="75FEA91C"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94.21(92.2-95.8)</w:t>
            </w:r>
          </w:p>
        </w:tc>
        <w:tc>
          <w:tcPr>
            <w:tcW w:w="1890" w:type="dxa"/>
            <w:tcBorders>
              <w:top w:val="nil"/>
              <w:left w:val="single" w:sz="4" w:space="0" w:color="auto"/>
              <w:bottom w:val="single" w:sz="4" w:space="0" w:color="auto"/>
              <w:right w:val="single" w:sz="4" w:space="0" w:color="auto"/>
            </w:tcBorders>
            <w:vAlign w:val="bottom"/>
          </w:tcPr>
          <w:p w14:paraId="45AA87C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83.14(78.8-86.9)</w:t>
            </w:r>
          </w:p>
        </w:tc>
        <w:tc>
          <w:tcPr>
            <w:tcW w:w="1890" w:type="dxa"/>
            <w:tcBorders>
              <w:top w:val="nil"/>
              <w:left w:val="single" w:sz="4" w:space="0" w:color="auto"/>
              <w:bottom w:val="single" w:sz="4" w:space="0" w:color="auto"/>
              <w:right w:val="single" w:sz="4" w:space="0" w:color="auto"/>
            </w:tcBorders>
            <w:vAlign w:val="bottom"/>
          </w:tcPr>
          <w:p w14:paraId="3A282A8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5.59(4.4-7.1)</w:t>
            </w:r>
          </w:p>
        </w:tc>
        <w:tc>
          <w:tcPr>
            <w:tcW w:w="1539" w:type="dxa"/>
            <w:tcBorders>
              <w:top w:val="nil"/>
              <w:left w:val="single" w:sz="4" w:space="0" w:color="auto"/>
              <w:bottom w:val="single" w:sz="4" w:space="0" w:color="auto"/>
              <w:right w:val="single" w:sz="4" w:space="0" w:color="auto"/>
            </w:tcBorders>
            <w:vAlign w:val="bottom"/>
          </w:tcPr>
          <w:p w14:paraId="31F41DDD"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0.07(0.05-0.09)</w:t>
            </w:r>
          </w:p>
        </w:tc>
        <w:tc>
          <w:tcPr>
            <w:tcW w:w="1068" w:type="dxa"/>
            <w:tcBorders>
              <w:top w:val="nil"/>
              <w:left w:val="single" w:sz="4" w:space="0" w:color="auto"/>
              <w:bottom w:val="single" w:sz="4" w:space="0" w:color="auto"/>
              <w:right w:val="single" w:sz="4" w:space="0" w:color="auto"/>
            </w:tcBorders>
            <w:vAlign w:val="bottom"/>
          </w:tcPr>
          <w:p w14:paraId="7D2A703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91.69</w:t>
            </w:r>
          </w:p>
        </w:tc>
        <w:tc>
          <w:tcPr>
            <w:tcW w:w="1094" w:type="dxa"/>
            <w:tcBorders>
              <w:top w:val="nil"/>
              <w:left w:val="nil"/>
              <w:bottom w:val="single" w:sz="4" w:space="0" w:color="auto"/>
              <w:right w:val="single" w:sz="4" w:space="0" w:color="auto"/>
            </w:tcBorders>
            <w:vAlign w:val="bottom"/>
          </w:tcPr>
          <w:p w14:paraId="601ED78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87.92</w:t>
            </w:r>
          </w:p>
        </w:tc>
      </w:tr>
      <w:tr w:rsidR="00176E18" w14:paraId="716FC507" w14:textId="77777777">
        <w:trPr>
          <w:trHeight w:val="336"/>
          <w:jc w:val="center"/>
        </w:trPr>
        <w:tc>
          <w:tcPr>
            <w:tcW w:w="828" w:type="dxa"/>
          </w:tcPr>
          <w:p w14:paraId="00E3F36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3</w:t>
            </w:r>
          </w:p>
        </w:tc>
        <w:tc>
          <w:tcPr>
            <w:tcW w:w="1871" w:type="dxa"/>
            <w:tcBorders>
              <w:top w:val="nil"/>
              <w:left w:val="single" w:sz="4" w:space="0" w:color="auto"/>
              <w:bottom w:val="single" w:sz="4" w:space="0" w:color="auto"/>
              <w:right w:val="single" w:sz="4" w:space="0" w:color="auto"/>
            </w:tcBorders>
            <w:vAlign w:val="bottom"/>
          </w:tcPr>
          <w:p w14:paraId="43FD786E"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91.17(88.8-93.2)</w:t>
            </w:r>
          </w:p>
        </w:tc>
        <w:tc>
          <w:tcPr>
            <w:tcW w:w="1890" w:type="dxa"/>
            <w:tcBorders>
              <w:top w:val="nil"/>
              <w:left w:val="single" w:sz="4" w:space="0" w:color="auto"/>
              <w:bottom w:val="single" w:sz="4" w:space="0" w:color="auto"/>
              <w:right w:val="single" w:sz="4" w:space="0" w:color="auto"/>
            </w:tcBorders>
            <w:vAlign w:val="bottom"/>
          </w:tcPr>
          <w:p w14:paraId="6E01EEC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93.14(90.0-95.6)</w:t>
            </w:r>
          </w:p>
        </w:tc>
        <w:tc>
          <w:tcPr>
            <w:tcW w:w="1890" w:type="dxa"/>
            <w:tcBorders>
              <w:top w:val="nil"/>
              <w:left w:val="single" w:sz="4" w:space="0" w:color="auto"/>
              <w:bottom w:val="single" w:sz="4" w:space="0" w:color="auto"/>
              <w:right w:val="single" w:sz="4" w:space="0" w:color="auto"/>
            </w:tcBorders>
            <w:vAlign w:val="bottom"/>
          </w:tcPr>
          <w:p w14:paraId="5B320CED"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13.30(9.0-19.6)</w:t>
            </w:r>
          </w:p>
        </w:tc>
        <w:tc>
          <w:tcPr>
            <w:tcW w:w="1539" w:type="dxa"/>
            <w:tcBorders>
              <w:top w:val="nil"/>
              <w:left w:val="single" w:sz="4" w:space="0" w:color="auto"/>
              <w:bottom w:val="single" w:sz="4" w:space="0" w:color="auto"/>
              <w:right w:val="single" w:sz="4" w:space="0" w:color="auto"/>
            </w:tcBorders>
            <w:vAlign w:val="bottom"/>
          </w:tcPr>
          <w:p w14:paraId="2A26C8A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0.10(0.07-0.1)</w:t>
            </w:r>
          </w:p>
        </w:tc>
        <w:tc>
          <w:tcPr>
            <w:tcW w:w="1068" w:type="dxa"/>
            <w:tcBorders>
              <w:top w:val="nil"/>
              <w:left w:val="single" w:sz="4" w:space="0" w:color="auto"/>
              <w:bottom w:val="single" w:sz="4" w:space="0" w:color="auto"/>
              <w:right w:val="single" w:sz="4" w:space="0" w:color="auto"/>
            </w:tcBorders>
            <w:vAlign w:val="bottom"/>
          </w:tcPr>
          <w:p w14:paraId="2CEB6483"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96.33</w:t>
            </w:r>
          </w:p>
        </w:tc>
        <w:tc>
          <w:tcPr>
            <w:tcW w:w="1094" w:type="dxa"/>
            <w:tcBorders>
              <w:top w:val="nil"/>
              <w:left w:val="nil"/>
              <w:bottom w:val="single" w:sz="4" w:space="0" w:color="auto"/>
              <w:right w:val="single" w:sz="4" w:space="0" w:color="auto"/>
            </w:tcBorders>
            <w:vAlign w:val="bottom"/>
          </w:tcPr>
          <w:p w14:paraId="5D7BCCE1"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84.24</w:t>
            </w:r>
          </w:p>
        </w:tc>
      </w:tr>
      <w:tr w:rsidR="00176E18" w14:paraId="08DC6540" w14:textId="77777777">
        <w:trPr>
          <w:trHeight w:val="336"/>
          <w:jc w:val="center"/>
        </w:trPr>
        <w:tc>
          <w:tcPr>
            <w:tcW w:w="828" w:type="dxa"/>
          </w:tcPr>
          <w:p w14:paraId="67E68FF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4</w:t>
            </w:r>
          </w:p>
        </w:tc>
        <w:tc>
          <w:tcPr>
            <w:tcW w:w="1871" w:type="dxa"/>
            <w:tcBorders>
              <w:top w:val="nil"/>
              <w:left w:val="single" w:sz="4" w:space="0" w:color="auto"/>
              <w:bottom w:val="single" w:sz="4" w:space="0" w:color="auto"/>
              <w:right w:val="single" w:sz="4" w:space="0" w:color="auto"/>
            </w:tcBorders>
            <w:vAlign w:val="bottom"/>
          </w:tcPr>
          <w:p w14:paraId="132D91EF"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65.70(62.0-69.2)</w:t>
            </w:r>
          </w:p>
        </w:tc>
        <w:tc>
          <w:tcPr>
            <w:tcW w:w="1890" w:type="dxa"/>
            <w:tcBorders>
              <w:top w:val="nil"/>
              <w:left w:val="single" w:sz="4" w:space="0" w:color="auto"/>
              <w:bottom w:val="single" w:sz="4" w:space="0" w:color="auto"/>
              <w:right w:val="single" w:sz="4" w:space="0" w:color="auto"/>
            </w:tcBorders>
            <w:vAlign w:val="bottom"/>
          </w:tcPr>
          <w:p w14:paraId="56442ED4"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96.57(94.1-98.2)</w:t>
            </w:r>
          </w:p>
        </w:tc>
        <w:tc>
          <w:tcPr>
            <w:tcW w:w="1890" w:type="dxa"/>
            <w:tcBorders>
              <w:top w:val="nil"/>
              <w:left w:val="single" w:sz="4" w:space="0" w:color="auto"/>
              <w:bottom w:val="single" w:sz="4" w:space="0" w:color="auto"/>
              <w:right w:val="single" w:sz="4" w:space="0" w:color="auto"/>
            </w:tcBorders>
            <w:vAlign w:val="bottom"/>
          </w:tcPr>
          <w:p w14:paraId="10C54CE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19.16(11.0-33.5)</w:t>
            </w:r>
          </w:p>
        </w:tc>
        <w:tc>
          <w:tcPr>
            <w:tcW w:w="1539" w:type="dxa"/>
            <w:tcBorders>
              <w:top w:val="nil"/>
              <w:left w:val="single" w:sz="4" w:space="0" w:color="auto"/>
              <w:bottom w:val="single" w:sz="4" w:space="0" w:color="auto"/>
              <w:right w:val="single" w:sz="4" w:space="0" w:color="auto"/>
            </w:tcBorders>
            <w:vAlign w:val="bottom"/>
          </w:tcPr>
          <w:p w14:paraId="7C2474F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0.36(0.3-0.4)</w:t>
            </w:r>
          </w:p>
        </w:tc>
        <w:tc>
          <w:tcPr>
            <w:tcW w:w="1068" w:type="dxa"/>
            <w:tcBorders>
              <w:top w:val="nil"/>
              <w:left w:val="single" w:sz="4" w:space="0" w:color="auto"/>
              <w:bottom w:val="single" w:sz="4" w:space="0" w:color="auto"/>
              <w:right w:val="single" w:sz="4" w:space="0" w:color="auto"/>
            </w:tcBorders>
            <w:vAlign w:val="bottom"/>
          </w:tcPr>
          <w:p w14:paraId="1DA7036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95.18</w:t>
            </w:r>
          </w:p>
        </w:tc>
        <w:tc>
          <w:tcPr>
            <w:tcW w:w="1094" w:type="dxa"/>
            <w:tcBorders>
              <w:top w:val="nil"/>
              <w:left w:val="nil"/>
              <w:bottom w:val="single" w:sz="4" w:space="0" w:color="auto"/>
              <w:right w:val="single" w:sz="4" w:space="0" w:color="auto"/>
            </w:tcBorders>
            <w:vAlign w:val="bottom"/>
          </w:tcPr>
          <w:p w14:paraId="2B3AC67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42.68</w:t>
            </w:r>
          </w:p>
        </w:tc>
      </w:tr>
      <w:tr w:rsidR="00176E18" w14:paraId="0839FD5E" w14:textId="77777777">
        <w:trPr>
          <w:trHeight w:val="336"/>
          <w:jc w:val="center"/>
        </w:trPr>
        <w:tc>
          <w:tcPr>
            <w:tcW w:w="828" w:type="dxa"/>
          </w:tcPr>
          <w:p w14:paraId="0A250D9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5</w:t>
            </w:r>
          </w:p>
        </w:tc>
        <w:tc>
          <w:tcPr>
            <w:tcW w:w="1871" w:type="dxa"/>
            <w:tcBorders>
              <w:top w:val="nil"/>
              <w:left w:val="single" w:sz="4" w:space="0" w:color="auto"/>
              <w:bottom w:val="single" w:sz="4" w:space="0" w:color="auto"/>
              <w:right w:val="single" w:sz="4" w:space="0" w:color="auto"/>
            </w:tcBorders>
            <w:vAlign w:val="bottom"/>
          </w:tcPr>
          <w:p w14:paraId="4A86017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34.59(31.0-38.3)</w:t>
            </w:r>
          </w:p>
        </w:tc>
        <w:tc>
          <w:tcPr>
            <w:tcW w:w="1890" w:type="dxa"/>
            <w:tcBorders>
              <w:top w:val="nil"/>
              <w:left w:val="single" w:sz="4" w:space="0" w:color="auto"/>
              <w:bottom w:val="single" w:sz="4" w:space="0" w:color="auto"/>
              <w:right w:val="single" w:sz="4" w:space="0" w:color="auto"/>
            </w:tcBorders>
            <w:vAlign w:val="bottom"/>
          </w:tcPr>
          <w:p w14:paraId="11F2F5E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99.43(98.0-99.9)</w:t>
            </w:r>
          </w:p>
        </w:tc>
        <w:tc>
          <w:tcPr>
            <w:tcW w:w="1890" w:type="dxa"/>
            <w:tcBorders>
              <w:top w:val="nil"/>
              <w:left w:val="single" w:sz="4" w:space="0" w:color="auto"/>
              <w:bottom w:val="single" w:sz="4" w:space="0" w:color="auto"/>
              <w:right w:val="single" w:sz="4" w:space="0" w:color="auto"/>
            </w:tcBorders>
            <w:vAlign w:val="bottom"/>
          </w:tcPr>
          <w:p w14:paraId="30D0067E"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60.53(15.1-242.0)</w:t>
            </w:r>
          </w:p>
        </w:tc>
        <w:tc>
          <w:tcPr>
            <w:tcW w:w="1539" w:type="dxa"/>
            <w:tcBorders>
              <w:top w:val="nil"/>
              <w:left w:val="single" w:sz="4" w:space="0" w:color="auto"/>
              <w:bottom w:val="single" w:sz="4" w:space="0" w:color="auto"/>
              <w:right w:val="single" w:sz="4" w:space="0" w:color="auto"/>
            </w:tcBorders>
            <w:vAlign w:val="bottom"/>
          </w:tcPr>
          <w:p w14:paraId="3795E15F"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0.66(0.6-0.7)</w:t>
            </w:r>
          </w:p>
        </w:tc>
        <w:tc>
          <w:tcPr>
            <w:tcW w:w="1068" w:type="dxa"/>
            <w:tcBorders>
              <w:top w:val="nil"/>
              <w:left w:val="single" w:sz="4" w:space="0" w:color="auto"/>
              <w:bottom w:val="single" w:sz="4" w:space="0" w:color="auto"/>
              <w:right w:val="single" w:sz="4" w:space="0" w:color="auto"/>
            </w:tcBorders>
            <w:vAlign w:val="bottom"/>
          </w:tcPr>
          <w:p w14:paraId="0BF3CBF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99.17</w:t>
            </w:r>
          </w:p>
        </w:tc>
        <w:tc>
          <w:tcPr>
            <w:tcW w:w="1094" w:type="dxa"/>
            <w:tcBorders>
              <w:top w:val="nil"/>
              <w:left w:val="nil"/>
              <w:bottom w:val="single" w:sz="4" w:space="0" w:color="auto"/>
              <w:right w:val="single" w:sz="4" w:space="0" w:color="auto"/>
            </w:tcBorders>
            <w:vAlign w:val="bottom"/>
          </w:tcPr>
          <w:p w14:paraId="22E3622C"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43.50</w:t>
            </w:r>
          </w:p>
        </w:tc>
      </w:tr>
      <w:tr w:rsidR="00176E18" w14:paraId="69C524B6" w14:textId="77777777">
        <w:trPr>
          <w:trHeight w:val="356"/>
          <w:jc w:val="center"/>
        </w:trPr>
        <w:tc>
          <w:tcPr>
            <w:tcW w:w="828" w:type="dxa"/>
          </w:tcPr>
          <w:p w14:paraId="33B9A84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w:t>
            </w:r>
          </w:p>
        </w:tc>
        <w:tc>
          <w:tcPr>
            <w:tcW w:w="1871" w:type="dxa"/>
            <w:tcBorders>
              <w:top w:val="nil"/>
              <w:left w:val="single" w:sz="4" w:space="0" w:color="auto"/>
              <w:bottom w:val="single" w:sz="4" w:space="0" w:color="auto"/>
              <w:right w:val="single" w:sz="4" w:space="0" w:color="auto"/>
            </w:tcBorders>
            <w:vAlign w:val="bottom"/>
          </w:tcPr>
          <w:p w14:paraId="7479C7A4"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15.34(12.7-18.2)</w:t>
            </w:r>
          </w:p>
        </w:tc>
        <w:tc>
          <w:tcPr>
            <w:tcW w:w="1890" w:type="dxa"/>
            <w:tcBorders>
              <w:top w:val="nil"/>
              <w:left w:val="single" w:sz="4" w:space="0" w:color="auto"/>
              <w:bottom w:val="single" w:sz="4" w:space="0" w:color="auto"/>
              <w:right w:val="single" w:sz="4" w:space="0" w:color="auto"/>
            </w:tcBorders>
            <w:vAlign w:val="bottom"/>
          </w:tcPr>
          <w:p w14:paraId="7EECD79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99.71(98.4-100.0)</w:t>
            </w:r>
          </w:p>
        </w:tc>
        <w:tc>
          <w:tcPr>
            <w:tcW w:w="1890" w:type="dxa"/>
            <w:tcBorders>
              <w:top w:val="nil"/>
              <w:left w:val="single" w:sz="4" w:space="0" w:color="auto"/>
              <w:bottom w:val="single" w:sz="4" w:space="0" w:color="auto"/>
              <w:right w:val="single" w:sz="4" w:space="0" w:color="auto"/>
            </w:tcBorders>
            <w:vAlign w:val="bottom"/>
          </w:tcPr>
          <w:p w14:paraId="5F177CD1"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53.69(7.5-381.1)</w:t>
            </w:r>
          </w:p>
        </w:tc>
        <w:tc>
          <w:tcPr>
            <w:tcW w:w="1539" w:type="dxa"/>
            <w:tcBorders>
              <w:top w:val="nil"/>
              <w:left w:val="single" w:sz="4" w:space="0" w:color="auto"/>
              <w:bottom w:val="single" w:sz="4" w:space="0" w:color="auto"/>
              <w:right w:val="single" w:sz="4" w:space="0" w:color="auto"/>
            </w:tcBorders>
            <w:vAlign w:val="bottom"/>
          </w:tcPr>
          <w:p w14:paraId="231C4A59"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0.85(0.8-0.9)</w:t>
            </w:r>
          </w:p>
        </w:tc>
        <w:tc>
          <w:tcPr>
            <w:tcW w:w="1068" w:type="dxa"/>
            <w:tcBorders>
              <w:top w:val="nil"/>
              <w:left w:val="single" w:sz="4" w:space="0" w:color="auto"/>
              <w:bottom w:val="single" w:sz="4" w:space="0" w:color="auto"/>
              <w:right w:val="single" w:sz="4" w:space="0" w:color="auto"/>
            </w:tcBorders>
            <w:vAlign w:val="bottom"/>
          </w:tcPr>
          <w:p w14:paraId="0F5D0BCE"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99.07</w:t>
            </w:r>
          </w:p>
        </w:tc>
        <w:tc>
          <w:tcPr>
            <w:tcW w:w="1094" w:type="dxa"/>
            <w:tcBorders>
              <w:top w:val="nil"/>
              <w:left w:val="nil"/>
              <w:bottom w:val="single" w:sz="4" w:space="0" w:color="auto"/>
              <w:right w:val="single" w:sz="4" w:space="0" w:color="auto"/>
            </w:tcBorders>
            <w:vAlign w:val="bottom"/>
          </w:tcPr>
          <w:p w14:paraId="7F9A9EA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37.37</w:t>
            </w:r>
          </w:p>
        </w:tc>
      </w:tr>
    </w:tbl>
    <w:p w14:paraId="4B1E5539" w14:textId="77777777" w:rsidR="00176E18" w:rsidRDefault="00000000">
      <w:pPr>
        <w:spacing w:afterLines="50" w:after="156" w:line="280" w:lineRule="exact"/>
        <w:rPr>
          <w:rFonts w:ascii="Arial" w:hAnsi="Arial" w:cs="Arial"/>
          <w:sz w:val="20"/>
          <w:szCs w:val="20"/>
        </w:rPr>
      </w:pPr>
      <w:r>
        <w:rPr>
          <w:rFonts w:ascii="Arial" w:eastAsia="等线" w:hAnsi="Arial" w:cs="Arial"/>
          <w:kern w:val="0"/>
          <w:sz w:val="20"/>
          <w:szCs w:val="20"/>
        </w:rPr>
        <w:t xml:space="preserve">LIP score*: Evaluating the sepsis warning efficacy of the LIP score in a new subgroup, which was formed by excluding patients who were rated as 2 points in only any single item from the overall </w:t>
      </w:r>
      <w:proofErr w:type="gramStart"/>
      <w:r>
        <w:rPr>
          <w:rFonts w:ascii="Arial" w:eastAsia="等线" w:hAnsi="Arial" w:cs="Arial"/>
          <w:kern w:val="0"/>
          <w:sz w:val="20"/>
          <w:szCs w:val="20"/>
        </w:rPr>
        <w:t>patients..</w:t>
      </w:r>
      <w:proofErr w:type="gramEnd"/>
      <w:r>
        <w:rPr>
          <w:rFonts w:ascii="Arial" w:eastAsia="等线" w:hAnsi="Arial" w:cs="Arial"/>
          <w:kern w:val="0"/>
          <w:sz w:val="20"/>
          <w:szCs w:val="20"/>
        </w:rPr>
        <w:t xml:space="preserve"> Thus h</w:t>
      </w:r>
      <w:r>
        <w:rPr>
          <w:rStyle w:val="20"/>
          <w:rFonts w:ascii="Arial" w:eastAsia="等线" w:hAnsi="Arial" w:cs="Arial"/>
          <w:color w:val="auto"/>
          <w:sz w:val="20"/>
          <w:szCs w:val="20"/>
        </w:rPr>
        <w:t xml:space="preserve">ere, </w:t>
      </w:r>
      <w:r>
        <w:rPr>
          <w:rStyle w:val="20"/>
          <w:rFonts w:ascii="Arial" w:hAnsi="Arial" w:cs="Arial"/>
          <w:color w:val="auto"/>
          <w:sz w:val="20"/>
          <w:szCs w:val="20"/>
        </w:rPr>
        <w:t xml:space="preserve">LIP ≥2 means total score ≥2 points plus ≥1 point in ≥2 biomarkers, </w:t>
      </w:r>
      <w:r>
        <w:rPr>
          <w:rFonts w:ascii="Arial" w:eastAsia="Times New Roman Uni" w:hAnsi="Arial" w:cs="Arial"/>
          <w:sz w:val="20"/>
          <w:szCs w:val="20"/>
        </w:rPr>
        <w:t xml:space="preserve">means </w:t>
      </w:r>
      <w:bookmarkStart w:id="3" w:name="OLE_LINK48"/>
      <w:r>
        <w:rPr>
          <w:rFonts w:ascii="Arial" w:eastAsia="Times New Roman Uni" w:hAnsi="Arial" w:cs="Arial"/>
          <w:sz w:val="20"/>
          <w:szCs w:val="20"/>
        </w:rPr>
        <w:t xml:space="preserve">any two of the three items </w:t>
      </w:r>
      <w:r>
        <w:rPr>
          <w:rStyle w:val="20"/>
          <w:rFonts w:ascii="Arial" w:hAnsi="Arial" w:cs="Arial"/>
          <w:color w:val="auto"/>
          <w:sz w:val="20"/>
          <w:szCs w:val="20"/>
        </w:rPr>
        <w:t>≥1</w:t>
      </w:r>
      <w:r>
        <w:rPr>
          <w:rFonts w:ascii="Arial" w:eastAsia="Times New Roman Uni" w:hAnsi="Arial" w:cs="Arial"/>
          <w:sz w:val="20"/>
          <w:szCs w:val="20"/>
        </w:rPr>
        <w:t xml:space="preserve"> point</w:t>
      </w:r>
      <w:bookmarkEnd w:id="3"/>
      <w:r>
        <w:rPr>
          <w:rStyle w:val="20"/>
          <w:rFonts w:ascii="Arial" w:hAnsi="Arial" w:cs="Arial"/>
          <w:color w:val="auto"/>
          <w:sz w:val="20"/>
          <w:szCs w:val="20"/>
        </w:rPr>
        <w:t xml:space="preserve">. </w:t>
      </w:r>
      <w:r>
        <w:rPr>
          <w:rFonts w:ascii="Arial" w:eastAsia="Times New Roman Uni" w:hAnsi="Arial" w:cs="Arial"/>
          <w:i/>
          <w:iCs/>
          <w:sz w:val="20"/>
          <w:szCs w:val="20"/>
        </w:rPr>
        <w:t>Sen</w:t>
      </w:r>
      <w:r>
        <w:rPr>
          <w:rFonts w:ascii="Arial" w:eastAsia="Times New Roman Uni" w:hAnsi="Arial" w:cs="Arial"/>
          <w:sz w:val="20"/>
          <w:szCs w:val="20"/>
        </w:rPr>
        <w:t xml:space="preserve">, Sensitivity; </w:t>
      </w:r>
      <w:r>
        <w:rPr>
          <w:rFonts w:ascii="Arial" w:eastAsia="Times New Roman Uni" w:hAnsi="Arial" w:cs="Arial"/>
          <w:i/>
          <w:iCs/>
          <w:sz w:val="20"/>
          <w:szCs w:val="20"/>
        </w:rPr>
        <w:t>Spe</w:t>
      </w:r>
      <w:r>
        <w:rPr>
          <w:rFonts w:ascii="Arial" w:eastAsia="Times New Roman Uni" w:hAnsi="Arial" w:cs="Arial"/>
          <w:sz w:val="20"/>
          <w:szCs w:val="20"/>
        </w:rPr>
        <w:t xml:space="preserve">, Specificity; </w:t>
      </w:r>
      <w:r>
        <w:rPr>
          <w:rFonts w:ascii="Arial" w:eastAsia="Times New Roman Uni" w:hAnsi="Arial" w:cs="Arial"/>
          <w:i/>
          <w:iCs/>
          <w:sz w:val="20"/>
          <w:szCs w:val="20"/>
        </w:rPr>
        <w:t>+ LR</w:t>
      </w:r>
      <w:r>
        <w:rPr>
          <w:rFonts w:ascii="Arial" w:eastAsia="Times New Roman Uni" w:hAnsi="Arial" w:cs="Arial"/>
          <w:sz w:val="20"/>
          <w:szCs w:val="20"/>
        </w:rPr>
        <w:t xml:space="preserve">, Positive likelihood ratio; </w:t>
      </w:r>
      <w:r>
        <w:rPr>
          <w:rFonts w:ascii="Arial" w:eastAsia="Times New Roman Uni" w:hAnsi="Arial" w:cs="Arial"/>
          <w:i/>
          <w:iCs/>
          <w:sz w:val="20"/>
          <w:szCs w:val="20"/>
        </w:rPr>
        <w:t>- LR</w:t>
      </w:r>
      <w:r>
        <w:rPr>
          <w:rFonts w:ascii="Arial" w:eastAsia="Times New Roman Uni" w:hAnsi="Arial" w:cs="Arial"/>
          <w:sz w:val="20"/>
          <w:szCs w:val="20"/>
        </w:rPr>
        <w:t xml:space="preserve">, Negative likelihood ratio; </w:t>
      </w:r>
      <w:r>
        <w:rPr>
          <w:rFonts w:ascii="Arial" w:eastAsia="Times New Roman Uni" w:hAnsi="Arial" w:cs="Arial"/>
          <w:i/>
          <w:iCs/>
          <w:sz w:val="20"/>
          <w:szCs w:val="20"/>
        </w:rPr>
        <w:t>95% CI</w:t>
      </w:r>
      <w:r>
        <w:rPr>
          <w:rFonts w:ascii="Arial" w:eastAsia="Times New Roman Uni" w:hAnsi="Arial" w:cs="Arial"/>
          <w:sz w:val="20"/>
          <w:szCs w:val="20"/>
        </w:rPr>
        <w:t xml:space="preserve">, 95% Confidence Interval; </w:t>
      </w:r>
      <w:r>
        <w:rPr>
          <w:rFonts w:ascii="Arial" w:eastAsia="Times New Roman Uni" w:hAnsi="Arial" w:cs="Arial"/>
          <w:i/>
          <w:iCs/>
          <w:sz w:val="20"/>
          <w:szCs w:val="20"/>
        </w:rPr>
        <w:t>PPV</w:t>
      </w:r>
      <w:r>
        <w:rPr>
          <w:rFonts w:ascii="Arial" w:eastAsia="Times New Roman Uni" w:hAnsi="Arial" w:cs="Arial"/>
          <w:sz w:val="20"/>
          <w:szCs w:val="20"/>
        </w:rPr>
        <w:t xml:space="preserve">, Positive predictive value; </w:t>
      </w:r>
      <w:r>
        <w:rPr>
          <w:rFonts w:ascii="Arial" w:eastAsia="Times New Roman Uni" w:hAnsi="Arial" w:cs="Arial"/>
          <w:i/>
          <w:iCs/>
          <w:sz w:val="20"/>
          <w:szCs w:val="20"/>
        </w:rPr>
        <w:t>NPV</w:t>
      </w:r>
      <w:r>
        <w:rPr>
          <w:rFonts w:ascii="Arial" w:eastAsia="Times New Roman Uni" w:hAnsi="Arial" w:cs="Arial"/>
          <w:sz w:val="20"/>
          <w:szCs w:val="20"/>
        </w:rPr>
        <w:t xml:space="preserve">, Negative predictive value. </w:t>
      </w:r>
      <w:r>
        <w:rPr>
          <w:rFonts w:ascii="Arial" w:hAnsi="Arial" w:cs="Arial"/>
          <w:i/>
          <w:iCs/>
          <w:sz w:val="20"/>
          <w:szCs w:val="20"/>
        </w:rPr>
        <w:t>LIP</w:t>
      </w:r>
      <w:r>
        <w:rPr>
          <w:rFonts w:ascii="Arial" w:hAnsi="Arial" w:cs="Arial"/>
          <w:sz w:val="20"/>
          <w:szCs w:val="20"/>
        </w:rPr>
        <w:t xml:space="preserve">, Lymphocyte, INR, and Procalcitonin-based Sepsis Screening Score.    </w:t>
      </w:r>
    </w:p>
    <w:p w14:paraId="65B85641" w14:textId="77777777" w:rsidR="00176E18" w:rsidRDefault="00000000">
      <w:pPr>
        <w:pStyle w:val="1"/>
        <w:keepNext w:val="0"/>
        <w:keepLines w:val="0"/>
        <w:pageBreakBefore/>
        <w:spacing w:before="120"/>
        <w:rPr>
          <w:rFonts w:ascii="Arial" w:hAnsi="Arial" w:cs="Arial"/>
          <w:b/>
          <w:bCs/>
          <w:color w:val="auto"/>
          <w:sz w:val="24"/>
          <w:szCs w:val="24"/>
        </w:rPr>
      </w:pPr>
      <w:bookmarkStart w:id="4" w:name="_Toc18416"/>
      <w:r>
        <w:rPr>
          <w:rFonts w:ascii="Arial" w:hAnsi="Arial" w:cs="Arial"/>
          <w:b/>
          <w:bCs/>
          <w:color w:val="auto"/>
          <w:sz w:val="24"/>
          <w:szCs w:val="24"/>
        </w:rPr>
        <w:lastRenderedPageBreak/>
        <w:t xml:space="preserve">Table </w:t>
      </w:r>
      <w:r>
        <w:rPr>
          <w:rFonts w:ascii="Arial" w:hAnsi="Arial" w:cs="Arial" w:hint="eastAsia"/>
          <w:b/>
          <w:bCs/>
          <w:color w:val="auto"/>
          <w:sz w:val="24"/>
          <w:szCs w:val="24"/>
        </w:rPr>
        <w:t>S</w:t>
      </w:r>
      <w:r>
        <w:rPr>
          <w:rFonts w:ascii="Arial" w:hAnsi="Arial" w:cs="Arial"/>
          <w:b/>
          <w:bCs/>
          <w:color w:val="auto"/>
          <w:sz w:val="24"/>
          <w:szCs w:val="24"/>
        </w:rPr>
        <w:t xml:space="preserve">4. Diagnostic </w:t>
      </w:r>
      <w:r>
        <w:rPr>
          <w:rFonts w:ascii="Arial" w:hAnsi="Arial" w:cs="Arial" w:hint="eastAsia"/>
          <w:b/>
          <w:bCs/>
          <w:color w:val="auto"/>
          <w:sz w:val="24"/>
          <w:szCs w:val="24"/>
        </w:rPr>
        <w:t>p</w:t>
      </w:r>
      <w:r>
        <w:rPr>
          <w:rFonts w:ascii="Arial" w:hAnsi="Arial" w:cs="Arial"/>
          <w:b/>
          <w:bCs/>
          <w:color w:val="auto"/>
          <w:sz w:val="24"/>
          <w:szCs w:val="24"/>
        </w:rPr>
        <w:t xml:space="preserve">erformance of the LIP </w:t>
      </w:r>
      <w:r>
        <w:rPr>
          <w:rFonts w:ascii="Arial" w:hAnsi="Arial" w:cs="Arial" w:hint="eastAsia"/>
          <w:b/>
          <w:bCs/>
          <w:color w:val="auto"/>
          <w:sz w:val="24"/>
          <w:szCs w:val="24"/>
        </w:rPr>
        <w:t>s</w:t>
      </w:r>
      <w:r>
        <w:rPr>
          <w:rFonts w:ascii="Arial" w:hAnsi="Arial" w:cs="Arial"/>
          <w:b/>
          <w:bCs/>
          <w:color w:val="auto"/>
          <w:sz w:val="24"/>
          <w:szCs w:val="24"/>
        </w:rPr>
        <w:t xml:space="preserve">core for </w:t>
      </w:r>
      <w:r>
        <w:rPr>
          <w:rFonts w:ascii="Arial" w:hAnsi="Arial" w:cs="Arial" w:hint="eastAsia"/>
          <w:b/>
          <w:bCs/>
          <w:color w:val="auto"/>
          <w:sz w:val="24"/>
          <w:szCs w:val="24"/>
        </w:rPr>
        <w:t>s</w:t>
      </w:r>
      <w:r>
        <w:rPr>
          <w:rFonts w:ascii="Arial" w:hAnsi="Arial" w:cs="Arial"/>
          <w:b/>
          <w:bCs/>
          <w:color w:val="auto"/>
          <w:sz w:val="24"/>
          <w:szCs w:val="24"/>
        </w:rPr>
        <w:t xml:space="preserve">epsis </w:t>
      </w:r>
      <w:r>
        <w:rPr>
          <w:rFonts w:ascii="Arial" w:hAnsi="Arial" w:cs="Arial" w:hint="eastAsia"/>
          <w:b/>
          <w:bCs/>
          <w:color w:val="auto"/>
          <w:sz w:val="24"/>
          <w:szCs w:val="24"/>
        </w:rPr>
        <w:t>s</w:t>
      </w:r>
      <w:r>
        <w:rPr>
          <w:rFonts w:ascii="Arial" w:hAnsi="Arial" w:cs="Arial"/>
          <w:b/>
          <w:bCs/>
          <w:color w:val="auto"/>
          <w:sz w:val="24"/>
          <w:szCs w:val="24"/>
        </w:rPr>
        <w:t xml:space="preserve">creening: </w:t>
      </w:r>
      <w:r>
        <w:rPr>
          <w:rFonts w:ascii="Arial" w:hAnsi="Arial" w:cs="Arial" w:hint="eastAsia"/>
          <w:b/>
          <w:bCs/>
          <w:color w:val="auto"/>
          <w:sz w:val="24"/>
          <w:szCs w:val="24"/>
        </w:rPr>
        <w:t>o</w:t>
      </w:r>
      <w:r>
        <w:rPr>
          <w:rFonts w:ascii="Arial" w:hAnsi="Arial" w:cs="Arial"/>
          <w:b/>
          <w:bCs/>
          <w:color w:val="auto"/>
          <w:sz w:val="24"/>
          <w:szCs w:val="24"/>
        </w:rPr>
        <w:t xml:space="preserve">verall </w:t>
      </w:r>
      <w:r>
        <w:rPr>
          <w:rFonts w:ascii="Arial" w:hAnsi="Arial" w:cs="Arial" w:hint="eastAsia"/>
          <w:b/>
          <w:bCs/>
          <w:color w:val="auto"/>
          <w:sz w:val="24"/>
          <w:szCs w:val="24"/>
        </w:rPr>
        <w:t>c</w:t>
      </w:r>
      <w:r>
        <w:rPr>
          <w:rFonts w:ascii="Arial" w:hAnsi="Arial" w:cs="Arial"/>
          <w:b/>
          <w:bCs/>
          <w:color w:val="auto"/>
          <w:sz w:val="24"/>
          <w:szCs w:val="24"/>
        </w:rPr>
        <w:t xml:space="preserve">ohort vs. </w:t>
      </w:r>
      <w:r>
        <w:rPr>
          <w:rFonts w:ascii="Arial" w:hAnsi="Arial" w:cs="Arial" w:hint="eastAsia"/>
          <w:b/>
          <w:bCs/>
          <w:color w:val="auto"/>
          <w:sz w:val="24"/>
          <w:szCs w:val="24"/>
        </w:rPr>
        <w:t>c</w:t>
      </w:r>
      <w:r>
        <w:rPr>
          <w:rFonts w:ascii="Arial" w:hAnsi="Arial" w:cs="Arial"/>
          <w:b/>
          <w:bCs/>
          <w:color w:val="auto"/>
          <w:sz w:val="24"/>
          <w:szCs w:val="24"/>
        </w:rPr>
        <w:t xml:space="preserve">ohort </w:t>
      </w:r>
      <w:r>
        <w:rPr>
          <w:rFonts w:ascii="Arial" w:hAnsi="Arial" w:cs="Arial" w:hint="eastAsia"/>
          <w:b/>
          <w:bCs/>
          <w:color w:val="auto"/>
          <w:sz w:val="24"/>
          <w:szCs w:val="24"/>
        </w:rPr>
        <w:t>e</w:t>
      </w:r>
      <w:r>
        <w:rPr>
          <w:rFonts w:ascii="Arial" w:hAnsi="Arial" w:cs="Arial"/>
          <w:b/>
          <w:bCs/>
          <w:color w:val="auto"/>
          <w:sz w:val="24"/>
          <w:szCs w:val="24"/>
        </w:rPr>
        <w:t xml:space="preserve">xcluding </w:t>
      </w:r>
      <w:r>
        <w:rPr>
          <w:rFonts w:ascii="Arial" w:hAnsi="Arial" w:cs="Arial" w:hint="eastAsia"/>
          <w:b/>
          <w:bCs/>
          <w:color w:val="auto"/>
          <w:sz w:val="24"/>
          <w:szCs w:val="24"/>
        </w:rPr>
        <w:t>p</w:t>
      </w:r>
      <w:r>
        <w:rPr>
          <w:rFonts w:ascii="Arial" w:hAnsi="Arial" w:cs="Arial"/>
          <w:b/>
          <w:bCs/>
          <w:color w:val="auto"/>
          <w:sz w:val="24"/>
          <w:szCs w:val="24"/>
        </w:rPr>
        <w:t xml:space="preserve">atients with a </w:t>
      </w:r>
      <w:r>
        <w:rPr>
          <w:rFonts w:ascii="Arial" w:hAnsi="Arial" w:cs="Arial" w:hint="eastAsia"/>
          <w:b/>
          <w:bCs/>
          <w:color w:val="auto"/>
          <w:sz w:val="24"/>
          <w:szCs w:val="24"/>
        </w:rPr>
        <w:t>s</w:t>
      </w:r>
      <w:r>
        <w:rPr>
          <w:rFonts w:ascii="Arial" w:hAnsi="Arial" w:cs="Arial"/>
          <w:b/>
          <w:bCs/>
          <w:color w:val="auto"/>
          <w:sz w:val="24"/>
          <w:szCs w:val="24"/>
        </w:rPr>
        <w:t>ingle 2-</w:t>
      </w:r>
      <w:r>
        <w:rPr>
          <w:rFonts w:ascii="Arial" w:hAnsi="Arial" w:cs="Arial" w:hint="eastAsia"/>
          <w:b/>
          <w:bCs/>
          <w:color w:val="auto"/>
          <w:sz w:val="24"/>
          <w:szCs w:val="24"/>
        </w:rPr>
        <w:t>p</w:t>
      </w:r>
      <w:r>
        <w:rPr>
          <w:rFonts w:ascii="Arial" w:hAnsi="Arial" w:cs="Arial"/>
          <w:b/>
          <w:bCs/>
          <w:color w:val="auto"/>
          <w:sz w:val="24"/>
          <w:szCs w:val="24"/>
        </w:rPr>
        <w:t xml:space="preserve">oint </w:t>
      </w:r>
      <w:r>
        <w:rPr>
          <w:rFonts w:ascii="Arial" w:hAnsi="Arial" w:cs="Arial" w:hint="eastAsia"/>
          <w:b/>
          <w:bCs/>
          <w:color w:val="auto"/>
          <w:sz w:val="24"/>
          <w:szCs w:val="24"/>
        </w:rPr>
        <w:t>i</w:t>
      </w:r>
      <w:r>
        <w:rPr>
          <w:rFonts w:ascii="Arial" w:hAnsi="Arial" w:cs="Arial"/>
          <w:b/>
          <w:bCs/>
          <w:color w:val="auto"/>
          <w:sz w:val="24"/>
          <w:szCs w:val="24"/>
        </w:rPr>
        <w:t>tem.</w:t>
      </w:r>
      <w:bookmarkEnd w:id="4"/>
    </w:p>
    <w:tbl>
      <w:tblPr>
        <w:tblW w:w="9850" w:type="dxa"/>
        <w:jc w:val="center"/>
        <w:tblLook w:val="04A0" w:firstRow="1" w:lastRow="0" w:firstColumn="1" w:lastColumn="0" w:noHBand="0" w:noVBand="1"/>
      </w:tblPr>
      <w:tblGrid>
        <w:gridCol w:w="960"/>
        <w:gridCol w:w="1984"/>
        <w:gridCol w:w="2268"/>
        <w:gridCol w:w="2410"/>
        <w:gridCol w:w="2228"/>
      </w:tblGrid>
      <w:tr w:rsidR="00176E18" w14:paraId="2D5C055B" w14:textId="77777777">
        <w:trPr>
          <w:trHeight w:val="276"/>
          <w:jc w:val="center"/>
        </w:trPr>
        <w:tc>
          <w:tcPr>
            <w:tcW w:w="960" w:type="dxa"/>
            <w:tcBorders>
              <w:top w:val="single" w:sz="4" w:space="0" w:color="auto"/>
              <w:left w:val="single" w:sz="4" w:space="0" w:color="auto"/>
              <w:bottom w:val="single" w:sz="4" w:space="0" w:color="auto"/>
              <w:right w:val="single" w:sz="4" w:space="0" w:color="auto"/>
            </w:tcBorders>
            <w:shd w:val="clear" w:color="auto" w:fill="C9C9C9" w:themeFill="accent3" w:themeFillTint="99"/>
            <w:noWrap/>
            <w:vAlign w:val="bottom"/>
          </w:tcPr>
          <w:p w14:paraId="6BD1E0B0"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LIP</w:t>
            </w:r>
          </w:p>
        </w:tc>
        <w:tc>
          <w:tcPr>
            <w:tcW w:w="4252" w:type="dxa"/>
            <w:gridSpan w:val="2"/>
            <w:tcBorders>
              <w:top w:val="single" w:sz="4" w:space="0" w:color="auto"/>
              <w:left w:val="nil"/>
              <w:bottom w:val="single" w:sz="4" w:space="0" w:color="auto"/>
              <w:right w:val="single" w:sz="4" w:space="0" w:color="auto"/>
            </w:tcBorders>
            <w:shd w:val="clear" w:color="auto" w:fill="C9C9C9" w:themeFill="accent3" w:themeFillTint="99"/>
            <w:noWrap/>
            <w:vAlign w:val="bottom"/>
          </w:tcPr>
          <w:p w14:paraId="6DA5C169"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All patients</w:t>
            </w:r>
          </w:p>
        </w:tc>
        <w:tc>
          <w:tcPr>
            <w:tcW w:w="4638" w:type="dxa"/>
            <w:gridSpan w:val="2"/>
            <w:tcBorders>
              <w:top w:val="single" w:sz="4" w:space="0" w:color="auto"/>
              <w:left w:val="nil"/>
              <w:bottom w:val="single" w:sz="4" w:space="0" w:color="auto"/>
              <w:right w:val="single" w:sz="4" w:space="0" w:color="auto"/>
            </w:tcBorders>
            <w:shd w:val="clear" w:color="auto" w:fill="C9C9C9" w:themeFill="accent3" w:themeFillTint="99"/>
          </w:tcPr>
          <w:p w14:paraId="0AF9D48E"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Subgroup of patients*</w:t>
            </w:r>
          </w:p>
        </w:tc>
      </w:tr>
      <w:tr w:rsidR="00176E18" w14:paraId="7F2AFDC7" w14:textId="77777777">
        <w:trPr>
          <w:trHeight w:val="276"/>
          <w:jc w:val="center"/>
        </w:trPr>
        <w:tc>
          <w:tcPr>
            <w:tcW w:w="960" w:type="dxa"/>
            <w:tcBorders>
              <w:top w:val="single" w:sz="4" w:space="0" w:color="auto"/>
              <w:left w:val="single" w:sz="4" w:space="0" w:color="auto"/>
              <w:bottom w:val="single" w:sz="4" w:space="0" w:color="auto"/>
              <w:right w:val="single" w:sz="4" w:space="0" w:color="auto"/>
            </w:tcBorders>
            <w:noWrap/>
            <w:vAlign w:val="bottom"/>
          </w:tcPr>
          <w:p w14:paraId="3E464F9F"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Score</w:t>
            </w:r>
          </w:p>
        </w:tc>
        <w:tc>
          <w:tcPr>
            <w:tcW w:w="1984" w:type="dxa"/>
            <w:tcBorders>
              <w:top w:val="single" w:sz="4" w:space="0" w:color="auto"/>
              <w:left w:val="nil"/>
              <w:bottom w:val="single" w:sz="4" w:space="0" w:color="auto"/>
              <w:right w:val="single" w:sz="4" w:space="0" w:color="auto"/>
            </w:tcBorders>
            <w:noWrap/>
            <w:vAlign w:val="bottom"/>
          </w:tcPr>
          <w:p w14:paraId="2A695F41"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Sen, 95% CI</w:t>
            </w:r>
          </w:p>
        </w:tc>
        <w:tc>
          <w:tcPr>
            <w:tcW w:w="2268" w:type="dxa"/>
            <w:tcBorders>
              <w:top w:val="single" w:sz="4" w:space="0" w:color="auto"/>
              <w:left w:val="nil"/>
              <w:bottom w:val="single" w:sz="4" w:space="0" w:color="auto"/>
              <w:right w:val="single" w:sz="4" w:space="0" w:color="auto"/>
            </w:tcBorders>
            <w:noWrap/>
            <w:vAlign w:val="bottom"/>
          </w:tcPr>
          <w:p w14:paraId="277807F2"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Spe, 95% CI</w:t>
            </w:r>
          </w:p>
        </w:tc>
        <w:tc>
          <w:tcPr>
            <w:tcW w:w="2410" w:type="dxa"/>
            <w:tcBorders>
              <w:top w:val="single" w:sz="4" w:space="0" w:color="auto"/>
              <w:left w:val="nil"/>
              <w:bottom w:val="single" w:sz="4" w:space="0" w:color="auto"/>
              <w:right w:val="single" w:sz="4" w:space="0" w:color="auto"/>
            </w:tcBorders>
            <w:vAlign w:val="bottom"/>
          </w:tcPr>
          <w:p w14:paraId="42D5A5C2"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Sen, 95% CI</w:t>
            </w:r>
          </w:p>
        </w:tc>
        <w:tc>
          <w:tcPr>
            <w:tcW w:w="2228" w:type="dxa"/>
            <w:tcBorders>
              <w:top w:val="single" w:sz="4" w:space="0" w:color="auto"/>
              <w:left w:val="nil"/>
              <w:bottom w:val="single" w:sz="4" w:space="0" w:color="auto"/>
              <w:right w:val="single" w:sz="4" w:space="0" w:color="auto"/>
            </w:tcBorders>
            <w:vAlign w:val="bottom"/>
          </w:tcPr>
          <w:p w14:paraId="1944CAF6"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Spe, 95% CI</w:t>
            </w:r>
          </w:p>
        </w:tc>
      </w:tr>
      <w:tr w:rsidR="00176E18" w14:paraId="7861D5E3" w14:textId="77777777">
        <w:trPr>
          <w:trHeight w:val="276"/>
          <w:jc w:val="center"/>
        </w:trPr>
        <w:tc>
          <w:tcPr>
            <w:tcW w:w="960" w:type="dxa"/>
            <w:tcBorders>
              <w:top w:val="nil"/>
              <w:left w:val="single" w:sz="4" w:space="0" w:color="auto"/>
              <w:bottom w:val="single" w:sz="4" w:space="0" w:color="auto"/>
              <w:right w:val="single" w:sz="4" w:space="0" w:color="auto"/>
            </w:tcBorders>
            <w:noWrap/>
            <w:vAlign w:val="bottom"/>
          </w:tcPr>
          <w:p w14:paraId="2F56C743"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0</w:t>
            </w:r>
          </w:p>
        </w:tc>
        <w:tc>
          <w:tcPr>
            <w:tcW w:w="1984" w:type="dxa"/>
            <w:tcBorders>
              <w:top w:val="nil"/>
              <w:left w:val="nil"/>
              <w:bottom w:val="single" w:sz="4" w:space="0" w:color="auto"/>
              <w:right w:val="single" w:sz="4" w:space="0" w:color="auto"/>
            </w:tcBorders>
            <w:noWrap/>
            <w:vAlign w:val="bottom"/>
          </w:tcPr>
          <w:p w14:paraId="2F271481"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100(99.5-100.0)</w:t>
            </w:r>
          </w:p>
        </w:tc>
        <w:tc>
          <w:tcPr>
            <w:tcW w:w="2268" w:type="dxa"/>
            <w:tcBorders>
              <w:top w:val="nil"/>
              <w:left w:val="nil"/>
              <w:bottom w:val="single" w:sz="4" w:space="0" w:color="auto"/>
              <w:right w:val="single" w:sz="4" w:space="0" w:color="auto"/>
            </w:tcBorders>
            <w:noWrap/>
            <w:vAlign w:val="bottom"/>
          </w:tcPr>
          <w:p w14:paraId="094A776D"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0(0.0-0.8)</w:t>
            </w:r>
          </w:p>
        </w:tc>
        <w:tc>
          <w:tcPr>
            <w:tcW w:w="2410" w:type="dxa"/>
            <w:tcBorders>
              <w:top w:val="single" w:sz="4" w:space="0" w:color="auto"/>
              <w:left w:val="single" w:sz="4" w:space="0" w:color="auto"/>
              <w:bottom w:val="single" w:sz="4" w:space="0" w:color="auto"/>
              <w:right w:val="single" w:sz="4" w:space="0" w:color="auto"/>
            </w:tcBorders>
            <w:vAlign w:val="bottom"/>
          </w:tcPr>
          <w:p w14:paraId="08D44CEB"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100(99.5-100.0)</w:t>
            </w:r>
          </w:p>
        </w:tc>
        <w:tc>
          <w:tcPr>
            <w:tcW w:w="2228" w:type="dxa"/>
            <w:tcBorders>
              <w:top w:val="single" w:sz="4" w:space="0" w:color="auto"/>
              <w:left w:val="nil"/>
              <w:bottom w:val="single" w:sz="4" w:space="0" w:color="auto"/>
              <w:right w:val="single" w:sz="4" w:space="0" w:color="auto"/>
            </w:tcBorders>
            <w:vAlign w:val="bottom"/>
          </w:tcPr>
          <w:p w14:paraId="53978F50"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0(0.0-1.0)</w:t>
            </w:r>
          </w:p>
        </w:tc>
      </w:tr>
      <w:tr w:rsidR="00176E18" w14:paraId="54A83741" w14:textId="77777777">
        <w:trPr>
          <w:trHeight w:val="276"/>
          <w:jc w:val="center"/>
        </w:trPr>
        <w:tc>
          <w:tcPr>
            <w:tcW w:w="960" w:type="dxa"/>
            <w:tcBorders>
              <w:top w:val="nil"/>
              <w:left w:val="single" w:sz="4" w:space="0" w:color="auto"/>
              <w:bottom w:val="single" w:sz="4" w:space="0" w:color="auto"/>
              <w:right w:val="single" w:sz="4" w:space="0" w:color="auto"/>
            </w:tcBorders>
            <w:noWrap/>
            <w:vAlign w:val="bottom"/>
          </w:tcPr>
          <w:p w14:paraId="5C575FE5"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1</w:t>
            </w:r>
          </w:p>
        </w:tc>
        <w:tc>
          <w:tcPr>
            <w:tcW w:w="1984" w:type="dxa"/>
            <w:tcBorders>
              <w:top w:val="nil"/>
              <w:left w:val="nil"/>
              <w:bottom w:val="single" w:sz="4" w:space="0" w:color="auto"/>
              <w:right w:val="single" w:sz="4" w:space="0" w:color="auto"/>
            </w:tcBorders>
            <w:noWrap/>
            <w:vAlign w:val="bottom"/>
          </w:tcPr>
          <w:p w14:paraId="1F06CCE7"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97.7(96.3-98.7)</w:t>
            </w:r>
          </w:p>
        </w:tc>
        <w:tc>
          <w:tcPr>
            <w:tcW w:w="2268" w:type="dxa"/>
            <w:tcBorders>
              <w:top w:val="nil"/>
              <w:left w:val="nil"/>
              <w:bottom w:val="single" w:sz="4" w:space="0" w:color="auto"/>
              <w:right w:val="single" w:sz="4" w:space="0" w:color="auto"/>
            </w:tcBorders>
            <w:noWrap/>
            <w:vAlign w:val="bottom"/>
          </w:tcPr>
          <w:p w14:paraId="62EF854B"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37.5(33.1-42.1)</w:t>
            </w:r>
          </w:p>
        </w:tc>
        <w:tc>
          <w:tcPr>
            <w:tcW w:w="2410" w:type="dxa"/>
            <w:tcBorders>
              <w:top w:val="nil"/>
              <w:left w:val="single" w:sz="4" w:space="0" w:color="auto"/>
              <w:bottom w:val="single" w:sz="4" w:space="0" w:color="auto"/>
              <w:right w:val="single" w:sz="4" w:space="0" w:color="auto"/>
            </w:tcBorders>
            <w:vAlign w:val="bottom"/>
          </w:tcPr>
          <w:p w14:paraId="19D9841C"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97.54(96.1-98.6)</w:t>
            </w:r>
          </w:p>
        </w:tc>
        <w:tc>
          <w:tcPr>
            <w:tcW w:w="2228" w:type="dxa"/>
            <w:tcBorders>
              <w:top w:val="nil"/>
              <w:left w:val="nil"/>
              <w:bottom w:val="single" w:sz="4" w:space="0" w:color="auto"/>
              <w:right w:val="single" w:sz="4" w:space="0" w:color="auto"/>
            </w:tcBorders>
            <w:vAlign w:val="bottom"/>
          </w:tcPr>
          <w:p w14:paraId="48ADF54C"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49.71(44.4-55.1)</w:t>
            </w:r>
          </w:p>
        </w:tc>
      </w:tr>
      <w:tr w:rsidR="00176E18" w14:paraId="12AEBEC3" w14:textId="77777777">
        <w:trPr>
          <w:trHeight w:val="276"/>
          <w:jc w:val="center"/>
        </w:trPr>
        <w:tc>
          <w:tcPr>
            <w:tcW w:w="960" w:type="dxa"/>
            <w:tcBorders>
              <w:top w:val="nil"/>
              <w:left w:val="single" w:sz="4" w:space="0" w:color="auto"/>
              <w:bottom w:val="single" w:sz="4" w:space="0" w:color="auto"/>
              <w:right w:val="single" w:sz="4" w:space="0" w:color="auto"/>
            </w:tcBorders>
            <w:noWrap/>
            <w:vAlign w:val="bottom"/>
          </w:tcPr>
          <w:p w14:paraId="545C9FDD"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2</w:t>
            </w:r>
          </w:p>
        </w:tc>
        <w:tc>
          <w:tcPr>
            <w:tcW w:w="1984" w:type="dxa"/>
            <w:tcBorders>
              <w:top w:val="nil"/>
              <w:left w:val="nil"/>
              <w:bottom w:val="single" w:sz="4" w:space="0" w:color="auto"/>
              <w:right w:val="single" w:sz="4" w:space="0" w:color="auto"/>
            </w:tcBorders>
            <w:noWrap/>
            <w:vAlign w:val="bottom"/>
          </w:tcPr>
          <w:p w14:paraId="006DC6AB"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94.58(92.7-96.1)</w:t>
            </w:r>
          </w:p>
        </w:tc>
        <w:tc>
          <w:tcPr>
            <w:tcW w:w="2268" w:type="dxa"/>
            <w:tcBorders>
              <w:top w:val="nil"/>
              <w:left w:val="nil"/>
              <w:bottom w:val="single" w:sz="4" w:space="0" w:color="auto"/>
              <w:right w:val="single" w:sz="4" w:space="0" w:color="auto"/>
            </w:tcBorders>
            <w:noWrap/>
            <w:vAlign w:val="bottom"/>
          </w:tcPr>
          <w:p w14:paraId="0E6B3862"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62.72(58.1-67.1)</w:t>
            </w:r>
          </w:p>
        </w:tc>
        <w:tc>
          <w:tcPr>
            <w:tcW w:w="2410" w:type="dxa"/>
            <w:tcBorders>
              <w:top w:val="nil"/>
              <w:left w:val="single" w:sz="4" w:space="0" w:color="auto"/>
              <w:bottom w:val="single" w:sz="4" w:space="0" w:color="auto"/>
              <w:right w:val="single" w:sz="4" w:space="0" w:color="auto"/>
            </w:tcBorders>
            <w:vAlign w:val="bottom"/>
          </w:tcPr>
          <w:p w14:paraId="425ECC2A"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94.21(92.2-95.8)</w:t>
            </w:r>
          </w:p>
        </w:tc>
        <w:tc>
          <w:tcPr>
            <w:tcW w:w="2228" w:type="dxa"/>
            <w:tcBorders>
              <w:top w:val="nil"/>
              <w:left w:val="nil"/>
              <w:bottom w:val="single" w:sz="4" w:space="0" w:color="auto"/>
              <w:right w:val="single" w:sz="4" w:space="0" w:color="auto"/>
            </w:tcBorders>
            <w:vAlign w:val="bottom"/>
          </w:tcPr>
          <w:p w14:paraId="49CB2DF4"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83.14(78.8-86.9)</w:t>
            </w:r>
          </w:p>
        </w:tc>
      </w:tr>
      <w:tr w:rsidR="00176E18" w14:paraId="4683C587" w14:textId="77777777">
        <w:trPr>
          <w:trHeight w:val="276"/>
          <w:jc w:val="center"/>
        </w:trPr>
        <w:tc>
          <w:tcPr>
            <w:tcW w:w="960" w:type="dxa"/>
            <w:tcBorders>
              <w:top w:val="nil"/>
              <w:left w:val="single" w:sz="4" w:space="0" w:color="auto"/>
              <w:bottom w:val="single" w:sz="4" w:space="0" w:color="auto"/>
              <w:right w:val="single" w:sz="4" w:space="0" w:color="auto"/>
            </w:tcBorders>
            <w:noWrap/>
            <w:vAlign w:val="bottom"/>
          </w:tcPr>
          <w:p w14:paraId="54D8FF81"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3</w:t>
            </w:r>
          </w:p>
        </w:tc>
        <w:tc>
          <w:tcPr>
            <w:tcW w:w="1984" w:type="dxa"/>
            <w:tcBorders>
              <w:top w:val="nil"/>
              <w:left w:val="nil"/>
              <w:bottom w:val="single" w:sz="4" w:space="0" w:color="auto"/>
              <w:right w:val="single" w:sz="4" w:space="0" w:color="auto"/>
            </w:tcBorders>
            <w:noWrap/>
            <w:vAlign w:val="bottom"/>
          </w:tcPr>
          <w:p w14:paraId="23CEC857"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85.37(82.6-87.8)</w:t>
            </w:r>
          </w:p>
        </w:tc>
        <w:tc>
          <w:tcPr>
            <w:tcW w:w="2268" w:type="dxa"/>
            <w:tcBorders>
              <w:top w:val="nil"/>
              <w:left w:val="nil"/>
              <w:bottom w:val="single" w:sz="4" w:space="0" w:color="auto"/>
              <w:right w:val="single" w:sz="4" w:space="0" w:color="auto"/>
            </w:tcBorders>
            <w:noWrap/>
            <w:vAlign w:val="bottom"/>
          </w:tcPr>
          <w:p w14:paraId="4EE8683A"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94.83(92.4-96.7)</w:t>
            </w:r>
          </w:p>
        </w:tc>
        <w:tc>
          <w:tcPr>
            <w:tcW w:w="2410" w:type="dxa"/>
            <w:tcBorders>
              <w:top w:val="nil"/>
              <w:left w:val="single" w:sz="4" w:space="0" w:color="auto"/>
              <w:bottom w:val="single" w:sz="4" w:space="0" w:color="auto"/>
              <w:right w:val="single" w:sz="4" w:space="0" w:color="auto"/>
            </w:tcBorders>
            <w:vAlign w:val="bottom"/>
          </w:tcPr>
          <w:p w14:paraId="44F362DE"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91.17(88.8-93.2)</w:t>
            </w:r>
          </w:p>
        </w:tc>
        <w:tc>
          <w:tcPr>
            <w:tcW w:w="2228" w:type="dxa"/>
            <w:tcBorders>
              <w:top w:val="nil"/>
              <w:left w:val="nil"/>
              <w:bottom w:val="single" w:sz="4" w:space="0" w:color="auto"/>
              <w:right w:val="single" w:sz="4" w:space="0" w:color="auto"/>
            </w:tcBorders>
            <w:vAlign w:val="bottom"/>
          </w:tcPr>
          <w:p w14:paraId="4824CAC5"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93.14(90.0-95.6)</w:t>
            </w:r>
          </w:p>
        </w:tc>
      </w:tr>
      <w:tr w:rsidR="00176E18" w14:paraId="56991DC9" w14:textId="77777777">
        <w:trPr>
          <w:trHeight w:val="276"/>
          <w:jc w:val="center"/>
        </w:trPr>
        <w:tc>
          <w:tcPr>
            <w:tcW w:w="960" w:type="dxa"/>
            <w:tcBorders>
              <w:top w:val="nil"/>
              <w:left w:val="single" w:sz="4" w:space="0" w:color="auto"/>
              <w:bottom w:val="single" w:sz="4" w:space="0" w:color="auto"/>
              <w:right w:val="single" w:sz="4" w:space="0" w:color="auto"/>
            </w:tcBorders>
            <w:noWrap/>
            <w:vAlign w:val="bottom"/>
          </w:tcPr>
          <w:p w14:paraId="483D9D57"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4</w:t>
            </w:r>
          </w:p>
        </w:tc>
        <w:tc>
          <w:tcPr>
            <w:tcW w:w="1984" w:type="dxa"/>
            <w:tcBorders>
              <w:top w:val="nil"/>
              <w:left w:val="nil"/>
              <w:bottom w:val="single" w:sz="4" w:space="0" w:color="auto"/>
              <w:right w:val="single" w:sz="4" w:space="0" w:color="auto"/>
            </w:tcBorders>
            <w:noWrap/>
            <w:vAlign w:val="bottom"/>
          </w:tcPr>
          <w:p w14:paraId="7EC9EF83"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61.52(57.9-65.0)</w:t>
            </w:r>
          </w:p>
        </w:tc>
        <w:tc>
          <w:tcPr>
            <w:tcW w:w="2268" w:type="dxa"/>
            <w:tcBorders>
              <w:top w:val="nil"/>
              <w:left w:val="nil"/>
              <w:bottom w:val="single" w:sz="4" w:space="0" w:color="auto"/>
              <w:right w:val="single" w:sz="4" w:space="0" w:color="auto"/>
            </w:tcBorders>
            <w:noWrap/>
            <w:vAlign w:val="bottom"/>
          </w:tcPr>
          <w:p w14:paraId="23F67DC9"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97.41(95.5-98.7)</w:t>
            </w:r>
          </w:p>
        </w:tc>
        <w:tc>
          <w:tcPr>
            <w:tcW w:w="2410" w:type="dxa"/>
            <w:tcBorders>
              <w:top w:val="nil"/>
              <w:left w:val="single" w:sz="4" w:space="0" w:color="auto"/>
              <w:bottom w:val="single" w:sz="4" w:space="0" w:color="auto"/>
              <w:right w:val="single" w:sz="4" w:space="0" w:color="auto"/>
            </w:tcBorders>
            <w:vAlign w:val="bottom"/>
          </w:tcPr>
          <w:p w14:paraId="424451F9"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65.70(62.0-69.2)</w:t>
            </w:r>
          </w:p>
        </w:tc>
        <w:tc>
          <w:tcPr>
            <w:tcW w:w="2228" w:type="dxa"/>
            <w:tcBorders>
              <w:top w:val="nil"/>
              <w:left w:val="nil"/>
              <w:bottom w:val="single" w:sz="4" w:space="0" w:color="auto"/>
              <w:right w:val="single" w:sz="4" w:space="0" w:color="auto"/>
            </w:tcBorders>
            <w:vAlign w:val="bottom"/>
          </w:tcPr>
          <w:p w14:paraId="5209A203"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96.57(94.1-98.2)</w:t>
            </w:r>
          </w:p>
        </w:tc>
      </w:tr>
      <w:tr w:rsidR="00176E18" w14:paraId="4A2BA2A5" w14:textId="77777777">
        <w:trPr>
          <w:trHeight w:val="276"/>
          <w:jc w:val="center"/>
        </w:trPr>
        <w:tc>
          <w:tcPr>
            <w:tcW w:w="960" w:type="dxa"/>
            <w:tcBorders>
              <w:top w:val="nil"/>
              <w:left w:val="single" w:sz="4" w:space="0" w:color="auto"/>
              <w:bottom w:val="single" w:sz="4" w:space="0" w:color="auto"/>
              <w:right w:val="single" w:sz="4" w:space="0" w:color="auto"/>
            </w:tcBorders>
            <w:noWrap/>
            <w:vAlign w:val="bottom"/>
          </w:tcPr>
          <w:p w14:paraId="4B1899E9"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5</w:t>
            </w:r>
          </w:p>
        </w:tc>
        <w:tc>
          <w:tcPr>
            <w:tcW w:w="1984" w:type="dxa"/>
            <w:tcBorders>
              <w:top w:val="nil"/>
              <w:left w:val="nil"/>
              <w:bottom w:val="single" w:sz="4" w:space="0" w:color="auto"/>
              <w:right w:val="single" w:sz="4" w:space="0" w:color="auto"/>
            </w:tcBorders>
            <w:noWrap/>
            <w:vAlign w:val="bottom"/>
          </w:tcPr>
          <w:p w14:paraId="09D55D15"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32.38(29.0-35.9)</w:t>
            </w:r>
          </w:p>
        </w:tc>
        <w:tc>
          <w:tcPr>
            <w:tcW w:w="2268" w:type="dxa"/>
            <w:tcBorders>
              <w:top w:val="nil"/>
              <w:left w:val="nil"/>
              <w:bottom w:val="single" w:sz="4" w:space="0" w:color="auto"/>
              <w:right w:val="single" w:sz="4" w:space="0" w:color="auto"/>
            </w:tcBorders>
            <w:noWrap/>
            <w:vAlign w:val="bottom"/>
          </w:tcPr>
          <w:p w14:paraId="5960B583"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99.57(98.5-99.9)</w:t>
            </w:r>
          </w:p>
        </w:tc>
        <w:tc>
          <w:tcPr>
            <w:tcW w:w="2410" w:type="dxa"/>
            <w:tcBorders>
              <w:top w:val="nil"/>
              <w:left w:val="single" w:sz="4" w:space="0" w:color="auto"/>
              <w:bottom w:val="single" w:sz="4" w:space="0" w:color="auto"/>
              <w:right w:val="single" w:sz="4" w:space="0" w:color="auto"/>
            </w:tcBorders>
            <w:vAlign w:val="bottom"/>
          </w:tcPr>
          <w:p w14:paraId="6E2035FC"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34.59(31.0-38.3)</w:t>
            </w:r>
          </w:p>
        </w:tc>
        <w:tc>
          <w:tcPr>
            <w:tcW w:w="2228" w:type="dxa"/>
            <w:tcBorders>
              <w:top w:val="nil"/>
              <w:left w:val="nil"/>
              <w:bottom w:val="single" w:sz="4" w:space="0" w:color="auto"/>
              <w:right w:val="single" w:sz="4" w:space="0" w:color="auto"/>
            </w:tcBorders>
            <w:vAlign w:val="bottom"/>
          </w:tcPr>
          <w:p w14:paraId="64C3E4C1"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99.43(98.0-99.9)</w:t>
            </w:r>
          </w:p>
        </w:tc>
      </w:tr>
      <w:tr w:rsidR="00176E18" w14:paraId="085662FF" w14:textId="77777777">
        <w:trPr>
          <w:trHeight w:val="276"/>
          <w:jc w:val="center"/>
        </w:trPr>
        <w:tc>
          <w:tcPr>
            <w:tcW w:w="960" w:type="dxa"/>
            <w:tcBorders>
              <w:top w:val="nil"/>
              <w:left w:val="single" w:sz="4" w:space="0" w:color="auto"/>
              <w:bottom w:val="single" w:sz="4" w:space="0" w:color="auto"/>
              <w:right w:val="single" w:sz="4" w:space="0" w:color="auto"/>
            </w:tcBorders>
            <w:noWrap/>
            <w:vAlign w:val="bottom"/>
          </w:tcPr>
          <w:p w14:paraId="070B6851"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6</w:t>
            </w:r>
          </w:p>
        </w:tc>
        <w:tc>
          <w:tcPr>
            <w:tcW w:w="1984" w:type="dxa"/>
            <w:tcBorders>
              <w:top w:val="nil"/>
              <w:left w:val="nil"/>
              <w:bottom w:val="single" w:sz="4" w:space="0" w:color="auto"/>
              <w:right w:val="single" w:sz="4" w:space="0" w:color="auto"/>
            </w:tcBorders>
            <w:noWrap/>
            <w:vAlign w:val="bottom"/>
          </w:tcPr>
          <w:p w14:paraId="5BAD8CC4"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14.36(11.9-17.1)</w:t>
            </w:r>
          </w:p>
        </w:tc>
        <w:tc>
          <w:tcPr>
            <w:tcW w:w="2268" w:type="dxa"/>
            <w:tcBorders>
              <w:top w:val="nil"/>
              <w:left w:val="nil"/>
              <w:bottom w:val="single" w:sz="4" w:space="0" w:color="auto"/>
              <w:right w:val="single" w:sz="4" w:space="0" w:color="auto"/>
            </w:tcBorders>
            <w:noWrap/>
            <w:vAlign w:val="bottom"/>
          </w:tcPr>
          <w:p w14:paraId="2BFE34E3" w14:textId="77777777" w:rsidR="00176E18" w:rsidRDefault="00000000">
            <w:pPr>
              <w:widowControl/>
              <w:spacing w:line="280" w:lineRule="atLeast"/>
              <w:jc w:val="center"/>
              <w:rPr>
                <w:rFonts w:ascii="Arial" w:eastAsia="等线" w:hAnsi="Arial" w:cs="Arial"/>
                <w:kern w:val="0"/>
                <w:sz w:val="20"/>
                <w:szCs w:val="20"/>
              </w:rPr>
            </w:pPr>
            <w:r>
              <w:rPr>
                <w:rFonts w:ascii="Arial" w:eastAsia="等线" w:hAnsi="Arial" w:cs="Arial"/>
                <w:kern w:val="0"/>
                <w:sz w:val="20"/>
                <w:szCs w:val="20"/>
              </w:rPr>
              <w:t>99.78(98.8-100.0)</w:t>
            </w:r>
          </w:p>
        </w:tc>
        <w:tc>
          <w:tcPr>
            <w:tcW w:w="2410" w:type="dxa"/>
            <w:tcBorders>
              <w:top w:val="nil"/>
              <w:left w:val="single" w:sz="4" w:space="0" w:color="auto"/>
              <w:bottom w:val="single" w:sz="4" w:space="0" w:color="auto"/>
              <w:right w:val="single" w:sz="4" w:space="0" w:color="auto"/>
            </w:tcBorders>
            <w:vAlign w:val="bottom"/>
          </w:tcPr>
          <w:p w14:paraId="523FC1B4"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15.34(12.7-18.2)</w:t>
            </w:r>
          </w:p>
        </w:tc>
        <w:tc>
          <w:tcPr>
            <w:tcW w:w="2228" w:type="dxa"/>
            <w:tcBorders>
              <w:top w:val="nil"/>
              <w:left w:val="nil"/>
              <w:bottom w:val="single" w:sz="4" w:space="0" w:color="auto"/>
              <w:right w:val="single" w:sz="4" w:space="0" w:color="auto"/>
            </w:tcBorders>
            <w:vAlign w:val="bottom"/>
          </w:tcPr>
          <w:p w14:paraId="72F6FD0A" w14:textId="77777777" w:rsidR="00176E18" w:rsidRDefault="00000000">
            <w:pPr>
              <w:widowControl/>
              <w:spacing w:line="280" w:lineRule="atLeast"/>
              <w:jc w:val="center"/>
              <w:rPr>
                <w:rFonts w:ascii="Arial" w:eastAsia="等线" w:hAnsi="Arial" w:cs="Arial"/>
                <w:kern w:val="0"/>
                <w:sz w:val="20"/>
                <w:szCs w:val="20"/>
              </w:rPr>
            </w:pPr>
            <w:r>
              <w:rPr>
                <w:rFonts w:ascii="Arial" w:eastAsia="Times New Roman Uni" w:hAnsi="Arial" w:cs="Arial"/>
                <w:sz w:val="20"/>
                <w:szCs w:val="20"/>
              </w:rPr>
              <w:t>99.71(98.4-100.0)</w:t>
            </w:r>
          </w:p>
        </w:tc>
      </w:tr>
    </w:tbl>
    <w:p w14:paraId="75207593" w14:textId="77777777" w:rsidR="00176E18" w:rsidRDefault="00000000">
      <w:pPr>
        <w:spacing w:line="280" w:lineRule="atLeast"/>
        <w:rPr>
          <w:rFonts w:ascii="Arial" w:hAnsi="Arial" w:cs="Arial"/>
          <w:b/>
          <w:bCs/>
          <w:sz w:val="22"/>
        </w:rPr>
      </w:pPr>
      <w:r>
        <w:rPr>
          <w:rFonts w:ascii="Arial" w:eastAsia="Times New Roman Uni" w:hAnsi="Arial" w:cs="Arial"/>
          <w:i/>
          <w:iCs/>
          <w:sz w:val="20"/>
          <w:szCs w:val="20"/>
        </w:rPr>
        <w:t>95% CI</w:t>
      </w:r>
      <w:r>
        <w:rPr>
          <w:rFonts w:ascii="Arial" w:eastAsia="Times New Roman Uni" w:hAnsi="Arial" w:cs="Arial"/>
          <w:sz w:val="20"/>
          <w:szCs w:val="20"/>
        </w:rPr>
        <w:t xml:space="preserve">, 95% Confidence Interval; </w:t>
      </w:r>
      <w:r>
        <w:rPr>
          <w:rFonts w:ascii="Arial" w:eastAsia="Times New Roman Uni" w:hAnsi="Arial" w:cs="Arial"/>
          <w:i/>
          <w:iCs/>
          <w:sz w:val="20"/>
          <w:szCs w:val="20"/>
        </w:rPr>
        <w:t>Sen</w:t>
      </w:r>
      <w:r>
        <w:rPr>
          <w:rFonts w:ascii="Arial" w:eastAsia="Times New Roman Uni" w:hAnsi="Arial" w:cs="Arial"/>
          <w:sz w:val="20"/>
          <w:szCs w:val="20"/>
        </w:rPr>
        <w:t xml:space="preserve">, sensitivity; </w:t>
      </w:r>
      <w:r>
        <w:rPr>
          <w:rFonts w:ascii="Arial" w:eastAsia="Times New Roman Uni" w:hAnsi="Arial" w:cs="Arial"/>
          <w:i/>
          <w:iCs/>
          <w:sz w:val="20"/>
          <w:szCs w:val="20"/>
        </w:rPr>
        <w:t>Spe</w:t>
      </w:r>
      <w:r>
        <w:rPr>
          <w:rFonts w:ascii="Arial" w:eastAsia="Times New Roman Uni" w:hAnsi="Arial" w:cs="Arial"/>
          <w:sz w:val="20"/>
          <w:szCs w:val="20"/>
        </w:rPr>
        <w:t>, Specificity.</w:t>
      </w:r>
      <w:r>
        <w:rPr>
          <w:rFonts w:ascii="Arial" w:eastAsia="等线" w:hAnsi="Arial" w:cs="Arial"/>
          <w:kern w:val="0"/>
          <w:sz w:val="20"/>
          <w:szCs w:val="20"/>
        </w:rPr>
        <w:t xml:space="preserve"> </w:t>
      </w:r>
      <w:proofErr w:type="spellStart"/>
      <w:r>
        <w:rPr>
          <w:rFonts w:ascii="Arial" w:eastAsia="等线" w:hAnsi="Arial" w:cs="Arial"/>
          <w:kern w:val="0"/>
          <w:sz w:val="20"/>
          <w:szCs w:val="20"/>
        </w:rPr>
        <w:t>Subgroupt</w:t>
      </w:r>
      <w:proofErr w:type="spellEnd"/>
      <w:r>
        <w:rPr>
          <w:rFonts w:ascii="Arial" w:eastAsia="等线" w:hAnsi="Arial" w:cs="Arial"/>
          <w:kern w:val="0"/>
          <w:sz w:val="20"/>
          <w:szCs w:val="20"/>
        </w:rPr>
        <w:t xml:space="preserve"> of patients*: this new patient subgroup was formed by excluding patients who were rated as 2 points in only any single item</w:t>
      </w:r>
      <w:r>
        <w:rPr>
          <w:rFonts w:ascii="Arial" w:eastAsia="等线" w:hAnsi="Arial" w:cs="Arial" w:hint="eastAsia"/>
          <w:kern w:val="0"/>
          <w:sz w:val="20"/>
          <w:szCs w:val="20"/>
        </w:rPr>
        <w:t xml:space="preserve"> </w:t>
      </w:r>
      <w:r>
        <w:rPr>
          <w:rFonts w:ascii="Arial" w:eastAsia="等线" w:hAnsi="Arial" w:cs="Arial"/>
          <w:kern w:val="0"/>
          <w:sz w:val="20"/>
          <w:szCs w:val="20"/>
        </w:rPr>
        <w:t xml:space="preserve">from the overall patients.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hAnsi="Arial" w:cs="Arial"/>
          <w:sz w:val="22"/>
        </w:rPr>
        <w:t xml:space="preserve">   </w:t>
      </w:r>
    </w:p>
    <w:p w14:paraId="794B774B" w14:textId="77777777" w:rsidR="00176E18" w:rsidRDefault="00176E18">
      <w:pPr>
        <w:spacing w:afterLines="50" w:after="156" w:line="280" w:lineRule="exact"/>
        <w:rPr>
          <w:rFonts w:ascii="Arial" w:hAnsi="Arial" w:cs="Arial"/>
          <w:sz w:val="22"/>
        </w:rPr>
      </w:pPr>
    </w:p>
    <w:p w14:paraId="5F2C71DA" w14:textId="77777777" w:rsidR="00176E18" w:rsidRDefault="00176E18">
      <w:pPr>
        <w:widowControl/>
        <w:spacing w:line="280" w:lineRule="atLeast"/>
        <w:jc w:val="left"/>
        <w:rPr>
          <w:rFonts w:ascii="Arial" w:hAnsi="Arial" w:cs="Arial"/>
          <w:sz w:val="22"/>
        </w:rPr>
      </w:pPr>
    </w:p>
    <w:p w14:paraId="4718B0E8" w14:textId="77777777" w:rsidR="00176E18" w:rsidRDefault="00000000">
      <w:pPr>
        <w:pStyle w:val="1"/>
        <w:keepNext w:val="0"/>
        <w:keepLines w:val="0"/>
        <w:pageBreakBefore/>
        <w:spacing w:before="0"/>
        <w:rPr>
          <w:rFonts w:ascii="Arial" w:hAnsi="Arial" w:cs="Arial"/>
          <w:b/>
          <w:bCs/>
          <w:color w:val="auto"/>
          <w:sz w:val="24"/>
          <w:szCs w:val="24"/>
        </w:rPr>
      </w:pPr>
      <w:bookmarkStart w:id="5" w:name="_Toc10373"/>
      <w:r>
        <w:rPr>
          <w:rFonts w:ascii="Arial" w:hAnsi="Arial" w:cs="Arial"/>
          <w:b/>
          <w:bCs/>
          <w:color w:val="auto"/>
          <w:sz w:val="24"/>
          <w:szCs w:val="24"/>
        </w:rPr>
        <w:lastRenderedPageBreak/>
        <w:t xml:space="preserve">Table </w:t>
      </w:r>
      <w:r>
        <w:rPr>
          <w:rFonts w:ascii="Arial" w:hAnsi="Arial" w:cs="Arial" w:hint="eastAsia"/>
          <w:b/>
          <w:bCs/>
          <w:color w:val="auto"/>
          <w:sz w:val="24"/>
          <w:szCs w:val="24"/>
        </w:rPr>
        <w:t>S5</w:t>
      </w:r>
      <w:r>
        <w:rPr>
          <w:rFonts w:ascii="Arial" w:hAnsi="Arial" w:cs="Arial"/>
          <w:b/>
          <w:bCs/>
          <w:color w:val="auto"/>
          <w:sz w:val="24"/>
          <w:szCs w:val="24"/>
        </w:rPr>
        <w:t>. Prognostic performance of different LIP scores in predicting mortality.</w:t>
      </w:r>
      <w:bookmarkEnd w:id="5"/>
    </w:p>
    <w:tbl>
      <w:tblPr>
        <w:tblStyle w:val="ab"/>
        <w:tblW w:w="0" w:type="auto"/>
        <w:jc w:val="center"/>
        <w:tblLook w:val="04A0" w:firstRow="1" w:lastRow="0" w:firstColumn="1" w:lastColumn="0" w:noHBand="0" w:noVBand="1"/>
      </w:tblPr>
      <w:tblGrid>
        <w:gridCol w:w="821"/>
        <w:gridCol w:w="2310"/>
        <w:gridCol w:w="1982"/>
        <w:gridCol w:w="2308"/>
        <w:gridCol w:w="2315"/>
      </w:tblGrid>
      <w:tr w:rsidR="00176E18" w14:paraId="66F945E4" w14:textId="77777777">
        <w:trPr>
          <w:trHeight w:val="319"/>
          <w:jc w:val="center"/>
        </w:trPr>
        <w:tc>
          <w:tcPr>
            <w:tcW w:w="9736" w:type="dxa"/>
            <w:gridSpan w:val="5"/>
            <w:shd w:val="clear" w:color="auto" w:fill="E7E6E6" w:themeFill="background2"/>
          </w:tcPr>
          <w:p w14:paraId="19477FA9" w14:textId="77777777" w:rsidR="00176E18" w:rsidRDefault="00000000">
            <w:pPr>
              <w:spacing w:line="280" w:lineRule="atLeast"/>
              <w:jc w:val="left"/>
              <w:rPr>
                <w:rFonts w:ascii="Arial" w:eastAsia="Times New Roman Uni" w:hAnsi="Arial" w:cs="Arial"/>
                <w:sz w:val="20"/>
                <w:szCs w:val="20"/>
              </w:rPr>
            </w:pPr>
            <w:r>
              <w:rPr>
                <w:rFonts w:ascii="Arial" w:eastAsia="Times New Roman Uni" w:hAnsi="Arial" w:cs="Arial"/>
                <w:sz w:val="20"/>
                <w:szCs w:val="20"/>
              </w:rPr>
              <w:t>All patients</w:t>
            </w:r>
          </w:p>
        </w:tc>
      </w:tr>
      <w:tr w:rsidR="00176E18" w14:paraId="715908CA" w14:textId="77777777">
        <w:trPr>
          <w:trHeight w:val="256"/>
          <w:jc w:val="center"/>
        </w:trPr>
        <w:tc>
          <w:tcPr>
            <w:tcW w:w="821" w:type="dxa"/>
          </w:tcPr>
          <w:p w14:paraId="03FB315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Item</w:t>
            </w:r>
          </w:p>
        </w:tc>
        <w:tc>
          <w:tcPr>
            <w:tcW w:w="2310" w:type="dxa"/>
          </w:tcPr>
          <w:p w14:paraId="569FC312"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Sen, 95% CI</w:t>
            </w:r>
          </w:p>
        </w:tc>
        <w:tc>
          <w:tcPr>
            <w:tcW w:w="1982" w:type="dxa"/>
          </w:tcPr>
          <w:p w14:paraId="4A0B70C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Spe, 95% CI</w:t>
            </w:r>
          </w:p>
        </w:tc>
        <w:tc>
          <w:tcPr>
            <w:tcW w:w="2308" w:type="dxa"/>
          </w:tcPr>
          <w:p w14:paraId="33F2DAC3"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c>
          <w:tcPr>
            <w:tcW w:w="2315" w:type="dxa"/>
          </w:tcPr>
          <w:p w14:paraId="06BF3B77"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r>
      <w:tr w:rsidR="00176E18" w14:paraId="22D86B15" w14:textId="77777777">
        <w:trPr>
          <w:trHeight w:val="274"/>
          <w:jc w:val="center"/>
        </w:trPr>
        <w:tc>
          <w:tcPr>
            <w:tcW w:w="821" w:type="dxa"/>
          </w:tcPr>
          <w:p w14:paraId="7FB30EF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w:t>
            </w:r>
          </w:p>
        </w:tc>
        <w:tc>
          <w:tcPr>
            <w:tcW w:w="2310" w:type="dxa"/>
          </w:tcPr>
          <w:p w14:paraId="1350FA3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100(97.2-100.0)</w:t>
            </w:r>
          </w:p>
        </w:tc>
        <w:tc>
          <w:tcPr>
            <w:tcW w:w="1982" w:type="dxa"/>
          </w:tcPr>
          <w:p w14:paraId="249BA82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0(0.0-0.3)</w:t>
            </w:r>
          </w:p>
        </w:tc>
        <w:tc>
          <w:tcPr>
            <w:tcW w:w="2308" w:type="dxa"/>
          </w:tcPr>
          <w:p w14:paraId="028FE04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1(1.0-1.0)</w:t>
            </w:r>
          </w:p>
        </w:tc>
        <w:tc>
          <w:tcPr>
            <w:tcW w:w="2315" w:type="dxa"/>
          </w:tcPr>
          <w:p w14:paraId="649AD48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r>
      <w:tr w:rsidR="00176E18" w14:paraId="6B1CBC08" w14:textId="77777777">
        <w:trPr>
          <w:trHeight w:val="148"/>
          <w:jc w:val="center"/>
        </w:trPr>
        <w:tc>
          <w:tcPr>
            <w:tcW w:w="821" w:type="dxa"/>
          </w:tcPr>
          <w:p w14:paraId="6390D0E7"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w:t>
            </w:r>
          </w:p>
        </w:tc>
        <w:tc>
          <w:tcPr>
            <w:tcW w:w="2310" w:type="dxa"/>
          </w:tcPr>
          <w:p w14:paraId="45AB2AA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96.9(92.3-99.1)</w:t>
            </w:r>
          </w:p>
        </w:tc>
        <w:tc>
          <w:tcPr>
            <w:tcW w:w="1982" w:type="dxa"/>
          </w:tcPr>
          <w:p w14:paraId="5290F2E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17.43(15.2-19.8)</w:t>
            </w:r>
          </w:p>
        </w:tc>
        <w:tc>
          <w:tcPr>
            <w:tcW w:w="2308" w:type="dxa"/>
          </w:tcPr>
          <w:p w14:paraId="1DC29F3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1.17(1.1-1.2)</w:t>
            </w:r>
          </w:p>
        </w:tc>
        <w:tc>
          <w:tcPr>
            <w:tcW w:w="2315" w:type="dxa"/>
          </w:tcPr>
          <w:p w14:paraId="4E63F0E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0.18(0.07-0.5)</w:t>
            </w:r>
          </w:p>
        </w:tc>
      </w:tr>
      <w:tr w:rsidR="00176E18" w14:paraId="6CD18423" w14:textId="77777777">
        <w:trPr>
          <w:trHeight w:val="267"/>
          <w:jc w:val="center"/>
        </w:trPr>
        <w:tc>
          <w:tcPr>
            <w:tcW w:w="821" w:type="dxa"/>
          </w:tcPr>
          <w:p w14:paraId="48666602"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2</w:t>
            </w:r>
          </w:p>
        </w:tc>
        <w:tc>
          <w:tcPr>
            <w:tcW w:w="2310" w:type="dxa"/>
          </w:tcPr>
          <w:p w14:paraId="1B64322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95.35(90.2-98.3)</w:t>
            </w:r>
          </w:p>
        </w:tc>
        <w:tc>
          <w:tcPr>
            <w:tcW w:w="1982" w:type="dxa"/>
          </w:tcPr>
          <w:p w14:paraId="6DE5747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30.29(27.6-33.1)</w:t>
            </w:r>
          </w:p>
        </w:tc>
        <w:tc>
          <w:tcPr>
            <w:tcW w:w="2308" w:type="dxa"/>
          </w:tcPr>
          <w:p w14:paraId="16B2A33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1.37(1.3-1.4)</w:t>
            </w:r>
          </w:p>
        </w:tc>
        <w:tc>
          <w:tcPr>
            <w:tcW w:w="2315" w:type="dxa"/>
          </w:tcPr>
          <w:p w14:paraId="5E2C8404"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0.15(0.07-0.3)</w:t>
            </w:r>
          </w:p>
        </w:tc>
      </w:tr>
      <w:tr w:rsidR="00176E18" w14:paraId="7EFFE167" w14:textId="77777777">
        <w:trPr>
          <w:trHeight w:val="283"/>
          <w:jc w:val="center"/>
        </w:trPr>
        <w:tc>
          <w:tcPr>
            <w:tcW w:w="821" w:type="dxa"/>
          </w:tcPr>
          <w:p w14:paraId="3CC72821"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3</w:t>
            </w:r>
          </w:p>
        </w:tc>
        <w:tc>
          <w:tcPr>
            <w:tcW w:w="2310" w:type="dxa"/>
          </w:tcPr>
          <w:p w14:paraId="3F5B45B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82.95(75.3-89.0)</w:t>
            </w:r>
          </w:p>
        </w:tc>
        <w:tc>
          <w:tcPr>
            <w:tcW w:w="1982" w:type="dxa"/>
          </w:tcPr>
          <w:p w14:paraId="2B8F560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49.02(46.0-52.1)</w:t>
            </w:r>
          </w:p>
        </w:tc>
        <w:tc>
          <w:tcPr>
            <w:tcW w:w="2308" w:type="dxa"/>
          </w:tcPr>
          <w:p w14:paraId="34E31EE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1.63(1.5-1.8)</w:t>
            </w:r>
          </w:p>
        </w:tc>
        <w:tc>
          <w:tcPr>
            <w:tcW w:w="2315" w:type="dxa"/>
          </w:tcPr>
          <w:p w14:paraId="082498A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0.35(0.2-0.5)</w:t>
            </w:r>
          </w:p>
        </w:tc>
      </w:tr>
      <w:tr w:rsidR="00176E18" w14:paraId="1F1A1A3F" w14:textId="77777777">
        <w:trPr>
          <w:trHeight w:val="273"/>
          <w:jc w:val="center"/>
        </w:trPr>
        <w:tc>
          <w:tcPr>
            <w:tcW w:w="821" w:type="dxa"/>
          </w:tcPr>
          <w:p w14:paraId="39771DDC"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w:t>
            </w:r>
          </w:p>
        </w:tc>
        <w:tc>
          <w:tcPr>
            <w:tcW w:w="2310" w:type="dxa"/>
            <w:tcBorders>
              <w:top w:val="nil"/>
              <w:left w:val="nil"/>
              <w:bottom w:val="single" w:sz="4" w:space="0" w:color="auto"/>
              <w:right w:val="single" w:sz="4" w:space="0" w:color="auto"/>
            </w:tcBorders>
            <w:vAlign w:val="bottom"/>
          </w:tcPr>
          <w:p w14:paraId="29C15B1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62.79(53.8-71.1)</w:t>
            </w:r>
          </w:p>
        </w:tc>
        <w:tc>
          <w:tcPr>
            <w:tcW w:w="1982" w:type="dxa"/>
            <w:tcBorders>
              <w:top w:val="nil"/>
              <w:left w:val="nil"/>
              <w:bottom w:val="single" w:sz="4" w:space="0" w:color="auto"/>
              <w:right w:val="single" w:sz="4" w:space="0" w:color="auto"/>
            </w:tcBorders>
            <w:vAlign w:val="bottom"/>
          </w:tcPr>
          <w:p w14:paraId="79CF3BF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64.12(61.2-67.0)</w:t>
            </w:r>
          </w:p>
        </w:tc>
        <w:tc>
          <w:tcPr>
            <w:tcW w:w="2308" w:type="dxa"/>
            <w:tcBorders>
              <w:top w:val="nil"/>
              <w:left w:val="nil"/>
              <w:bottom w:val="single" w:sz="4" w:space="0" w:color="auto"/>
              <w:right w:val="single" w:sz="4" w:space="0" w:color="auto"/>
            </w:tcBorders>
            <w:vAlign w:val="bottom"/>
          </w:tcPr>
          <w:p w14:paraId="1E3D6E8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1.75(1.5-2.0)</w:t>
            </w:r>
          </w:p>
        </w:tc>
        <w:tc>
          <w:tcPr>
            <w:tcW w:w="2315" w:type="dxa"/>
            <w:tcBorders>
              <w:top w:val="nil"/>
              <w:left w:val="nil"/>
              <w:bottom w:val="single" w:sz="4" w:space="0" w:color="auto"/>
              <w:right w:val="single" w:sz="4" w:space="0" w:color="auto"/>
            </w:tcBorders>
            <w:vAlign w:val="bottom"/>
          </w:tcPr>
          <w:p w14:paraId="35C69A4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0.58(0.5-0.7)</w:t>
            </w:r>
          </w:p>
        </w:tc>
      </w:tr>
      <w:tr w:rsidR="00176E18" w14:paraId="36BDAEC4" w14:textId="77777777">
        <w:trPr>
          <w:trHeight w:val="235"/>
          <w:jc w:val="center"/>
        </w:trPr>
        <w:tc>
          <w:tcPr>
            <w:tcW w:w="821" w:type="dxa"/>
          </w:tcPr>
          <w:p w14:paraId="476DA50C"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5</w:t>
            </w:r>
          </w:p>
        </w:tc>
        <w:tc>
          <w:tcPr>
            <w:tcW w:w="2310" w:type="dxa"/>
            <w:tcBorders>
              <w:top w:val="nil"/>
              <w:left w:val="nil"/>
              <w:bottom w:val="single" w:sz="4" w:space="0" w:color="auto"/>
              <w:right w:val="single" w:sz="4" w:space="0" w:color="auto"/>
            </w:tcBorders>
            <w:vAlign w:val="bottom"/>
          </w:tcPr>
          <w:p w14:paraId="5461A61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33.33(25.3-42.2)</w:t>
            </w:r>
          </w:p>
        </w:tc>
        <w:tc>
          <w:tcPr>
            <w:tcW w:w="1982" w:type="dxa"/>
            <w:tcBorders>
              <w:top w:val="nil"/>
              <w:left w:val="nil"/>
              <w:bottom w:val="single" w:sz="4" w:space="0" w:color="auto"/>
              <w:right w:val="single" w:sz="4" w:space="0" w:color="auto"/>
            </w:tcBorders>
            <w:vAlign w:val="bottom"/>
          </w:tcPr>
          <w:p w14:paraId="412E577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81.55(79.1-83.8)</w:t>
            </w:r>
          </w:p>
        </w:tc>
        <w:tc>
          <w:tcPr>
            <w:tcW w:w="2308" w:type="dxa"/>
            <w:tcBorders>
              <w:top w:val="nil"/>
              <w:left w:val="nil"/>
              <w:bottom w:val="single" w:sz="4" w:space="0" w:color="auto"/>
              <w:right w:val="single" w:sz="4" w:space="0" w:color="auto"/>
            </w:tcBorders>
            <w:vAlign w:val="bottom"/>
          </w:tcPr>
          <w:p w14:paraId="29DE3B2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1.81(1.4-2.4)</w:t>
            </w:r>
          </w:p>
        </w:tc>
        <w:tc>
          <w:tcPr>
            <w:tcW w:w="2315" w:type="dxa"/>
            <w:tcBorders>
              <w:top w:val="nil"/>
              <w:left w:val="nil"/>
              <w:bottom w:val="single" w:sz="4" w:space="0" w:color="auto"/>
              <w:right w:val="single" w:sz="4" w:space="0" w:color="auto"/>
            </w:tcBorders>
            <w:vAlign w:val="bottom"/>
          </w:tcPr>
          <w:p w14:paraId="4D905FF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0.82(0.7-0.9)</w:t>
            </w:r>
          </w:p>
        </w:tc>
      </w:tr>
      <w:tr w:rsidR="00176E18" w14:paraId="4F61F379" w14:textId="77777777">
        <w:trPr>
          <w:trHeight w:val="167"/>
          <w:jc w:val="center"/>
        </w:trPr>
        <w:tc>
          <w:tcPr>
            <w:tcW w:w="821" w:type="dxa"/>
          </w:tcPr>
          <w:p w14:paraId="25E6659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w:t>
            </w:r>
          </w:p>
        </w:tc>
        <w:tc>
          <w:tcPr>
            <w:tcW w:w="2310" w:type="dxa"/>
            <w:tcBorders>
              <w:top w:val="nil"/>
              <w:left w:val="nil"/>
              <w:bottom w:val="single" w:sz="4" w:space="0" w:color="auto"/>
              <w:right w:val="single" w:sz="4" w:space="0" w:color="auto"/>
            </w:tcBorders>
            <w:vAlign w:val="bottom"/>
          </w:tcPr>
          <w:p w14:paraId="12D49AF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14.73(9.1-22.0)</w:t>
            </w:r>
          </w:p>
        </w:tc>
        <w:tc>
          <w:tcPr>
            <w:tcW w:w="1982" w:type="dxa"/>
            <w:tcBorders>
              <w:top w:val="nil"/>
              <w:left w:val="nil"/>
              <w:bottom w:val="single" w:sz="4" w:space="0" w:color="auto"/>
              <w:right w:val="single" w:sz="4" w:space="0" w:color="auto"/>
            </w:tcBorders>
            <w:vAlign w:val="bottom"/>
          </w:tcPr>
          <w:p w14:paraId="0149BD4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91.8(90.0-93.4)</w:t>
            </w:r>
          </w:p>
        </w:tc>
        <w:tc>
          <w:tcPr>
            <w:tcW w:w="2308" w:type="dxa"/>
            <w:tcBorders>
              <w:top w:val="nil"/>
              <w:left w:val="nil"/>
              <w:bottom w:val="single" w:sz="4" w:space="0" w:color="auto"/>
              <w:right w:val="single" w:sz="4" w:space="0" w:color="auto"/>
            </w:tcBorders>
            <w:vAlign w:val="bottom"/>
          </w:tcPr>
          <w:p w14:paraId="04EF854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1.8(1.1-2.8)</w:t>
            </w:r>
          </w:p>
        </w:tc>
        <w:tc>
          <w:tcPr>
            <w:tcW w:w="2315" w:type="dxa"/>
            <w:tcBorders>
              <w:top w:val="nil"/>
              <w:left w:val="nil"/>
              <w:bottom w:val="single" w:sz="4" w:space="0" w:color="auto"/>
              <w:right w:val="single" w:sz="4" w:space="0" w:color="auto"/>
            </w:tcBorders>
            <w:vAlign w:val="bottom"/>
          </w:tcPr>
          <w:p w14:paraId="73D8632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0.93(0.9-1.0)</w:t>
            </w:r>
          </w:p>
        </w:tc>
      </w:tr>
      <w:tr w:rsidR="00176E18" w14:paraId="01398F8F" w14:textId="77777777">
        <w:trPr>
          <w:trHeight w:val="324"/>
          <w:jc w:val="center"/>
        </w:trPr>
        <w:tc>
          <w:tcPr>
            <w:tcW w:w="9736" w:type="dxa"/>
            <w:gridSpan w:val="5"/>
            <w:shd w:val="clear" w:color="auto" w:fill="E7E6E6" w:themeFill="background2"/>
          </w:tcPr>
          <w:p w14:paraId="7BC64B09" w14:textId="77777777" w:rsidR="00176E18" w:rsidRDefault="00000000">
            <w:pPr>
              <w:spacing w:line="280" w:lineRule="atLeast"/>
              <w:jc w:val="left"/>
              <w:rPr>
                <w:rFonts w:ascii="Arial" w:eastAsia="Times New Roman Uni" w:hAnsi="Arial" w:cs="Arial"/>
                <w:sz w:val="20"/>
                <w:szCs w:val="20"/>
              </w:rPr>
            </w:pPr>
            <w:r>
              <w:rPr>
                <w:rFonts w:ascii="Arial" w:eastAsia="Times New Roman Uni" w:hAnsi="Arial" w:cs="Arial"/>
                <w:sz w:val="20"/>
                <w:szCs w:val="20"/>
              </w:rPr>
              <w:t>Pulmonary infection subgroup</w:t>
            </w:r>
          </w:p>
        </w:tc>
      </w:tr>
      <w:tr w:rsidR="00176E18" w14:paraId="3CCF00D8" w14:textId="77777777">
        <w:trPr>
          <w:trHeight w:val="203"/>
          <w:jc w:val="center"/>
        </w:trPr>
        <w:tc>
          <w:tcPr>
            <w:tcW w:w="821" w:type="dxa"/>
          </w:tcPr>
          <w:p w14:paraId="18451B0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Item</w:t>
            </w:r>
          </w:p>
        </w:tc>
        <w:tc>
          <w:tcPr>
            <w:tcW w:w="2310" w:type="dxa"/>
          </w:tcPr>
          <w:p w14:paraId="2E2A5FE4"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Sen, 95% CI</w:t>
            </w:r>
          </w:p>
        </w:tc>
        <w:tc>
          <w:tcPr>
            <w:tcW w:w="1982" w:type="dxa"/>
          </w:tcPr>
          <w:p w14:paraId="2AAD815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Spe, 95% CI</w:t>
            </w:r>
          </w:p>
        </w:tc>
        <w:tc>
          <w:tcPr>
            <w:tcW w:w="2308" w:type="dxa"/>
          </w:tcPr>
          <w:p w14:paraId="5D4797B8"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c>
          <w:tcPr>
            <w:tcW w:w="2315" w:type="dxa"/>
          </w:tcPr>
          <w:p w14:paraId="1E945D6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r>
      <w:tr w:rsidR="00176E18" w14:paraId="5C7D7D13" w14:textId="77777777">
        <w:trPr>
          <w:trHeight w:val="221"/>
          <w:jc w:val="center"/>
        </w:trPr>
        <w:tc>
          <w:tcPr>
            <w:tcW w:w="821" w:type="dxa"/>
          </w:tcPr>
          <w:p w14:paraId="6C60378E"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w:t>
            </w:r>
          </w:p>
        </w:tc>
        <w:tc>
          <w:tcPr>
            <w:tcW w:w="2310" w:type="dxa"/>
          </w:tcPr>
          <w:p w14:paraId="424041A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100(96.2-100.0)</w:t>
            </w:r>
          </w:p>
        </w:tc>
        <w:tc>
          <w:tcPr>
            <w:tcW w:w="1982" w:type="dxa"/>
          </w:tcPr>
          <w:p w14:paraId="3623F2F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0(0.0-0.8)</w:t>
            </w:r>
          </w:p>
        </w:tc>
        <w:tc>
          <w:tcPr>
            <w:tcW w:w="2308" w:type="dxa"/>
          </w:tcPr>
          <w:p w14:paraId="1C2DEB1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1(1.0-1.0)</w:t>
            </w:r>
          </w:p>
        </w:tc>
        <w:tc>
          <w:tcPr>
            <w:tcW w:w="2315" w:type="dxa"/>
          </w:tcPr>
          <w:p w14:paraId="28A1A68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r>
      <w:tr w:rsidR="00176E18" w14:paraId="4A523698" w14:textId="77777777">
        <w:trPr>
          <w:trHeight w:val="267"/>
          <w:jc w:val="center"/>
        </w:trPr>
        <w:tc>
          <w:tcPr>
            <w:tcW w:w="821" w:type="dxa"/>
          </w:tcPr>
          <w:p w14:paraId="5534366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w:t>
            </w:r>
          </w:p>
        </w:tc>
        <w:tc>
          <w:tcPr>
            <w:tcW w:w="2310" w:type="dxa"/>
          </w:tcPr>
          <w:p w14:paraId="4F186BA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96.81(91.0-99.3)</w:t>
            </w:r>
          </w:p>
        </w:tc>
        <w:tc>
          <w:tcPr>
            <w:tcW w:w="1982" w:type="dxa"/>
          </w:tcPr>
          <w:p w14:paraId="76E6DC2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15.09(12.0-18.6)</w:t>
            </w:r>
          </w:p>
        </w:tc>
        <w:tc>
          <w:tcPr>
            <w:tcW w:w="2308" w:type="dxa"/>
          </w:tcPr>
          <w:p w14:paraId="1197BE8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1.14(1.1-1.2)</w:t>
            </w:r>
          </w:p>
        </w:tc>
        <w:tc>
          <w:tcPr>
            <w:tcW w:w="2315" w:type="dxa"/>
          </w:tcPr>
          <w:p w14:paraId="0573E62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0.21(0.07-0.7)</w:t>
            </w:r>
          </w:p>
        </w:tc>
      </w:tr>
      <w:tr w:rsidR="00176E18" w14:paraId="0E9024C3" w14:textId="77777777">
        <w:trPr>
          <w:trHeight w:val="271"/>
          <w:jc w:val="center"/>
        </w:trPr>
        <w:tc>
          <w:tcPr>
            <w:tcW w:w="821" w:type="dxa"/>
          </w:tcPr>
          <w:p w14:paraId="4F0554C9"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2</w:t>
            </w:r>
          </w:p>
        </w:tc>
        <w:tc>
          <w:tcPr>
            <w:tcW w:w="2310" w:type="dxa"/>
          </w:tcPr>
          <w:p w14:paraId="1A928E9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94.68(88.0-98.3)</w:t>
            </w:r>
          </w:p>
        </w:tc>
        <w:tc>
          <w:tcPr>
            <w:tcW w:w="1982" w:type="dxa"/>
          </w:tcPr>
          <w:p w14:paraId="037616F3"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28.93(24.9-33.2)</w:t>
            </w:r>
          </w:p>
        </w:tc>
        <w:tc>
          <w:tcPr>
            <w:tcW w:w="2308" w:type="dxa"/>
          </w:tcPr>
          <w:p w14:paraId="645B09B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1.33(1.2-1.4)</w:t>
            </w:r>
          </w:p>
        </w:tc>
        <w:tc>
          <w:tcPr>
            <w:tcW w:w="2315" w:type="dxa"/>
          </w:tcPr>
          <w:p w14:paraId="138FCBF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0.18(0.08-0.4)</w:t>
            </w:r>
          </w:p>
        </w:tc>
      </w:tr>
      <w:tr w:rsidR="00176E18" w14:paraId="0066BB88" w14:textId="77777777">
        <w:trPr>
          <w:trHeight w:val="261"/>
          <w:jc w:val="center"/>
        </w:trPr>
        <w:tc>
          <w:tcPr>
            <w:tcW w:w="821" w:type="dxa"/>
          </w:tcPr>
          <w:p w14:paraId="4ADF0D81"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3</w:t>
            </w:r>
          </w:p>
        </w:tc>
        <w:tc>
          <w:tcPr>
            <w:tcW w:w="2310" w:type="dxa"/>
          </w:tcPr>
          <w:p w14:paraId="6A15DE5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81.91(72.6-89.1)</w:t>
            </w:r>
          </w:p>
        </w:tc>
        <w:tc>
          <w:tcPr>
            <w:tcW w:w="1982" w:type="dxa"/>
          </w:tcPr>
          <w:p w14:paraId="63FF663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52.2(47.6-56.8)</w:t>
            </w:r>
          </w:p>
        </w:tc>
        <w:tc>
          <w:tcPr>
            <w:tcW w:w="2308" w:type="dxa"/>
          </w:tcPr>
          <w:p w14:paraId="5801A8D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1.71(1.5-2.0)</w:t>
            </w:r>
          </w:p>
        </w:tc>
        <w:tc>
          <w:tcPr>
            <w:tcW w:w="2315" w:type="dxa"/>
          </w:tcPr>
          <w:p w14:paraId="52B838C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0.35(0.2-0.5)</w:t>
            </w:r>
          </w:p>
        </w:tc>
      </w:tr>
      <w:tr w:rsidR="00176E18" w14:paraId="2DEBA077" w14:textId="77777777">
        <w:trPr>
          <w:trHeight w:val="137"/>
          <w:jc w:val="center"/>
        </w:trPr>
        <w:tc>
          <w:tcPr>
            <w:tcW w:w="821" w:type="dxa"/>
          </w:tcPr>
          <w:p w14:paraId="0034FB58"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w:t>
            </w:r>
          </w:p>
        </w:tc>
        <w:tc>
          <w:tcPr>
            <w:tcW w:w="2310" w:type="dxa"/>
          </w:tcPr>
          <w:p w14:paraId="0B9B158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57.45(46.8-67.6)</w:t>
            </w:r>
          </w:p>
        </w:tc>
        <w:tc>
          <w:tcPr>
            <w:tcW w:w="1982" w:type="dxa"/>
          </w:tcPr>
          <w:p w14:paraId="57955A2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67.71(63.3-71.9)</w:t>
            </w:r>
          </w:p>
        </w:tc>
        <w:tc>
          <w:tcPr>
            <w:tcW w:w="2308" w:type="dxa"/>
          </w:tcPr>
          <w:p w14:paraId="17B0965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1.78(1.4-2.2)</w:t>
            </w:r>
          </w:p>
        </w:tc>
        <w:tc>
          <w:tcPr>
            <w:tcW w:w="2315" w:type="dxa"/>
          </w:tcPr>
          <w:p w14:paraId="6C84638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0.63(0.5-0.8)</w:t>
            </w:r>
          </w:p>
        </w:tc>
      </w:tr>
      <w:tr w:rsidR="00176E18" w14:paraId="5C61C96A" w14:textId="77777777">
        <w:trPr>
          <w:trHeight w:val="169"/>
          <w:jc w:val="center"/>
        </w:trPr>
        <w:tc>
          <w:tcPr>
            <w:tcW w:w="821" w:type="dxa"/>
          </w:tcPr>
          <w:p w14:paraId="4377CE78"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5</w:t>
            </w:r>
          </w:p>
        </w:tc>
        <w:tc>
          <w:tcPr>
            <w:tcW w:w="2310" w:type="dxa"/>
          </w:tcPr>
          <w:p w14:paraId="6638B83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28.72(19.9-39.0)</w:t>
            </w:r>
          </w:p>
        </w:tc>
        <w:tc>
          <w:tcPr>
            <w:tcW w:w="1982" w:type="dxa"/>
          </w:tcPr>
          <w:p w14:paraId="29011CE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85.95(82.5-88.9)</w:t>
            </w:r>
          </w:p>
        </w:tc>
        <w:tc>
          <w:tcPr>
            <w:tcW w:w="2308" w:type="dxa"/>
          </w:tcPr>
          <w:p w14:paraId="2ABDD55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2.04(1.4-3.0)</w:t>
            </w:r>
          </w:p>
        </w:tc>
        <w:tc>
          <w:tcPr>
            <w:tcW w:w="2315" w:type="dxa"/>
          </w:tcPr>
          <w:p w14:paraId="4FADDF7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0.83(0.7-0.9)</w:t>
            </w:r>
          </w:p>
        </w:tc>
      </w:tr>
      <w:tr w:rsidR="00176E18" w14:paraId="5516D64E" w14:textId="77777777">
        <w:trPr>
          <w:trHeight w:val="215"/>
          <w:jc w:val="center"/>
        </w:trPr>
        <w:tc>
          <w:tcPr>
            <w:tcW w:w="821" w:type="dxa"/>
          </w:tcPr>
          <w:p w14:paraId="2E78DFC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w:t>
            </w:r>
          </w:p>
        </w:tc>
        <w:tc>
          <w:tcPr>
            <w:tcW w:w="2310" w:type="dxa"/>
          </w:tcPr>
          <w:p w14:paraId="6E2D507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13.83(7.6-22.5)</w:t>
            </w:r>
          </w:p>
        </w:tc>
        <w:tc>
          <w:tcPr>
            <w:tcW w:w="1982" w:type="dxa"/>
          </w:tcPr>
          <w:p w14:paraId="5B76005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94.34(91.9-96.2)</w:t>
            </w:r>
          </w:p>
        </w:tc>
        <w:tc>
          <w:tcPr>
            <w:tcW w:w="2308" w:type="dxa"/>
          </w:tcPr>
          <w:p w14:paraId="58F8BCB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2.44(1.3-4.6)</w:t>
            </w:r>
          </w:p>
        </w:tc>
        <w:tc>
          <w:tcPr>
            <w:tcW w:w="2315" w:type="dxa"/>
          </w:tcPr>
          <w:p w14:paraId="596D670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0.91(0.8-1.0)</w:t>
            </w:r>
          </w:p>
        </w:tc>
      </w:tr>
      <w:tr w:rsidR="00176E18" w14:paraId="6C7F96DA" w14:textId="77777777">
        <w:trPr>
          <w:trHeight w:val="324"/>
          <w:jc w:val="center"/>
        </w:trPr>
        <w:tc>
          <w:tcPr>
            <w:tcW w:w="9736" w:type="dxa"/>
            <w:gridSpan w:val="5"/>
            <w:shd w:val="clear" w:color="auto" w:fill="E7E6E6" w:themeFill="background2"/>
          </w:tcPr>
          <w:p w14:paraId="682848D9" w14:textId="77777777" w:rsidR="00176E18" w:rsidRDefault="00000000">
            <w:pPr>
              <w:spacing w:line="280" w:lineRule="atLeast"/>
              <w:jc w:val="left"/>
              <w:rPr>
                <w:rFonts w:ascii="Arial" w:eastAsia="Times New Roman Uni" w:hAnsi="Arial" w:cs="Arial"/>
                <w:sz w:val="20"/>
                <w:szCs w:val="20"/>
              </w:rPr>
            </w:pPr>
            <w:r>
              <w:rPr>
                <w:rFonts w:ascii="Arial" w:eastAsia="Times New Roman Uni" w:hAnsi="Arial" w:cs="Arial"/>
                <w:sz w:val="20"/>
                <w:szCs w:val="20"/>
              </w:rPr>
              <w:t>Non-pulmonary infection subgroup</w:t>
            </w:r>
          </w:p>
        </w:tc>
      </w:tr>
      <w:tr w:rsidR="00176E18" w14:paraId="5324CF16" w14:textId="77777777">
        <w:trPr>
          <w:trHeight w:val="195"/>
          <w:jc w:val="center"/>
        </w:trPr>
        <w:tc>
          <w:tcPr>
            <w:tcW w:w="821" w:type="dxa"/>
          </w:tcPr>
          <w:p w14:paraId="75CB2A3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Item</w:t>
            </w:r>
          </w:p>
        </w:tc>
        <w:tc>
          <w:tcPr>
            <w:tcW w:w="2310" w:type="dxa"/>
          </w:tcPr>
          <w:p w14:paraId="0E1F9E7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Sen, 95% CI</w:t>
            </w:r>
          </w:p>
        </w:tc>
        <w:tc>
          <w:tcPr>
            <w:tcW w:w="1982" w:type="dxa"/>
          </w:tcPr>
          <w:p w14:paraId="6E0EA892"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Spe, 95% CI</w:t>
            </w:r>
          </w:p>
        </w:tc>
        <w:tc>
          <w:tcPr>
            <w:tcW w:w="2308" w:type="dxa"/>
          </w:tcPr>
          <w:p w14:paraId="4365E07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c>
          <w:tcPr>
            <w:tcW w:w="2315" w:type="dxa"/>
          </w:tcPr>
          <w:p w14:paraId="3661707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r>
      <w:tr w:rsidR="00176E18" w14:paraId="5A2717FE" w14:textId="77777777">
        <w:trPr>
          <w:trHeight w:val="227"/>
          <w:jc w:val="center"/>
        </w:trPr>
        <w:tc>
          <w:tcPr>
            <w:tcW w:w="821" w:type="dxa"/>
          </w:tcPr>
          <w:p w14:paraId="462965DE"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w:t>
            </w:r>
          </w:p>
        </w:tc>
        <w:tc>
          <w:tcPr>
            <w:tcW w:w="2310" w:type="dxa"/>
          </w:tcPr>
          <w:p w14:paraId="3D35DE8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100(90.0-100.0)</w:t>
            </w:r>
          </w:p>
        </w:tc>
        <w:tc>
          <w:tcPr>
            <w:tcW w:w="1982" w:type="dxa"/>
          </w:tcPr>
          <w:p w14:paraId="56A7861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0(0.0-0.6)</w:t>
            </w:r>
          </w:p>
        </w:tc>
        <w:tc>
          <w:tcPr>
            <w:tcW w:w="2308" w:type="dxa"/>
          </w:tcPr>
          <w:p w14:paraId="73CFE30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1(1.0-1.0)</w:t>
            </w:r>
          </w:p>
        </w:tc>
        <w:tc>
          <w:tcPr>
            <w:tcW w:w="2315" w:type="dxa"/>
          </w:tcPr>
          <w:p w14:paraId="0945E9C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r>
      <w:tr w:rsidR="00176E18" w14:paraId="5B46AE7E" w14:textId="77777777">
        <w:trPr>
          <w:trHeight w:val="259"/>
          <w:jc w:val="center"/>
        </w:trPr>
        <w:tc>
          <w:tcPr>
            <w:tcW w:w="821" w:type="dxa"/>
          </w:tcPr>
          <w:p w14:paraId="28D03FCB"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w:t>
            </w:r>
          </w:p>
        </w:tc>
        <w:tc>
          <w:tcPr>
            <w:tcW w:w="2310" w:type="dxa"/>
          </w:tcPr>
          <w:p w14:paraId="582C2463"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97.14(85.1-99.9)</w:t>
            </w:r>
          </w:p>
        </w:tc>
        <w:tc>
          <w:tcPr>
            <w:tcW w:w="1982" w:type="dxa"/>
          </w:tcPr>
          <w:p w14:paraId="307CDB6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19.3(16.2-22.7)</w:t>
            </w:r>
          </w:p>
        </w:tc>
        <w:tc>
          <w:tcPr>
            <w:tcW w:w="2308" w:type="dxa"/>
          </w:tcPr>
          <w:p w14:paraId="40F9FEC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1.2(1.1-1.3)</w:t>
            </w:r>
          </w:p>
        </w:tc>
        <w:tc>
          <w:tcPr>
            <w:tcW w:w="2315" w:type="dxa"/>
          </w:tcPr>
          <w:p w14:paraId="51AFAB2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0.15(0.02-1.0)</w:t>
            </w:r>
          </w:p>
        </w:tc>
      </w:tr>
      <w:tr w:rsidR="00176E18" w14:paraId="311ADA04" w14:textId="77777777">
        <w:trPr>
          <w:trHeight w:val="277"/>
          <w:jc w:val="center"/>
        </w:trPr>
        <w:tc>
          <w:tcPr>
            <w:tcW w:w="821" w:type="dxa"/>
          </w:tcPr>
          <w:p w14:paraId="41A10D1D"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2</w:t>
            </w:r>
          </w:p>
        </w:tc>
        <w:tc>
          <w:tcPr>
            <w:tcW w:w="2310" w:type="dxa"/>
          </w:tcPr>
          <w:p w14:paraId="5A80D63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97.14(85.1-99.9)</w:t>
            </w:r>
          </w:p>
        </w:tc>
        <w:tc>
          <w:tcPr>
            <w:tcW w:w="1982" w:type="dxa"/>
          </w:tcPr>
          <w:p w14:paraId="1BA7F80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31.38(27.7-35.3)</w:t>
            </w:r>
          </w:p>
        </w:tc>
        <w:tc>
          <w:tcPr>
            <w:tcW w:w="2308" w:type="dxa"/>
          </w:tcPr>
          <w:p w14:paraId="15E2961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1.42(1.3-1.5)</w:t>
            </w:r>
          </w:p>
        </w:tc>
        <w:tc>
          <w:tcPr>
            <w:tcW w:w="2315" w:type="dxa"/>
          </w:tcPr>
          <w:p w14:paraId="30A47B4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0.091(0.01-0.6)</w:t>
            </w:r>
          </w:p>
        </w:tc>
      </w:tr>
      <w:tr w:rsidR="00176E18" w14:paraId="7EF58371" w14:textId="77777777">
        <w:trPr>
          <w:trHeight w:val="267"/>
          <w:jc w:val="center"/>
        </w:trPr>
        <w:tc>
          <w:tcPr>
            <w:tcW w:w="821" w:type="dxa"/>
          </w:tcPr>
          <w:p w14:paraId="6E2AA943"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3</w:t>
            </w:r>
          </w:p>
        </w:tc>
        <w:tc>
          <w:tcPr>
            <w:tcW w:w="2310" w:type="dxa"/>
          </w:tcPr>
          <w:p w14:paraId="75AC591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85.71(69.7-95.2)</w:t>
            </w:r>
          </w:p>
        </w:tc>
        <w:tc>
          <w:tcPr>
            <w:tcW w:w="1982" w:type="dxa"/>
          </w:tcPr>
          <w:p w14:paraId="6FE1A00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46.48(42.4-50.6)</w:t>
            </w:r>
          </w:p>
        </w:tc>
        <w:tc>
          <w:tcPr>
            <w:tcW w:w="2308" w:type="dxa"/>
          </w:tcPr>
          <w:p w14:paraId="3DC588C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1.6(1.4-1.9)</w:t>
            </w:r>
          </w:p>
        </w:tc>
        <w:tc>
          <w:tcPr>
            <w:tcW w:w="2315" w:type="dxa"/>
          </w:tcPr>
          <w:p w14:paraId="5E1C4E5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0.31(0.1-0.7)</w:t>
            </w:r>
          </w:p>
        </w:tc>
      </w:tr>
      <w:tr w:rsidR="00176E18" w14:paraId="0382E4BA" w14:textId="77777777">
        <w:trPr>
          <w:trHeight w:val="271"/>
          <w:jc w:val="center"/>
        </w:trPr>
        <w:tc>
          <w:tcPr>
            <w:tcW w:w="821" w:type="dxa"/>
          </w:tcPr>
          <w:p w14:paraId="2BC07638"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w:t>
            </w:r>
          </w:p>
        </w:tc>
        <w:tc>
          <w:tcPr>
            <w:tcW w:w="2310" w:type="dxa"/>
          </w:tcPr>
          <w:p w14:paraId="1184190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77.14(59.9-89.6)</w:t>
            </w:r>
          </w:p>
        </w:tc>
        <w:tc>
          <w:tcPr>
            <w:tcW w:w="1982" w:type="dxa"/>
          </w:tcPr>
          <w:p w14:paraId="13C14E2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61.24(57.2-65.2)</w:t>
            </w:r>
          </w:p>
        </w:tc>
        <w:tc>
          <w:tcPr>
            <w:tcW w:w="2308" w:type="dxa"/>
          </w:tcPr>
          <w:p w14:paraId="79E1015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1.99(1.6-2.4)</w:t>
            </w:r>
          </w:p>
        </w:tc>
        <w:tc>
          <w:tcPr>
            <w:tcW w:w="2315" w:type="dxa"/>
          </w:tcPr>
          <w:p w14:paraId="47FE580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0.37(0.2-0.7)</w:t>
            </w:r>
          </w:p>
        </w:tc>
      </w:tr>
      <w:tr w:rsidR="00176E18" w14:paraId="4F385D50" w14:textId="77777777">
        <w:trPr>
          <w:trHeight w:val="275"/>
          <w:jc w:val="center"/>
        </w:trPr>
        <w:tc>
          <w:tcPr>
            <w:tcW w:w="821" w:type="dxa"/>
          </w:tcPr>
          <w:p w14:paraId="4F8D563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5</w:t>
            </w:r>
          </w:p>
        </w:tc>
        <w:tc>
          <w:tcPr>
            <w:tcW w:w="2310" w:type="dxa"/>
          </w:tcPr>
          <w:p w14:paraId="7C30462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45.71(28.8-63.4)</w:t>
            </w:r>
          </w:p>
        </w:tc>
        <w:tc>
          <w:tcPr>
            <w:tcW w:w="1982" w:type="dxa"/>
          </w:tcPr>
          <w:p w14:paraId="62FF3FE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78.02(74.5-81.3)</w:t>
            </w:r>
          </w:p>
        </w:tc>
        <w:tc>
          <w:tcPr>
            <w:tcW w:w="2308" w:type="dxa"/>
          </w:tcPr>
          <w:p w14:paraId="7543213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2.08(1.4-3.1)</w:t>
            </w:r>
          </w:p>
        </w:tc>
        <w:tc>
          <w:tcPr>
            <w:tcW w:w="2315" w:type="dxa"/>
          </w:tcPr>
          <w:p w14:paraId="2B5DF97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0.7(0.5-0.9)</w:t>
            </w:r>
          </w:p>
        </w:tc>
      </w:tr>
      <w:tr w:rsidR="00176E18" w14:paraId="6CE4A402" w14:textId="77777777">
        <w:trPr>
          <w:trHeight w:val="279"/>
          <w:jc w:val="center"/>
        </w:trPr>
        <w:tc>
          <w:tcPr>
            <w:tcW w:w="821" w:type="dxa"/>
          </w:tcPr>
          <w:p w14:paraId="4060B568"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w:t>
            </w:r>
          </w:p>
        </w:tc>
        <w:tc>
          <w:tcPr>
            <w:tcW w:w="2310" w:type="dxa"/>
          </w:tcPr>
          <w:p w14:paraId="591C2D7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17.14(6.6-33.6)</w:t>
            </w:r>
          </w:p>
        </w:tc>
        <w:tc>
          <w:tcPr>
            <w:tcW w:w="1982" w:type="dxa"/>
          </w:tcPr>
          <w:p w14:paraId="29095AD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89.77(87.0-92.1)</w:t>
            </w:r>
          </w:p>
        </w:tc>
        <w:tc>
          <w:tcPr>
            <w:tcW w:w="2308" w:type="dxa"/>
          </w:tcPr>
          <w:p w14:paraId="66EFBD4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1.67(0.8-3.6)</w:t>
            </w:r>
          </w:p>
        </w:tc>
        <w:tc>
          <w:tcPr>
            <w:tcW w:w="2315" w:type="dxa"/>
          </w:tcPr>
          <w:p w14:paraId="163E3E3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0.92(0.8-1.1)</w:t>
            </w:r>
          </w:p>
        </w:tc>
      </w:tr>
    </w:tbl>
    <w:p w14:paraId="1A74C223" w14:textId="77777777" w:rsidR="00176E18" w:rsidRDefault="00000000">
      <w:pPr>
        <w:spacing w:line="280" w:lineRule="atLeast"/>
        <w:rPr>
          <w:rFonts w:ascii="Arial" w:eastAsia="Times New Roman Uni" w:hAnsi="Arial" w:cs="Arial"/>
          <w:sz w:val="20"/>
          <w:szCs w:val="20"/>
        </w:rPr>
      </w:pPr>
      <w:r>
        <w:rPr>
          <w:rFonts w:ascii="Arial" w:eastAsia="Times New Roman Uni" w:hAnsi="Arial" w:cs="Arial"/>
          <w:i/>
          <w:iCs/>
          <w:sz w:val="20"/>
          <w:szCs w:val="20"/>
        </w:rPr>
        <w:t>95% CI</w:t>
      </w:r>
      <w:r>
        <w:rPr>
          <w:rFonts w:ascii="Arial" w:eastAsia="Times New Roman Uni" w:hAnsi="Arial" w:cs="Arial"/>
          <w:sz w:val="20"/>
          <w:szCs w:val="20"/>
        </w:rPr>
        <w:t xml:space="preserve">, 95% Confidence Interval; </w:t>
      </w:r>
      <w:r>
        <w:rPr>
          <w:rFonts w:ascii="Arial" w:eastAsia="Times New Roman Uni" w:hAnsi="Arial" w:cs="Arial"/>
          <w:i/>
          <w:iCs/>
          <w:sz w:val="20"/>
          <w:szCs w:val="20"/>
        </w:rPr>
        <w:t>Sen</w:t>
      </w:r>
      <w:r>
        <w:rPr>
          <w:rFonts w:ascii="Arial" w:eastAsia="Times New Roman Uni" w:hAnsi="Arial" w:cs="Arial"/>
          <w:sz w:val="20"/>
          <w:szCs w:val="20"/>
        </w:rPr>
        <w:t xml:space="preserve">, sensitivity; </w:t>
      </w:r>
      <w:r>
        <w:rPr>
          <w:rFonts w:ascii="Arial" w:eastAsia="Times New Roman Uni" w:hAnsi="Arial" w:cs="Arial"/>
          <w:i/>
          <w:iCs/>
          <w:sz w:val="20"/>
          <w:szCs w:val="20"/>
        </w:rPr>
        <w:t>Spe</w:t>
      </w:r>
      <w:r>
        <w:rPr>
          <w:rFonts w:ascii="Arial" w:eastAsia="Times New Roman Uni" w:hAnsi="Arial" w:cs="Arial"/>
          <w:sz w:val="20"/>
          <w:szCs w:val="20"/>
        </w:rPr>
        <w:t xml:space="preserve">, Specificity; </w:t>
      </w:r>
      <w:r>
        <w:rPr>
          <w:rFonts w:ascii="Arial" w:eastAsia="Times New Roman Uni" w:hAnsi="Arial" w:cs="Arial"/>
          <w:i/>
          <w:iCs/>
          <w:sz w:val="20"/>
          <w:szCs w:val="20"/>
        </w:rPr>
        <w:t>+LR</w:t>
      </w:r>
      <w:r>
        <w:rPr>
          <w:rFonts w:ascii="Arial" w:eastAsia="Times New Roman Uni" w:hAnsi="Arial" w:cs="Arial"/>
          <w:sz w:val="20"/>
          <w:szCs w:val="20"/>
        </w:rPr>
        <w:t xml:space="preserve">, Positive likelihood ratio; </w:t>
      </w:r>
      <w:r>
        <w:rPr>
          <w:rFonts w:ascii="Arial" w:eastAsia="Times New Roman Uni" w:hAnsi="Arial" w:cs="Arial"/>
          <w:i/>
          <w:iCs/>
          <w:sz w:val="20"/>
          <w:szCs w:val="20"/>
        </w:rPr>
        <w:t>- LR</w:t>
      </w:r>
      <w:r>
        <w:rPr>
          <w:rFonts w:ascii="Arial" w:eastAsia="Times New Roman Uni" w:hAnsi="Arial" w:cs="Arial"/>
          <w:sz w:val="20"/>
          <w:szCs w:val="20"/>
        </w:rPr>
        <w:t xml:space="preserve">, Negative likelihood ratio; </w:t>
      </w:r>
      <w:r>
        <w:rPr>
          <w:rFonts w:ascii="Arial" w:eastAsia="Times New Roman Uni" w:hAnsi="Arial" w:cs="Arial"/>
          <w:i/>
          <w:iCs/>
          <w:sz w:val="20"/>
          <w:szCs w:val="20"/>
        </w:rPr>
        <w:t>PPV</w:t>
      </w:r>
      <w:r>
        <w:rPr>
          <w:rFonts w:ascii="Arial" w:eastAsia="Times New Roman Uni" w:hAnsi="Arial" w:cs="Arial"/>
          <w:sz w:val="20"/>
          <w:szCs w:val="20"/>
        </w:rPr>
        <w:t xml:space="preserve">, Positive predictive value; </w:t>
      </w:r>
      <w:r>
        <w:rPr>
          <w:rFonts w:ascii="Arial" w:eastAsia="Times New Roman Uni" w:hAnsi="Arial" w:cs="Arial"/>
          <w:i/>
          <w:iCs/>
          <w:sz w:val="20"/>
          <w:szCs w:val="20"/>
        </w:rPr>
        <w:t>NPV</w:t>
      </w:r>
      <w:r>
        <w:rPr>
          <w:rFonts w:ascii="Arial" w:eastAsia="Times New Roman Uni" w:hAnsi="Arial" w:cs="Arial"/>
          <w:sz w:val="20"/>
          <w:szCs w:val="20"/>
        </w:rPr>
        <w:t xml:space="preserve">, Negative predictive value.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hAnsi="Arial" w:cs="Arial"/>
          <w:i/>
          <w:iCs/>
          <w:sz w:val="20"/>
          <w:szCs w:val="20"/>
        </w:rPr>
        <w:t>LIP</w:t>
      </w:r>
      <w:r>
        <w:rPr>
          <w:rFonts w:ascii="Arial" w:hAnsi="Arial" w:cs="Arial"/>
          <w:sz w:val="20"/>
          <w:szCs w:val="20"/>
        </w:rPr>
        <w:t xml:space="preserve">, Lymphocyte, INR, and Procalcitonin-based Sepsis Screening Score. </w:t>
      </w:r>
    </w:p>
    <w:p w14:paraId="0C48714A" w14:textId="77777777" w:rsidR="00176E18" w:rsidRDefault="00000000">
      <w:pPr>
        <w:widowControl/>
        <w:spacing w:line="280" w:lineRule="atLeast"/>
        <w:jc w:val="left"/>
        <w:rPr>
          <w:rFonts w:ascii="Arial" w:hAnsi="Arial" w:cs="Arial"/>
          <w:sz w:val="20"/>
          <w:szCs w:val="20"/>
        </w:rPr>
      </w:pPr>
      <w:r>
        <w:rPr>
          <w:rFonts w:ascii="Arial" w:hAnsi="Arial" w:cs="Arial"/>
          <w:sz w:val="20"/>
          <w:szCs w:val="20"/>
        </w:rPr>
        <w:br w:type="page"/>
      </w:r>
    </w:p>
    <w:p w14:paraId="522EDCAD" w14:textId="37CB6899" w:rsidR="00176E18" w:rsidRDefault="00000000">
      <w:pPr>
        <w:pStyle w:val="1"/>
        <w:rPr>
          <w:rFonts w:ascii="Arial" w:hAnsi="Arial" w:cs="Arial"/>
          <w:b/>
          <w:bCs/>
          <w:color w:val="auto"/>
          <w:sz w:val="24"/>
          <w:szCs w:val="24"/>
        </w:rPr>
      </w:pPr>
      <w:bookmarkStart w:id="6" w:name="_Toc13703"/>
      <w:r>
        <w:rPr>
          <w:rFonts w:ascii="Arial" w:hAnsi="Arial" w:cs="Arial"/>
          <w:b/>
          <w:bCs/>
          <w:color w:val="auto"/>
          <w:sz w:val="24"/>
          <w:szCs w:val="24"/>
        </w:rPr>
        <w:lastRenderedPageBreak/>
        <w:t xml:space="preserve">Table </w:t>
      </w:r>
      <w:r>
        <w:rPr>
          <w:rFonts w:ascii="Arial" w:hAnsi="Arial" w:cs="Arial" w:hint="eastAsia"/>
          <w:b/>
          <w:bCs/>
          <w:color w:val="auto"/>
          <w:sz w:val="24"/>
          <w:szCs w:val="24"/>
        </w:rPr>
        <w:t>S6</w:t>
      </w:r>
      <w:r>
        <w:rPr>
          <w:rFonts w:ascii="Arial" w:hAnsi="Arial" w:cs="Arial"/>
          <w:b/>
          <w:bCs/>
          <w:color w:val="auto"/>
          <w:sz w:val="24"/>
          <w:szCs w:val="24"/>
        </w:rPr>
        <w:t xml:space="preserve">. Microbiological </w:t>
      </w:r>
      <w:r w:rsidR="00AD5ADE">
        <w:rPr>
          <w:rFonts w:ascii="Arial" w:hAnsi="Arial" w:cs="Arial" w:hint="eastAsia"/>
          <w:b/>
          <w:bCs/>
          <w:color w:val="auto"/>
          <w:sz w:val="24"/>
          <w:szCs w:val="24"/>
        </w:rPr>
        <w:t>p</w:t>
      </w:r>
      <w:r>
        <w:rPr>
          <w:rFonts w:ascii="Arial" w:hAnsi="Arial" w:cs="Arial"/>
          <w:b/>
          <w:bCs/>
          <w:color w:val="auto"/>
          <w:sz w:val="24"/>
          <w:szCs w:val="24"/>
        </w:rPr>
        <w:t xml:space="preserve">rediction by LIP </w:t>
      </w:r>
      <w:r w:rsidR="00AD5ADE">
        <w:rPr>
          <w:rFonts w:ascii="Arial" w:hAnsi="Arial" w:cs="Arial" w:hint="eastAsia"/>
          <w:b/>
          <w:bCs/>
          <w:color w:val="auto"/>
          <w:sz w:val="24"/>
          <w:szCs w:val="24"/>
        </w:rPr>
        <w:t>s</w:t>
      </w:r>
      <w:r>
        <w:rPr>
          <w:rFonts w:ascii="Arial" w:hAnsi="Arial" w:cs="Arial"/>
          <w:b/>
          <w:bCs/>
          <w:color w:val="auto"/>
          <w:sz w:val="24"/>
          <w:szCs w:val="24"/>
        </w:rPr>
        <w:t xml:space="preserve">core </w:t>
      </w:r>
      <w:r w:rsidR="00AD5ADE">
        <w:rPr>
          <w:rFonts w:ascii="Arial" w:hAnsi="Arial" w:cs="Arial" w:hint="eastAsia"/>
          <w:b/>
          <w:bCs/>
          <w:color w:val="auto"/>
          <w:sz w:val="24"/>
          <w:szCs w:val="24"/>
        </w:rPr>
        <w:t>t</w:t>
      </w:r>
      <w:r>
        <w:rPr>
          <w:rFonts w:ascii="Arial" w:hAnsi="Arial" w:cs="Arial"/>
          <w:b/>
          <w:bCs/>
          <w:color w:val="auto"/>
          <w:sz w:val="24"/>
          <w:szCs w:val="24"/>
        </w:rPr>
        <w:t>hresholds.</w:t>
      </w:r>
      <w:bookmarkEnd w:id="6"/>
    </w:p>
    <w:tbl>
      <w:tblPr>
        <w:tblStyle w:val="ab"/>
        <w:tblW w:w="0" w:type="auto"/>
        <w:tblLook w:val="04A0" w:firstRow="1" w:lastRow="0" w:firstColumn="1" w:lastColumn="0" w:noHBand="0" w:noVBand="1"/>
      </w:tblPr>
      <w:tblGrid>
        <w:gridCol w:w="838"/>
        <w:gridCol w:w="2350"/>
        <w:gridCol w:w="2017"/>
        <w:gridCol w:w="2344"/>
        <w:gridCol w:w="2187"/>
      </w:tblGrid>
      <w:tr w:rsidR="00176E18" w14:paraId="00C5EE59" w14:textId="77777777">
        <w:trPr>
          <w:trHeight w:val="338"/>
        </w:trPr>
        <w:tc>
          <w:tcPr>
            <w:tcW w:w="9736" w:type="dxa"/>
            <w:gridSpan w:val="5"/>
            <w:shd w:val="clear" w:color="auto" w:fill="E7E6E6" w:themeFill="background2"/>
          </w:tcPr>
          <w:p w14:paraId="6AD4CCE9" w14:textId="77777777" w:rsidR="00176E18" w:rsidRDefault="00000000">
            <w:pPr>
              <w:spacing w:line="280" w:lineRule="atLeast"/>
              <w:jc w:val="left"/>
              <w:rPr>
                <w:rFonts w:ascii="Arial" w:eastAsia="Times New Roman Uni" w:hAnsi="Arial" w:cs="Arial"/>
                <w:b/>
                <w:bCs/>
                <w:sz w:val="20"/>
                <w:szCs w:val="20"/>
              </w:rPr>
            </w:pPr>
            <w:r>
              <w:rPr>
                <w:rFonts w:ascii="Arial" w:eastAsia="Times New Roman Uni" w:hAnsi="Arial" w:cs="Arial"/>
                <w:sz w:val="20"/>
                <w:szCs w:val="20"/>
              </w:rPr>
              <w:t>All patients</w:t>
            </w:r>
          </w:p>
        </w:tc>
      </w:tr>
      <w:tr w:rsidR="00176E18" w14:paraId="60917FF3" w14:textId="77777777">
        <w:trPr>
          <w:trHeight w:val="254"/>
        </w:trPr>
        <w:tc>
          <w:tcPr>
            <w:tcW w:w="838" w:type="dxa"/>
          </w:tcPr>
          <w:p w14:paraId="44558EC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Item</w:t>
            </w:r>
          </w:p>
        </w:tc>
        <w:tc>
          <w:tcPr>
            <w:tcW w:w="2350" w:type="dxa"/>
          </w:tcPr>
          <w:p w14:paraId="2153E002"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Sen, 95% CI</w:t>
            </w:r>
          </w:p>
        </w:tc>
        <w:tc>
          <w:tcPr>
            <w:tcW w:w="2017" w:type="dxa"/>
          </w:tcPr>
          <w:p w14:paraId="29C57F0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Spe, 95% CI</w:t>
            </w:r>
          </w:p>
        </w:tc>
        <w:tc>
          <w:tcPr>
            <w:tcW w:w="2344" w:type="dxa"/>
          </w:tcPr>
          <w:p w14:paraId="18A5E76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c>
          <w:tcPr>
            <w:tcW w:w="2187" w:type="dxa"/>
          </w:tcPr>
          <w:p w14:paraId="2FAB7AC4"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r>
      <w:tr w:rsidR="00176E18" w14:paraId="33BA7576" w14:textId="77777777">
        <w:trPr>
          <w:trHeight w:val="272"/>
        </w:trPr>
        <w:tc>
          <w:tcPr>
            <w:tcW w:w="838" w:type="dxa"/>
          </w:tcPr>
          <w:p w14:paraId="48E689CF"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w:t>
            </w:r>
          </w:p>
        </w:tc>
        <w:tc>
          <w:tcPr>
            <w:tcW w:w="2350" w:type="dxa"/>
          </w:tcPr>
          <w:p w14:paraId="4F419FB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100(99.2-100.0)</w:t>
            </w:r>
          </w:p>
        </w:tc>
        <w:tc>
          <w:tcPr>
            <w:tcW w:w="2017" w:type="dxa"/>
          </w:tcPr>
          <w:p w14:paraId="23982CC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0(0.0-0.5)</w:t>
            </w:r>
          </w:p>
        </w:tc>
        <w:tc>
          <w:tcPr>
            <w:tcW w:w="2344" w:type="dxa"/>
          </w:tcPr>
          <w:p w14:paraId="1FFBBD1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1(1.0-1.0)</w:t>
            </w:r>
          </w:p>
        </w:tc>
        <w:tc>
          <w:tcPr>
            <w:tcW w:w="2187" w:type="dxa"/>
          </w:tcPr>
          <w:p w14:paraId="1791140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r>
      <w:tr w:rsidR="00176E18" w14:paraId="5792E695" w14:textId="77777777">
        <w:trPr>
          <w:trHeight w:val="276"/>
        </w:trPr>
        <w:tc>
          <w:tcPr>
            <w:tcW w:w="838" w:type="dxa"/>
          </w:tcPr>
          <w:p w14:paraId="133901B1"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w:t>
            </w:r>
          </w:p>
        </w:tc>
        <w:tc>
          <w:tcPr>
            <w:tcW w:w="2350" w:type="dxa"/>
          </w:tcPr>
          <w:p w14:paraId="0D02A444"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90.05(86.9-92.7)</w:t>
            </w:r>
          </w:p>
        </w:tc>
        <w:tc>
          <w:tcPr>
            <w:tcW w:w="2017" w:type="dxa"/>
          </w:tcPr>
          <w:p w14:paraId="39648AB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19.34(16.6-22.3)</w:t>
            </w:r>
          </w:p>
        </w:tc>
        <w:tc>
          <w:tcPr>
            <w:tcW w:w="2344" w:type="dxa"/>
          </w:tcPr>
          <w:p w14:paraId="61294E7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1.12(1.1-1.2)</w:t>
            </w:r>
          </w:p>
        </w:tc>
        <w:tc>
          <w:tcPr>
            <w:tcW w:w="2187" w:type="dxa"/>
          </w:tcPr>
          <w:p w14:paraId="08B309F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0.51(0.4-0.7)</w:t>
            </w:r>
          </w:p>
        </w:tc>
      </w:tr>
      <w:tr w:rsidR="00176E18" w14:paraId="7F149CB6" w14:textId="77777777">
        <w:trPr>
          <w:trHeight w:val="280"/>
        </w:trPr>
        <w:tc>
          <w:tcPr>
            <w:tcW w:w="838" w:type="dxa"/>
          </w:tcPr>
          <w:p w14:paraId="39A4BA6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2</w:t>
            </w:r>
          </w:p>
        </w:tc>
        <w:tc>
          <w:tcPr>
            <w:tcW w:w="2350" w:type="dxa"/>
          </w:tcPr>
          <w:p w14:paraId="7F8F8D7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84.16(80.4-87.4)</w:t>
            </w:r>
          </w:p>
        </w:tc>
        <w:tc>
          <w:tcPr>
            <w:tcW w:w="2017" w:type="dxa"/>
          </w:tcPr>
          <w:p w14:paraId="41338AE4"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34.34(31.0-37.8)</w:t>
            </w:r>
          </w:p>
        </w:tc>
        <w:tc>
          <w:tcPr>
            <w:tcW w:w="2344" w:type="dxa"/>
          </w:tcPr>
          <w:p w14:paraId="7164132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1.28(1.2-1.4)</w:t>
            </w:r>
          </w:p>
        </w:tc>
        <w:tc>
          <w:tcPr>
            <w:tcW w:w="2187" w:type="dxa"/>
          </w:tcPr>
          <w:p w14:paraId="2740E16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0.46(0.4-0.6)</w:t>
            </w:r>
          </w:p>
        </w:tc>
      </w:tr>
      <w:tr w:rsidR="00176E18" w14:paraId="2A2C2995" w14:textId="77777777">
        <w:trPr>
          <w:trHeight w:val="269"/>
        </w:trPr>
        <w:tc>
          <w:tcPr>
            <w:tcW w:w="838" w:type="dxa"/>
          </w:tcPr>
          <w:p w14:paraId="54CCDFF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3</w:t>
            </w:r>
          </w:p>
        </w:tc>
        <w:tc>
          <w:tcPr>
            <w:tcW w:w="2350" w:type="dxa"/>
          </w:tcPr>
          <w:p w14:paraId="52B8C54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69.68(65.2-73.9)</w:t>
            </w:r>
          </w:p>
        </w:tc>
        <w:tc>
          <w:tcPr>
            <w:tcW w:w="2017" w:type="dxa"/>
          </w:tcPr>
          <w:p w14:paraId="1575C1C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54.47(50.9-58.1)</w:t>
            </w:r>
          </w:p>
        </w:tc>
        <w:tc>
          <w:tcPr>
            <w:tcW w:w="2344" w:type="dxa"/>
          </w:tcPr>
          <w:p w14:paraId="6198194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1.53(1.4-1.7)</w:t>
            </w:r>
          </w:p>
        </w:tc>
        <w:tc>
          <w:tcPr>
            <w:tcW w:w="2187" w:type="dxa"/>
          </w:tcPr>
          <w:p w14:paraId="230FA4A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0.56(0.5-0.7)</w:t>
            </w:r>
          </w:p>
        </w:tc>
      </w:tr>
      <w:tr w:rsidR="00176E18" w14:paraId="30E22894" w14:textId="77777777">
        <w:trPr>
          <w:trHeight w:val="273"/>
        </w:trPr>
        <w:tc>
          <w:tcPr>
            <w:tcW w:w="838" w:type="dxa"/>
          </w:tcPr>
          <w:p w14:paraId="7B43F239"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w:t>
            </w:r>
          </w:p>
        </w:tc>
        <w:tc>
          <w:tcPr>
            <w:tcW w:w="2350" w:type="dxa"/>
            <w:tcBorders>
              <w:top w:val="nil"/>
              <w:left w:val="nil"/>
              <w:bottom w:val="single" w:sz="4" w:space="0" w:color="auto"/>
              <w:right w:val="single" w:sz="4" w:space="0" w:color="auto"/>
            </w:tcBorders>
            <w:vAlign w:val="bottom"/>
          </w:tcPr>
          <w:p w14:paraId="78B05E4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50.9(46.1-55.7)</w:t>
            </w:r>
          </w:p>
        </w:tc>
        <w:tc>
          <w:tcPr>
            <w:tcW w:w="2017" w:type="dxa"/>
            <w:tcBorders>
              <w:top w:val="nil"/>
              <w:left w:val="nil"/>
              <w:bottom w:val="single" w:sz="4" w:space="0" w:color="auto"/>
              <w:right w:val="single" w:sz="4" w:space="0" w:color="auto"/>
            </w:tcBorders>
            <w:vAlign w:val="bottom"/>
          </w:tcPr>
          <w:p w14:paraId="211DC773"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68.29(64.8-71.6)</w:t>
            </w:r>
          </w:p>
        </w:tc>
        <w:tc>
          <w:tcPr>
            <w:tcW w:w="2344" w:type="dxa"/>
            <w:tcBorders>
              <w:top w:val="nil"/>
              <w:left w:val="nil"/>
              <w:bottom w:val="single" w:sz="4" w:space="0" w:color="auto"/>
              <w:right w:val="single" w:sz="4" w:space="0" w:color="auto"/>
            </w:tcBorders>
            <w:vAlign w:val="bottom"/>
          </w:tcPr>
          <w:p w14:paraId="0E7951C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1.61(1.4-1.8)</w:t>
            </w:r>
          </w:p>
        </w:tc>
        <w:tc>
          <w:tcPr>
            <w:tcW w:w="2187" w:type="dxa"/>
            <w:tcBorders>
              <w:top w:val="nil"/>
              <w:left w:val="nil"/>
              <w:bottom w:val="single" w:sz="4" w:space="0" w:color="auto"/>
              <w:right w:val="single" w:sz="4" w:space="0" w:color="auto"/>
            </w:tcBorders>
            <w:vAlign w:val="bottom"/>
          </w:tcPr>
          <w:p w14:paraId="5F4338A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0.72(0.6-0.8)</w:t>
            </w:r>
          </w:p>
        </w:tc>
      </w:tr>
      <w:tr w:rsidR="00176E18" w14:paraId="56466C06" w14:textId="77777777">
        <w:trPr>
          <w:trHeight w:val="263"/>
        </w:trPr>
        <w:tc>
          <w:tcPr>
            <w:tcW w:w="838" w:type="dxa"/>
          </w:tcPr>
          <w:p w14:paraId="6F3B8689"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5</w:t>
            </w:r>
          </w:p>
        </w:tc>
        <w:tc>
          <w:tcPr>
            <w:tcW w:w="2350" w:type="dxa"/>
            <w:tcBorders>
              <w:top w:val="nil"/>
              <w:left w:val="nil"/>
              <w:bottom w:val="single" w:sz="4" w:space="0" w:color="auto"/>
              <w:right w:val="single" w:sz="4" w:space="0" w:color="auto"/>
            </w:tcBorders>
            <w:vAlign w:val="bottom"/>
          </w:tcPr>
          <w:p w14:paraId="59A52EA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27.15(23.1-31.6)</w:t>
            </w:r>
          </w:p>
        </w:tc>
        <w:tc>
          <w:tcPr>
            <w:tcW w:w="2017" w:type="dxa"/>
            <w:tcBorders>
              <w:top w:val="nil"/>
              <w:left w:val="nil"/>
              <w:bottom w:val="single" w:sz="4" w:space="0" w:color="auto"/>
              <w:right w:val="single" w:sz="4" w:space="0" w:color="auto"/>
            </w:tcBorders>
            <w:vAlign w:val="bottom"/>
          </w:tcPr>
          <w:p w14:paraId="30FAAFE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84.08(81.3-86.6)</w:t>
            </w:r>
          </w:p>
        </w:tc>
        <w:tc>
          <w:tcPr>
            <w:tcW w:w="2344" w:type="dxa"/>
            <w:tcBorders>
              <w:top w:val="nil"/>
              <w:left w:val="nil"/>
              <w:bottom w:val="single" w:sz="4" w:space="0" w:color="auto"/>
              <w:right w:val="single" w:sz="4" w:space="0" w:color="auto"/>
            </w:tcBorders>
            <w:vAlign w:val="bottom"/>
          </w:tcPr>
          <w:p w14:paraId="1C3A18F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1.71(1.4-2.1)</w:t>
            </w:r>
          </w:p>
        </w:tc>
        <w:tc>
          <w:tcPr>
            <w:tcW w:w="2187" w:type="dxa"/>
            <w:tcBorders>
              <w:top w:val="nil"/>
              <w:left w:val="nil"/>
              <w:bottom w:val="single" w:sz="4" w:space="0" w:color="auto"/>
              <w:right w:val="single" w:sz="4" w:space="0" w:color="auto"/>
            </w:tcBorders>
            <w:vAlign w:val="bottom"/>
          </w:tcPr>
          <w:p w14:paraId="7BDC877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0.87(0.8-0.9)</w:t>
            </w:r>
          </w:p>
        </w:tc>
      </w:tr>
      <w:tr w:rsidR="00176E18" w14:paraId="317A08A7" w14:textId="77777777">
        <w:trPr>
          <w:trHeight w:val="280"/>
        </w:trPr>
        <w:tc>
          <w:tcPr>
            <w:tcW w:w="838" w:type="dxa"/>
          </w:tcPr>
          <w:p w14:paraId="66AB033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w:t>
            </w:r>
          </w:p>
        </w:tc>
        <w:tc>
          <w:tcPr>
            <w:tcW w:w="2350" w:type="dxa"/>
            <w:tcBorders>
              <w:top w:val="nil"/>
              <w:left w:val="nil"/>
              <w:bottom w:val="single" w:sz="4" w:space="0" w:color="auto"/>
              <w:right w:val="single" w:sz="4" w:space="0" w:color="auto"/>
            </w:tcBorders>
            <w:vAlign w:val="bottom"/>
          </w:tcPr>
          <w:p w14:paraId="49A71113"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9.73(7.1-12.9)</w:t>
            </w:r>
          </w:p>
        </w:tc>
        <w:tc>
          <w:tcPr>
            <w:tcW w:w="2017" w:type="dxa"/>
            <w:tcBorders>
              <w:top w:val="nil"/>
              <w:left w:val="nil"/>
              <w:bottom w:val="single" w:sz="4" w:space="0" w:color="auto"/>
              <w:right w:val="single" w:sz="4" w:space="0" w:color="auto"/>
            </w:tcBorders>
            <w:vAlign w:val="bottom"/>
          </w:tcPr>
          <w:p w14:paraId="2946D34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91.58(89.4-93.5)</w:t>
            </w:r>
          </w:p>
        </w:tc>
        <w:tc>
          <w:tcPr>
            <w:tcW w:w="2344" w:type="dxa"/>
            <w:tcBorders>
              <w:top w:val="nil"/>
              <w:left w:val="nil"/>
              <w:bottom w:val="single" w:sz="4" w:space="0" w:color="auto"/>
              <w:right w:val="single" w:sz="4" w:space="0" w:color="auto"/>
            </w:tcBorders>
            <w:vAlign w:val="bottom"/>
          </w:tcPr>
          <w:p w14:paraId="1D25232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1.16(0.8-1.7)</w:t>
            </w:r>
          </w:p>
        </w:tc>
        <w:tc>
          <w:tcPr>
            <w:tcW w:w="2187" w:type="dxa"/>
            <w:tcBorders>
              <w:top w:val="nil"/>
              <w:left w:val="nil"/>
              <w:bottom w:val="single" w:sz="4" w:space="0" w:color="auto"/>
              <w:right w:val="single" w:sz="4" w:space="0" w:color="auto"/>
            </w:tcBorders>
            <w:vAlign w:val="bottom"/>
          </w:tcPr>
          <w:p w14:paraId="34C2D534"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0.99(0.9-1.0)</w:t>
            </w:r>
          </w:p>
        </w:tc>
      </w:tr>
      <w:tr w:rsidR="00176E18" w14:paraId="7F1D3D6E" w14:textId="77777777">
        <w:trPr>
          <w:trHeight w:val="338"/>
        </w:trPr>
        <w:tc>
          <w:tcPr>
            <w:tcW w:w="9736" w:type="dxa"/>
            <w:gridSpan w:val="5"/>
            <w:shd w:val="clear" w:color="auto" w:fill="E7E6E6" w:themeFill="background2"/>
          </w:tcPr>
          <w:p w14:paraId="31AAC390" w14:textId="77777777" w:rsidR="00176E18" w:rsidRDefault="00000000">
            <w:pPr>
              <w:spacing w:line="280" w:lineRule="atLeast"/>
              <w:jc w:val="left"/>
              <w:rPr>
                <w:rFonts w:ascii="Arial" w:eastAsia="Times New Roman Uni" w:hAnsi="Arial" w:cs="Arial"/>
                <w:b/>
                <w:bCs/>
                <w:sz w:val="20"/>
                <w:szCs w:val="20"/>
              </w:rPr>
            </w:pPr>
            <w:r>
              <w:rPr>
                <w:rFonts w:ascii="Arial" w:eastAsia="Times New Roman Uni" w:hAnsi="Arial" w:cs="Arial"/>
                <w:sz w:val="20"/>
                <w:szCs w:val="20"/>
              </w:rPr>
              <w:t>Pulmonary infection subgroup</w:t>
            </w:r>
          </w:p>
        </w:tc>
      </w:tr>
      <w:tr w:rsidR="00176E18" w14:paraId="60690083" w14:textId="77777777">
        <w:trPr>
          <w:trHeight w:val="205"/>
        </w:trPr>
        <w:tc>
          <w:tcPr>
            <w:tcW w:w="838" w:type="dxa"/>
          </w:tcPr>
          <w:p w14:paraId="1FCAA82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Item</w:t>
            </w:r>
          </w:p>
        </w:tc>
        <w:tc>
          <w:tcPr>
            <w:tcW w:w="2350" w:type="dxa"/>
          </w:tcPr>
          <w:p w14:paraId="3CA208D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Sen, 95% CI</w:t>
            </w:r>
          </w:p>
        </w:tc>
        <w:tc>
          <w:tcPr>
            <w:tcW w:w="2017" w:type="dxa"/>
          </w:tcPr>
          <w:p w14:paraId="2F39A859"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Spe, 95% CI</w:t>
            </w:r>
          </w:p>
        </w:tc>
        <w:tc>
          <w:tcPr>
            <w:tcW w:w="2344" w:type="dxa"/>
          </w:tcPr>
          <w:p w14:paraId="51FC376C"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c>
          <w:tcPr>
            <w:tcW w:w="2187" w:type="dxa"/>
          </w:tcPr>
          <w:p w14:paraId="53E702F3"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r>
      <w:tr w:rsidR="00176E18" w14:paraId="382C886E" w14:textId="77777777">
        <w:trPr>
          <w:trHeight w:val="237"/>
        </w:trPr>
        <w:tc>
          <w:tcPr>
            <w:tcW w:w="838" w:type="dxa"/>
          </w:tcPr>
          <w:p w14:paraId="3745926F"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w:t>
            </w:r>
          </w:p>
        </w:tc>
        <w:tc>
          <w:tcPr>
            <w:tcW w:w="2350" w:type="dxa"/>
          </w:tcPr>
          <w:p w14:paraId="030F74E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100(98.5-100.0)</w:t>
            </w:r>
          </w:p>
        </w:tc>
        <w:tc>
          <w:tcPr>
            <w:tcW w:w="2017" w:type="dxa"/>
          </w:tcPr>
          <w:p w14:paraId="0305A8A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0(0.0-1.1)</w:t>
            </w:r>
          </w:p>
        </w:tc>
        <w:tc>
          <w:tcPr>
            <w:tcW w:w="2344" w:type="dxa"/>
          </w:tcPr>
          <w:p w14:paraId="0B24C30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1(1.0-1.0)</w:t>
            </w:r>
          </w:p>
        </w:tc>
        <w:tc>
          <w:tcPr>
            <w:tcW w:w="2187" w:type="dxa"/>
          </w:tcPr>
          <w:p w14:paraId="1C59B2C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r>
      <w:tr w:rsidR="00176E18" w14:paraId="6DDC5884" w14:textId="77777777">
        <w:trPr>
          <w:trHeight w:val="283"/>
        </w:trPr>
        <w:tc>
          <w:tcPr>
            <w:tcW w:w="838" w:type="dxa"/>
          </w:tcPr>
          <w:p w14:paraId="1F7AA932"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w:t>
            </w:r>
          </w:p>
        </w:tc>
        <w:tc>
          <w:tcPr>
            <w:tcW w:w="2350" w:type="dxa"/>
          </w:tcPr>
          <w:p w14:paraId="3FB9B6B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89.03(84.3-92.7)</w:t>
            </w:r>
          </w:p>
        </w:tc>
        <w:tc>
          <w:tcPr>
            <w:tcW w:w="2017" w:type="dxa"/>
          </w:tcPr>
          <w:p w14:paraId="52A32BE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14.67(11.1-18.9)</w:t>
            </w:r>
          </w:p>
        </w:tc>
        <w:tc>
          <w:tcPr>
            <w:tcW w:w="2344" w:type="dxa"/>
          </w:tcPr>
          <w:p w14:paraId="58D7F0D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1.04(1.0-1.1)</w:t>
            </w:r>
          </w:p>
        </w:tc>
        <w:tc>
          <w:tcPr>
            <w:tcW w:w="2187" w:type="dxa"/>
          </w:tcPr>
          <w:p w14:paraId="6F3F639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0.75(0.5-1.2)</w:t>
            </w:r>
          </w:p>
        </w:tc>
      </w:tr>
      <w:tr w:rsidR="00176E18" w14:paraId="2FFFA902" w14:textId="77777777">
        <w:trPr>
          <w:trHeight w:val="273"/>
        </w:trPr>
        <w:tc>
          <w:tcPr>
            <w:tcW w:w="838" w:type="dxa"/>
          </w:tcPr>
          <w:p w14:paraId="393CB6DD"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2</w:t>
            </w:r>
          </w:p>
        </w:tc>
        <w:tc>
          <w:tcPr>
            <w:tcW w:w="2350" w:type="dxa"/>
          </w:tcPr>
          <w:p w14:paraId="6940205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83.54(78.2-88.0)</w:t>
            </w:r>
          </w:p>
        </w:tc>
        <w:tc>
          <w:tcPr>
            <w:tcW w:w="2017" w:type="dxa"/>
          </w:tcPr>
          <w:p w14:paraId="5C2489B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31.14(26.2-36.4)</w:t>
            </w:r>
          </w:p>
        </w:tc>
        <w:tc>
          <w:tcPr>
            <w:tcW w:w="2344" w:type="dxa"/>
          </w:tcPr>
          <w:p w14:paraId="00C3CD2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1.21(1.1-1.3)</w:t>
            </w:r>
          </w:p>
        </w:tc>
        <w:tc>
          <w:tcPr>
            <w:tcW w:w="2187" w:type="dxa"/>
          </w:tcPr>
          <w:p w14:paraId="72A145C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0.53(0.4-0.7)</w:t>
            </w:r>
          </w:p>
        </w:tc>
      </w:tr>
      <w:tr w:rsidR="00176E18" w14:paraId="091E894C" w14:textId="77777777">
        <w:trPr>
          <w:trHeight w:val="263"/>
        </w:trPr>
        <w:tc>
          <w:tcPr>
            <w:tcW w:w="838" w:type="dxa"/>
          </w:tcPr>
          <w:p w14:paraId="7E038784"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3</w:t>
            </w:r>
          </w:p>
        </w:tc>
        <w:tc>
          <w:tcPr>
            <w:tcW w:w="2350" w:type="dxa"/>
          </w:tcPr>
          <w:p w14:paraId="6872D254"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64.56(58.1-70.6)</w:t>
            </w:r>
          </w:p>
        </w:tc>
        <w:tc>
          <w:tcPr>
            <w:tcW w:w="2017" w:type="dxa"/>
          </w:tcPr>
          <w:p w14:paraId="17FBD8A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54.49(49.0-59.9)</w:t>
            </w:r>
          </w:p>
        </w:tc>
        <w:tc>
          <w:tcPr>
            <w:tcW w:w="2344" w:type="dxa"/>
          </w:tcPr>
          <w:p w14:paraId="33B2527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1.42(1.2-1.6)</w:t>
            </w:r>
          </w:p>
        </w:tc>
        <w:tc>
          <w:tcPr>
            <w:tcW w:w="2187" w:type="dxa"/>
          </w:tcPr>
          <w:p w14:paraId="5B13292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0.65(0.5-0.8)</w:t>
            </w:r>
          </w:p>
        </w:tc>
      </w:tr>
      <w:tr w:rsidR="00176E18" w14:paraId="6F951578" w14:textId="77777777">
        <w:trPr>
          <w:trHeight w:val="281"/>
        </w:trPr>
        <w:tc>
          <w:tcPr>
            <w:tcW w:w="838" w:type="dxa"/>
          </w:tcPr>
          <w:p w14:paraId="7385F11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w:t>
            </w:r>
          </w:p>
        </w:tc>
        <w:tc>
          <w:tcPr>
            <w:tcW w:w="2350" w:type="dxa"/>
          </w:tcPr>
          <w:p w14:paraId="747DE573"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44.3(37.9-50.9)</w:t>
            </w:r>
          </w:p>
        </w:tc>
        <w:tc>
          <w:tcPr>
            <w:tcW w:w="2017" w:type="dxa"/>
          </w:tcPr>
          <w:p w14:paraId="1CD869A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69.16(63.9-74.1)</w:t>
            </w:r>
          </w:p>
        </w:tc>
        <w:tc>
          <w:tcPr>
            <w:tcW w:w="2344" w:type="dxa"/>
          </w:tcPr>
          <w:p w14:paraId="355B309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1.44(1.2-1.8)</w:t>
            </w:r>
          </w:p>
        </w:tc>
        <w:tc>
          <w:tcPr>
            <w:tcW w:w="2187" w:type="dxa"/>
          </w:tcPr>
          <w:p w14:paraId="066519A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0.81(0.7-0.9)</w:t>
            </w:r>
          </w:p>
        </w:tc>
      </w:tr>
      <w:tr w:rsidR="00176E18" w14:paraId="011F541E" w14:textId="77777777">
        <w:trPr>
          <w:trHeight w:val="271"/>
        </w:trPr>
        <w:tc>
          <w:tcPr>
            <w:tcW w:w="838" w:type="dxa"/>
          </w:tcPr>
          <w:p w14:paraId="45659095"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5</w:t>
            </w:r>
          </w:p>
        </w:tc>
        <w:tc>
          <w:tcPr>
            <w:tcW w:w="2350" w:type="dxa"/>
          </w:tcPr>
          <w:p w14:paraId="646884D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22.36(17.2-28.2)</w:t>
            </w:r>
          </w:p>
        </w:tc>
        <w:tc>
          <w:tcPr>
            <w:tcW w:w="2017" w:type="dxa"/>
          </w:tcPr>
          <w:p w14:paraId="18BDD8D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87.72(83.7-91.0)</w:t>
            </w:r>
          </w:p>
        </w:tc>
        <w:tc>
          <w:tcPr>
            <w:tcW w:w="2344" w:type="dxa"/>
          </w:tcPr>
          <w:p w14:paraId="46359A8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1.82(1.3-2.6)</w:t>
            </w:r>
          </w:p>
        </w:tc>
        <w:tc>
          <w:tcPr>
            <w:tcW w:w="2187" w:type="dxa"/>
          </w:tcPr>
          <w:p w14:paraId="1176441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0.89(0.8-1.0)</w:t>
            </w:r>
          </w:p>
        </w:tc>
      </w:tr>
      <w:tr w:rsidR="00176E18" w14:paraId="1F078836" w14:textId="77777777">
        <w:trPr>
          <w:trHeight w:val="275"/>
        </w:trPr>
        <w:tc>
          <w:tcPr>
            <w:tcW w:w="838" w:type="dxa"/>
          </w:tcPr>
          <w:p w14:paraId="29EABEFE"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w:t>
            </w:r>
          </w:p>
        </w:tc>
        <w:tc>
          <w:tcPr>
            <w:tcW w:w="2350" w:type="dxa"/>
          </w:tcPr>
          <w:p w14:paraId="2DADE3A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7.59(4.6-11.7)</w:t>
            </w:r>
          </w:p>
        </w:tc>
        <w:tc>
          <w:tcPr>
            <w:tcW w:w="2017" w:type="dxa"/>
          </w:tcPr>
          <w:p w14:paraId="03043B2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93.41(90.2-95.8)</w:t>
            </w:r>
          </w:p>
        </w:tc>
        <w:tc>
          <w:tcPr>
            <w:tcW w:w="2344" w:type="dxa"/>
          </w:tcPr>
          <w:p w14:paraId="545F0EF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1.15(0.6-2.1)</w:t>
            </w:r>
          </w:p>
        </w:tc>
        <w:tc>
          <w:tcPr>
            <w:tcW w:w="2187" w:type="dxa"/>
          </w:tcPr>
          <w:p w14:paraId="5DCD10B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0.99(0.9-1.0)</w:t>
            </w:r>
          </w:p>
        </w:tc>
      </w:tr>
      <w:tr w:rsidR="00176E18" w14:paraId="71225710" w14:textId="77777777">
        <w:trPr>
          <w:trHeight w:val="338"/>
        </w:trPr>
        <w:tc>
          <w:tcPr>
            <w:tcW w:w="9736" w:type="dxa"/>
            <w:gridSpan w:val="5"/>
            <w:shd w:val="clear" w:color="auto" w:fill="E7E6E6" w:themeFill="background2"/>
          </w:tcPr>
          <w:p w14:paraId="7F0154E2" w14:textId="77777777" w:rsidR="00176E18" w:rsidRDefault="00000000">
            <w:pPr>
              <w:spacing w:line="280" w:lineRule="atLeast"/>
              <w:jc w:val="left"/>
              <w:rPr>
                <w:rFonts w:ascii="Arial" w:eastAsia="Times New Roman Uni" w:hAnsi="Arial" w:cs="Arial"/>
                <w:b/>
                <w:bCs/>
                <w:sz w:val="20"/>
                <w:szCs w:val="20"/>
              </w:rPr>
            </w:pPr>
            <w:r>
              <w:rPr>
                <w:rFonts w:ascii="Arial" w:eastAsia="Times New Roman Uni" w:hAnsi="Arial" w:cs="Arial"/>
                <w:sz w:val="20"/>
                <w:szCs w:val="20"/>
              </w:rPr>
              <w:t>Non-pulmonary infection subgroup</w:t>
            </w:r>
          </w:p>
        </w:tc>
      </w:tr>
      <w:tr w:rsidR="00176E18" w14:paraId="137284F9" w14:textId="77777777">
        <w:trPr>
          <w:trHeight w:val="199"/>
        </w:trPr>
        <w:tc>
          <w:tcPr>
            <w:tcW w:w="838" w:type="dxa"/>
          </w:tcPr>
          <w:p w14:paraId="4D72EF7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Item</w:t>
            </w:r>
          </w:p>
        </w:tc>
        <w:tc>
          <w:tcPr>
            <w:tcW w:w="2350" w:type="dxa"/>
          </w:tcPr>
          <w:p w14:paraId="4D5A2676"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Sen, 95% CI</w:t>
            </w:r>
          </w:p>
        </w:tc>
        <w:tc>
          <w:tcPr>
            <w:tcW w:w="2017" w:type="dxa"/>
          </w:tcPr>
          <w:p w14:paraId="16826279"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Spe, 95% CI</w:t>
            </w:r>
          </w:p>
        </w:tc>
        <w:tc>
          <w:tcPr>
            <w:tcW w:w="2344" w:type="dxa"/>
          </w:tcPr>
          <w:p w14:paraId="23087B2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c>
          <w:tcPr>
            <w:tcW w:w="2187" w:type="dxa"/>
          </w:tcPr>
          <w:p w14:paraId="176832D3"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-LR, 95% CI</w:t>
            </w:r>
          </w:p>
        </w:tc>
      </w:tr>
      <w:tr w:rsidR="00176E18" w14:paraId="1B9189B2" w14:textId="77777777">
        <w:trPr>
          <w:trHeight w:val="245"/>
        </w:trPr>
        <w:tc>
          <w:tcPr>
            <w:tcW w:w="838" w:type="dxa"/>
          </w:tcPr>
          <w:p w14:paraId="2B640067"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0</w:t>
            </w:r>
          </w:p>
        </w:tc>
        <w:tc>
          <w:tcPr>
            <w:tcW w:w="2350" w:type="dxa"/>
          </w:tcPr>
          <w:p w14:paraId="36702EE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100(98.2-100.0)</w:t>
            </w:r>
          </w:p>
        </w:tc>
        <w:tc>
          <w:tcPr>
            <w:tcW w:w="2017" w:type="dxa"/>
          </w:tcPr>
          <w:p w14:paraId="08C3682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0(0.0-0.9)</w:t>
            </w:r>
          </w:p>
        </w:tc>
        <w:tc>
          <w:tcPr>
            <w:tcW w:w="2344" w:type="dxa"/>
          </w:tcPr>
          <w:p w14:paraId="4B80322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1(1.0-1.0)</w:t>
            </w:r>
          </w:p>
        </w:tc>
        <w:tc>
          <w:tcPr>
            <w:tcW w:w="2187" w:type="dxa"/>
          </w:tcPr>
          <w:p w14:paraId="1011F28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r>
      <w:tr w:rsidR="00176E18" w14:paraId="0CD37A9E" w14:textId="77777777">
        <w:trPr>
          <w:trHeight w:val="277"/>
        </w:trPr>
        <w:tc>
          <w:tcPr>
            <w:tcW w:w="838" w:type="dxa"/>
          </w:tcPr>
          <w:p w14:paraId="395C400A"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1</w:t>
            </w:r>
          </w:p>
        </w:tc>
        <w:tc>
          <w:tcPr>
            <w:tcW w:w="2350" w:type="dxa"/>
          </w:tcPr>
          <w:p w14:paraId="23119953"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91.22(86.5-94.7)</w:t>
            </w:r>
          </w:p>
        </w:tc>
        <w:tc>
          <w:tcPr>
            <w:tcW w:w="2017" w:type="dxa"/>
          </w:tcPr>
          <w:p w14:paraId="7533C8E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23(19.1-27.3)</w:t>
            </w:r>
          </w:p>
        </w:tc>
        <w:tc>
          <w:tcPr>
            <w:tcW w:w="2344" w:type="dxa"/>
          </w:tcPr>
          <w:p w14:paraId="5EAE8E1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1.18(1.1-1.3)</w:t>
            </w:r>
          </w:p>
        </w:tc>
        <w:tc>
          <w:tcPr>
            <w:tcW w:w="2187" w:type="dxa"/>
          </w:tcPr>
          <w:p w14:paraId="698E22A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0.38(0.2-0.6)</w:t>
            </w:r>
          </w:p>
        </w:tc>
      </w:tr>
      <w:tr w:rsidR="00176E18" w14:paraId="0F0A1374" w14:textId="77777777">
        <w:trPr>
          <w:trHeight w:val="267"/>
        </w:trPr>
        <w:tc>
          <w:tcPr>
            <w:tcW w:w="838" w:type="dxa"/>
          </w:tcPr>
          <w:p w14:paraId="2813CA1B"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2</w:t>
            </w:r>
          </w:p>
        </w:tc>
        <w:tc>
          <w:tcPr>
            <w:tcW w:w="2350" w:type="dxa"/>
          </w:tcPr>
          <w:p w14:paraId="1A3D24F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84.88(79.2-89.5)</w:t>
            </w:r>
          </w:p>
        </w:tc>
        <w:tc>
          <w:tcPr>
            <w:tcW w:w="2017" w:type="dxa"/>
          </w:tcPr>
          <w:p w14:paraId="36BF98D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36.85(32.3-41.6)</w:t>
            </w:r>
          </w:p>
        </w:tc>
        <w:tc>
          <w:tcPr>
            <w:tcW w:w="2344" w:type="dxa"/>
          </w:tcPr>
          <w:p w14:paraId="6F57D8D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1.34(1.2-1.5)</w:t>
            </w:r>
          </w:p>
        </w:tc>
        <w:tc>
          <w:tcPr>
            <w:tcW w:w="2187" w:type="dxa"/>
          </w:tcPr>
          <w:p w14:paraId="182643F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0.41(0.3-0.6)</w:t>
            </w:r>
          </w:p>
        </w:tc>
      </w:tr>
      <w:tr w:rsidR="00176E18" w14:paraId="148F063C" w14:textId="77777777">
        <w:trPr>
          <w:trHeight w:val="271"/>
        </w:trPr>
        <w:tc>
          <w:tcPr>
            <w:tcW w:w="838" w:type="dxa"/>
          </w:tcPr>
          <w:p w14:paraId="10990FE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3</w:t>
            </w:r>
          </w:p>
        </w:tc>
        <w:tc>
          <w:tcPr>
            <w:tcW w:w="2350" w:type="dxa"/>
          </w:tcPr>
          <w:p w14:paraId="5B02C9D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75.61(69.1-81.3)</w:t>
            </w:r>
          </w:p>
        </w:tc>
        <w:tc>
          <w:tcPr>
            <w:tcW w:w="2017" w:type="dxa"/>
          </w:tcPr>
          <w:p w14:paraId="1505D8D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54.46(49.6-59.3)</w:t>
            </w:r>
          </w:p>
        </w:tc>
        <w:tc>
          <w:tcPr>
            <w:tcW w:w="2344" w:type="dxa"/>
          </w:tcPr>
          <w:p w14:paraId="1C5C1EC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1.66(1.5-1.9)</w:t>
            </w:r>
          </w:p>
        </w:tc>
        <w:tc>
          <w:tcPr>
            <w:tcW w:w="2187" w:type="dxa"/>
          </w:tcPr>
          <w:p w14:paraId="1516538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0.45(0.3-0.6)</w:t>
            </w:r>
          </w:p>
        </w:tc>
      </w:tr>
      <w:tr w:rsidR="00176E18" w14:paraId="04D812BB" w14:textId="77777777">
        <w:trPr>
          <w:trHeight w:val="275"/>
        </w:trPr>
        <w:tc>
          <w:tcPr>
            <w:tcW w:w="838" w:type="dxa"/>
          </w:tcPr>
          <w:p w14:paraId="4DEEFB5F"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4</w:t>
            </w:r>
          </w:p>
        </w:tc>
        <w:tc>
          <w:tcPr>
            <w:tcW w:w="2350" w:type="dxa"/>
          </w:tcPr>
          <w:p w14:paraId="642E419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58.54(51.5-65.4)</w:t>
            </w:r>
          </w:p>
        </w:tc>
        <w:tc>
          <w:tcPr>
            <w:tcW w:w="2017" w:type="dxa"/>
          </w:tcPr>
          <w:p w14:paraId="5D97A5D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67.61(62.9-72.0)</w:t>
            </w:r>
          </w:p>
        </w:tc>
        <w:tc>
          <w:tcPr>
            <w:tcW w:w="2344" w:type="dxa"/>
          </w:tcPr>
          <w:p w14:paraId="1DC1C40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1.81(1.5-2.2)</w:t>
            </w:r>
          </w:p>
        </w:tc>
        <w:tc>
          <w:tcPr>
            <w:tcW w:w="2187" w:type="dxa"/>
          </w:tcPr>
          <w:p w14:paraId="2D893C3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0.61(0.5-0.7)</w:t>
            </w:r>
          </w:p>
        </w:tc>
      </w:tr>
      <w:tr w:rsidR="00176E18" w14:paraId="3E2718A6" w14:textId="77777777">
        <w:trPr>
          <w:trHeight w:val="265"/>
        </w:trPr>
        <w:tc>
          <w:tcPr>
            <w:tcW w:w="838" w:type="dxa"/>
          </w:tcPr>
          <w:p w14:paraId="70533000"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5</w:t>
            </w:r>
          </w:p>
        </w:tc>
        <w:tc>
          <w:tcPr>
            <w:tcW w:w="2350" w:type="dxa"/>
          </w:tcPr>
          <w:p w14:paraId="4265665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32.68(26.3-39.6)</w:t>
            </w:r>
          </w:p>
        </w:tc>
        <w:tc>
          <w:tcPr>
            <w:tcW w:w="2017" w:type="dxa"/>
          </w:tcPr>
          <w:p w14:paraId="4712DDB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81.22(77.2-84.8)</w:t>
            </w:r>
          </w:p>
        </w:tc>
        <w:tc>
          <w:tcPr>
            <w:tcW w:w="2344" w:type="dxa"/>
          </w:tcPr>
          <w:p w14:paraId="39D0500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1.74(1.3-2.3)</w:t>
            </w:r>
          </w:p>
        </w:tc>
        <w:tc>
          <w:tcPr>
            <w:tcW w:w="2187" w:type="dxa"/>
          </w:tcPr>
          <w:p w14:paraId="079A1BB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0.83(0.7-0.9)</w:t>
            </w:r>
          </w:p>
        </w:tc>
      </w:tr>
      <w:tr w:rsidR="00176E18" w14:paraId="209A343D" w14:textId="77777777">
        <w:trPr>
          <w:trHeight w:val="283"/>
        </w:trPr>
        <w:tc>
          <w:tcPr>
            <w:tcW w:w="838" w:type="dxa"/>
          </w:tcPr>
          <w:p w14:paraId="7CE95CDC" w14:textId="77777777" w:rsidR="00176E18" w:rsidRDefault="00000000">
            <w:pPr>
              <w:spacing w:line="280" w:lineRule="atLeast"/>
              <w:jc w:val="center"/>
              <w:rPr>
                <w:rFonts w:ascii="Arial" w:eastAsia="Times New Roman Uni" w:hAnsi="Arial" w:cs="Arial"/>
                <w:b/>
                <w:bCs/>
                <w:sz w:val="20"/>
                <w:szCs w:val="20"/>
              </w:rPr>
            </w:pPr>
            <w:r>
              <w:rPr>
                <w:rFonts w:ascii="Arial" w:eastAsia="Times New Roman Uni" w:hAnsi="Arial" w:cs="Arial"/>
                <w:sz w:val="20"/>
                <w:szCs w:val="20"/>
              </w:rPr>
              <w:t>6</w:t>
            </w:r>
          </w:p>
        </w:tc>
        <w:tc>
          <w:tcPr>
            <w:tcW w:w="2350" w:type="dxa"/>
          </w:tcPr>
          <w:p w14:paraId="1F9C6BD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12.2(8.0-17.5)</w:t>
            </w:r>
          </w:p>
        </w:tc>
        <w:tc>
          <w:tcPr>
            <w:tcW w:w="2017" w:type="dxa"/>
          </w:tcPr>
          <w:p w14:paraId="4EE2042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90.14(86.9-92.8)</w:t>
            </w:r>
          </w:p>
        </w:tc>
        <w:tc>
          <w:tcPr>
            <w:tcW w:w="2344" w:type="dxa"/>
          </w:tcPr>
          <w:p w14:paraId="4FC5247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1.24(0.8-2.0)</w:t>
            </w:r>
          </w:p>
        </w:tc>
        <w:tc>
          <w:tcPr>
            <w:tcW w:w="2187" w:type="dxa"/>
          </w:tcPr>
          <w:p w14:paraId="591548E4"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0.97(0.9-1.0)</w:t>
            </w:r>
          </w:p>
        </w:tc>
      </w:tr>
    </w:tbl>
    <w:p w14:paraId="56D2C0BB" w14:textId="77777777" w:rsidR="00176E18" w:rsidRDefault="00000000">
      <w:pPr>
        <w:spacing w:line="280" w:lineRule="atLeast"/>
        <w:rPr>
          <w:rFonts w:ascii="Arial" w:hAnsi="Arial" w:cs="Arial"/>
          <w:sz w:val="20"/>
          <w:szCs w:val="20"/>
        </w:rPr>
      </w:pPr>
      <w:r>
        <w:rPr>
          <w:rFonts w:ascii="Arial" w:eastAsia="Times New Roman Uni" w:hAnsi="Arial" w:cs="Arial"/>
          <w:i/>
          <w:iCs/>
          <w:sz w:val="20"/>
          <w:szCs w:val="20"/>
        </w:rPr>
        <w:t>95% CI</w:t>
      </w:r>
      <w:r>
        <w:rPr>
          <w:rFonts w:ascii="Arial" w:eastAsia="Times New Roman Uni" w:hAnsi="Arial" w:cs="Arial"/>
          <w:sz w:val="20"/>
          <w:szCs w:val="20"/>
        </w:rPr>
        <w:t xml:space="preserve">, 95% Confidence Interval; </w:t>
      </w:r>
      <w:r>
        <w:rPr>
          <w:rFonts w:ascii="Arial" w:eastAsia="Times New Roman Uni" w:hAnsi="Arial" w:cs="Arial"/>
          <w:i/>
          <w:iCs/>
          <w:sz w:val="20"/>
          <w:szCs w:val="20"/>
        </w:rPr>
        <w:t>Sen</w:t>
      </w:r>
      <w:r>
        <w:rPr>
          <w:rFonts w:ascii="Arial" w:eastAsia="Times New Roman Uni" w:hAnsi="Arial" w:cs="Arial"/>
          <w:sz w:val="20"/>
          <w:szCs w:val="20"/>
        </w:rPr>
        <w:t xml:space="preserve">, sensitivity; </w:t>
      </w:r>
      <w:r>
        <w:rPr>
          <w:rFonts w:ascii="Arial" w:eastAsia="Times New Roman Uni" w:hAnsi="Arial" w:cs="Arial"/>
          <w:i/>
          <w:iCs/>
          <w:sz w:val="20"/>
          <w:szCs w:val="20"/>
        </w:rPr>
        <w:t>Spe</w:t>
      </w:r>
      <w:r>
        <w:rPr>
          <w:rFonts w:ascii="Arial" w:eastAsia="Times New Roman Uni" w:hAnsi="Arial" w:cs="Arial"/>
          <w:sz w:val="20"/>
          <w:szCs w:val="20"/>
        </w:rPr>
        <w:t xml:space="preserve">, Specificity; </w:t>
      </w:r>
      <w:r>
        <w:rPr>
          <w:rFonts w:ascii="Arial" w:eastAsia="Times New Roman Uni" w:hAnsi="Arial" w:cs="Arial"/>
          <w:i/>
          <w:iCs/>
          <w:sz w:val="20"/>
          <w:szCs w:val="20"/>
        </w:rPr>
        <w:t>+LR</w:t>
      </w:r>
      <w:r>
        <w:rPr>
          <w:rFonts w:ascii="Arial" w:eastAsia="Times New Roman Uni" w:hAnsi="Arial" w:cs="Arial"/>
          <w:sz w:val="20"/>
          <w:szCs w:val="20"/>
        </w:rPr>
        <w:t xml:space="preserve">, Positive likelihood ratio; </w:t>
      </w:r>
      <w:r>
        <w:rPr>
          <w:rFonts w:ascii="Arial" w:eastAsia="Times New Roman Uni" w:hAnsi="Arial" w:cs="Arial"/>
          <w:i/>
          <w:iCs/>
          <w:sz w:val="20"/>
          <w:szCs w:val="20"/>
        </w:rPr>
        <w:t>- LR</w:t>
      </w:r>
      <w:r>
        <w:rPr>
          <w:rFonts w:ascii="Arial" w:eastAsia="Times New Roman Uni" w:hAnsi="Arial" w:cs="Arial"/>
          <w:sz w:val="20"/>
          <w:szCs w:val="20"/>
        </w:rPr>
        <w:t xml:space="preserve">, Negative likelihood ratio.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hAnsi="Arial" w:cs="Arial"/>
          <w:i/>
          <w:iCs/>
          <w:sz w:val="20"/>
          <w:szCs w:val="20"/>
        </w:rPr>
        <w:t>LIP</w:t>
      </w:r>
      <w:r>
        <w:rPr>
          <w:rFonts w:ascii="Arial" w:hAnsi="Arial" w:cs="Arial"/>
          <w:sz w:val="20"/>
          <w:szCs w:val="20"/>
        </w:rPr>
        <w:t xml:space="preserve">, Lymphocyte, INR, and Procalcitonin-based Sepsis Screening Score. </w:t>
      </w:r>
    </w:p>
    <w:p w14:paraId="6E38A517" w14:textId="77777777" w:rsidR="00176E18" w:rsidRDefault="00176E18">
      <w:pPr>
        <w:spacing w:line="280" w:lineRule="atLeast"/>
        <w:rPr>
          <w:rFonts w:ascii="Arial" w:hAnsi="Arial" w:cs="Arial"/>
          <w:sz w:val="22"/>
        </w:rPr>
      </w:pPr>
    </w:p>
    <w:p w14:paraId="0E22576C" w14:textId="77777777" w:rsidR="00176E18" w:rsidRDefault="00000000">
      <w:pPr>
        <w:pStyle w:val="1"/>
        <w:keepNext w:val="0"/>
        <w:keepLines w:val="0"/>
        <w:pageBreakBefore/>
        <w:spacing w:before="120"/>
        <w:rPr>
          <w:rFonts w:ascii="Arial" w:hAnsi="Arial" w:cs="Arial"/>
          <w:b/>
          <w:bCs/>
          <w:color w:val="auto"/>
          <w:sz w:val="24"/>
          <w:szCs w:val="24"/>
        </w:rPr>
      </w:pPr>
      <w:bookmarkStart w:id="7" w:name="_Toc26671"/>
      <w:r>
        <w:rPr>
          <w:rFonts w:ascii="Arial" w:hAnsi="Arial" w:cs="Arial"/>
          <w:b/>
          <w:bCs/>
          <w:color w:val="auto"/>
          <w:sz w:val="24"/>
          <w:szCs w:val="24"/>
        </w:rPr>
        <w:lastRenderedPageBreak/>
        <w:t>Table</w:t>
      </w:r>
      <w:r>
        <w:rPr>
          <w:rFonts w:ascii="Arial" w:hAnsi="Arial" w:cs="Arial" w:hint="eastAsia"/>
          <w:b/>
          <w:bCs/>
          <w:color w:val="auto"/>
          <w:sz w:val="24"/>
          <w:szCs w:val="24"/>
        </w:rPr>
        <w:t xml:space="preserve"> S7</w:t>
      </w:r>
      <w:r>
        <w:rPr>
          <w:rFonts w:ascii="Arial" w:hAnsi="Arial" w:cs="Arial"/>
          <w:b/>
          <w:bCs/>
          <w:color w:val="auto"/>
          <w:sz w:val="24"/>
          <w:szCs w:val="24"/>
        </w:rPr>
        <w:t>. Comparative evaluation of screening tools for predicting microbial positivity.</w:t>
      </w:r>
      <w:bookmarkEnd w:id="7"/>
    </w:p>
    <w:tbl>
      <w:tblPr>
        <w:tblStyle w:val="ab"/>
        <w:tblW w:w="10038" w:type="dxa"/>
        <w:jc w:val="center"/>
        <w:tblLook w:val="04A0" w:firstRow="1" w:lastRow="0" w:firstColumn="1" w:lastColumn="0" w:noHBand="0" w:noVBand="1"/>
      </w:tblPr>
      <w:tblGrid>
        <w:gridCol w:w="1271"/>
        <w:gridCol w:w="1863"/>
        <w:gridCol w:w="972"/>
        <w:gridCol w:w="1988"/>
        <w:gridCol w:w="925"/>
        <w:gridCol w:w="2136"/>
        <w:gridCol w:w="883"/>
      </w:tblGrid>
      <w:tr w:rsidR="00176E18" w14:paraId="646BA4EA" w14:textId="77777777">
        <w:trPr>
          <w:trHeight w:val="320"/>
          <w:jc w:val="center"/>
        </w:trPr>
        <w:tc>
          <w:tcPr>
            <w:tcW w:w="1271" w:type="dxa"/>
            <w:vMerge w:val="restart"/>
            <w:noWrap/>
          </w:tcPr>
          <w:p w14:paraId="56808BA5" w14:textId="77777777" w:rsidR="00176E18" w:rsidRDefault="00000000">
            <w:pPr>
              <w:spacing w:beforeLines="50" w:before="156" w:line="280" w:lineRule="atLeast"/>
              <w:jc w:val="center"/>
              <w:rPr>
                <w:rFonts w:ascii="Arial" w:eastAsia="Times New Roman Uni" w:hAnsi="Arial" w:cs="Arial"/>
                <w:sz w:val="20"/>
                <w:szCs w:val="20"/>
              </w:rPr>
            </w:pPr>
            <w:r>
              <w:rPr>
                <w:rFonts w:ascii="Arial" w:eastAsia="Times New Roman Uni" w:hAnsi="Arial" w:cs="Arial"/>
                <w:sz w:val="20"/>
                <w:szCs w:val="20"/>
              </w:rPr>
              <w:t>Item</w:t>
            </w:r>
          </w:p>
        </w:tc>
        <w:tc>
          <w:tcPr>
            <w:tcW w:w="2835" w:type="dxa"/>
            <w:gridSpan w:val="2"/>
            <w:shd w:val="clear" w:color="auto" w:fill="C9C9C9" w:themeFill="accent3" w:themeFillTint="99"/>
          </w:tcPr>
          <w:p w14:paraId="1C7A28B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All patients</w:t>
            </w:r>
          </w:p>
        </w:tc>
        <w:tc>
          <w:tcPr>
            <w:tcW w:w="2913" w:type="dxa"/>
            <w:gridSpan w:val="2"/>
            <w:shd w:val="clear" w:color="auto" w:fill="C9C9C9" w:themeFill="accent3" w:themeFillTint="99"/>
            <w:noWrap/>
          </w:tcPr>
          <w:p w14:paraId="15798E7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Pulmonary infection</w:t>
            </w:r>
          </w:p>
        </w:tc>
        <w:tc>
          <w:tcPr>
            <w:tcW w:w="3019" w:type="dxa"/>
            <w:gridSpan w:val="2"/>
            <w:shd w:val="clear" w:color="auto" w:fill="C9C9C9" w:themeFill="accent3" w:themeFillTint="99"/>
            <w:noWrap/>
          </w:tcPr>
          <w:p w14:paraId="735A25D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Non-pulmonary infection</w:t>
            </w:r>
          </w:p>
        </w:tc>
      </w:tr>
      <w:tr w:rsidR="00176E18" w14:paraId="5F0EE123" w14:textId="77777777">
        <w:trPr>
          <w:trHeight w:val="320"/>
          <w:jc w:val="center"/>
        </w:trPr>
        <w:tc>
          <w:tcPr>
            <w:tcW w:w="1271" w:type="dxa"/>
            <w:vMerge/>
            <w:noWrap/>
          </w:tcPr>
          <w:p w14:paraId="10A29B2C" w14:textId="77777777" w:rsidR="00176E18" w:rsidRDefault="00176E18">
            <w:pPr>
              <w:spacing w:line="280" w:lineRule="atLeast"/>
              <w:jc w:val="center"/>
              <w:rPr>
                <w:rFonts w:ascii="Arial" w:eastAsia="Times New Roman Uni" w:hAnsi="Arial" w:cs="Arial"/>
                <w:sz w:val="20"/>
                <w:szCs w:val="20"/>
              </w:rPr>
            </w:pPr>
          </w:p>
        </w:tc>
        <w:tc>
          <w:tcPr>
            <w:tcW w:w="1863" w:type="dxa"/>
          </w:tcPr>
          <w:p w14:paraId="4927AB9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AUROC (95% CI)</w:t>
            </w:r>
          </w:p>
        </w:tc>
        <w:tc>
          <w:tcPr>
            <w:tcW w:w="972" w:type="dxa"/>
          </w:tcPr>
          <w:p w14:paraId="11EFB4E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i/>
                <w:iCs/>
                <w:sz w:val="20"/>
                <w:szCs w:val="20"/>
              </w:rPr>
              <w:t>P</w:t>
            </w:r>
          </w:p>
        </w:tc>
        <w:tc>
          <w:tcPr>
            <w:tcW w:w="1988" w:type="dxa"/>
            <w:noWrap/>
          </w:tcPr>
          <w:p w14:paraId="33FCAA7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AUROC (95% CI)</w:t>
            </w:r>
          </w:p>
        </w:tc>
        <w:tc>
          <w:tcPr>
            <w:tcW w:w="925" w:type="dxa"/>
            <w:noWrap/>
          </w:tcPr>
          <w:p w14:paraId="7F252E5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i/>
                <w:iCs/>
                <w:sz w:val="20"/>
                <w:szCs w:val="20"/>
              </w:rPr>
              <w:t>P</w:t>
            </w:r>
          </w:p>
        </w:tc>
        <w:tc>
          <w:tcPr>
            <w:tcW w:w="2136" w:type="dxa"/>
            <w:noWrap/>
          </w:tcPr>
          <w:p w14:paraId="506F8A8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AUROC (95% CI)</w:t>
            </w:r>
          </w:p>
        </w:tc>
        <w:tc>
          <w:tcPr>
            <w:tcW w:w="883" w:type="dxa"/>
          </w:tcPr>
          <w:p w14:paraId="622275D2"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i/>
                <w:iCs/>
                <w:sz w:val="20"/>
                <w:szCs w:val="20"/>
              </w:rPr>
              <w:t>P</w:t>
            </w:r>
          </w:p>
        </w:tc>
      </w:tr>
      <w:tr w:rsidR="00176E18" w14:paraId="69D6405F" w14:textId="77777777">
        <w:trPr>
          <w:trHeight w:val="246"/>
          <w:jc w:val="center"/>
        </w:trPr>
        <w:tc>
          <w:tcPr>
            <w:tcW w:w="1271" w:type="dxa"/>
            <w:noWrap/>
          </w:tcPr>
          <w:p w14:paraId="58DFF27A" w14:textId="77777777" w:rsidR="00176E18" w:rsidRDefault="00000000">
            <w:pPr>
              <w:spacing w:line="280" w:lineRule="atLeast"/>
              <w:jc w:val="left"/>
              <w:rPr>
                <w:rFonts w:ascii="Arial" w:eastAsia="Times New Roman Uni" w:hAnsi="Arial" w:cs="Arial"/>
                <w:sz w:val="20"/>
                <w:szCs w:val="20"/>
              </w:rPr>
            </w:pPr>
            <w:r>
              <w:rPr>
                <w:rFonts w:ascii="Arial" w:eastAsia="Times New Roman Uni" w:hAnsi="Arial" w:cs="Arial"/>
                <w:sz w:val="20"/>
                <w:szCs w:val="20"/>
              </w:rPr>
              <w:t>LIP</w:t>
            </w:r>
          </w:p>
        </w:tc>
        <w:tc>
          <w:tcPr>
            <w:tcW w:w="1863" w:type="dxa"/>
          </w:tcPr>
          <w:p w14:paraId="2266085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0.632(0.604-0.659)</w:t>
            </w:r>
          </w:p>
        </w:tc>
        <w:tc>
          <w:tcPr>
            <w:tcW w:w="972" w:type="dxa"/>
          </w:tcPr>
          <w:p w14:paraId="3F5AB92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c>
          <w:tcPr>
            <w:tcW w:w="1988" w:type="dxa"/>
            <w:noWrap/>
          </w:tcPr>
          <w:p w14:paraId="167E45A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0.606(0.565-0.647)</w:t>
            </w:r>
          </w:p>
        </w:tc>
        <w:tc>
          <w:tcPr>
            <w:tcW w:w="925" w:type="dxa"/>
            <w:noWrap/>
          </w:tcPr>
          <w:p w14:paraId="0542861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c>
          <w:tcPr>
            <w:tcW w:w="2136" w:type="dxa"/>
            <w:noWrap/>
          </w:tcPr>
          <w:p w14:paraId="641DD35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0.659(0.621-0.696)</w:t>
            </w:r>
          </w:p>
        </w:tc>
        <w:tc>
          <w:tcPr>
            <w:tcW w:w="883" w:type="dxa"/>
          </w:tcPr>
          <w:p w14:paraId="6741FEB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NA</w:t>
            </w:r>
          </w:p>
        </w:tc>
      </w:tr>
      <w:tr w:rsidR="00176E18" w14:paraId="4C83C73D" w14:textId="77777777">
        <w:trPr>
          <w:trHeight w:val="279"/>
          <w:jc w:val="center"/>
        </w:trPr>
        <w:tc>
          <w:tcPr>
            <w:tcW w:w="1271" w:type="dxa"/>
            <w:noWrap/>
          </w:tcPr>
          <w:p w14:paraId="5B7060B1" w14:textId="77777777" w:rsidR="00176E18" w:rsidRDefault="00000000">
            <w:pPr>
              <w:spacing w:line="280" w:lineRule="atLeast"/>
              <w:jc w:val="left"/>
              <w:rPr>
                <w:rFonts w:ascii="Arial" w:eastAsia="Times New Roman Uni" w:hAnsi="Arial" w:cs="Arial"/>
                <w:sz w:val="20"/>
                <w:szCs w:val="20"/>
              </w:rPr>
            </w:pPr>
            <w:r>
              <w:rPr>
                <w:rFonts w:ascii="Arial" w:eastAsia="Times New Roman Uni" w:hAnsi="Arial" w:cs="Arial"/>
                <w:sz w:val="20"/>
                <w:szCs w:val="20"/>
              </w:rPr>
              <w:t>NEWS</w:t>
            </w:r>
          </w:p>
        </w:tc>
        <w:tc>
          <w:tcPr>
            <w:tcW w:w="1863" w:type="dxa"/>
          </w:tcPr>
          <w:p w14:paraId="013A3A86"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0.650(0.622-0.677)</w:t>
            </w:r>
          </w:p>
        </w:tc>
        <w:tc>
          <w:tcPr>
            <w:tcW w:w="972" w:type="dxa"/>
          </w:tcPr>
          <w:p w14:paraId="31E3E073"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0.3095</w:t>
            </w:r>
          </w:p>
        </w:tc>
        <w:tc>
          <w:tcPr>
            <w:tcW w:w="1988" w:type="dxa"/>
            <w:noWrap/>
          </w:tcPr>
          <w:p w14:paraId="0E26775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0.649(0.608-0.688)</w:t>
            </w:r>
          </w:p>
        </w:tc>
        <w:tc>
          <w:tcPr>
            <w:tcW w:w="925" w:type="dxa"/>
            <w:noWrap/>
          </w:tcPr>
          <w:p w14:paraId="74BD289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0.098</w:t>
            </w:r>
          </w:p>
        </w:tc>
        <w:tc>
          <w:tcPr>
            <w:tcW w:w="2136" w:type="dxa"/>
            <w:noWrap/>
          </w:tcPr>
          <w:p w14:paraId="17CB4B9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0.637(0.598-0.675)</w:t>
            </w:r>
          </w:p>
        </w:tc>
        <w:tc>
          <w:tcPr>
            <w:tcW w:w="883" w:type="dxa"/>
          </w:tcPr>
          <w:p w14:paraId="6D1EAA9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0.310</w:t>
            </w:r>
          </w:p>
        </w:tc>
      </w:tr>
      <w:tr w:rsidR="00176E18" w14:paraId="7770665D" w14:textId="77777777">
        <w:trPr>
          <w:trHeight w:val="267"/>
          <w:jc w:val="center"/>
        </w:trPr>
        <w:tc>
          <w:tcPr>
            <w:tcW w:w="1271" w:type="dxa"/>
            <w:noWrap/>
          </w:tcPr>
          <w:p w14:paraId="767F3B36" w14:textId="77777777" w:rsidR="00176E18" w:rsidRDefault="00000000">
            <w:pPr>
              <w:spacing w:line="280" w:lineRule="atLeast"/>
              <w:jc w:val="left"/>
              <w:rPr>
                <w:rFonts w:ascii="Arial" w:eastAsia="Times New Roman Uni" w:hAnsi="Arial" w:cs="Arial"/>
                <w:sz w:val="20"/>
                <w:szCs w:val="20"/>
              </w:rPr>
            </w:pPr>
            <w:proofErr w:type="spellStart"/>
            <w:r>
              <w:rPr>
                <w:rFonts w:ascii="Arial" w:eastAsia="Times New Roman Uni" w:hAnsi="Arial" w:cs="Arial"/>
                <w:sz w:val="20"/>
                <w:szCs w:val="20"/>
              </w:rPr>
              <w:t>qSOFA</w:t>
            </w:r>
            <w:proofErr w:type="spellEnd"/>
          </w:p>
        </w:tc>
        <w:tc>
          <w:tcPr>
            <w:tcW w:w="1863" w:type="dxa"/>
          </w:tcPr>
          <w:p w14:paraId="0A0F6E7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0.638(0.610-0.665)</w:t>
            </w:r>
          </w:p>
        </w:tc>
        <w:tc>
          <w:tcPr>
            <w:tcW w:w="972" w:type="dxa"/>
          </w:tcPr>
          <w:p w14:paraId="0D0DC22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0.7393</w:t>
            </w:r>
          </w:p>
        </w:tc>
        <w:tc>
          <w:tcPr>
            <w:tcW w:w="1988" w:type="dxa"/>
            <w:noWrap/>
          </w:tcPr>
          <w:p w14:paraId="63DDC30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0.642(0.601-0.681)</w:t>
            </w:r>
          </w:p>
        </w:tc>
        <w:tc>
          <w:tcPr>
            <w:tcW w:w="925" w:type="dxa"/>
            <w:noWrap/>
          </w:tcPr>
          <w:p w14:paraId="4D8FEF9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0.188</w:t>
            </w:r>
          </w:p>
        </w:tc>
        <w:tc>
          <w:tcPr>
            <w:tcW w:w="2136" w:type="dxa"/>
            <w:noWrap/>
          </w:tcPr>
          <w:p w14:paraId="25E713A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0.618(0.578-0.656)</w:t>
            </w:r>
          </w:p>
        </w:tc>
        <w:tc>
          <w:tcPr>
            <w:tcW w:w="883" w:type="dxa"/>
          </w:tcPr>
          <w:p w14:paraId="2CE8BB91"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0.080</w:t>
            </w:r>
          </w:p>
        </w:tc>
      </w:tr>
      <w:tr w:rsidR="00176E18" w14:paraId="25974B1D" w14:textId="77777777">
        <w:trPr>
          <w:trHeight w:val="271"/>
          <w:jc w:val="center"/>
        </w:trPr>
        <w:tc>
          <w:tcPr>
            <w:tcW w:w="1271" w:type="dxa"/>
            <w:noWrap/>
          </w:tcPr>
          <w:p w14:paraId="2E1402EF" w14:textId="77777777" w:rsidR="00176E18" w:rsidRDefault="00000000">
            <w:pPr>
              <w:spacing w:line="280" w:lineRule="atLeast"/>
              <w:jc w:val="left"/>
              <w:rPr>
                <w:rFonts w:ascii="Arial" w:eastAsia="Times New Roman Uni" w:hAnsi="Arial" w:cs="Arial"/>
                <w:sz w:val="20"/>
                <w:szCs w:val="20"/>
              </w:rPr>
            </w:pPr>
            <w:r>
              <w:rPr>
                <w:rFonts w:ascii="Arial" w:eastAsia="Times New Roman Uni" w:hAnsi="Arial" w:cs="Arial"/>
                <w:sz w:val="20"/>
                <w:szCs w:val="20"/>
              </w:rPr>
              <w:t>SIRS</w:t>
            </w:r>
          </w:p>
        </w:tc>
        <w:tc>
          <w:tcPr>
            <w:tcW w:w="1863" w:type="dxa"/>
          </w:tcPr>
          <w:p w14:paraId="50C15C1F"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0.577(0.549-0.605)</w:t>
            </w:r>
          </w:p>
        </w:tc>
        <w:tc>
          <w:tcPr>
            <w:tcW w:w="972" w:type="dxa"/>
          </w:tcPr>
          <w:p w14:paraId="24F7EE2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0.0047</w:t>
            </w:r>
          </w:p>
        </w:tc>
        <w:tc>
          <w:tcPr>
            <w:tcW w:w="1988" w:type="dxa"/>
            <w:noWrap/>
          </w:tcPr>
          <w:p w14:paraId="5678F0D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0.549(0.508-0.591)</w:t>
            </w:r>
          </w:p>
        </w:tc>
        <w:tc>
          <w:tcPr>
            <w:tcW w:w="925" w:type="dxa"/>
            <w:noWrap/>
          </w:tcPr>
          <w:p w14:paraId="78BB4BCD"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0.056</w:t>
            </w:r>
          </w:p>
        </w:tc>
        <w:tc>
          <w:tcPr>
            <w:tcW w:w="2136" w:type="dxa"/>
            <w:noWrap/>
          </w:tcPr>
          <w:p w14:paraId="4457FB6C"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0.596(0.557-0.635)</w:t>
            </w:r>
          </w:p>
        </w:tc>
        <w:tc>
          <w:tcPr>
            <w:tcW w:w="883" w:type="dxa"/>
          </w:tcPr>
          <w:p w14:paraId="7E55332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0.014</w:t>
            </w:r>
          </w:p>
        </w:tc>
      </w:tr>
      <w:tr w:rsidR="00176E18" w14:paraId="6A6C4693" w14:textId="77777777">
        <w:trPr>
          <w:trHeight w:val="275"/>
          <w:jc w:val="center"/>
        </w:trPr>
        <w:tc>
          <w:tcPr>
            <w:tcW w:w="1271" w:type="dxa"/>
            <w:noWrap/>
          </w:tcPr>
          <w:p w14:paraId="38294E02" w14:textId="77777777" w:rsidR="00176E18" w:rsidRDefault="00000000">
            <w:pPr>
              <w:spacing w:line="280" w:lineRule="atLeast"/>
              <w:jc w:val="left"/>
              <w:rPr>
                <w:rFonts w:ascii="Arial" w:eastAsia="Times New Roman Uni" w:hAnsi="Arial" w:cs="Arial"/>
                <w:sz w:val="20"/>
                <w:szCs w:val="20"/>
              </w:rPr>
            </w:pPr>
            <w:r>
              <w:rPr>
                <w:rFonts w:ascii="Arial" w:eastAsia="Times New Roman Uni" w:hAnsi="Arial" w:cs="Arial"/>
                <w:sz w:val="20"/>
                <w:szCs w:val="20"/>
              </w:rPr>
              <w:t>SOFA</w:t>
            </w:r>
          </w:p>
        </w:tc>
        <w:tc>
          <w:tcPr>
            <w:tcW w:w="1863" w:type="dxa"/>
          </w:tcPr>
          <w:p w14:paraId="23A27E9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0.660(0.632-0.686)</w:t>
            </w:r>
          </w:p>
        </w:tc>
        <w:tc>
          <w:tcPr>
            <w:tcW w:w="972" w:type="dxa"/>
          </w:tcPr>
          <w:p w14:paraId="2BDF34DB"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0.0389</w:t>
            </w:r>
          </w:p>
        </w:tc>
        <w:tc>
          <w:tcPr>
            <w:tcW w:w="1988" w:type="dxa"/>
            <w:noWrap/>
          </w:tcPr>
          <w:p w14:paraId="2CFB92C5"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0.663(0.623-0.702)</w:t>
            </w:r>
          </w:p>
        </w:tc>
        <w:tc>
          <w:tcPr>
            <w:tcW w:w="925" w:type="dxa"/>
            <w:noWrap/>
          </w:tcPr>
          <w:p w14:paraId="4A3A67E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0.003</w:t>
            </w:r>
          </w:p>
        </w:tc>
        <w:tc>
          <w:tcPr>
            <w:tcW w:w="2136" w:type="dxa"/>
            <w:noWrap/>
          </w:tcPr>
          <w:p w14:paraId="3DB10F0A"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0.649(0.611-0.687)</w:t>
            </w:r>
          </w:p>
        </w:tc>
        <w:tc>
          <w:tcPr>
            <w:tcW w:w="883" w:type="dxa"/>
          </w:tcPr>
          <w:p w14:paraId="4C9AD1B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0.578</w:t>
            </w:r>
          </w:p>
        </w:tc>
      </w:tr>
      <w:tr w:rsidR="00176E18" w14:paraId="506F56ED" w14:textId="77777777">
        <w:trPr>
          <w:trHeight w:val="279"/>
          <w:jc w:val="center"/>
        </w:trPr>
        <w:tc>
          <w:tcPr>
            <w:tcW w:w="1271" w:type="dxa"/>
            <w:noWrap/>
          </w:tcPr>
          <w:p w14:paraId="56DC6139" w14:textId="77777777" w:rsidR="00176E18" w:rsidRDefault="00000000">
            <w:pPr>
              <w:spacing w:line="280" w:lineRule="atLeast"/>
              <w:jc w:val="left"/>
              <w:rPr>
                <w:rFonts w:ascii="Arial" w:eastAsia="Times New Roman Uni" w:hAnsi="Arial" w:cs="Arial"/>
                <w:sz w:val="20"/>
                <w:szCs w:val="20"/>
              </w:rPr>
            </w:pPr>
            <w:r>
              <w:rPr>
                <w:rFonts w:ascii="Arial" w:eastAsia="Times New Roman Uni" w:hAnsi="Arial" w:cs="Arial"/>
                <w:sz w:val="20"/>
                <w:szCs w:val="20"/>
              </w:rPr>
              <w:t>APACHE-II</w:t>
            </w:r>
          </w:p>
        </w:tc>
        <w:tc>
          <w:tcPr>
            <w:tcW w:w="1863" w:type="dxa"/>
          </w:tcPr>
          <w:p w14:paraId="5F8AB028"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0.640(0.612-0.667)</w:t>
            </w:r>
          </w:p>
        </w:tc>
        <w:tc>
          <w:tcPr>
            <w:tcW w:w="972" w:type="dxa"/>
          </w:tcPr>
          <w:p w14:paraId="6694D05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0.6542</w:t>
            </w:r>
          </w:p>
        </w:tc>
        <w:tc>
          <w:tcPr>
            <w:tcW w:w="1988" w:type="dxa"/>
            <w:noWrap/>
          </w:tcPr>
          <w:p w14:paraId="76086879"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0.599(0.557-0.639)</w:t>
            </w:r>
          </w:p>
        </w:tc>
        <w:tc>
          <w:tcPr>
            <w:tcW w:w="925" w:type="dxa"/>
            <w:noWrap/>
          </w:tcPr>
          <w:p w14:paraId="3B9CDAE0"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0.758</w:t>
            </w:r>
          </w:p>
        </w:tc>
        <w:tc>
          <w:tcPr>
            <w:tcW w:w="2136" w:type="dxa"/>
            <w:noWrap/>
          </w:tcPr>
          <w:p w14:paraId="0B859307"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0.669(0.631-0.706)</w:t>
            </w:r>
          </w:p>
        </w:tc>
        <w:tc>
          <w:tcPr>
            <w:tcW w:w="883" w:type="dxa"/>
          </w:tcPr>
          <w:p w14:paraId="1E662A3E" w14:textId="77777777" w:rsidR="00176E18" w:rsidRDefault="00000000">
            <w:pPr>
              <w:spacing w:line="280" w:lineRule="atLeast"/>
              <w:jc w:val="center"/>
              <w:rPr>
                <w:rFonts w:ascii="Arial" w:eastAsia="Times New Roman Uni" w:hAnsi="Arial" w:cs="Arial"/>
                <w:sz w:val="20"/>
                <w:szCs w:val="20"/>
              </w:rPr>
            </w:pPr>
            <w:r>
              <w:rPr>
                <w:rFonts w:ascii="Arial" w:eastAsia="Times New Roman Uni" w:hAnsi="Arial" w:cs="Arial"/>
                <w:sz w:val="20"/>
                <w:szCs w:val="20"/>
              </w:rPr>
              <w:t>0.686</w:t>
            </w:r>
          </w:p>
        </w:tc>
      </w:tr>
    </w:tbl>
    <w:p w14:paraId="5A66AA19" w14:textId="77777777" w:rsidR="00176E18" w:rsidRDefault="00000000">
      <w:pPr>
        <w:spacing w:line="280" w:lineRule="atLeast"/>
        <w:rPr>
          <w:rFonts w:ascii="Arial" w:eastAsia="Times New Roman Uni" w:hAnsi="Arial" w:cs="Arial"/>
          <w:sz w:val="20"/>
          <w:szCs w:val="20"/>
        </w:rPr>
      </w:pPr>
      <w:r>
        <w:rPr>
          <w:rFonts w:ascii="Arial" w:eastAsia="Times New Roman Uni" w:hAnsi="Arial" w:cs="Arial"/>
          <w:i/>
          <w:iCs/>
          <w:sz w:val="20"/>
          <w:szCs w:val="20"/>
        </w:rPr>
        <w:t>AUROC</w:t>
      </w:r>
      <w:r>
        <w:rPr>
          <w:rFonts w:ascii="Arial" w:eastAsia="Times New Roman Uni" w:hAnsi="Arial" w:cs="Arial"/>
          <w:sz w:val="20"/>
          <w:szCs w:val="20"/>
        </w:rPr>
        <w:t xml:space="preserve">, Area under the receiver operating characteristic curve; </w:t>
      </w:r>
      <w:r>
        <w:rPr>
          <w:rFonts w:ascii="Arial" w:eastAsia="Times New Roman Uni" w:hAnsi="Arial" w:cs="Arial"/>
          <w:i/>
          <w:iCs/>
          <w:sz w:val="20"/>
          <w:szCs w:val="20"/>
        </w:rPr>
        <w:t>95% CI</w:t>
      </w:r>
      <w:r>
        <w:rPr>
          <w:rFonts w:ascii="Arial" w:eastAsia="Times New Roman Uni" w:hAnsi="Arial" w:cs="Arial"/>
          <w:sz w:val="20"/>
          <w:szCs w:val="20"/>
        </w:rPr>
        <w:t>, 95% Confidence Interval.</w:t>
      </w:r>
      <w:r>
        <w:rPr>
          <w:rFonts w:ascii="Arial" w:eastAsia="Times New Roman Uni" w:hAnsi="Arial" w:cs="Arial"/>
          <w:i/>
          <w:iCs/>
          <w:sz w:val="20"/>
          <w:szCs w:val="20"/>
        </w:rPr>
        <w:t xml:space="preserve">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eastAsia="Times New Roman Uni" w:hAnsi="Arial" w:cs="Arial"/>
          <w:i/>
          <w:iCs/>
          <w:sz w:val="20"/>
          <w:szCs w:val="20"/>
        </w:rPr>
        <w:t>NEWS</w:t>
      </w:r>
      <w:r>
        <w:rPr>
          <w:rFonts w:ascii="Arial" w:eastAsia="Times New Roman Uni" w:hAnsi="Arial" w:cs="Arial"/>
          <w:sz w:val="20"/>
          <w:szCs w:val="20"/>
        </w:rPr>
        <w:t xml:space="preserve">, National Early Warning Score;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xml:space="preserve">, Quick Sequential Organ Failure Assessment; </w:t>
      </w:r>
      <w:r>
        <w:rPr>
          <w:rFonts w:ascii="Arial" w:eastAsia="Times New Roman Uni" w:hAnsi="Arial" w:cs="Arial"/>
          <w:i/>
          <w:iCs/>
          <w:sz w:val="20"/>
          <w:szCs w:val="20"/>
        </w:rPr>
        <w:t>SIRS</w:t>
      </w:r>
      <w:r>
        <w:rPr>
          <w:rFonts w:ascii="Arial" w:eastAsia="Times New Roman Uni" w:hAnsi="Arial" w:cs="Arial"/>
          <w:sz w:val="20"/>
          <w:szCs w:val="20"/>
        </w:rPr>
        <w:t xml:space="preserve">, Systemic Inflammatory Response Syndrome; </w:t>
      </w:r>
      <w:r>
        <w:rPr>
          <w:rFonts w:ascii="Arial" w:eastAsia="Times New Roman Uni" w:hAnsi="Arial" w:cs="Arial"/>
          <w:i/>
          <w:iCs/>
          <w:sz w:val="20"/>
          <w:szCs w:val="20"/>
        </w:rPr>
        <w:t>APACHE-II</w:t>
      </w:r>
      <w:r>
        <w:rPr>
          <w:rFonts w:ascii="Arial" w:eastAsia="Times New Roman Uni" w:hAnsi="Arial" w:cs="Arial"/>
          <w:sz w:val="20"/>
          <w:szCs w:val="20"/>
        </w:rPr>
        <w:t xml:space="preserve">, Acute Physiology and Chronic Health Evaluation II. </w:t>
      </w:r>
    </w:p>
    <w:p w14:paraId="2F985F6B" w14:textId="77777777" w:rsidR="00176E18" w:rsidRDefault="00176E18">
      <w:pPr>
        <w:spacing w:line="280" w:lineRule="atLeast"/>
        <w:rPr>
          <w:rFonts w:ascii="Arial" w:eastAsia="Times New Roman Uni" w:hAnsi="Arial" w:cs="Arial"/>
          <w:sz w:val="20"/>
          <w:szCs w:val="20"/>
        </w:rPr>
      </w:pPr>
    </w:p>
    <w:p w14:paraId="039159A7" w14:textId="77777777" w:rsidR="00176E18" w:rsidRDefault="00176E18">
      <w:pPr>
        <w:spacing w:line="280" w:lineRule="atLeast"/>
        <w:rPr>
          <w:rFonts w:ascii="Arial" w:hAnsi="Arial" w:cs="Arial"/>
          <w:sz w:val="22"/>
        </w:rPr>
      </w:pPr>
    </w:p>
    <w:p w14:paraId="7A28FD9B" w14:textId="77777777" w:rsidR="00176E18" w:rsidRDefault="00000000">
      <w:pPr>
        <w:pageBreakBefore/>
        <w:widowControl/>
        <w:jc w:val="center"/>
        <w:rPr>
          <w:rFonts w:ascii="Arial" w:hAnsi="Arial" w:cs="Arial"/>
        </w:rPr>
      </w:pPr>
      <w:r>
        <w:rPr>
          <w:rFonts w:ascii="Arial" w:hAnsi="Arial" w:cs="Arial" w:hint="eastAsia"/>
          <w:noProof/>
        </w:rPr>
        <w:lastRenderedPageBreak/>
        <w:drawing>
          <wp:inline distT="0" distB="0" distL="114300" distR="114300" wp14:anchorId="0A3BB03D" wp14:editId="2EE4C23E">
            <wp:extent cx="4450715" cy="3072765"/>
            <wp:effectExtent l="0" t="0" r="6985" b="3810"/>
            <wp:docPr id="7" name="图片 7" descr="文章图-修改后0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文章图-修改后0_01(1)"/>
                    <pic:cNvPicPr>
                      <a:picLocks noChangeAspect="1"/>
                    </pic:cNvPicPr>
                  </pic:nvPicPr>
                  <pic:blipFill>
                    <a:blip r:embed="rId9"/>
                    <a:stretch>
                      <a:fillRect/>
                    </a:stretch>
                  </pic:blipFill>
                  <pic:spPr>
                    <a:xfrm>
                      <a:off x="0" y="0"/>
                      <a:ext cx="4450715" cy="3072765"/>
                    </a:xfrm>
                    <a:prstGeom prst="rect">
                      <a:avLst/>
                    </a:prstGeom>
                  </pic:spPr>
                </pic:pic>
              </a:graphicData>
            </a:graphic>
          </wp:inline>
        </w:drawing>
      </w:r>
    </w:p>
    <w:p w14:paraId="11962E61" w14:textId="77777777" w:rsidR="00176E18" w:rsidRDefault="00000000">
      <w:pPr>
        <w:spacing w:line="280" w:lineRule="atLeast"/>
        <w:outlineLvl w:val="0"/>
        <w:rPr>
          <w:rStyle w:val="20"/>
          <w:rFonts w:ascii="Arial" w:hAnsi="Arial" w:cs="Arial"/>
          <w:b/>
          <w:bCs/>
          <w:color w:val="auto"/>
          <w:sz w:val="24"/>
          <w:szCs w:val="24"/>
        </w:rPr>
      </w:pPr>
      <w:bookmarkStart w:id="8" w:name="_Toc20831"/>
      <w:r>
        <w:rPr>
          <w:rStyle w:val="20"/>
          <w:rFonts w:ascii="Arial" w:hAnsi="Arial" w:cs="Arial" w:hint="eastAsia"/>
          <w:b/>
          <w:bCs/>
          <w:color w:val="auto"/>
          <w:sz w:val="24"/>
          <w:szCs w:val="24"/>
        </w:rPr>
        <w:t>Figure S1. Illustrating the exclusion dilemma for patients with unclear baseline SOFA scores.</w:t>
      </w:r>
      <w:bookmarkEnd w:id="8"/>
      <w:r>
        <w:rPr>
          <w:rStyle w:val="20"/>
          <w:rFonts w:ascii="Arial" w:hAnsi="Arial" w:cs="Arial" w:hint="eastAsia"/>
          <w:b/>
          <w:bCs/>
          <w:color w:val="auto"/>
          <w:sz w:val="24"/>
          <w:szCs w:val="24"/>
        </w:rPr>
        <w:t xml:space="preserve"> </w:t>
      </w:r>
    </w:p>
    <w:p w14:paraId="497DF782" w14:textId="77777777" w:rsidR="00176E18" w:rsidRDefault="00000000">
      <w:pPr>
        <w:widowControl/>
        <w:rPr>
          <w:rFonts w:ascii="Arial" w:hAnsi="Arial" w:cs="Arial"/>
        </w:rPr>
      </w:pPr>
      <w:r>
        <w:rPr>
          <w:rFonts w:ascii="Arial" w:hAnsi="Arial" w:cs="Arial" w:hint="eastAsia"/>
          <w:sz w:val="20"/>
          <w:szCs w:val="20"/>
        </w:rPr>
        <w:t>This figure illustrates the methodological dilemma encountered in applying the Sepsis-3 criteria: patients with suspected infection but an unclear baseline SOFA score cannot be classified as having sepsis. To avoid confounding the primary outcome, inclusion of these patients is not feasible, and their exclusion is necessitated by the study design.</w:t>
      </w:r>
      <w:r>
        <w:rPr>
          <w:rFonts w:ascii="Arial" w:hAnsi="Arial" w:cs="Arial"/>
        </w:rPr>
        <w:br w:type="page"/>
      </w:r>
    </w:p>
    <w:p w14:paraId="008D1FE1"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18FC9333" wp14:editId="2CA7DABA">
            <wp:extent cx="5958205" cy="6804025"/>
            <wp:effectExtent l="0" t="0" r="4445" b="6350"/>
            <wp:docPr id="8" name="图片 8" descr="图1总分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1总分布"/>
                    <pic:cNvPicPr>
                      <a:picLocks noChangeAspect="1"/>
                    </pic:cNvPicPr>
                  </pic:nvPicPr>
                  <pic:blipFill>
                    <a:blip r:embed="rId10"/>
                    <a:stretch>
                      <a:fillRect/>
                    </a:stretch>
                  </pic:blipFill>
                  <pic:spPr>
                    <a:xfrm>
                      <a:off x="0" y="0"/>
                      <a:ext cx="5958205" cy="6804025"/>
                    </a:xfrm>
                    <a:prstGeom prst="rect">
                      <a:avLst/>
                    </a:prstGeom>
                  </pic:spPr>
                </pic:pic>
              </a:graphicData>
            </a:graphic>
          </wp:inline>
        </w:drawing>
      </w:r>
    </w:p>
    <w:p w14:paraId="410CB28F" w14:textId="77777777" w:rsidR="00176E18" w:rsidRDefault="00000000">
      <w:pPr>
        <w:spacing w:line="280" w:lineRule="atLeast"/>
        <w:outlineLvl w:val="0"/>
        <w:rPr>
          <w:rStyle w:val="20"/>
          <w:rFonts w:ascii="Arial" w:hAnsi="Arial" w:cs="Arial"/>
          <w:color w:val="auto"/>
          <w:sz w:val="24"/>
          <w:szCs w:val="24"/>
        </w:rPr>
      </w:pPr>
      <w:bookmarkStart w:id="9" w:name="_Toc10187"/>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S2</w:t>
      </w:r>
      <w:r>
        <w:rPr>
          <w:rStyle w:val="20"/>
          <w:rFonts w:ascii="Arial" w:hAnsi="Arial" w:cs="Arial"/>
          <w:b/>
          <w:bCs/>
          <w:color w:val="auto"/>
          <w:sz w:val="24"/>
          <w:szCs w:val="24"/>
        </w:rPr>
        <w:t xml:space="preserve">. Distribution of SOFA, NEWS, </w:t>
      </w:r>
      <w:proofErr w:type="spellStart"/>
      <w:r>
        <w:rPr>
          <w:rStyle w:val="20"/>
          <w:rFonts w:ascii="Arial" w:hAnsi="Arial" w:cs="Arial"/>
          <w:b/>
          <w:bCs/>
          <w:color w:val="auto"/>
          <w:sz w:val="24"/>
          <w:szCs w:val="24"/>
        </w:rPr>
        <w:t>qSOFA</w:t>
      </w:r>
      <w:proofErr w:type="spellEnd"/>
      <w:r>
        <w:rPr>
          <w:rStyle w:val="20"/>
          <w:rFonts w:ascii="Arial" w:hAnsi="Arial" w:cs="Arial"/>
          <w:b/>
          <w:bCs/>
          <w:color w:val="auto"/>
          <w:sz w:val="24"/>
          <w:szCs w:val="24"/>
        </w:rPr>
        <w:t>, SIRS, and LIP scores among all patients</w:t>
      </w:r>
      <w:r>
        <w:rPr>
          <w:rStyle w:val="20"/>
          <w:rFonts w:ascii="Arial" w:hAnsi="Arial" w:cs="Arial"/>
          <w:color w:val="auto"/>
          <w:sz w:val="24"/>
          <w:szCs w:val="24"/>
        </w:rPr>
        <w:t>.</w:t>
      </w:r>
      <w:bookmarkEnd w:id="9"/>
      <w:r>
        <w:rPr>
          <w:rStyle w:val="20"/>
          <w:rFonts w:ascii="Arial" w:hAnsi="Arial" w:cs="Arial"/>
          <w:color w:val="auto"/>
          <w:sz w:val="24"/>
          <w:szCs w:val="24"/>
        </w:rPr>
        <w:t xml:space="preserve"> </w:t>
      </w:r>
    </w:p>
    <w:p w14:paraId="1F2AFE28" w14:textId="77777777" w:rsidR="00176E18" w:rsidRDefault="00000000">
      <w:pPr>
        <w:spacing w:line="280" w:lineRule="atLeast"/>
        <w:rPr>
          <w:rFonts w:ascii="Arial" w:eastAsia="Times New Roman Uni" w:hAnsi="Arial" w:cs="Arial"/>
          <w:b/>
          <w:bCs/>
          <w:sz w:val="20"/>
          <w:szCs w:val="20"/>
        </w:rPr>
      </w:pPr>
      <w:r>
        <w:rPr>
          <w:rFonts w:ascii="Arial" w:eastAsia="Times New Roman Uni" w:hAnsi="Arial" w:cs="Arial"/>
          <w:sz w:val="20"/>
          <w:szCs w:val="20"/>
        </w:rPr>
        <w:t xml:space="preserve">(A) SOFA Score; (B) NEWS Score; (C) LIP Score; (D) SIRS Score; (E) </w:t>
      </w:r>
      <w:proofErr w:type="spellStart"/>
      <w:r>
        <w:rPr>
          <w:rFonts w:ascii="Arial" w:eastAsia="Times New Roman Uni" w:hAnsi="Arial" w:cs="Arial"/>
          <w:sz w:val="20"/>
          <w:szCs w:val="20"/>
        </w:rPr>
        <w:t>qSOFA</w:t>
      </w:r>
      <w:proofErr w:type="spellEnd"/>
      <w:r>
        <w:rPr>
          <w:rFonts w:ascii="Arial" w:eastAsia="Times New Roman Uni" w:hAnsi="Arial" w:cs="Arial"/>
          <w:sz w:val="20"/>
          <w:szCs w:val="20"/>
        </w:rPr>
        <w:t xml:space="preserve"> Score.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eastAsia="Times New Roman Uni" w:hAnsi="Arial" w:cs="Arial"/>
          <w:i/>
          <w:iCs/>
          <w:sz w:val="20"/>
          <w:szCs w:val="20"/>
        </w:rPr>
        <w:t>NEWS</w:t>
      </w:r>
      <w:r>
        <w:rPr>
          <w:rFonts w:ascii="Arial" w:eastAsia="Times New Roman Uni" w:hAnsi="Arial" w:cs="Arial"/>
          <w:sz w:val="20"/>
          <w:szCs w:val="20"/>
        </w:rPr>
        <w:t xml:space="preserve">, National Early Warning Score;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xml:space="preserve">, Quick Sequential Organ Failure Assessment; </w:t>
      </w:r>
      <w:r>
        <w:rPr>
          <w:rFonts w:ascii="Arial" w:eastAsia="Times New Roman Uni" w:hAnsi="Arial" w:cs="Arial"/>
          <w:i/>
          <w:iCs/>
          <w:sz w:val="20"/>
          <w:szCs w:val="20"/>
        </w:rPr>
        <w:t>SIRS</w:t>
      </w:r>
      <w:r>
        <w:rPr>
          <w:rFonts w:ascii="Arial" w:eastAsia="Times New Roman Uni" w:hAnsi="Arial" w:cs="Arial"/>
          <w:sz w:val="20"/>
          <w:szCs w:val="20"/>
        </w:rPr>
        <w:t xml:space="preserve">, Systemic Inflammatory Response Syndrome; </w:t>
      </w:r>
      <w:r>
        <w:rPr>
          <w:rFonts w:ascii="Arial" w:eastAsia="Times New Roman Uni" w:hAnsi="Arial" w:cs="Arial"/>
          <w:i/>
          <w:iCs/>
          <w:sz w:val="20"/>
          <w:szCs w:val="20"/>
        </w:rPr>
        <w:t>APACHE-II</w:t>
      </w:r>
      <w:r>
        <w:rPr>
          <w:rFonts w:ascii="Arial" w:eastAsia="Times New Roman Uni" w:hAnsi="Arial" w:cs="Arial"/>
          <w:sz w:val="20"/>
          <w:szCs w:val="20"/>
        </w:rPr>
        <w:t>, Acute Physiology and Chronic Health Evaluation II.</w:t>
      </w:r>
    </w:p>
    <w:p w14:paraId="4F64FA2E" w14:textId="77777777" w:rsidR="00176E18" w:rsidRDefault="00000000">
      <w:pPr>
        <w:widowControl/>
        <w:spacing w:line="280" w:lineRule="atLeast"/>
        <w:jc w:val="left"/>
        <w:rPr>
          <w:rFonts w:ascii="Arial" w:hAnsi="Arial" w:cs="Arial"/>
          <w:sz w:val="22"/>
        </w:rPr>
      </w:pPr>
      <w:r>
        <w:rPr>
          <w:rFonts w:ascii="Arial" w:hAnsi="Arial" w:cs="Arial"/>
          <w:sz w:val="22"/>
        </w:rPr>
        <w:br w:type="page"/>
      </w:r>
    </w:p>
    <w:p w14:paraId="6FDE92A5"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3E7EEB2F" wp14:editId="26114D35">
            <wp:extent cx="5138420" cy="7560310"/>
            <wp:effectExtent l="0" t="0" r="5080" b="2540"/>
            <wp:docPr id="9" name="图片 9" descr="图2-ICU和非I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2-ICU和非ICU"/>
                    <pic:cNvPicPr>
                      <a:picLocks noChangeAspect="1"/>
                    </pic:cNvPicPr>
                  </pic:nvPicPr>
                  <pic:blipFill>
                    <a:blip r:embed="rId11"/>
                    <a:stretch>
                      <a:fillRect/>
                    </a:stretch>
                  </pic:blipFill>
                  <pic:spPr>
                    <a:xfrm>
                      <a:off x="0" y="0"/>
                      <a:ext cx="5138420" cy="7560310"/>
                    </a:xfrm>
                    <a:prstGeom prst="rect">
                      <a:avLst/>
                    </a:prstGeom>
                  </pic:spPr>
                </pic:pic>
              </a:graphicData>
            </a:graphic>
          </wp:inline>
        </w:drawing>
      </w:r>
    </w:p>
    <w:p w14:paraId="48ACBF46" w14:textId="77777777" w:rsidR="00176E18" w:rsidRDefault="00000000">
      <w:pPr>
        <w:spacing w:line="280" w:lineRule="exact"/>
        <w:outlineLvl w:val="0"/>
        <w:rPr>
          <w:rFonts w:ascii="Arial" w:eastAsia="Times New Roman Uni" w:hAnsi="Arial" w:cs="Arial"/>
          <w:b/>
          <w:bCs/>
          <w:sz w:val="24"/>
          <w:szCs w:val="24"/>
        </w:rPr>
      </w:pPr>
      <w:bookmarkStart w:id="10" w:name="_Toc28226"/>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S3</w:t>
      </w:r>
      <w:r>
        <w:rPr>
          <w:rStyle w:val="20"/>
          <w:rFonts w:ascii="Arial" w:hAnsi="Arial" w:cs="Arial"/>
          <w:b/>
          <w:bCs/>
          <w:color w:val="auto"/>
          <w:sz w:val="24"/>
          <w:szCs w:val="24"/>
        </w:rPr>
        <w:t>. Distribution of the five scoring systems (SOFA/NEWS/</w:t>
      </w:r>
      <w:proofErr w:type="spellStart"/>
      <w:r>
        <w:rPr>
          <w:rStyle w:val="20"/>
          <w:rFonts w:ascii="Arial" w:hAnsi="Arial" w:cs="Arial"/>
          <w:b/>
          <w:bCs/>
          <w:color w:val="auto"/>
          <w:sz w:val="24"/>
          <w:szCs w:val="24"/>
        </w:rPr>
        <w:t>qSOFA</w:t>
      </w:r>
      <w:proofErr w:type="spellEnd"/>
      <w:r>
        <w:rPr>
          <w:rStyle w:val="20"/>
          <w:rFonts w:ascii="Arial" w:hAnsi="Arial" w:cs="Arial"/>
          <w:b/>
          <w:bCs/>
          <w:color w:val="auto"/>
          <w:sz w:val="24"/>
          <w:szCs w:val="24"/>
        </w:rPr>
        <w:t>/SIRS/LIP) in ICU and Non-ICU patients.</w:t>
      </w:r>
      <w:bookmarkEnd w:id="10"/>
      <w:r>
        <w:rPr>
          <w:rFonts w:ascii="Arial" w:eastAsia="Times New Roman Uni" w:hAnsi="Arial" w:cs="Arial"/>
          <w:b/>
          <w:bCs/>
          <w:sz w:val="24"/>
          <w:szCs w:val="24"/>
        </w:rPr>
        <w:t xml:space="preserve"> </w:t>
      </w:r>
    </w:p>
    <w:p w14:paraId="2632B9AC" w14:textId="77777777" w:rsidR="00176E18" w:rsidRDefault="00000000">
      <w:pPr>
        <w:spacing w:line="280" w:lineRule="exact"/>
        <w:rPr>
          <w:rFonts w:ascii="Arial" w:hAnsi="Arial" w:cs="Arial"/>
        </w:rPr>
      </w:pPr>
      <w:r>
        <w:rPr>
          <w:rFonts w:ascii="Arial" w:eastAsia="Times New Roman Uni" w:hAnsi="Arial" w:cs="Arial"/>
          <w:sz w:val="20"/>
          <w:szCs w:val="20"/>
        </w:rPr>
        <w:t>(A)NEWS Score; (B)SOFA Score; (C)</w:t>
      </w:r>
      <w:proofErr w:type="spellStart"/>
      <w:r>
        <w:rPr>
          <w:rFonts w:ascii="Arial" w:eastAsia="Times New Roman Uni" w:hAnsi="Arial" w:cs="Arial"/>
          <w:sz w:val="20"/>
          <w:szCs w:val="20"/>
        </w:rPr>
        <w:t>qSOFA</w:t>
      </w:r>
      <w:proofErr w:type="spellEnd"/>
      <w:r>
        <w:rPr>
          <w:rFonts w:ascii="Arial" w:eastAsia="Times New Roman Uni" w:hAnsi="Arial" w:cs="Arial"/>
          <w:sz w:val="20"/>
          <w:szCs w:val="20"/>
        </w:rPr>
        <w:t xml:space="preserve"> Score; (D) SIRS Score; (E) LIP Score.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eastAsia="Times New Roman Uni" w:hAnsi="Arial" w:cs="Arial"/>
          <w:i/>
          <w:iCs/>
          <w:sz w:val="20"/>
          <w:szCs w:val="20"/>
        </w:rPr>
        <w:t>NEWS</w:t>
      </w:r>
      <w:r>
        <w:rPr>
          <w:rFonts w:ascii="Arial" w:eastAsia="Times New Roman Uni" w:hAnsi="Arial" w:cs="Arial"/>
          <w:sz w:val="20"/>
          <w:szCs w:val="20"/>
        </w:rPr>
        <w:t xml:space="preserve">, National Early Warning Score;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xml:space="preserve">, Quick Sequential Organ Failure Assessment; </w:t>
      </w:r>
      <w:r>
        <w:rPr>
          <w:rFonts w:ascii="Arial" w:eastAsia="Times New Roman Uni" w:hAnsi="Arial" w:cs="Arial"/>
          <w:i/>
          <w:iCs/>
          <w:sz w:val="20"/>
          <w:szCs w:val="20"/>
        </w:rPr>
        <w:t>SIRS</w:t>
      </w:r>
      <w:r>
        <w:rPr>
          <w:rFonts w:ascii="Arial" w:eastAsia="Times New Roman Uni" w:hAnsi="Arial" w:cs="Arial"/>
          <w:sz w:val="20"/>
          <w:szCs w:val="20"/>
        </w:rPr>
        <w:t xml:space="preserve">, Systemic Inflammatory Response Syndrome; </w:t>
      </w:r>
      <w:r>
        <w:rPr>
          <w:rFonts w:ascii="Arial" w:eastAsia="Times New Roman Uni" w:hAnsi="Arial" w:cs="Arial"/>
          <w:i/>
          <w:iCs/>
          <w:sz w:val="20"/>
          <w:szCs w:val="20"/>
        </w:rPr>
        <w:t>APACHE-II</w:t>
      </w:r>
      <w:r>
        <w:rPr>
          <w:rFonts w:ascii="Arial" w:eastAsia="Times New Roman Uni" w:hAnsi="Arial" w:cs="Arial"/>
          <w:sz w:val="20"/>
          <w:szCs w:val="20"/>
        </w:rPr>
        <w:t xml:space="preserve">, Acute Physiology and Chronic Health Evaluation II. </w:t>
      </w:r>
      <w:r>
        <w:rPr>
          <w:rFonts w:ascii="Arial" w:hAnsi="Arial" w:cs="Arial"/>
        </w:rPr>
        <w:br w:type="page"/>
      </w:r>
    </w:p>
    <w:p w14:paraId="0309BBC7" w14:textId="77777777" w:rsidR="00176E18" w:rsidRDefault="00000000">
      <w:pPr>
        <w:jc w:val="center"/>
        <w:rPr>
          <w:rFonts w:ascii="Arial" w:hAnsi="Arial" w:cs="Arial"/>
          <w:sz w:val="22"/>
        </w:rPr>
      </w:pPr>
      <w:r>
        <w:rPr>
          <w:rFonts w:ascii="Arial" w:hAnsi="Arial" w:cs="Arial" w:hint="eastAsia"/>
          <w:noProof/>
          <w:sz w:val="22"/>
        </w:rPr>
        <w:lastRenderedPageBreak/>
        <w:drawing>
          <wp:inline distT="0" distB="0" distL="114300" distR="114300" wp14:anchorId="00CBA9A6" wp14:editId="2037EC0B">
            <wp:extent cx="5165090" cy="7379970"/>
            <wp:effectExtent l="0" t="0" r="6985" b="1905"/>
            <wp:docPr id="10" name="图片 10" descr="图3分中心SO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3分中心SOFA"/>
                    <pic:cNvPicPr>
                      <a:picLocks noChangeAspect="1"/>
                    </pic:cNvPicPr>
                  </pic:nvPicPr>
                  <pic:blipFill>
                    <a:blip r:embed="rId12"/>
                    <a:stretch>
                      <a:fillRect/>
                    </a:stretch>
                  </pic:blipFill>
                  <pic:spPr>
                    <a:xfrm>
                      <a:off x="0" y="0"/>
                      <a:ext cx="5165090" cy="7379970"/>
                    </a:xfrm>
                    <a:prstGeom prst="rect">
                      <a:avLst/>
                    </a:prstGeom>
                  </pic:spPr>
                </pic:pic>
              </a:graphicData>
            </a:graphic>
          </wp:inline>
        </w:drawing>
      </w:r>
    </w:p>
    <w:p w14:paraId="27756EED" w14:textId="77777777" w:rsidR="00176E18" w:rsidRDefault="00000000">
      <w:pPr>
        <w:spacing w:line="280" w:lineRule="exact"/>
        <w:outlineLvl w:val="0"/>
        <w:rPr>
          <w:rFonts w:ascii="Arial" w:eastAsia="Times New Roman Uni" w:hAnsi="Arial" w:cs="Arial"/>
          <w:b/>
          <w:bCs/>
          <w:sz w:val="24"/>
          <w:szCs w:val="24"/>
        </w:rPr>
      </w:pPr>
      <w:bookmarkStart w:id="11" w:name="_Toc32408"/>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S4</w:t>
      </w:r>
      <w:r>
        <w:rPr>
          <w:rStyle w:val="20"/>
          <w:rFonts w:ascii="Arial" w:hAnsi="Arial" w:cs="Arial"/>
          <w:b/>
          <w:bCs/>
          <w:color w:val="auto"/>
          <w:sz w:val="24"/>
          <w:szCs w:val="24"/>
        </w:rPr>
        <w:t>. Distribution of SOFA scores across participating centers.</w:t>
      </w:r>
      <w:bookmarkEnd w:id="11"/>
      <w:r>
        <w:rPr>
          <w:rFonts w:ascii="Arial" w:eastAsia="Times New Roman Uni" w:hAnsi="Arial" w:cs="Arial"/>
          <w:b/>
          <w:bCs/>
          <w:sz w:val="24"/>
          <w:szCs w:val="24"/>
        </w:rPr>
        <w:t xml:space="preserve"> </w:t>
      </w:r>
    </w:p>
    <w:p w14:paraId="5F2D4554" w14:textId="77777777" w:rsidR="00176E18" w:rsidRDefault="00000000">
      <w:pPr>
        <w:spacing w:line="280" w:lineRule="exact"/>
        <w:rPr>
          <w:rFonts w:ascii="Arial" w:hAnsi="Arial" w:cs="Arial"/>
          <w:sz w:val="22"/>
        </w:rPr>
      </w:pPr>
      <w:r>
        <w:rPr>
          <w:rFonts w:ascii="Arial" w:eastAsia="Times New Roman Uni" w:hAnsi="Arial" w:cs="Arial"/>
          <w:sz w:val="20"/>
          <w:szCs w:val="20"/>
        </w:rPr>
        <w:t xml:space="preserve">(A) CQUCH, Chongqing University Central Hospital; (B)CQRCH, Chongqing Red Cross Hospital; (C)CQYBDPH, Chongqing </w:t>
      </w:r>
      <w:proofErr w:type="spellStart"/>
      <w:r>
        <w:rPr>
          <w:rFonts w:ascii="Arial" w:eastAsia="Times New Roman Uni" w:hAnsi="Arial" w:cs="Arial"/>
          <w:sz w:val="20"/>
          <w:szCs w:val="20"/>
        </w:rPr>
        <w:t>Yubei</w:t>
      </w:r>
      <w:proofErr w:type="spellEnd"/>
      <w:r>
        <w:rPr>
          <w:rFonts w:ascii="Arial" w:eastAsia="Times New Roman Uni" w:hAnsi="Arial" w:cs="Arial"/>
          <w:sz w:val="20"/>
          <w:szCs w:val="20"/>
        </w:rPr>
        <w:t xml:space="preserve"> District People's Hospital; (D)CQPH,</w:t>
      </w:r>
      <w:r>
        <w:rPr>
          <w:rFonts w:ascii="Arial" w:hAnsi="Arial" w:cs="Arial"/>
          <w:sz w:val="20"/>
          <w:szCs w:val="20"/>
        </w:rPr>
        <w:t xml:space="preserve"> </w:t>
      </w:r>
      <w:r>
        <w:rPr>
          <w:rFonts w:ascii="Arial" w:eastAsia="Times New Roman Uni" w:hAnsi="Arial" w:cs="Arial"/>
          <w:sz w:val="20"/>
          <w:szCs w:val="20"/>
        </w:rPr>
        <w:t xml:space="preserve">Chongqing General Hospital; (E) QLHSDU, Qilu Hospital of </w:t>
      </w:r>
      <w:proofErr w:type="spellStart"/>
      <w:r>
        <w:rPr>
          <w:rFonts w:ascii="Arial" w:eastAsia="Times New Roman Uni" w:hAnsi="Arial" w:cs="Arial"/>
          <w:sz w:val="20"/>
          <w:szCs w:val="20"/>
        </w:rPr>
        <w:t>ShanDong</w:t>
      </w:r>
      <w:proofErr w:type="spellEnd"/>
      <w:r>
        <w:rPr>
          <w:rFonts w:ascii="Arial" w:eastAsia="Times New Roman Uni" w:hAnsi="Arial" w:cs="Arial"/>
          <w:sz w:val="20"/>
          <w:szCs w:val="20"/>
        </w:rPr>
        <w:t xml:space="preserve"> University; (F) SCPPH, Sichuan Provincial People's Hospital; (G) SAHCQMU, The Second Affiliated Hospital of Chongqing Medical University; (H) CDSPH, Chengdu Second People's Hospital; (I) TAHCQMU, The Third Affiliated Hospital of Chongqing Medical University; (J)WCHSCU, </w:t>
      </w:r>
      <w:proofErr w:type="spellStart"/>
      <w:r>
        <w:rPr>
          <w:rFonts w:ascii="Arial" w:eastAsia="Times New Roman Uni" w:hAnsi="Arial" w:cs="Arial"/>
          <w:sz w:val="20"/>
          <w:szCs w:val="20"/>
        </w:rPr>
        <w:t>Westchina</w:t>
      </w:r>
      <w:proofErr w:type="spellEnd"/>
      <w:r>
        <w:rPr>
          <w:rFonts w:ascii="Arial" w:eastAsia="Times New Roman Uni" w:hAnsi="Arial" w:cs="Arial"/>
          <w:sz w:val="20"/>
          <w:szCs w:val="20"/>
        </w:rPr>
        <w:t xml:space="preserve"> Hospital of Sichuan University.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Quick Sequential Organ Failure Assessment.</w:t>
      </w:r>
      <w:r>
        <w:rPr>
          <w:rFonts w:ascii="Arial" w:hAnsi="Arial" w:cs="Arial"/>
          <w:sz w:val="22"/>
        </w:rPr>
        <w:br w:type="page"/>
      </w:r>
    </w:p>
    <w:p w14:paraId="66C98014"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1C673851" wp14:editId="3EE843FF">
            <wp:extent cx="5165090" cy="7379970"/>
            <wp:effectExtent l="0" t="0" r="6985" b="1905"/>
            <wp:docPr id="11" name="图片 11" descr="图4分中心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4分中心NEWS"/>
                    <pic:cNvPicPr>
                      <a:picLocks noChangeAspect="1"/>
                    </pic:cNvPicPr>
                  </pic:nvPicPr>
                  <pic:blipFill>
                    <a:blip r:embed="rId13"/>
                    <a:stretch>
                      <a:fillRect/>
                    </a:stretch>
                  </pic:blipFill>
                  <pic:spPr>
                    <a:xfrm>
                      <a:off x="0" y="0"/>
                      <a:ext cx="5165090" cy="7379970"/>
                    </a:xfrm>
                    <a:prstGeom prst="rect">
                      <a:avLst/>
                    </a:prstGeom>
                  </pic:spPr>
                </pic:pic>
              </a:graphicData>
            </a:graphic>
          </wp:inline>
        </w:drawing>
      </w:r>
    </w:p>
    <w:p w14:paraId="5B4373ED" w14:textId="77777777" w:rsidR="00176E18" w:rsidRDefault="00000000">
      <w:pPr>
        <w:spacing w:line="280" w:lineRule="exact"/>
        <w:outlineLvl w:val="0"/>
        <w:rPr>
          <w:rFonts w:ascii="Arial" w:eastAsia="Times New Roman Uni" w:hAnsi="Arial" w:cs="Arial"/>
          <w:b/>
          <w:bCs/>
          <w:sz w:val="24"/>
          <w:szCs w:val="24"/>
        </w:rPr>
      </w:pPr>
      <w:bookmarkStart w:id="12" w:name="_Toc8078"/>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S5</w:t>
      </w:r>
      <w:r>
        <w:rPr>
          <w:rStyle w:val="20"/>
          <w:rFonts w:ascii="Arial" w:hAnsi="Arial" w:cs="Arial"/>
          <w:b/>
          <w:bCs/>
          <w:color w:val="auto"/>
          <w:sz w:val="24"/>
          <w:szCs w:val="24"/>
        </w:rPr>
        <w:t>. Distribution of NEWS scores across participating centers.</w:t>
      </w:r>
      <w:bookmarkEnd w:id="12"/>
      <w:r>
        <w:rPr>
          <w:rFonts w:ascii="Arial" w:eastAsia="Times New Roman Uni" w:hAnsi="Arial" w:cs="Arial"/>
          <w:b/>
          <w:bCs/>
          <w:sz w:val="24"/>
          <w:szCs w:val="24"/>
        </w:rPr>
        <w:t xml:space="preserve"> </w:t>
      </w:r>
    </w:p>
    <w:p w14:paraId="45C3442F" w14:textId="77777777" w:rsidR="00176E18" w:rsidRDefault="00000000">
      <w:pPr>
        <w:spacing w:line="280" w:lineRule="exact"/>
        <w:rPr>
          <w:rFonts w:ascii="Arial" w:hAnsi="Arial" w:cs="Arial"/>
          <w:sz w:val="22"/>
        </w:rPr>
      </w:pPr>
      <w:r>
        <w:rPr>
          <w:rFonts w:ascii="Arial" w:eastAsia="Times New Roman Uni" w:hAnsi="Arial" w:cs="Arial"/>
          <w:sz w:val="20"/>
          <w:szCs w:val="20"/>
        </w:rPr>
        <w:t xml:space="preserve">(A) CQUCH, Chongqing University Central Hospital; (B)CQRCH, Chongqing Red Cross Hospital; (C)CQYBDPH, Chongqing </w:t>
      </w:r>
      <w:proofErr w:type="spellStart"/>
      <w:r>
        <w:rPr>
          <w:rFonts w:ascii="Arial" w:eastAsia="Times New Roman Uni" w:hAnsi="Arial" w:cs="Arial"/>
          <w:sz w:val="20"/>
          <w:szCs w:val="20"/>
        </w:rPr>
        <w:t>Yubei</w:t>
      </w:r>
      <w:proofErr w:type="spellEnd"/>
      <w:r>
        <w:rPr>
          <w:rFonts w:ascii="Arial" w:eastAsia="Times New Roman Uni" w:hAnsi="Arial" w:cs="Arial"/>
          <w:sz w:val="20"/>
          <w:szCs w:val="20"/>
        </w:rPr>
        <w:t xml:space="preserve"> District People's Hospital; (D)CQPH, Chongqing General Hospital; (E) QLHSDU, Qilu Hospital of </w:t>
      </w:r>
      <w:proofErr w:type="spellStart"/>
      <w:r>
        <w:rPr>
          <w:rFonts w:ascii="Arial" w:eastAsia="Times New Roman Uni" w:hAnsi="Arial" w:cs="Arial"/>
          <w:sz w:val="20"/>
          <w:szCs w:val="20"/>
        </w:rPr>
        <w:t>ShanDong</w:t>
      </w:r>
      <w:proofErr w:type="spellEnd"/>
      <w:r>
        <w:rPr>
          <w:rFonts w:ascii="Arial" w:eastAsia="Times New Roman Uni" w:hAnsi="Arial" w:cs="Arial"/>
          <w:sz w:val="20"/>
          <w:szCs w:val="20"/>
        </w:rPr>
        <w:t xml:space="preserve"> University; (F) SCPPH, Sichuan Provincial People's Hospital; (G) SAHCQMU, The Second Affiliated Hospital of Chongqing Medical University; (H) CDSPH, Chengdu Second People's Hospital; (I) TAHCQMU, The Third Affiliated Hospital of Chongqing Medical University; (J)WCHSCU, </w:t>
      </w:r>
      <w:proofErr w:type="spellStart"/>
      <w:r>
        <w:rPr>
          <w:rFonts w:ascii="Arial" w:eastAsia="Times New Roman Uni" w:hAnsi="Arial" w:cs="Arial"/>
          <w:sz w:val="20"/>
          <w:szCs w:val="20"/>
        </w:rPr>
        <w:t>Westchina</w:t>
      </w:r>
      <w:proofErr w:type="spellEnd"/>
      <w:r>
        <w:rPr>
          <w:rFonts w:ascii="Arial" w:eastAsia="Times New Roman Uni" w:hAnsi="Arial" w:cs="Arial"/>
          <w:sz w:val="20"/>
          <w:szCs w:val="20"/>
        </w:rPr>
        <w:t xml:space="preserve"> Hospital of Sichuan University. </w:t>
      </w:r>
      <w:r>
        <w:rPr>
          <w:rFonts w:ascii="Arial" w:eastAsia="Times New Roman Uni" w:hAnsi="Arial" w:cs="Arial"/>
          <w:i/>
          <w:iCs/>
          <w:sz w:val="20"/>
          <w:szCs w:val="20"/>
        </w:rPr>
        <w:t>NEWS</w:t>
      </w:r>
      <w:r>
        <w:rPr>
          <w:rFonts w:ascii="Arial" w:eastAsia="Times New Roman Uni" w:hAnsi="Arial" w:cs="Arial"/>
          <w:sz w:val="20"/>
          <w:szCs w:val="20"/>
        </w:rPr>
        <w:t>, National Early Warning Score.</w:t>
      </w:r>
      <w:r>
        <w:rPr>
          <w:rFonts w:ascii="Arial" w:hAnsi="Arial" w:cs="Arial"/>
          <w:sz w:val="22"/>
        </w:rPr>
        <w:br w:type="page"/>
      </w:r>
    </w:p>
    <w:p w14:paraId="6F1B86EE"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6F85512F" wp14:editId="68885B6D">
            <wp:extent cx="5161280" cy="7379970"/>
            <wp:effectExtent l="0" t="0" r="1270" b="1905"/>
            <wp:docPr id="16" name="图片 16" descr="图5分中心qSO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5分中心qSOFA"/>
                    <pic:cNvPicPr>
                      <a:picLocks noChangeAspect="1"/>
                    </pic:cNvPicPr>
                  </pic:nvPicPr>
                  <pic:blipFill>
                    <a:blip r:embed="rId14"/>
                    <a:stretch>
                      <a:fillRect/>
                    </a:stretch>
                  </pic:blipFill>
                  <pic:spPr>
                    <a:xfrm>
                      <a:off x="0" y="0"/>
                      <a:ext cx="5161280" cy="7379970"/>
                    </a:xfrm>
                    <a:prstGeom prst="rect">
                      <a:avLst/>
                    </a:prstGeom>
                  </pic:spPr>
                </pic:pic>
              </a:graphicData>
            </a:graphic>
          </wp:inline>
        </w:drawing>
      </w:r>
    </w:p>
    <w:p w14:paraId="0E1439B9" w14:textId="77777777" w:rsidR="00176E18" w:rsidRDefault="00000000">
      <w:pPr>
        <w:widowControl/>
        <w:spacing w:line="280" w:lineRule="exact"/>
        <w:jc w:val="left"/>
        <w:outlineLvl w:val="0"/>
        <w:rPr>
          <w:rFonts w:ascii="Arial" w:hAnsi="Arial" w:cs="Arial"/>
          <w:b/>
          <w:bCs/>
          <w:sz w:val="24"/>
          <w:szCs w:val="24"/>
        </w:rPr>
      </w:pPr>
      <w:bookmarkStart w:id="13" w:name="_Toc3896"/>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S6</w:t>
      </w:r>
      <w:r>
        <w:rPr>
          <w:rStyle w:val="20"/>
          <w:rFonts w:ascii="Arial" w:hAnsi="Arial" w:cs="Arial"/>
          <w:b/>
          <w:bCs/>
          <w:color w:val="auto"/>
          <w:sz w:val="24"/>
          <w:szCs w:val="24"/>
        </w:rPr>
        <w:t xml:space="preserve">. Distribution of </w:t>
      </w:r>
      <w:proofErr w:type="spellStart"/>
      <w:r>
        <w:rPr>
          <w:rStyle w:val="20"/>
          <w:rFonts w:ascii="Arial" w:hAnsi="Arial" w:cs="Arial"/>
          <w:b/>
          <w:bCs/>
          <w:color w:val="auto"/>
          <w:sz w:val="24"/>
          <w:szCs w:val="24"/>
        </w:rPr>
        <w:t>qSOFA</w:t>
      </w:r>
      <w:proofErr w:type="spellEnd"/>
      <w:r>
        <w:rPr>
          <w:rStyle w:val="20"/>
          <w:rFonts w:ascii="Arial" w:hAnsi="Arial" w:cs="Arial"/>
          <w:b/>
          <w:bCs/>
          <w:color w:val="auto"/>
          <w:sz w:val="24"/>
          <w:szCs w:val="24"/>
        </w:rPr>
        <w:t xml:space="preserve"> scores across participating centers.</w:t>
      </w:r>
      <w:bookmarkEnd w:id="13"/>
      <w:r>
        <w:rPr>
          <w:rFonts w:ascii="Arial" w:hAnsi="Arial" w:cs="Arial"/>
          <w:b/>
          <w:bCs/>
          <w:sz w:val="24"/>
          <w:szCs w:val="24"/>
        </w:rPr>
        <w:t xml:space="preserve"> </w:t>
      </w:r>
    </w:p>
    <w:p w14:paraId="38F718FE" w14:textId="77777777" w:rsidR="00176E18" w:rsidRDefault="00000000">
      <w:pPr>
        <w:widowControl/>
        <w:spacing w:line="280" w:lineRule="exact"/>
        <w:jc w:val="left"/>
        <w:rPr>
          <w:rFonts w:ascii="Arial" w:hAnsi="Arial" w:cs="Arial"/>
          <w:sz w:val="22"/>
        </w:rPr>
      </w:pPr>
      <w:r>
        <w:rPr>
          <w:rFonts w:ascii="Arial" w:hAnsi="Arial" w:cs="Arial"/>
          <w:sz w:val="20"/>
          <w:szCs w:val="20"/>
        </w:rPr>
        <w:t xml:space="preserve">(A) CQUCH, Chongqing University Central Hospital; (B)CQRCH, Chongqing Red Cross Hospital; (C)CQYBDPH, Chongqing </w:t>
      </w:r>
      <w:proofErr w:type="spellStart"/>
      <w:r>
        <w:rPr>
          <w:rFonts w:ascii="Arial" w:hAnsi="Arial" w:cs="Arial"/>
          <w:sz w:val="20"/>
          <w:szCs w:val="20"/>
        </w:rPr>
        <w:t>Yubei</w:t>
      </w:r>
      <w:proofErr w:type="spellEnd"/>
      <w:r>
        <w:rPr>
          <w:rFonts w:ascii="Arial" w:hAnsi="Arial" w:cs="Arial"/>
          <w:sz w:val="20"/>
          <w:szCs w:val="20"/>
        </w:rPr>
        <w:t xml:space="preserve"> District People's Hospital; (D)CQPH, Chongqing General Hospital; (E) QLHSDU, Qilu Hospital of </w:t>
      </w:r>
      <w:proofErr w:type="spellStart"/>
      <w:r>
        <w:rPr>
          <w:rFonts w:ascii="Arial" w:hAnsi="Arial" w:cs="Arial"/>
          <w:sz w:val="20"/>
          <w:szCs w:val="20"/>
        </w:rPr>
        <w:t>ShanDong</w:t>
      </w:r>
      <w:proofErr w:type="spellEnd"/>
      <w:r>
        <w:rPr>
          <w:rFonts w:ascii="Arial" w:hAnsi="Arial" w:cs="Arial"/>
          <w:sz w:val="20"/>
          <w:szCs w:val="20"/>
        </w:rPr>
        <w:t xml:space="preserve"> University; (F) SCPPH, Sichuan Provincial People's Hospital; (G) SAHCQMU, The Second Affiliated Hospital of Chongqing Medical University; (H) CDSPH, Chengdu Second People's Hospital; (I) TAHCQMU, The Third Affiliated Hospital of Chongqing Medical University; (J)WCHSCU, </w:t>
      </w:r>
      <w:proofErr w:type="spellStart"/>
      <w:r>
        <w:rPr>
          <w:rFonts w:ascii="Arial" w:hAnsi="Arial" w:cs="Arial"/>
          <w:sz w:val="20"/>
          <w:szCs w:val="20"/>
        </w:rPr>
        <w:t>Westchina</w:t>
      </w:r>
      <w:proofErr w:type="spellEnd"/>
      <w:r>
        <w:rPr>
          <w:rFonts w:ascii="Arial" w:hAnsi="Arial" w:cs="Arial"/>
          <w:sz w:val="20"/>
          <w:szCs w:val="20"/>
        </w:rPr>
        <w:t xml:space="preserve"> Hospital of Sichuan University.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Quick Sequential Organ Failure Assessment.</w:t>
      </w:r>
      <w:r>
        <w:rPr>
          <w:rFonts w:ascii="Arial" w:hAnsi="Arial" w:cs="Arial"/>
          <w:sz w:val="22"/>
        </w:rPr>
        <w:br w:type="page"/>
      </w:r>
    </w:p>
    <w:p w14:paraId="7A86973F"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52285F68" wp14:editId="71E0E774">
            <wp:extent cx="5135880" cy="7348220"/>
            <wp:effectExtent l="0" t="0" r="7620" b="5080"/>
            <wp:docPr id="17" name="图片 17" descr="图6分中心S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6分中心SIRS"/>
                    <pic:cNvPicPr>
                      <a:picLocks noChangeAspect="1"/>
                    </pic:cNvPicPr>
                  </pic:nvPicPr>
                  <pic:blipFill>
                    <a:blip r:embed="rId15"/>
                    <a:stretch>
                      <a:fillRect/>
                    </a:stretch>
                  </pic:blipFill>
                  <pic:spPr>
                    <a:xfrm>
                      <a:off x="0" y="0"/>
                      <a:ext cx="5135880" cy="7348220"/>
                    </a:xfrm>
                    <a:prstGeom prst="rect">
                      <a:avLst/>
                    </a:prstGeom>
                  </pic:spPr>
                </pic:pic>
              </a:graphicData>
            </a:graphic>
          </wp:inline>
        </w:drawing>
      </w:r>
    </w:p>
    <w:p w14:paraId="186536F6" w14:textId="77777777" w:rsidR="00176E18" w:rsidRDefault="00000000">
      <w:pPr>
        <w:spacing w:line="280" w:lineRule="exact"/>
        <w:outlineLvl w:val="0"/>
        <w:rPr>
          <w:rFonts w:ascii="Arial" w:eastAsia="Times New Roman Uni" w:hAnsi="Arial" w:cs="Arial"/>
          <w:b/>
          <w:bCs/>
          <w:sz w:val="24"/>
          <w:szCs w:val="24"/>
        </w:rPr>
      </w:pPr>
      <w:bookmarkStart w:id="14" w:name="_Toc12109"/>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S7</w:t>
      </w:r>
      <w:r>
        <w:rPr>
          <w:rStyle w:val="20"/>
          <w:rFonts w:ascii="Arial" w:hAnsi="Arial" w:cs="Arial"/>
          <w:b/>
          <w:bCs/>
          <w:color w:val="auto"/>
          <w:sz w:val="24"/>
          <w:szCs w:val="24"/>
        </w:rPr>
        <w:t>. Distribution of SIRS scores across participating centers.</w:t>
      </w:r>
      <w:bookmarkEnd w:id="14"/>
      <w:r>
        <w:rPr>
          <w:rFonts w:ascii="Arial" w:eastAsia="Times New Roman Uni" w:hAnsi="Arial" w:cs="Arial"/>
          <w:b/>
          <w:bCs/>
          <w:sz w:val="24"/>
          <w:szCs w:val="24"/>
        </w:rPr>
        <w:t xml:space="preserve"> </w:t>
      </w:r>
    </w:p>
    <w:p w14:paraId="7DFA4492" w14:textId="77777777" w:rsidR="00176E18" w:rsidRDefault="00000000">
      <w:pPr>
        <w:spacing w:line="280" w:lineRule="exact"/>
        <w:rPr>
          <w:rFonts w:ascii="Arial" w:hAnsi="Arial" w:cs="Arial"/>
          <w:sz w:val="22"/>
        </w:rPr>
      </w:pPr>
      <w:r>
        <w:rPr>
          <w:rFonts w:ascii="Arial" w:hAnsi="Arial" w:cs="Arial"/>
          <w:sz w:val="20"/>
          <w:szCs w:val="20"/>
        </w:rPr>
        <w:t xml:space="preserve">(A) CQUCH, Chongqing University Central Hospital; (B)CQRCH, Chongqing Red Cross Hospital; (C)CQYBDPH, Chongqing </w:t>
      </w:r>
      <w:proofErr w:type="spellStart"/>
      <w:r>
        <w:rPr>
          <w:rFonts w:ascii="Arial" w:hAnsi="Arial" w:cs="Arial"/>
          <w:sz w:val="20"/>
          <w:szCs w:val="20"/>
        </w:rPr>
        <w:t>Yubei</w:t>
      </w:r>
      <w:proofErr w:type="spellEnd"/>
      <w:r>
        <w:rPr>
          <w:rFonts w:ascii="Arial" w:hAnsi="Arial" w:cs="Arial"/>
          <w:sz w:val="20"/>
          <w:szCs w:val="20"/>
        </w:rPr>
        <w:t xml:space="preserve"> District People's Hospital; (D)CQPH, Chongqing General Hospital; (E) QLHSDU, Qilu Hospital of </w:t>
      </w:r>
      <w:proofErr w:type="spellStart"/>
      <w:r>
        <w:rPr>
          <w:rFonts w:ascii="Arial" w:hAnsi="Arial" w:cs="Arial"/>
          <w:sz w:val="20"/>
          <w:szCs w:val="20"/>
        </w:rPr>
        <w:t>ShanDong</w:t>
      </w:r>
      <w:proofErr w:type="spellEnd"/>
      <w:r>
        <w:rPr>
          <w:rFonts w:ascii="Arial" w:hAnsi="Arial" w:cs="Arial"/>
          <w:sz w:val="20"/>
          <w:szCs w:val="20"/>
        </w:rPr>
        <w:t xml:space="preserve"> University; (F) SCPPH, Sichuan Provincial People's Hospital; (G) SAHCQMU, The Second Affiliated Hospital of Chongqing Medical University; (H) CDSPH, Chengdu Second People's Hospital; (I) TAHCQMU, The Third Affiliated Hospital of Chongqing Medical University; (J)WCHSCU, </w:t>
      </w:r>
      <w:proofErr w:type="spellStart"/>
      <w:r>
        <w:rPr>
          <w:rFonts w:ascii="Arial" w:hAnsi="Arial" w:cs="Arial"/>
          <w:sz w:val="20"/>
          <w:szCs w:val="20"/>
        </w:rPr>
        <w:t>Westchina</w:t>
      </w:r>
      <w:proofErr w:type="spellEnd"/>
      <w:r>
        <w:rPr>
          <w:rFonts w:ascii="Arial" w:hAnsi="Arial" w:cs="Arial"/>
          <w:sz w:val="20"/>
          <w:szCs w:val="20"/>
        </w:rPr>
        <w:t xml:space="preserve"> Hospital of Sichuan University. </w:t>
      </w:r>
      <w:r>
        <w:rPr>
          <w:rFonts w:ascii="Arial" w:eastAsia="Times New Roman Uni" w:hAnsi="Arial" w:cs="Arial"/>
          <w:i/>
          <w:iCs/>
          <w:sz w:val="20"/>
          <w:szCs w:val="20"/>
        </w:rPr>
        <w:t>SIRS</w:t>
      </w:r>
      <w:r>
        <w:rPr>
          <w:rFonts w:ascii="Arial" w:eastAsia="Times New Roman Uni" w:hAnsi="Arial" w:cs="Arial"/>
          <w:sz w:val="20"/>
          <w:szCs w:val="20"/>
        </w:rPr>
        <w:t xml:space="preserve">, Systemic Inflammatory Response Syndrome. </w:t>
      </w:r>
      <w:r>
        <w:rPr>
          <w:rFonts w:ascii="Arial" w:hAnsi="Arial" w:cs="Arial"/>
          <w:sz w:val="22"/>
        </w:rPr>
        <w:br w:type="page"/>
      </w:r>
    </w:p>
    <w:p w14:paraId="052580A4"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5C1C42B4" wp14:editId="4337CD14">
            <wp:extent cx="5028565" cy="7200265"/>
            <wp:effectExtent l="0" t="0" r="635" b="635"/>
            <wp:docPr id="18" name="图片 18" descr="图7分中心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7分中心LIP"/>
                    <pic:cNvPicPr>
                      <a:picLocks noChangeAspect="1"/>
                    </pic:cNvPicPr>
                  </pic:nvPicPr>
                  <pic:blipFill>
                    <a:blip r:embed="rId16"/>
                    <a:stretch>
                      <a:fillRect/>
                    </a:stretch>
                  </pic:blipFill>
                  <pic:spPr>
                    <a:xfrm>
                      <a:off x="0" y="0"/>
                      <a:ext cx="5028565" cy="7200265"/>
                    </a:xfrm>
                    <a:prstGeom prst="rect">
                      <a:avLst/>
                    </a:prstGeom>
                  </pic:spPr>
                </pic:pic>
              </a:graphicData>
            </a:graphic>
          </wp:inline>
        </w:drawing>
      </w:r>
    </w:p>
    <w:p w14:paraId="0AC4C0C3" w14:textId="77777777" w:rsidR="00176E18" w:rsidRDefault="00000000">
      <w:pPr>
        <w:spacing w:line="280" w:lineRule="exact"/>
        <w:outlineLvl w:val="0"/>
        <w:rPr>
          <w:rStyle w:val="20"/>
          <w:rFonts w:ascii="Arial" w:hAnsi="Arial" w:cs="Arial"/>
          <w:b/>
          <w:bCs/>
          <w:color w:val="auto"/>
          <w:sz w:val="22"/>
          <w:szCs w:val="22"/>
        </w:rPr>
      </w:pPr>
      <w:bookmarkStart w:id="15" w:name="_Toc3527"/>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S8</w:t>
      </w:r>
      <w:r>
        <w:rPr>
          <w:rStyle w:val="20"/>
          <w:rFonts w:ascii="Arial" w:hAnsi="Arial" w:cs="Arial"/>
          <w:b/>
          <w:bCs/>
          <w:color w:val="auto"/>
          <w:sz w:val="24"/>
          <w:szCs w:val="24"/>
        </w:rPr>
        <w:t>. Distribution of LIP scores across participating centers.</w:t>
      </w:r>
      <w:bookmarkEnd w:id="15"/>
      <w:r>
        <w:rPr>
          <w:rStyle w:val="20"/>
          <w:rFonts w:ascii="Arial" w:hAnsi="Arial" w:cs="Arial"/>
          <w:b/>
          <w:bCs/>
          <w:color w:val="auto"/>
          <w:sz w:val="22"/>
          <w:szCs w:val="22"/>
        </w:rPr>
        <w:t xml:space="preserve"> </w:t>
      </w:r>
    </w:p>
    <w:p w14:paraId="3923C09F" w14:textId="77777777" w:rsidR="00176E18" w:rsidRDefault="00000000">
      <w:pPr>
        <w:spacing w:line="280" w:lineRule="exact"/>
        <w:rPr>
          <w:rFonts w:ascii="Arial" w:hAnsi="Arial" w:cs="Arial"/>
          <w:sz w:val="22"/>
        </w:rPr>
      </w:pPr>
      <w:r>
        <w:rPr>
          <w:rFonts w:ascii="Arial" w:hAnsi="Arial" w:cs="Arial"/>
          <w:sz w:val="20"/>
          <w:szCs w:val="20"/>
        </w:rPr>
        <w:t xml:space="preserve">(A) CQUCH, Chongqing University Central Hospital; (B)CQRCH, Chongqing Red Cross Hospital; (C)CQYBDPH, Chongqing </w:t>
      </w:r>
      <w:proofErr w:type="spellStart"/>
      <w:r>
        <w:rPr>
          <w:rFonts w:ascii="Arial" w:hAnsi="Arial" w:cs="Arial"/>
          <w:sz w:val="20"/>
          <w:szCs w:val="20"/>
        </w:rPr>
        <w:t>Yubei</w:t>
      </w:r>
      <w:proofErr w:type="spellEnd"/>
      <w:r>
        <w:rPr>
          <w:rFonts w:ascii="Arial" w:hAnsi="Arial" w:cs="Arial"/>
          <w:sz w:val="20"/>
          <w:szCs w:val="20"/>
        </w:rPr>
        <w:t xml:space="preserve"> District People's Hospital; (D)CQPH, Chongqing General Hospital; (E) QLHSDU, Qilu Hospital of </w:t>
      </w:r>
      <w:proofErr w:type="spellStart"/>
      <w:r>
        <w:rPr>
          <w:rFonts w:ascii="Arial" w:hAnsi="Arial" w:cs="Arial"/>
          <w:sz w:val="20"/>
          <w:szCs w:val="20"/>
        </w:rPr>
        <w:t>ShanDong</w:t>
      </w:r>
      <w:proofErr w:type="spellEnd"/>
      <w:r>
        <w:rPr>
          <w:rFonts w:ascii="Arial" w:hAnsi="Arial" w:cs="Arial"/>
          <w:sz w:val="20"/>
          <w:szCs w:val="20"/>
        </w:rPr>
        <w:t xml:space="preserve"> University; (F) SCPPH, Sichuan Provincial People's Hospital; (G) SAHCQMU, The Second Affiliated Hospital of Chongqing Medical University; (H) CDSPH, Chengdu Second People's Hospital; (I) TAHCQMU, The Third Affiliated Hospital of Chongqing Medical University; (J)WCHSCU, </w:t>
      </w:r>
      <w:proofErr w:type="spellStart"/>
      <w:r>
        <w:rPr>
          <w:rFonts w:ascii="Arial" w:hAnsi="Arial" w:cs="Arial"/>
          <w:sz w:val="20"/>
          <w:szCs w:val="20"/>
        </w:rPr>
        <w:t>Westchina</w:t>
      </w:r>
      <w:proofErr w:type="spellEnd"/>
      <w:r>
        <w:rPr>
          <w:rFonts w:ascii="Arial" w:hAnsi="Arial" w:cs="Arial"/>
          <w:sz w:val="20"/>
          <w:szCs w:val="20"/>
        </w:rPr>
        <w:t xml:space="preserve"> Hospital of Sichuan University. </w:t>
      </w:r>
      <w:r>
        <w:rPr>
          <w:rFonts w:ascii="Arial" w:hAnsi="Arial" w:cs="Arial"/>
          <w:i/>
          <w:iCs/>
          <w:sz w:val="20"/>
          <w:szCs w:val="20"/>
        </w:rPr>
        <w:t>LIP</w:t>
      </w:r>
      <w:r>
        <w:rPr>
          <w:rFonts w:ascii="Arial" w:hAnsi="Arial" w:cs="Arial"/>
          <w:sz w:val="20"/>
          <w:szCs w:val="20"/>
        </w:rPr>
        <w:t>, Lymphocyte, INR, and Procalcitonin-based Sepsis Screening Score.</w:t>
      </w:r>
      <w:r>
        <w:rPr>
          <w:rFonts w:ascii="Arial" w:hAnsi="Arial" w:cs="Arial"/>
          <w:sz w:val="22"/>
        </w:rPr>
        <w:br w:type="page"/>
      </w:r>
    </w:p>
    <w:p w14:paraId="2BA16E0D" w14:textId="77777777" w:rsidR="00176E18" w:rsidRDefault="00000000">
      <w:pPr>
        <w:widowControl/>
        <w:jc w:val="center"/>
        <w:rPr>
          <w:rFonts w:ascii="Arial" w:hAnsi="Arial" w:cs="Arial"/>
          <w:sz w:val="16"/>
          <w:szCs w:val="16"/>
        </w:rPr>
      </w:pPr>
      <w:r>
        <w:rPr>
          <w:rFonts w:ascii="Arial" w:hAnsi="Arial" w:cs="Arial" w:hint="eastAsia"/>
          <w:noProof/>
          <w:sz w:val="16"/>
          <w:szCs w:val="16"/>
        </w:rPr>
        <w:lastRenderedPageBreak/>
        <w:drawing>
          <wp:inline distT="0" distB="0" distL="114300" distR="114300" wp14:anchorId="4EC3625D" wp14:editId="1AB417CA">
            <wp:extent cx="5709072" cy="7500796"/>
            <wp:effectExtent l="0" t="0" r="6350" b="5080"/>
            <wp:docPr id="19" name="图片 19" descr="文章图-修改后0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文章图-修改后0_05"/>
                    <pic:cNvPicPr>
                      <a:picLocks noChangeAspect="1"/>
                    </pic:cNvPicPr>
                  </pic:nvPicPr>
                  <pic:blipFill>
                    <a:blip r:embed="rId17"/>
                    <a:stretch>
                      <a:fillRect/>
                    </a:stretch>
                  </pic:blipFill>
                  <pic:spPr>
                    <a:xfrm>
                      <a:off x="0" y="0"/>
                      <a:ext cx="5709916" cy="7501905"/>
                    </a:xfrm>
                    <a:prstGeom prst="rect">
                      <a:avLst/>
                    </a:prstGeom>
                  </pic:spPr>
                </pic:pic>
              </a:graphicData>
            </a:graphic>
          </wp:inline>
        </w:drawing>
      </w:r>
    </w:p>
    <w:p w14:paraId="6B07BDD7" w14:textId="77777777" w:rsidR="00176E18" w:rsidRDefault="00000000">
      <w:pPr>
        <w:pStyle w:val="1"/>
        <w:spacing w:before="0" w:after="0"/>
        <w:rPr>
          <w:rFonts w:ascii="Arial" w:hAnsi="Arial" w:cs="Arial"/>
          <w:b/>
          <w:bCs/>
          <w:color w:val="auto"/>
          <w:sz w:val="24"/>
          <w:szCs w:val="24"/>
        </w:rPr>
      </w:pPr>
      <w:bookmarkStart w:id="16" w:name="_Toc21083"/>
      <w:r>
        <w:rPr>
          <w:rFonts w:ascii="Arial" w:hAnsi="Arial" w:cs="Arial"/>
          <w:b/>
          <w:bCs/>
          <w:color w:val="auto"/>
          <w:sz w:val="24"/>
          <w:szCs w:val="24"/>
        </w:rPr>
        <w:t xml:space="preserve">Figure </w:t>
      </w:r>
      <w:r>
        <w:rPr>
          <w:rFonts w:ascii="Arial" w:hAnsi="Arial" w:cs="Arial" w:hint="eastAsia"/>
          <w:b/>
          <w:bCs/>
          <w:color w:val="auto"/>
          <w:sz w:val="24"/>
          <w:szCs w:val="24"/>
        </w:rPr>
        <w:t>S9</w:t>
      </w:r>
      <w:r>
        <w:rPr>
          <w:rFonts w:ascii="Arial" w:hAnsi="Arial" w:cs="Arial"/>
          <w:b/>
          <w:bCs/>
          <w:color w:val="auto"/>
          <w:sz w:val="24"/>
          <w:szCs w:val="24"/>
        </w:rPr>
        <w:t>. Sankey diagram visualizes the relationship between different scoring tools and the SOFA score.</w:t>
      </w:r>
      <w:bookmarkEnd w:id="16"/>
      <w:r>
        <w:rPr>
          <w:rFonts w:ascii="Arial" w:hAnsi="Arial" w:cs="Arial"/>
          <w:b/>
          <w:bCs/>
          <w:color w:val="auto"/>
          <w:sz w:val="24"/>
          <w:szCs w:val="24"/>
        </w:rPr>
        <w:t xml:space="preserve"> </w:t>
      </w:r>
    </w:p>
    <w:p w14:paraId="230AC822" w14:textId="77777777" w:rsidR="00176E18" w:rsidRDefault="00000000">
      <w:pPr>
        <w:keepNext/>
        <w:keepLines/>
        <w:rPr>
          <w:rFonts w:ascii="Arial" w:hAnsi="Arial" w:cs="Arial"/>
          <w:b/>
          <w:bCs/>
          <w:sz w:val="20"/>
          <w:szCs w:val="20"/>
        </w:rPr>
      </w:pP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eastAsia="Times New Roman Uni" w:hAnsi="Arial" w:cs="Arial"/>
          <w:i/>
          <w:iCs/>
          <w:sz w:val="20"/>
          <w:szCs w:val="20"/>
        </w:rPr>
        <w:t>NEWS</w:t>
      </w:r>
      <w:r>
        <w:rPr>
          <w:rFonts w:ascii="Arial" w:eastAsia="Times New Roman Uni" w:hAnsi="Arial" w:cs="Arial"/>
          <w:sz w:val="20"/>
          <w:szCs w:val="20"/>
        </w:rPr>
        <w:t xml:space="preserve">, National Early Warning Score;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xml:space="preserve">, Quick Sequential Organ Failure Assessment; </w:t>
      </w:r>
      <w:r>
        <w:rPr>
          <w:rFonts w:ascii="Arial" w:eastAsia="Times New Roman Uni" w:hAnsi="Arial" w:cs="Arial"/>
          <w:i/>
          <w:iCs/>
          <w:sz w:val="20"/>
          <w:szCs w:val="20"/>
        </w:rPr>
        <w:t>SIRS</w:t>
      </w:r>
      <w:r>
        <w:rPr>
          <w:rFonts w:ascii="Arial" w:eastAsia="Times New Roman Uni" w:hAnsi="Arial" w:cs="Arial"/>
          <w:sz w:val="20"/>
          <w:szCs w:val="20"/>
        </w:rPr>
        <w:t xml:space="preserve">, Systemic Inflammatory Response Syndrome; </w:t>
      </w:r>
      <w:r>
        <w:rPr>
          <w:rFonts w:ascii="Arial" w:eastAsia="Times New Roman Uni" w:hAnsi="Arial" w:cs="Arial"/>
          <w:i/>
          <w:iCs/>
          <w:sz w:val="20"/>
          <w:szCs w:val="20"/>
        </w:rPr>
        <w:t>APACHE-II</w:t>
      </w:r>
      <w:r>
        <w:rPr>
          <w:rFonts w:ascii="Arial" w:eastAsia="Times New Roman Uni" w:hAnsi="Arial" w:cs="Arial"/>
          <w:sz w:val="20"/>
          <w:szCs w:val="20"/>
        </w:rPr>
        <w:t>, Acute Physiology and Chronic Health Evaluation II.</w:t>
      </w:r>
    </w:p>
    <w:p w14:paraId="6FAC90E6" w14:textId="77777777" w:rsidR="00176E18" w:rsidRDefault="00000000">
      <w:pPr>
        <w:widowControl/>
        <w:jc w:val="left"/>
        <w:rPr>
          <w:rFonts w:ascii="Arial" w:hAnsi="Arial" w:cs="Arial"/>
          <w:sz w:val="16"/>
          <w:szCs w:val="16"/>
        </w:rPr>
      </w:pPr>
      <w:r>
        <w:rPr>
          <w:rFonts w:ascii="Arial" w:hAnsi="Arial" w:cs="Arial"/>
          <w:sz w:val="16"/>
          <w:szCs w:val="16"/>
        </w:rPr>
        <w:br w:type="page"/>
      </w:r>
    </w:p>
    <w:p w14:paraId="4A3FAB82"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23A2B559" wp14:editId="3413EA21">
            <wp:extent cx="4152265" cy="6840220"/>
            <wp:effectExtent l="0" t="0" r="635" b="8255"/>
            <wp:docPr id="23" name="图片 23" descr="文章图-修改后0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文章图-修改后0_06"/>
                    <pic:cNvPicPr>
                      <a:picLocks noChangeAspect="1"/>
                    </pic:cNvPicPr>
                  </pic:nvPicPr>
                  <pic:blipFill>
                    <a:blip r:embed="rId18"/>
                    <a:stretch>
                      <a:fillRect/>
                    </a:stretch>
                  </pic:blipFill>
                  <pic:spPr>
                    <a:xfrm>
                      <a:off x="0" y="0"/>
                      <a:ext cx="4152265" cy="6840220"/>
                    </a:xfrm>
                    <a:prstGeom prst="rect">
                      <a:avLst/>
                    </a:prstGeom>
                  </pic:spPr>
                </pic:pic>
              </a:graphicData>
            </a:graphic>
          </wp:inline>
        </w:drawing>
      </w:r>
    </w:p>
    <w:p w14:paraId="07A3800F" w14:textId="77777777" w:rsidR="00176E18" w:rsidRDefault="00000000">
      <w:pPr>
        <w:widowControl/>
        <w:spacing w:line="280" w:lineRule="atLeast"/>
        <w:jc w:val="left"/>
        <w:outlineLvl w:val="0"/>
        <w:rPr>
          <w:rStyle w:val="20"/>
          <w:rFonts w:ascii="Arial" w:hAnsi="Arial" w:cs="Arial"/>
          <w:color w:val="auto"/>
          <w:sz w:val="24"/>
          <w:szCs w:val="24"/>
        </w:rPr>
      </w:pPr>
      <w:bookmarkStart w:id="17" w:name="_Toc20482"/>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S10</w:t>
      </w:r>
      <w:r>
        <w:rPr>
          <w:rStyle w:val="20"/>
          <w:rFonts w:ascii="Arial" w:hAnsi="Arial" w:cs="Arial"/>
          <w:b/>
          <w:bCs/>
          <w:color w:val="auto"/>
          <w:sz w:val="24"/>
          <w:szCs w:val="24"/>
        </w:rPr>
        <w:t>. Distribution of pulmonary and non-pulmonary infections cases under the screening thresholds of different scoring tools.</w:t>
      </w:r>
      <w:bookmarkEnd w:id="17"/>
      <w:r>
        <w:rPr>
          <w:rStyle w:val="20"/>
          <w:rFonts w:ascii="Arial" w:hAnsi="Arial" w:cs="Arial"/>
          <w:color w:val="auto"/>
          <w:sz w:val="24"/>
          <w:szCs w:val="24"/>
        </w:rPr>
        <w:t xml:space="preserve"> </w:t>
      </w:r>
    </w:p>
    <w:p w14:paraId="26746D28" w14:textId="77777777" w:rsidR="00176E18" w:rsidRDefault="00000000">
      <w:pPr>
        <w:widowControl/>
        <w:spacing w:line="280" w:lineRule="atLeast"/>
        <w:jc w:val="left"/>
        <w:rPr>
          <w:rFonts w:ascii="Arial" w:hAnsi="Arial" w:cs="Arial"/>
          <w:b/>
          <w:bCs/>
          <w:sz w:val="20"/>
          <w:szCs w:val="20"/>
        </w:rPr>
      </w:pPr>
      <w:r>
        <w:rPr>
          <w:rFonts w:ascii="Arial" w:hAnsi="Arial" w:cs="Arial"/>
          <w:sz w:val="20"/>
          <w:szCs w:val="20"/>
        </w:rPr>
        <w:t xml:space="preserve">(A) The chord diagrams visualizations of distribution of pulmonary versus non-pulmonary infections when different screening tools meet diagnostic criteria; (B) The </w:t>
      </w:r>
      <w:proofErr w:type="spellStart"/>
      <w:r>
        <w:rPr>
          <w:rFonts w:ascii="Arial" w:hAnsi="Arial" w:cs="Arial"/>
          <w:sz w:val="20"/>
          <w:szCs w:val="20"/>
        </w:rPr>
        <w:t>sankey</w:t>
      </w:r>
      <w:proofErr w:type="spellEnd"/>
      <w:r>
        <w:rPr>
          <w:rFonts w:ascii="Arial" w:hAnsi="Arial" w:cs="Arial"/>
          <w:sz w:val="20"/>
          <w:szCs w:val="20"/>
        </w:rPr>
        <w:t xml:space="preserve"> diagrams visualizations of distribution of pulmonary versus non-pulmonary infections in different screening tools.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eastAsia="Times New Roman Uni" w:hAnsi="Arial" w:cs="Arial"/>
          <w:i/>
          <w:iCs/>
          <w:sz w:val="20"/>
          <w:szCs w:val="20"/>
        </w:rPr>
        <w:t>NEWS</w:t>
      </w:r>
      <w:r>
        <w:rPr>
          <w:rFonts w:ascii="Arial" w:eastAsia="Times New Roman Uni" w:hAnsi="Arial" w:cs="Arial"/>
          <w:sz w:val="20"/>
          <w:szCs w:val="20"/>
        </w:rPr>
        <w:t xml:space="preserve"> National Early Warning Score;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xml:space="preserve"> Quick Sequential Organ Failure Assessment; </w:t>
      </w:r>
      <w:r>
        <w:rPr>
          <w:rFonts w:ascii="Arial" w:eastAsia="Times New Roman Uni" w:hAnsi="Arial" w:cs="Arial"/>
          <w:i/>
          <w:iCs/>
          <w:sz w:val="20"/>
          <w:szCs w:val="20"/>
        </w:rPr>
        <w:t>SIRS</w:t>
      </w:r>
      <w:r>
        <w:rPr>
          <w:rFonts w:ascii="Arial" w:eastAsia="Times New Roman Uni" w:hAnsi="Arial" w:cs="Arial"/>
          <w:sz w:val="20"/>
          <w:szCs w:val="20"/>
        </w:rPr>
        <w:t xml:space="preserve"> Systemic Inflammatory Response Syndrome; </w:t>
      </w:r>
      <w:r>
        <w:rPr>
          <w:rFonts w:ascii="Arial" w:eastAsia="Times New Roman Uni" w:hAnsi="Arial" w:cs="Arial"/>
          <w:i/>
          <w:iCs/>
          <w:sz w:val="20"/>
          <w:szCs w:val="20"/>
        </w:rPr>
        <w:t>APACHE-II</w:t>
      </w:r>
      <w:r>
        <w:rPr>
          <w:rFonts w:ascii="Arial" w:eastAsia="Times New Roman Uni" w:hAnsi="Arial" w:cs="Arial"/>
          <w:sz w:val="20"/>
          <w:szCs w:val="20"/>
        </w:rPr>
        <w:t xml:space="preserve"> Acute Physiology and Chronic Health Evaluation II.</w:t>
      </w:r>
    </w:p>
    <w:p w14:paraId="5B8C69BA" w14:textId="77777777" w:rsidR="00176E18" w:rsidRDefault="00000000">
      <w:pPr>
        <w:widowControl/>
        <w:spacing w:line="280" w:lineRule="atLeast"/>
        <w:jc w:val="left"/>
        <w:rPr>
          <w:rFonts w:ascii="Arial" w:hAnsi="Arial" w:cs="Arial"/>
          <w:b/>
          <w:bCs/>
          <w:sz w:val="16"/>
          <w:szCs w:val="16"/>
        </w:rPr>
      </w:pPr>
      <w:r>
        <w:rPr>
          <w:rFonts w:ascii="Arial" w:hAnsi="Arial" w:cs="Arial"/>
          <w:b/>
          <w:bCs/>
          <w:sz w:val="16"/>
          <w:szCs w:val="16"/>
        </w:rPr>
        <w:br w:type="page"/>
      </w:r>
    </w:p>
    <w:p w14:paraId="34C0E860" w14:textId="77777777" w:rsidR="00176E18" w:rsidRDefault="00176E18">
      <w:pPr>
        <w:widowControl/>
        <w:jc w:val="left"/>
        <w:rPr>
          <w:rFonts w:ascii="Arial" w:hAnsi="Arial" w:cs="Arial"/>
          <w:b/>
          <w:bCs/>
          <w:sz w:val="16"/>
          <w:szCs w:val="16"/>
        </w:rPr>
      </w:pPr>
    </w:p>
    <w:p w14:paraId="679F829D" w14:textId="77777777" w:rsidR="00176E18" w:rsidRDefault="00000000">
      <w:pPr>
        <w:jc w:val="center"/>
        <w:rPr>
          <w:rFonts w:ascii="Arial" w:hAnsi="Arial" w:cs="Arial"/>
        </w:rPr>
      </w:pPr>
      <w:r>
        <w:rPr>
          <w:rFonts w:ascii="Arial" w:hAnsi="Arial" w:cs="Arial" w:hint="eastAsia"/>
          <w:noProof/>
        </w:rPr>
        <w:drawing>
          <wp:inline distT="0" distB="0" distL="114300" distR="114300" wp14:anchorId="7B09C2CF" wp14:editId="408382B3">
            <wp:extent cx="4175760" cy="4144645"/>
            <wp:effectExtent l="0" t="0" r="5715" b="8255"/>
            <wp:docPr id="24" name="图片 24" descr="文章图-修改后0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文章图-修改后0_07-"/>
                    <pic:cNvPicPr>
                      <a:picLocks noChangeAspect="1"/>
                    </pic:cNvPicPr>
                  </pic:nvPicPr>
                  <pic:blipFill>
                    <a:blip r:embed="rId19"/>
                    <a:stretch>
                      <a:fillRect/>
                    </a:stretch>
                  </pic:blipFill>
                  <pic:spPr>
                    <a:xfrm>
                      <a:off x="0" y="0"/>
                      <a:ext cx="4175760" cy="4144645"/>
                    </a:xfrm>
                    <a:prstGeom prst="rect">
                      <a:avLst/>
                    </a:prstGeom>
                  </pic:spPr>
                </pic:pic>
              </a:graphicData>
            </a:graphic>
          </wp:inline>
        </w:drawing>
      </w:r>
    </w:p>
    <w:p w14:paraId="6D62B5C5" w14:textId="77777777" w:rsidR="00176E18" w:rsidRDefault="00000000">
      <w:pPr>
        <w:spacing w:line="280" w:lineRule="exact"/>
        <w:outlineLvl w:val="0"/>
        <w:rPr>
          <w:rStyle w:val="20"/>
          <w:rFonts w:ascii="Arial" w:hAnsi="Arial" w:cs="Arial"/>
          <w:color w:val="auto"/>
          <w:sz w:val="24"/>
          <w:szCs w:val="24"/>
        </w:rPr>
      </w:pPr>
      <w:bookmarkStart w:id="18" w:name="_Toc29331"/>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S11</w:t>
      </w:r>
      <w:r>
        <w:rPr>
          <w:rStyle w:val="20"/>
          <w:rFonts w:ascii="Arial" w:hAnsi="Arial" w:cs="Arial"/>
          <w:b/>
          <w:bCs/>
          <w:color w:val="auto"/>
          <w:sz w:val="24"/>
          <w:szCs w:val="24"/>
        </w:rPr>
        <w:t>. Distribution of sepsis and non-sepsis cases under the screening thresholds of different scoring tools.</w:t>
      </w:r>
      <w:bookmarkEnd w:id="18"/>
      <w:r>
        <w:rPr>
          <w:rStyle w:val="20"/>
          <w:rFonts w:ascii="Arial" w:hAnsi="Arial" w:cs="Arial"/>
          <w:color w:val="auto"/>
          <w:sz w:val="24"/>
          <w:szCs w:val="24"/>
        </w:rPr>
        <w:t xml:space="preserve"> </w:t>
      </w:r>
    </w:p>
    <w:p w14:paraId="7EE4469E" w14:textId="77777777" w:rsidR="00176E18" w:rsidRDefault="00000000">
      <w:pPr>
        <w:spacing w:line="280" w:lineRule="exact"/>
        <w:rPr>
          <w:rFonts w:ascii="Arial" w:eastAsia="Times New Roman Uni" w:hAnsi="Arial" w:cs="Arial"/>
          <w:b/>
          <w:bCs/>
          <w:sz w:val="20"/>
          <w:szCs w:val="20"/>
        </w:rPr>
      </w:pP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eastAsia="Times New Roman Uni" w:hAnsi="Arial" w:cs="Arial"/>
          <w:i/>
          <w:iCs/>
          <w:sz w:val="20"/>
          <w:szCs w:val="20"/>
        </w:rPr>
        <w:t>NEWS</w:t>
      </w:r>
      <w:r>
        <w:rPr>
          <w:rFonts w:ascii="Arial" w:eastAsia="Times New Roman Uni" w:hAnsi="Arial" w:cs="Arial"/>
          <w:sz w:val="20"/>
          <w:szCs w:val="20"/>
        </w:rPr>
        <w:t xml:space="preserve"> National Early Warning Score;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xml:space="preserve"> Quick Sequential Organ Failure Assessment; </w:t>
      </w:r>
      <w:r>
        <w:rPr>
          <w:rFonts w:ascii="Arial" w:eastAsia="Times New Roman Uni" w:hAnsi="Arial" w:cs="Arial"/>
          <w:i/>
          <w:iCs/>
          <w:sz w:val="20"/>
          <w:szCs w:val="20"/>
        </w:rPr>
        <w:t>SIRS</w:t>
      </w:r>
      <w:r>
        <w:rPr>
          <w:rFonts w:ascii="Arial" w:eastAsia="Times New Roman Uni" w:hAnsi="Arial" w:cs="Arial"/>
          <w:sz w:val="20"/>
          <w:szCs w:val="20"/>
        </w:rPr>
        <w:t xml:space="preserve"> Systemic Inflammatory Response Syndrome; </w:t>
      </w:r>
      <w:r>
        <w:rPr>
          <w:rFonts w:ascii="Arial" w:eastAsia="Times New Roman Uni" w:hAnsi="Arial" w:cs="Arial"/>
          <w:i/>
          <w:iCs/>
          <w:sz w:val="20"/>
          <w:szCs w:val="20"/>
        </w:rPr>
        <w:t>APACHE-II</w:t>
      </w:r>
      <w:r>
        <w:rPr>
          <w:rFonts w:ascii="Arial" w:eastAsia="Times New Roman Uni" w:hAnsi="Arial" w:cs="Arial"/>
          <w:sz w:val="20"/>
          <w:szCs w:val="20"/>
        </w:rPr>
        <w:t xml:space="preserve"> Acute Physiology and Chronic Health Evaluation II. </w:t>
      </w:r>
    </w:p>
    <w:p w14:paraId="16760593" w14:textId="77777777" w:rsidR="00176E18" w:rsidRDefault="00176E18">
      <w:pPr>
        <w:widowControl/>
        <w:jc w:val="left"/>
        <w:rPr>
          <w:rFonts w:ascii="Arial" w:hAnsi="Arial" w:cs="Arial"/>
          <w:sz w:val="22"/>
        </w:rPr>
      </w:pPr>
    </w:p>
    <w:p w14:paraId="48C09AB7" w14:textId="77777777" w:rsidR="00176E18" w:rsidRDefault="00000000">
      <w:pPr>
        <w:pageBreakBefore/>
        <w:widowControl/>
        <w:jc w:val="center"/>
        <w:rPr>
          <w:rFonts w:ascii="Arial" w:hAnsi="Arial" w:cs="Arial"/>
          <w:sz w:val="22"/>
        </w:rPr>
      </w:pPr>
      <w:r>
        <w:rPr>
          <w:rFonts w:ascii="Arial" w:hAnsi="Arial" w:cs="Arial" w:hint="eastAsia"/>
          <w:noProof/>
          <w:sz w:val="22"/>
        </w:rPr>
        <w:lastRenderedPageBreak/>
        <w:drawing>
          <wp:inline distT="0" distB="0" distL="114300" distR="114300" wp14:anchorId="1039DE7A" wp14:editId="1718B2CF">
            <wp:extent cx="3399155" cy="3399155"/>
            <wp:effectExtent l="0" t="0" r="1270" b="1270"/>
            <wp:docPr id="1" name="图片 1" descr="LIP各项及ICU、非ICU亚组分析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IP各项及ICU、非ICU亚组分析_01"/>
                    <pic:cNvPicPr>
                      <a:picLocks noChangeAspect="1"/>
                    </pic:cNvPicPr>
                  </pic:nvPicPr>
                  <pic:blipFill>
                    <a:blip r:embed="rId20"/>
                    <a:stretch>
                      <a:fillRect/>
                    </a:stretch>
                  </pic:blipFill>
                  <pic:spPr>
                    <a:xfrm>
                      <a:off x="0" y="0"/>
                      <a:ext cx="3399155" cy="3399155"/>
                    </a:xfrm>
                    <a:prstGeom prst="rect">
                      <a:avLst/>
                    </a:prstGeom>
                  </pic:spPr>
                </pic:pic>
              </a:graphicData>
            </a:graphic>
          </wp:inline>
        </w:drawing>
      </w:r>
    </w:p>
    <w:p w14:paraId="1FFC2ECE" w14:textId="77777777" w:rsidR="00176E18" w:rsidRDefault="00000000">
      <w:pPr>
        <w:widowControl/>
        <w:jc w:val="left"/>
        <w:outlineLvl w:val="0"/>
        <w:rPr>
          <w:rStyle w:val="20"/>
          <w:rFonts w:ascii="Arial" w:hAnsi="Arial" w:cs="Arial"/>
          <w:b/>
          <w:bCs/>
          <w:color w:val="auto"/>
          <w:sz w:val="24"/>
          <w:szCs w:val="24"/>
        </w:rPr>
      </w:pPr>
      <w:bookmarkStart w:id="19" w:name="_Toc32578"/>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w:t>
      </w:r>
      <w:r>
        <w:rPr>
          <w:rStyle w:val="20"/>
          <w:rFonts w:ascii="Arial" w:hAnsi="Arial" w:cs="Arial"/>
          <w:b/>
          <w:bCs/>
          <w:color w:val="auto"/>
          <w:sz w:val="24"/>
          <w:szCs w:val="24"/>
        </w:rPr>
        <w:t>1</w:t>
      </w:r>
      <w:r>
        <w:rPr>
          <w:rStyle w:val="20"/>
          <w:rFonts w:ascii="Arial" w:hAnsi="Arial" w:cs="Arial" w:hint="eastAsia"/>
          <w:b/>
          <w:bCs/>
          <w:color w:val="auto"/>
          <w:sz w:val="24"/>
          <w:szCs w:val="24"/>
        </w:rPr>
        <w:t>2</w:t>
      </w:r>
      <w:r>
        <w:rPr>
          <w:rStyle w:val="20"/>
          <w:rFonts w:ascii="Arial" w:hAnsi="Arial" w:cs="Arial"/>
          <w:b/>
          <w:bCs/>
          <w:color w:val="auto"/>
          <w:sz w:val="24"/>
          <w:szCs w:val="24"/>
        </w:rPr>
        <w:t>.</w:t>
      </w:r>
      <w:r>
        <w:rPr>
          <w:rStyle w:val="20"/>
          <w:rFonts w:ascii="Arial" w:hAnsi="Arial" w:cs="Arial" w:hint="eastAsia"/>
          <w:b/>
          <w:bCs/>
          <w:color w:val="auto"/>
          <w:sz w:val="24"/>
          <w:szCs w:val="24"/>
        </w:rPr>
        <w:t xml:space="preserve"> The performance of Lym, INR and PCT in screening for sepsis.</w:t>
      </w:r>
      <w:bookmarkEnd w:id="19"/>
    </w:p>
    <w:p w14:paraId="289C63E3" w14:textId="77777777" w:rsidR="00176E18" w:rsidRDefault="00000000">
      <w:pPr>
        <w:widowControl/>
        <w:rPr>
          <w:rStyle w:val="20"/>
          <w:rFonts w:ascii="Arial" w:eastAsiaTheme="minorEastAsia" w:hAnsi="Arial" w:cs="Arial"/>
          <w:color w:val="auto"/>
          <w:sz w:val="24"/>
          <w:szCs w:val="24"/>
        </w:rPr>
      </w:pPr>
      <w:bookmarkStart w:id="20" w:name="_Toc15736"/>
      <w:bookmarkStart w:id="21" w:name="_Toc26434"/>
      <w:r>
        <w:rPr>
          <w:rStyle w:val="20"/>
          <w:rFonts w:ascii="Arial" w:hAnsi="Arial" w:cs="Arial"/>
          <w:color w:val="auto"/>
          <w:sz w:val="20"/>
          <w:szCs w:val="20"/>
        </w:rPr>
        <w:t>ROC curve analysis was conducted to evaluate the performance of Lym, INR, and PCT in independently screening for sepsis. The AUROC (95% CI) values were 0.747 (0.721 to 0.771), 0.828 (0.805 to 0.849), and 0.902 (0.884 to 0.918), respectively.</w:t>
      </w:r>
      <w:r>
        <w:rPr>
          <w:rStyle w:val="20"/>
          <w:rFonts w:ascii="Arial" w:hAnsi="Arial" w:cs="Arial" w:hint="eastAsia"/>
          <w:color w:val="auto"/>
          <w:sz w:val="20"/>
          <w:szCs w:val="20"/>
        </w:rPr>
        <w:t xml:space="preserve"> </w:t>
      </w:r>
      <w:bookmarkEnd w:id="20"/>
      <w:bookmarkEnd w:id="21"/>
      <w:r>
        <w:rPr>
          <w:rFonts w:ascii="Arial" w:hAnsi="Arial" w:cs="Arial"/>
          <w:i/>
          <w:iCs/>
          <w:sz w:val="20"/>
          <w:szCs w:val="20"/>
        </w:rPr>
        <w:t>PCT</w:t>
      </w:r>
      <w:r>
        <w:rPr>
          <w:rFonts w:ascii="Arial" w:hAnsi="Arial" w:cs="Arial"/>
          <w:sz w:val="20"/>
          <w:szCs w:val="20"/>
        </w:rPr>
        <w:t xml:space="preserve"> Procalcitonin;</w:t>
      </w:r>
      <w:r>
        <w:rPr>
          <w:rFonts w:ascii="Arial" w:hAnsi="Arial" w:cs="Arial"/>
          <w:i/>
          <w:iCs/>
          <w:sz w:val="20"/>
          <w:szCs w:val="20"/>
        </w:rPr>
        <w:t xml:space="preserve"> Lym</w:t>
      </w:r>
      <w:r>
        <w:rPr>
          <w:rFonts w:ascii="Arial" w:hAnsi="Arial" w:cs="Arial"/>
          <w:sz w:val="20"/>
          <w:szCs w:val="20"/>
        </w:rPr>
        <w:t xml:space="preserve"> Lymphocyte;</w:t>
      </w:r>
      <w:r>
        <w:rPr>
          <w:rFonts w:ascii="Arial" w:hAnsi="Arial" w:cs="Arial"/>
          <w:i/>
          <w:iCs/>
          <w:sz w:val="20"/>
          <w:szCs w:val="20"/>
        </w:rPr>
        <w:t xml:space="preserve"> INR</w:t>
      </w:r>
      <w:r>
        <w:rPr>
          <w:rFonts w:ascii="Arial" w:hAnsi="Arial" w:cs="Arial"/>
          <w:sz w:val="20"/>
          <w:szCs w:val="20"/>
        </w:rPr>
        <w:t xml:space="preserve"> International Normalized Ratio</w:t>
      </w:r>
      <w:r>
        <w:rPr>
          <w:rFonts w:ascii="Arial" w:hAnsi="Arial" w:cs="Arial" w:hint="eastAsia"/>
          <w:sz w:val="20"/>
          <w:szCs w:val="20"/>
        </w:rPr>
        <w:t>.</w:t>
      </w:r>
    </w:p>
    <w:p w14:paraId="12B0C725" w14:textId="77777777" w:rsidR="00176E18" w:rsidRDefault="00000000">
      <w:pPr>
        <w:widowControl/>
        <w:jc w:val="left"/>
        <w:rPr>
          <w:rFonts w:ascii="Arial" w:hAnsi="Arial" w:cs="Arial"/>
          <w:sz w:val="22"/>
        </w:rPr>
      </w:pPr>
      <w:r>
        <w:rPr>
          <w:rFonts w:ascii="Arial" w:hAnsi="Arial" w:cs="Arial"/>
          <w:sz w:val="22"/>
        </w:rPr>
        <w:br w:type="page"/>
      </w:r>
    </w:p>
    <w:p w14:paraId="22D49B74" w14:textId="77777777" w:rsidR="00176E18" w:rsidRDefault="00176E18">
      <w:pPr>
        <w:widowControl/>
        <w:jc w:val="left"/>
        <w:rPr>
          <w:rFonts w:ascii="Arial" w:hAnsi="Arial" w:cs="Arial"/>
          <w:sz w:val="16"/>
          <w:szCs w:val="16"/>
        </w:rPr>
      </w:pPr>
    </w:p>
    <w:p w14:paraId="515C6FC8" w14:textId="77777777" w:rsidR="00176E18" w:rsidRDefault="00000000">
      <w:pPr>
        <w:jc w:val="center"/>
        <w:rPr>
          <w:rFonts w:ascii="Arial" w:hAnsi="Arial" w:cs="Arial"/>
        </w:rPr>
      </w:pPr>
      <w:r>
        <w:rPr>
          <w:rFonts w:ascii="Arial" w:hAnsi="Arial" w:cs="Arial" w:hint="eastAsia"/>
          <w:noProof/>
        </w:rPr>
        <w:drawing>
          <wp:inline distT="0" distB="0" distL="114300" distR="114300" wp14:anchorId="2990636D" wp14:editId="2343173A">
            <wp:extent cx="6188710" cy="6033770"/>
            <wp:effectExtent l="0" t="0" r="2540" b="5080"/>
            <wp:docPr id="25" name="图片 25" descr="文章图-修改后0_09-18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文章图-修改后0_09-18CM"/>
                    <pic:cNvPicPr>
                      <a:picLocks noChangeAspect="1"/>
                    </pic:cNvPicPr>
                  </pic:nvPicPr>
                  <pic:blipFill>
                    <a:blip r:embed="rId21"/>
                    <a:stretch>
                      <a:fillRect/>
                    </a:stretch>
                  </pic:blipFill>
                  <pic:spPr>
                    <a:xfrm>
                      <a:off x="0" y="0"/>
                      <a:ext cx="6188710" cy="6033770"/>
                    </a:xfrm>
                    <a:prstGeom prst="rect">
                      <a:avLst/>
                    </a:prstGeom>
                  </pic:spPr>
                </pic:pic>
              </a:graphicData>
            </a:graphic>
          </wp:inline>
        </w:drawing>
      </w:r>
    </w:p>
    <w:p w14:paraId="62391FCD" w14:textId="77777777" w:rsidR="00176E18" w:rsidRDefault="00000000">
      <w:pPr>
        <w:spacing w:line="280" w:lineRule="exact"/>
        <w:outlineLvl w:val="0"/>
        <w:rPr>
          <w:rStyle w:val="20"/>
          <w:rFonts w:ascii="Arial" w:hAnsi="Arial" w:cs="Arial"/>
          <w:b/>
          <w:bCs/>
          <w:color w:val="auto"/>
          <w:sz w:val="24"/>
          <w:szCs w:val="24"/>
        </w:rPr>
      </w:pPr>
      <w:bookmarkStart w:id="22" w:name="_Hlk203943177"/>
      <w:bookmarkStart w:id="23" w:name="_Toc908"/>
      <w:r>
        <w:rPr>
          <w:rStyle w:val="20"/>
          <w:rFonts w:ascii="Arial" w:hAnsi="Arial" w:cs="Arial"/>
          <w:b/>
          <w:bCs/>
          <w:color w:val="auto"/>
          <w:sz w:val="24"/>
          <w:szCs w:val="24"/>
        </w:rPr>
        <w:t xml:space="preserve">Figure </w:t>
      </w:r>
      <w:bookmarkEnd w:id="22"/>
      <w:r>
        <w:rPr>
          <w:rStyle w:val="20"/>
          <w:rFonts w:ascii="Arial" w:hAnsi="Arial" w:cs="Arial" w:hint="eastAsia"/>
          <w:b/>
          <w:bCs/>
          <w:color w:val="auto"/>
          <w:sz w:val="24"/>
          <w:szCs w:val="24"/>
        </w:rPr>
        <w:t>S</w:t>
      </w:r>
      <w:r>
        <w:rPr>
          <w:rStyle w:val="20"/>
          <w:rFonts w:ascii="Arial" w:hAnsi="Arial" w:cs="Arial"/>
          <w:b/>
          <w:bCs/>
          <w:color w:val="auto"/>
          <w:sz w:val="24"/>
          <w:szCs w:val="24"/>
        </w:rPr>
        <w:t>1</w:t>
      </w:r>
      <w:r>
        <w:rPr>
          <w:rStyle w:val="20"/>
          <w:rFonts w:ascii="Arial" w:hAnsi="Arial" w:cs="Arial" w:hint="eastAsia"/>
          <w:b/>
          <w:bCs/>
          <w:color w:val="auto"/>
          <w:sz w:val="24"/>
          <w:szCs w:val="24"/>
        </w:rPr>
        <w:t>3</w:t>
      </w:r>
      <w:r>
        <w:rPr>
          <w:rStyle w:val="20"/>
          <w:rFonts w:ascii="Arial" w:hAnsi="Arial" w:cs="Arial"/>
          <w:b/>
          <w:bCs/>
          <w:color w:val="auto"/>
          <w:sz w:val="24"/>
          <w:szCs w:val="24"/>
        </w:rPr>
        <w:t xml:space="preserve">. Diagnostic performance of biomarkers and scoring systems for sepsis in pulmonary </w:t>
      </w:r>
      <w:r>
        <w:rPr>
          <w:rStyle w:val="20"/>
          <w:rFonts w:ascii="Arial" w:hAnsi="Arial" w:cs="Arial"/>
          <w:b/>
          <w:bCs/>
          <w:i/>
          <w:iCs/>
          <w:color w:val="auto"/>
          <w:sz w:val="24"/>
          <w:szCs w:val="24"/>
        </w:rPr>
        <w:t>vs</w:t>
      </w:r>
      <w:r>
        <w:rPr>
          <w:rStyle w:val="20"/>
          <w:rFonts w:ascii="Arial" w:hAnsi="Arial" w:cs="Arial"/>
          <w:b/>
          <w:bCs/>
          <w:color w:val="auto"/>
          <w:sz w:val="24"/>
          <w:szCs w:val="24"/>
        </w:rPr>
        <w:t>. non-pulmonary infections.</w:t>
      </w:r>
      <w:bookmarkEnd w:id="23"/>
    </w:p>
    <w:p w14:paraId="4485D4A3" w14:textId="77777777" w:rsidR="00176E18" w:rsidRDefault="00000000">
      <w:pPr>
        <w:spacing w:line="280" w:lineRule="exact"/>
        <w:rPr>
          <w:rFonts w:ascii="Arial" w:hAnsi="Arial" w:cs="Arial"/>
          <w:sz w:val="20"/>
          <w:szCs w:val="20"/>
        </w:rPr>
      </w:pPr>
      <w:r>
        <w:rPr>
          <w:rFonts w:ascii="Arial" w:hAnsi="Arial" w:cs="Arial"/>
          <w:b/>
          <w:bCs/>
          <w:sz w:val="20"/>
          <w:szCs w:val="20"/>
        </w:rPr>
        <w:t xml:space="preserve"> </w:t>
      </w:r>
      <w:r>
        <w:rPr>
          <w:rFonts w:ascii="Arial" w:hAnsi="Arial" w:cs="Arial"/>
          <w:sz w:val="20"/>
          <w:szCs w:val="20"/>
        </w:rPr>
        <w:t xml:space="preserve">(A) SHAP feature importance ranking of diagnostic biomarkers in pulmonary sepsis; (B) SHAP feature importance ranking of diagnostic biomarkers in non-pulmonary sepsis; (C) Screening tool efficacy for pulmonary sepsis diagnosis (AUROC: LIP 0.916, NEWS 0.789, </w:t>
      </w:r>
      <w:proofErr w:type="spellStart"/>
      <w:r>
        <w:rPr>
          <w:rFonts w:ascii="Arial" w:hAnsi="Arial" w:cs="Arial"/>
          <w:sz w:val="20"/>
          <w:szCs w:val="20"/>
        </w:rPr>
        <w:t>qSOFA</w:t>
      </w:r>
      <w:proofErr w:type="spellEnd"/>
      <w:r>
        <w:rPr>
          <w:rFonts w:ascii="Arial" w:hAnsi="Arial" w:cs="Arial"/>
          <w:sz w:val="20"/>
          <w:szCs w:val="20"/>
        </w:rPr>
        <w:t xml:space="preserve"> 0.756, SIRS 0.642, APACHE II 0.786); (D) Screening tool efficacy for non-pulmonary sepsis diagnosis (AUROC: LIP 0.945, NEWS 0.893, </w:t>
      </w:r>
      <w:proofErr w:type="spellStart"/>
      <w:r>
        <w:rPr>
          <w:rFonts w:ascii="Arial" w:hAnsi="Arial" w:cs="Arial"/>
          <w:sz w:val="20"/>
          <w:szCs w:val="20"/>
        </w:rPr>
        <w:t>qSOFA</w:t>
      </w:r>
      <w:proofErr w:type="spellEnd"/>
      <w:r>
        <w:rPr>
          <w:rFonts w:ascii="Arial" w:hAnsi="Arial" w:cs="Arial"/>
          <w:sz w:val="20"/>
          <w:szCs w:val="20"/>
        </w:rPr>
        <w:t xml:space="preserve"> 0.829, SIRS 0.785, APACHE II 0.849). </w:t>
      </w:r>
      <w:r>
        <w:rPr>
          <w:rFonts w:ascii="Arial" w:hAnsi="Arial" w:cs="Arial"/>
          <w:i/>
          <w:iCs/>
          <w:sz w:val="20"/>
          <w:szCs w:val="20"/>
        </w:rPr>
        <w:t>PCT</w:t>
      </w:r>
      <w:r>
        <w:rPr>
          <w:rFonts w:ascii="Arial" w:hAnsi="Arial" w:cs="Arial"/>
          <w:sz w:val="20"/>
          <w:szCs w:val="20"/>
        </w:rPr>
        <w:t xml:space="preserve"> Procalcitonin;</w:t>
      </w:r>
      <w:r>
        <w:rPr>
          <w:rFonts w:ascii="Arial" w:hAnsi="Arial" w:cs="Arial"/>
          <w:i/>
          <w:iCs/>
          <w:sz w:val="20"/>
          <w:szCs w:val="20"/>
        </w:rPr>
        <w:t xml:space="preserve"> OI</w:t>
      </w:r>
      <w:r>
        <w:rPr>
          <w:rFonts w:ascii="Arial" w:hAnsi="Arial" w:cs="Arial"/>
          <w:sz w:val="20"/>
          <w:szCs w:val="20"/>
        </w:rPr>
        <w:t xml:space="preserve"> Oxygenation Index;</w:t>
      </w:r>
      <w:r>
        <w:rPr>
          <w:rFonts w:ascii="Arial" w:hAnsi="Arial" w:cs="Arial"/>
          <w:i/>
          <w:iCs/>
          <w:sz w:val="20"/>
          <w:szCs w:val="20"/>
        </w:rPr>
        <w:t xml:space="preserve"> PLT</w:t>
      </w:r>
      <w:r>
        <w:rPr>
          <w:rFonts w:ascii="Arial" w:hAnsi="Arial" w:cs="Arial"/>
          <w:sz w:val="20"/>
          <w:szCs w:val="20"/>
        </w:rPr>
        <w:t xml:space="preserve"> Platelet;</w:t>
      </w:r>
      <w:r>
        <w:rPr>
          <w:rFonts w:ascii="Arial" w:hAnsi="Arial" w:cs="Arial"/>
          <w:i/>
          <w:iCs/>
          <w:sz w:val="20"/>
          <w:szCs w:val="20"/>
        </w:rPr>
        <w:t xml:space="preserve"> Lym</w:t>
      </w:r>
      <w:r>
        <w:rPr>
          <w:rFonts w:ascii="Arial" w:hAnsi="Arial" w:cs="Arial"/>
          <w:sz w:val="20"/>
          <w:szCs w:val="20"/>
        </w:rPr>
        <w:t xml:space="preserve"> Lymphocyte;</w:t>
      </w:r>
      <w:r>
        <w:rPr>
          <w:rFonts w:ascii="Arial" w:hAnsi="Arial" w:cs="Arial"/>
          <w:i/>
          <w:iCs/>
          <w:sz w:val="20"/>
          <w:szCs w:val="20"/>
        </w:rPr>
        <w:t xml:space="preserve"> INR</w:t>
      </w:r>
      <w:r>
        <w:rPr>
          <w:rFonts w:ascii="Arial" w:hAnsi="Arial" w:cs="Arial"/>
          <w:sz w:val="20"/>
          <w:szCs w:val="20"/>
        </w:rPr>
        <w:t xml:space="preserve"> International Normalized Ratio;</w:t>
      </w:r>
      <w:r>
        <w:rPr>
          <w:rFonts w:ascii="Arial" w:hAnsi="Arial" w:cs="Arial"/>
          <w:i/>
          <w:iCs/>
          <w:sz w:val="20"/>
          <w:szCs w:val="20"/>
        </w:rPr>
        <w:t xml:space="preserve"> PA</w:t>
      </w:r>
      <w:r>
        <w:rPr>
          <w:rFonts w:ascii="Arial" w:hAnsi="Arial" w:cs="Arial"/>
          <w:sz w:val="20"/>
          <w:szCs w:val="20"/>
        </w:rPr>
        <w:t xml:space="preserve"> Prealbumin;</w:t>
      </w:r>
      <w:r>
        <w:rPr>
          <w:rFonts w:ascii="Arial" w:hAnsi="Arial" w:cs="Arial"/>
          <w:i/>
          <w:iCs/>
          <w:sz w:val="20"/>
          <w:szCs w:val="20"/>
        </w:rPr>
        <w:t xml:space="preserve"> </w:t>
      </w:r>
      <w:proofErr w:type="spellStart"/>
      <w:r>
        <w:rPr>
          <w:rFonts w:ascii="Arial" w:hAnsi="Arial" w:cs="Arial"/>
          <w:i/>
          <w:iCs/>
          <w:sz w:val="20"/>
          <w:szCs w:val="20"/>
        </w:rPr>
        <w:t>TBil</w:t>
      </w:r>
      <w:proofErr w:type="spellEnd"/>
      <w:r>
        <w:rPr>
          <w:rFonts w:ascii="Arial" w:hAnsi="Arial" w:cs="Arial"/>
          <w:i/>
          <w:iCs/>
          <w:sz w:val="20"/>
          <w:szCs w:val="20"/>
        </w:rPr>
        <w:t xml:space="preserve"> </w:t>
      </w:r>
      <w:r>
        <w:rPr>
          <w:rFonts w:ascii="Arial" w:hAnsi="Arial" w:cs="Arial"/>
          <w:sz w:val="20"/>
          <w:szCs w:val="20"/>
        </w:rPr>
        <w:t>Total Bilirubin;</w:t>
      </w:r>
      <w:r>
        <w:rPr>
          <w:rFonts w:ascii="Arial" w:hAnsi="Arial" w:cs="Arial"/>
          <w:i/>
          <w:iCs/>
          <w:sz w:val="20"/>
          <w:szCs w:val="20"/>
        </w:rPr>
        <w:t xml:space="preserve"> Lac</w:t>
      </w:r>
      <w:r>
        <w:rPr>
          <w:rFonts w:ascii="Arial" w:hAnsi="Arial" w:cs="Arial"/>
          <w:sz w:val="20"/>
          <w:szCs w:val="20"/>
        </w:rPr>
        <w:t xml:space="preserve"> Lactate;</w:t>
      </w:r>
      <w:r>
        <w:rPr>
          <w:rFonts w:ascii="Arial" w:hAnsi="Arial" w:cs="Arial"/>
          <w:i/>
          <w:iCs/>
          <w:sz w:val="20"/>
          <w:szCs w:val="20"/>
        </w:rPr>
        <w:t xml:space="preserve"> PT</w:t>
      </w:r>
      <w:r>
        <w:rPr>
          <w:rFonts w:ascii="Arial" w:hAnsi="Arial" w:cs="Arial"/>
          <w:sz w:val="20"/>
          <w:szCs w:val="20"/>
        </w:rPr>
        <w:t xml:space="preserve"> Prothrombin time;</w:t>
      </w:r>
      <w:r>
        <w:rPr>
          <w:rFonts w:ascii="Arial" w:hAnsi="Arial" w:cs="Arial"/>
          <w:i/>
          <w:iCs/>
          <w:sz w:val="20"/>
          <w:szCs w:val="20"/>
        </w:rPr>
        <w:t xml:space="preserve"> CRP</w:t>
      </w:r>
      <w:r>
        <w:rPr>
          <w:rFonts w:ascii="Arial" w:hAnsi="Arial" w:cs="Arial"/>
          <w:sz w:val="20"/>
          <w:szCs w:val="20"/>
        </w:rPr>
        <w:t xml:space="preserve"> C-Reactive Protein;</w:t>
      </w:r>
      <w:r>
        <w:rPr>
          <w:rFonts w:ascii="Arial" w:hAnsi="Arial" w:cs="Arial"/>
          <w:i/>
          <w:iCs/>
          <w:sz w:val="20"/>
          <w:szCs w:val="20"/>
        </w:rPr>
        <w:t xml:space="preserve"> BUN</w:t>
      </w:r>
      <w:r>
        <w:rPr>
          <w:rFonts w:ascii="Arial" w:hAnsi="Arial" w:cs="Arial"/>
          <w:sz w:val="20"/>
          <w:szCs w:val="20"/>
        </w:rPr>
        <w:t xml:space="preserve"> Blood Urea Nitrogen;</w:t>
      </w:r>
      <w:r>
        <w:rPr>
          <w:rFonts w:ascii="Arial" w:hAnsi="Arial" w:cs="Arial"/>
          <w:i/>
          <w:iCs/>
          <w:sz w:val="20"/>
          <w:szCs w:val="20"/>
        </w:rPr>
        <w:t xml:space="preserve"> ALT</w:t>
      </w:r>
      <w:r>
        <w:rPr>
          <w:rFonts w:ascii="Arial" w:hAnsi="Arial" w:cs="Arial"/>
          <w:sz w:val="20"/>
          <w:szCs w:val="20"/>
        </w:rPr>
        <w:t xml:space="preserve"> Alanine Transaminase;</w:t>
      </w:r>
      <w:r>
        <w:rPr>
          <w:rFonts w:ascii="Arial" w:hAnsi="Arial" w:cs="Arial"/>
          <w:i/>
          <w:iCs/>
          <w:sz w:val="20"/>
          <w:szCs w:val="20"/>
        </w:rPr>
        <w:t xml:space="preserve"> N%</w:t>
      </w:r>
      <w:r>
        <w:rPr>
          <w:rFonts w:ascii="Arial" w:hAnsi="Arial" w:cs="Arial"/>
          <w:sz w:val="20"/>
          <w:szCs w:val="20"/>
        </w:rPr>
        <w:t xml:space="preserve"> Neutrophil Ratio;</w:t>
      </w:r>
      <w:r>
        <w:rPr>
          <w:rFonts w:ascii="Arial" w:hAnsi="Arial" w:cs="Arial"/>
          <w:i/>
          <w:iCs/>
          <w:sz w:val="20"/>
          <w:szCs w:val="20"/>
        </w:rPr>
        <w:t xml:space="preserve"> IL-6</w:t>
      </w:r>
      <w:r>
        <w:rPr>
          <w:rFonts w:ascii="Arial" w:hAnsi="Arial" w:cs="Arial"/>
          <w:sz w:val="20"/>
          <w:szCs w:val="20"/>
        </w:rPr>
        <w:t xml:space="preserve"> Interleukin-6;</w:t>
      </w:r>
      <w:r>
        <w:rPr>
          <w:rFonts w:ascii="Arial" w:hAnsi="Arial" w:cs="Arial"/>
          <w:i/>
          <w:iCs/>
          <w:sz w:val="20"/>
          <w:szCs w:val="20"/>
        </w:rPr>
        <w:t xml:space="preserve"> WBC</w:t>
      </w:r>
      <w:r>
        <w:rPr>
          <w:rFonts w:ascii="Arial" w:hAnsi="Arial" w:cs="Arial"/>
          <w:sz w:val="20"/>
          <w:szCs w:val="20"/>
        </w:rPr>
        <w:t xml:space="preserve"> White Blood Cell;</w:t>
      </w:r>
      <w:r>
        <w:rPr>
          <w:rFonts w:ascii="Arial" w:hAnsi="Arial" w:cs="Arial"/>
          <w:i/>
          <w:iCs/>
          <w:sz w:val="20"/>
          <w:szCs w:val="20"/>
        </w:rPr>
        <w:t xml:space="preserve"> Alb</w:t>
      </w:r>
      <w:r>
        <w:rPr>
          <w:rFonts w:ascii="Arial" w:hAnsi="Arial" w:cs="Arial"/>
          <w:sz w:val="20"/>
          <w:szCs w:val="20"/>
        </w:rPr>
        <w:t xml:space="preserve"> Albumin;</w:t>
      </w:r>
      <w:r>
        <w:rPr>
          <w:rFonts w:ascii="Arial" w:hAnsi="Arial" w:cs="Arial"/>
          <w:i/>
          <w:iCs/>
          <w:sz w:val="20"/>
          <w:szCs w:val="20"/>
        </w:rPr>
        <w:t xml:space="preserve"> Crea</w:t>
      </w:r>
      <w:r>
        <w:rPr>
          <w:rFonts w:ascii="Arial" w:hAnsi="Arial" w:cs="Arial"/>
          <w:sz w:val="20"/>
          <w:szCs w:val="20"/>
        </w:rPr>
        <w:t xml:space="preserve"> Creatinine; </w:t>
      </w:r>
      <w:r>
        <w:rPr>
          <w:rFonts w:ascii="Arial" w:hAnsi="Arial" w:cs="Arial"/>
          <w:i/>
          <w:iCs/>
          <w:sz w:val="20"/>
          <w:szCs w:val="20"/>
        </w:rPr>
        <w:t>APTT</w:t>
      </w:r>
      <w:r>
        <w:rPr>
          <w:rFonts w:ascii="Arial" w:hAnsi="Arial" w:cs="Arial"/>
          <w:sz w:val="20"/>
          <w:szCs w:val="20"/>
        </w:rPr>
        <w:t xml:space="preserve"> Activated partial thromboplastin time; </w:t>
      </w:r>
      <w:r>
        <w:rPr>
          <w:rFonts w:ascii="Arial" w:hAnsi="Arial" w:cs="Arial"/>
          <w:i/>
          <w:iCs/>
          <w:sz w:val="20"/>
          <w:szCs w:val="20"/>
        </w:rPr>
        <w:t>AST</w:t>
      </w:r>
      <w:r>
        <w:rPr>
          <w:rFonts w:ascii="Arial" w:hAnsi="Arial" w:cs="Arial"/>
          <w:sz w:val="20"/>
          <w:szCs w:val="20"/>
        </w:rPr>
        <w:t xml:space="preserve"> Aspartate Transaminase; </w:t>
      </w:r>
      <w:r>
        <w:rPr>
          <w:rFonts w:ascii="Arial" w:hAnsi="Arial" w:cs="Arial"/>
          <w:i/>
          <w:iCs/>
          <w:sz w:val="20"/>
          <w:szCs w:val="20"/>
        </w:rPr>
        <w:t>N#</w:t>
      </w:r>
      <w:r>
        <w:rPr>
          <w:rFonts w:ascii="Arial" w:hAnsi="Arial" w:cs="Arial"/>
          <w:sz w:val="20"/>
          <w:szCs w:val="20"/>
        </w:rPr>
        <w:t xml:space="preserve"> Neutrophil count.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hAnsi="Arial" w:cs="Arial"/>
          <w:i/>
          <w:iCs/>
          <w:sz w:val="20"/>
          <w:szCs w:val="20"/>
        </w:rPr>
        <w:t>NEWS</w:t>
      </w:r>
      <w:r>
        <w:rPr>
          <w:rFonts w:ascii="Arial" w:hAnsi="Arial" w:cs="Arial"/>
          <w:sz w:val="20"/>
          <w:szCs w:val="20"/>
        </w:rPr>
        <w:t xml:space="preserve"> National Early Warning Score; </w:t>
      </w:r>
      <w:proofErr w:type="spellStart"/>
      <w:r>
        <w:rPr>
          <w:rFonts w:ascii="Arial" w:hAnsi="Arial" w:cs="Arial"/>
          <w:i/>
          <w:iCs/>
          <w:sz w:val="20"/>
          <w:szCs w:val="20"/>
        </w:rPr>
        <w:t>qSOFA</w:t>
      </w:r>
      <w:proofErr w:type="spellEnd"/>
      <w:r>
        <w:rPr>
          <w:rFonts w:ascii="Arial" w:hAnsi="Arial" w:cs="Arial"/>
          <w:sz w:val="20"/>
          <w:szCs w:val="20"/>
        </w:rPr>
        <w:t xml:space="preserve"> Quick Sequential Organ Failure Assessment;</w:t>
      </w:r>
      <w:r>
        <w:rPr>
          <w:rFonts w:ascii="Arial" w:hAnsi="Arial" w:cs="Arial"/>
          <w:i/>
          <w:iCs/>
          <w:sz w:val="20"/>
          <w:szCs w:val="20"/>
        </w:rPr>
        <w:t xml:space="preserve"> SIRS</w:t>
      </w:r>
      <w:r>
        <w:rPr>
          <w:rFonts w:ascii="Arial" w:hAnsi="Arial" w:cs="Arial"/>
          <w:sz w:val="20"/>
          <w:szCs w:val="20"/>
        </w:rPr>
        <w:t xml:space="preserve"> Systemic Inflammatory Response Syndrome; </w:t>
      </w:r>
      <w:r>
        <w:rPr>
          <w:rFonts w:ascii="Arial" w:hAnsi="Arial" w:cs="Arial"/>
          <w:i/>
          <w:iCs/>
          <w:sz w:val="20"/>
          <w:szCs w:val="20"/>
        </w:rPr>
        <w:t>APACHE-II</w:t>
      </w:r>
      <w:r>
        <w:rPr>
          <w:rFonts w:ascii="Arial" w:hAnsi="Arial" w:cs="Arial"/>
          <w:sz w:val="20"/>
          <w:szCs w:val="20"/>
        </w:rPr>
        <w:t xml:space="preserve"> Acute Physiology and Chronic Health Evaluation II. </w:t>
      </w:r>
    </w:p>
    <w:p w14:paraId="5D3B50E6" w14:textId="77777777" w:rsidR="00176E18" w:rsidRDefault="00000000">
      <w:pPr>
        <w:jc w:val="center"/>
        <w:rPr>
          <w:rFonts w:ascii="Arial" w:hAnsi="Arial" w:cs="Arial"/>
          <w:sz w:val="20"/>
          <w:szCs w:val="20"/>
        </w:rPr>
      </w:pPr>
      <w:r>
        <w:rPr>
          <w:rFonts w:ascii="Arial" w:hAnsi="Arial" w:cs="Arial" w:hint="eastAsia"/>
          <w:noProof/>
          <w:sz w:val="20"/>
          <w:szCs w:val="20"/>
        </w:rPr>
        <w:lastRenderedPageBreak/>
        <w:drawing>
          <wp:inline distT="0" distB="0" distL="114300" distR="114300" wp14:anchorId="5FDEE29C" wp14:editId="04A87303">
            <wp:extent cx="5661025" cy="6372860"/>
            <wp:effectExtent l="0" t="0" r="6350" b="8890"/>
            <wp:docPr id="2" name="图片 2" descr="LIP各项及ICU、非ICU亚组分析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IP各项及ICU、非ICU亚组分析_03"/>
                    <pic:cNvPicPr>
                      <a:picLocks noChangeAspect="1"/>
                    </pic:cNvPicPr>
                  </pic:nvPicPr>
                  <pic:blipFill>
                    <a:blip r:embed="rId22"/>
                    <a:stretch>
                      <a:fillRect/>
                    </a:stretch>
                  </pic:blipFill>
                  <pic:spPr>
                    <a:xfrm>
                      <a:off x="0" y="0"/>
                      <a:ext cx="5661025" cy="6372860"/>
                    </a:xfrm>
                    <a:prstGeom prst="rect">
                      <a:avLst/>
                    </a:prstGeom>
                  </pic:spPr>
                </pic:pic>
              </a:graphicData>
            </a:graphic>
          </wp:inline>
        </w:drawing>
      </w:r>
    </w:p>
    <w:p w14:paraId="479B5FAC" w14:textId="77777777" w:rsidR="00176E18" w:rsidRDefault="00000000">
      <w:pPr>
        <w:spacing w:line="280" w:lineRule="exact"/>
        <w:outlineLvl w:val="0"/>
        <w:rPr>
          <w:rFonts w:ascii="Arial" w:hAnsi="Arial" w:cs="Arial"/>
          <w:sz w:val="20"/>
          <w:szCs w:val="20"/>
        </w:rPr>
      </w:pPr>
      <w:bookmarkStart w:id="24" w:name="_Toc30337"/>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w:t>
      </w:r>
      <w:r>
        <w:rPr>
          <w:rStyle w:val="20"/>
          <w:rFonts w:ascii="Arial" w:hAnsi="Arial" w:cs="Arial"/>
          <w:b/>
          <w:bCs/>
          <w:color w:val="auto"/>
          <w:sz w:val="24"/>
          <w:szCs w:val="24"/>
        </w:rPr>
        <w:t>1</w:t>
      </w:r>
      <w:r>
        <w:rPr>
          <w:rStyle w:val="20"/>
          <w:rFonts w:ascii="Arial" w:hAnsi="Arial" w:cs="Arial" w:hint="eastAsia"/>
          <w:b/>
          <w:bCs/>
          <w:color w:val="auto"/>
          <w:sz w:val="24"/>
          <w:szCs w:val="24"/>
        </w:rPr>
        <w:t>4. Analysis of calibration of the LIP score and its Diagnostic efficacy for sepsis in ICU patients and Out of ICU patients.</w:t>
      </w:r>
      <w:bookmarkEnd w:id="24"/>
    </w:p>
    <w:p w14:paraId="2EB21457" w14:textId="77777777" w:rsidR="00176E18" w:rsidRDefault="00000000">
      <w:pPr>
        <w:spacing w:line="280" w:lineRule="exact"/>
        <w:rPr>
          <w:rFonts w:ascii="Arial" w:hAnsi="Arial" w:cs="Arial"/>
          <w:sz w:val="20"/>
          <w:szCs w:val="20"/>
        </w:rPr>
      </w:pPr>
      <w:r>
        <w:rPr>
          <w:rFonts w:ascii="Arial" w:hAnsi="Arial" w:cs="Arial"/>
          <w:sz w:val="20"/>
          <w:szCs w:val="20"/>
        </w:rPr>
        <w:t>(A) Calibration assessment has been carried out using the Hosmer</w:t>
      </w:r>
      <w:r>
        <w:rPr>
          <w:rFonts w:ascii="Arial" w:hAnsi="Arial" w:cs="Arial" w:hint="eastAsia"/>
          <w:sz w:val="20"/>
          <w:szCs w:val="20"/>
        </w:rPr>
        <w:t xml:space="preserve">- </w:t>
      </w:r>
      <w:proofErr w:type="spellStart"/>
      <w:r>
        <w:rPr>
          <w:rFonts w:ascii="Arial" w:hAnsi="Arial" w:cs="Arial"/>
          <w:sz w:val="20"/>
          <w:szCs w:val="20"/>
        </w:rPr>
        <w:t>Lemeshow</w:t>
      </w:r>
      <w:proofErr w:type="spellEnd"/>
      <w:r>
        <w:rPr>
          <w:rFonts w:ascii="Arial" w:hAnsi="Arial" w:cs="Arial"/>
          <w:sz w:val="20"/>
          <w:szCs w:val="20"/>
        </w:rPr>
        <w:t xml:space="preserve"> goodness</w:t>
      </w:r>
      <w:r>
        <w:rPr>
          <w:rFonts w:ascii="Arial" w:hAnsi="Arial" w:cs="Arial" w:hint="eastAsia"/>
          <w:sz w:val="20"/>
          <w:szCs w:val="20"/>
        </w:rPr>
        <w:t xml:space="preserve">- </w:t>
      </w:r>
      <w:r>
        <w:rPr>
          <w:rFonts w:ascii="Arial" w:hAnsi="Arial" w:cs="Arial"/>
          <w:sz w:val="20"/>
          <w:szCs w:val="20"/>
        </w:rPr>
        <w:t>of</w:t>
      </w:r>
      <w:r>
        <w:rPr>
          <w:rFonts w:ascii="Arial" w:hAnsi="Arial" w:cs="Arial" w:hint="eastAsia"/>
          <w:sz w:val="20"/>
          <w:szCs w:val="20"/>
        </w:rPr>
        <w:t xml:space="preserve">- </w:t>
      </w:r>
      <w:r>
        <w:rPr>
          <w:rFonts w:ascii="Arial" w:hAnsi="Arial" w:cs="Arial"/>
          <w:sz w:val="20"/>
          <w:szCs w:val="20"/>
        </w:rPr>
        <w:t>fit test for the logistic regression model underlying the LIP score (cutoff ≥3 for sepsis diagnosis).</w:t>
      </w:r>
      <w:r>
        <w:rPr>
          <w:rFonts w:ascii="Arial" w:hAnsi="Arial" w:cs="Arial" w:hint="eastAsia"/>
          <w:sz w:val="20"/>
          <w:szCs w:val="20"/>
        </w:rPr>
        <w:t xml:space="preserve"> The test yielded a </w:t>
      </w:r>
      <w:r>
        <w:rPr>
          <w:rFonts w:ascii="Arial" w:hAnsi="Arial" w:cs="Arial" w:hint="eastAsia"/>
          <w:sz w:val="20"/>
          <w:szCs w:val="20"/>
        </w:rPr>
        <w:t>χ²</w:t>
      </w:r>
      <w:r>
        <w:rPr>
          <w:rFonts w:ascii="Arial" w:hAnsi="Arial" w:cs="Arial" w:hint="eastAsia"/>
          <w:sz w:val="20"/>
          <w:szCs w:val="20"/>
        </w:rPr>
        <w:t xml:space="preserve"> = 8.54 and P = 0.476, indicating no significant difference between predicted and observed sepsis events. This supports that the LIP score is well calibrated. </w:t>
      </w:r>
      <w:r>
        <w:rPr>
          <w:rFonts w:ascii="Arial" w:hAnsi="Arial" w:cs="Arial"/>
          <w:sz w:val="20"/>
          <w:szCs w:val="20"/>
        </w:rPr>
        <w:t>(B) Diagnostic efficacy of the LIP score for sepsis in ICU patients. In ICU patients, the AUROC of the LIP score for diagnosing sepsis was 0.927(95%CI:0.906-0.944). (C) Diagnostic efficacy of the LIP score for sepsis in Out of ICU patients. In Out of ICU patients, the AUROC of the LIP score for diagnosing sepsis was 0.917(95%CI:0.887-0.941). Both are excellent and statistically non</w:t>
      </w:r>
      <w:r>
        <w:rPr>
          <w:rFonts w:ascii="Arial" w:hAnsi="Arial" w:cs="Arial" w:hint="eastAsia"/>
          <w:sz w:val="20"/>
          <w:szCs w:val="20"/>
        </w:rPr>
        <w:t xml:space="preserve">- </w:t>
      </w:r>
      <w:r>
        <w:rPr>
          <w:rFonts w:ascii="Arial" w:hAnsi="Arial" w:cs="Arial"/>
          <w:sz w:val="20"/>
          <w:szCs w:val="20"/>
        </w:rPr>
        <w:t>inferior to each other (</w:t>
      </w:r>
      <w:r>
        <w:rPr>
          <w:rFonts w:ascii="Arial" w:hAnsi="Arial" w:cs="Arial"/>
          <w:i/>
          <w:iCs/>
          <w:sz w:val="20"/>
          <w:szCs w:val="20"/>
        </w:rPr>
        <w:t>P</w:t>
      </w:r>
      <w:r>
        <w:rPr>
          <w:rFonts w:ascii="Arial" w:hAnsi="Arial" w:cs="Arial"/>
          <w:sz w:val="20"/>
          <w:szCs w:val="20"/>
        </w:rPr>
        <w:t xml:space="preserve"> </w:t>
      </w:r>
      <w:r>
        <w:rPr>
          <w:rFonts w:ascii="Arial" w:hAnsi="Arial" w:cs="Arial" w:hint="eastAsia"/>
          <w:sz w:val="20"/>
          <w:szCs w:val="20"/>
        </w:rPr>
        <w:t>=</w:t>
      </w:r>
      <w:r>
        <w:rPr>
          <w:rFonts w:ascii="Arial" w:hAnsi="Arial" w:cs="Arial"/>
          <w:sz w:val="20"/>
          <w:szCs w:val="20"/>
        </w:rPr>
        <w:t xml:space="preserve"> 0.5711), confirming that the LIP score works equally well for sepsis screening inside and outside the intensive care unit (e.g., emergency departments, general wards</w:t>
      </w:r>
      <w:proofErr w:type="gramStart"/>
      <w:r>
        <w:rPr>
          <w:rFonts w:ascii="Arial" w:hAnsi="Arial" w:cs="Arial"/>
          <w:sz w:val="20"/>
          <w:szCs w:val="20"/>
        </w:rPr>
        <w:t>) .</w:t>
      </w:r>
      <w:proofErr w:type="gramEnd"/>
    </w:p>
    <w:p w14:paraId="00C312B2" w14:textId="77777777" w:rsidR="00176E18" w:rsidRDefault="00176E18">
      <w:pPr>
        <w:spacing w:line="280" w:lineRule="exact"/>
        <w:rPr>
          <w:rFonts w:ascii="Arial" w:hAnsi="Arial" w:cs="Arial"/>
          <w:sz w:val="20"/>
          <w:szCs w:val="20"/>
        </w:rPr>
      </w:pPr>
    </w:p>
    <w:p w14:paraId="56B0D5E8" w14:textId="77777777" w:rsidR="00176E18" w:rsidRDefault="00176E18">
      <w:pPr>
        <w:spacing w:line="280" w:lineRule="exact"/>
        <w:outlineLvl w:val="0"/>
        <w:rPr>
          <w:rFonts w:ascii="Arial" w:hAnsi="Arial" w:cs="Arial"/>
          <w:sz w:val="16"/>
          <w:szCs w:val="16"/>
        </w:rPr>
      </w:pPr>
    </w:p>
    <w:p w14:paraId="590B1BAB" w14:textId="77777777" w:rsidR="00176E18" w:rsidRDefault="00176E18">
      <w:pPr>
        <w:spacing w:line="280" w:lineRule="exact"/>
        <w:outlineLvl w:val="0"/>
        <w:rPr>
          <w:rFonts w:ascii="Arial" w:hAnsi="Arial" w:cs="Arial"/>
          <w:sz w:val="22"/>
        </w:rPr>
      </w:pPr>
    </w:p>
    <w:p w14:paraId="1A315421" w14:textId="77777777" w:rsidR="00176E18" w:rsidRDefault="00176E18">
      <w:pPr>
        <w:spacing w:line="280" w:lineRule="exact"/>
        <w:outlineLvl w:val="0"/>
        <w:rPr>
          <w:rFonts w:ascii="Arial" w:hAnsi="Arial" w:cs="Arial"/>
          <w:sz w:val="22"/>
        </w:rPr>
      </w:pPr>
    </w:p>
    <w:p w14:paraId="717523C4" w14:textId="77777777" w:rsidR="00176E18" w:rsidRDefault="00000000">
      <w:pPr>
        <w:jc w:val="center"/>
        <w:rPr>
          <w:rFonts w:ascii="Arial" w:hAnsi="Arial" w:cs="Arial"/>
        </w:rPr>
      </w:pPr>
      <w:r>
        <w:rPr>
          <w:rFonts w:ascii="Arial" w:hAnsi="Arial" w:cs="Arial" w:hint="eastAsia"/>
          <w:noProof/>
        </w:rPr>
        <w:drawing>
          <wp:inline distT="0" distB="0" distL="114300" distR="114300" wp14:anchorId="4D50E2A0" wp14:editId="3312F83B">
            <wp:extent cx="4556125" cy="2307590"/>
            <wp:effectExtent l="0" t="0" r="6350" b="6985"/>
            <wp:docPr id="26" name="图片 26" descr="文章图-修改后0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文章图-修改后0_12-"/>
                    <pic:cNvPicPr>
                      <a:picLocks noChangeAspect="1"/>
                    </pic:cNvPicPr>
                  </pic:nvPicPr>
                  <pic:blipFill>
                    <a:blip r:embed="rId23"/>
                    <a:stretch>
                      <a:fillRect/>
                    </a:stretch>
                  </pic:blipFill>
                  <pic:spPr>
                    <a:xfrm>
                      <a:off x="0" y="0"/>
                      <a:ext cx="4556125" cy="2307590"/>
                    </a:xfrm>
                    <a:prstGeom prst="rect">
                      <a:avLst/>
                    </a:prstGeom>
                  </pic:spPr>
                </pic:pic>
              </a:graphicData>
            </a:graphic>
          </wp:inline>
        </w:drawing>
      </w:r>
    </w:p>
    <w:p w14:paraId="35EA15BB" w14:textId="77777777" w:rsidR="00176E18" w:rsidRDefault="00000000">
      <w:pPr>
        <w:spacing w:line="280" w:lineRule="exact"/>
        <w:outlineLvl w:val="0"/>
        <w:rPr>
          <w:rStyle w:val="20"/>
          <w:rFonts w:ascii="Arial" w:hAnsi="Arial" w:cs="Arial"/>
          <w:b/>
          <w:bCs/>
          <w:color w:val="auto"/>
          <w:sz w:val="22"/>
          <w:szCs w:val="22"/>
        </w:rPr>
      </w:pPr>
      <w:bookmarkStart w:id="25" w:name="_Toc14357"/>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w:t>
      </w:r>
      <w:r>
        <w:rPr>
          <w:rStyle w:val="20"/>
          <w:rFonts w:ascii="Arial" w:hAnsi="Arial" w:cs="Arial"/>
          <w:b/>
          <w:bCs/>
          <w:color w:val="auto"/>
          <w:sz w:val="24"/>
          <w:szCs w:val="24"/>
        </w:rPr>
        <w:t>1</w:t>
      </w:r>
      <w:r>
        <w:rPr>
          <w:rStyle w:val="20"/>
          <w:rFonts w:ascii="Arial" w:hAnsi="Arial" w:cs="Arial" w:hint="eastAsia"/>
          <w:b/>
          <w:bCs/>
          <w:color w:val="auto"/>
          <w:sz w:val="24"/>
          <w:szCs w:val="24"/>
        </w:rPr>
        <w:t>5</w:t>
      </w:r>
      <w:r>
        <w:rPr>
          <w:rStyle w:val="20"/>
          <w:rFonts w:ascii="Arial" w:hAnsi="Arial" w:cs="Arial"/>
          <w:b/>
          <w:bCs/>
          <w:color w:val="auto"/>
          <w:sz w:val="24"/>
          <w:szCs w:val="24"/>
        </w:rPr>
        <w:t>. Performance metrics (sensitivity, specificity, PPV, NPV) of screening tools at established diagnostic thresholds.</w:t>
      </w:r>
      <w:bookmarkEnd w:id="25"/>
      <w:r>
        <w:rPr>
          <w:rStyle w:val="20"/>
          <w:rFonts w:ascii="Arial" w:hAnsi="Arial" w:cs="Arial"/>
          <w:b/>
          <w:bCs/>
          <w:color w:val="auto"/>
          <w:sz w:val="24"/>
          <w:szCs w:val="24"/>
        </w:rPr>
        <w:t xml:space="preserve"> </w:t>
      </w:r>
      <w:bookmarkStart w:id="26" w:name="_Hlk203856160"/>
      <w:r>
        <w:rPr>
          <w:rStyle w:val="20"/>
          <w:rFonts w:ascii="Arial" w:hAnsi="Arial" w:cs="Arial"/>
          <w:b/>
          <w:bCs/>
          <w:color w:val="auto"/>
          <w:sz w:val="22"/>
          <w:szCs w:val="22"/>
        </w:rPr>
        <w:t xml:space="preserve"> </w:t>
      </w:r>
      <w:r>
        <w:rPr>
          <w:rStyle w:val="20"/>
          <w:rFonts w:ascii="Arial" w:hAnsi="Arial" w:cs="Arial" w:hint="eastAsia"/>
          <w:b/>
          <w:bCs/>
          <w:color w:val="auto"/>
          <w:sz w:val="22"/>
          <w:szCs w:val="22"/>
        </w:rPr>
        <w:t xml:space="preserve"> </w:t>
      </w:r>
    </w:p>
    <w:p w14:paraId="705086C4" w14:textId="77777777" w:rsidR="00176E18" w:rsidRDefault="00000000">
      <w:pPr>
        <w:spacing w:line="280" w:lineRule="exact"/>
        <w:rPr>
          <w:rFonts w:ascii="Arial" w:hAnsi="Arial" w:cs="Arial"/>
          <w:b/>
          <w:bCs/>
          <w:sz w:val="16"/>
          <w:szCs w:val="16"/>
        </w:rPr>
      </w:pPr>
      <w:r>
        <w:rPr>
          <w:rFonts w:ascii="Arial" w:hAnsi="Arial" w:cs="Arial"/>
          <w:sz w:val="20"/>
          <w:szCs w:val="20"/>
        </w:rPr>
        <w:t xml:space="preserve">LIP (≥3): Sen 85.37%, Spec 94.83%, PPV 96.33%, NPV 80.29%; </w:t>
      </w:r>
      <w:proofErr w:type="spellStart"/>
      <w:r>
        <w:rPr>
          <w:rFonts w:ascii="Arial" w:hAnsi="Arial" w:cs="Arial"/>
          <w:sz w:val="20"/>
          <w:szCs w:val="20"/>
        </w:rPr>
        <w:t>qSOFA</w:t>
      </w:r>
      <w:proofErr w:type="spellEnd"/>
      <w:r>
        <w:rPr>
          <w:rFonts w:ascii="Arial" w:hAnsi="Arial" w:cs="Arial"/>
          <w:sz w:val="20"/>
          <w:szCs w:val="20"/>
        </w:rPr>
        <w:t xml:space="preserve"> (≥2): Sen 83.06%, Spec 65.30%, PPV 92.52%, NPV 49.94%; SIRS (≥2): Sen 79.40%, Spec 56.25%, PPV 74.27%, NPV 63.20%; NEWS (≥5): Sen 85.23%, Spec 68.10%, PPV 80.95%, NPV 74.35%</w:t>
      </w:r>
      <w:bookmarkEnd w:id="26"/>
      <w:r>
        <w:rPr>
          <w:rFonts w:ascii="Arial" w:hAnsi="Arial" w:cs="Arial"/>
          <w:sz w:val="20"/>
          <w:szCs w:val="20"/>
        </w:rPr>
        <w:t xml:space="preserve">. </w:t>
      </w:r>
      <w:r>
        <w:rPr>
          <w:rFonts w:ascii="Arial" w:hAnsi="Arial" w:cs="Arial"/>
          <w:i/>
          <w:iCs/>
          <w:sz w:val="20"/>
          <w:szCs w:val="20"/>
        </w:rPr>
        <w:t>LIP</w:t>
      </w:r>
      <w:r>
        <w:rPr>
          <w:rFonts w:ascii="Arial" w:hAnsi="Arial" w:cs="Arial"/>
          <w:sz w:val="20"/>
          <w:szCs w:val="20"/>
        </w:rPr>
        <w:t xml:space="preserve">, Lymphocyte, INR, and Procalcitonin-based Sepsis Screening Score; </w:t>
      </w:r>
      <w:proofErr w:type="spellStart"/>
      <w:r>
        <w:rPr>
          <w:rFonts w:ascii="Arial" w:hAnsi="Arial" w:cs="Arial"/>
          <w:i/>
          <w:iCs/>
          <w:sz w:val="20"/>
          <w:szCs w:val="20"/>
        </w:rPr>
        <w:t>qSOFA</w:t>
      </w:r>
      <w:proofErr w:type="spellEnd"/>
      <w:r>
        <w:rPr>
          <w:rFonts w:ascii="Arial" w:hAnsi="Arial" w:cs="Arial"/>
          <w:sz w:val="20"/>
          <w:szCs w:val="20"/>
        </w:rPr>
        <w:t xml:space="preserve"> Quick Sequential Organ Failure Assessment;</w:t>
      </w:r>
      <w:r>
        <w:rPr>
          <w:rFonts w:ascii="Arial" w:hAnsi="Arial" w:cs="Arial"/>
          <w:i/>
          <w:iCs/>
          <w:sz w:val="20"/>
          <w:szCs w:val="20"/>
        </w:rPr>
        <w:t xml:space="preserve"> SIRS</w:t>
      </w:r>
      <w:r>
        <w:rPr>
          <w:rFonts w:ascii="Arial" w:hAnsi="Arial" w:cs="Arial"/>
          <w:sz w:val="20"/>
          <w:szCs w:val="20"/>
        </w:rPr>
        <w:t xml:space="preserve"> Systemic Inflammatory Response Syndrome; </w:t>
      </w:r>
      <w:r>
        <w:rPr>
          <w:rFonts w:ascii="Arial" w:hAnsi="Arial" w:cs="Arial"/>
          <w:i/>
          <w:iCs/>
          <w:sz w:val="20"/>
          <w:szCs w:val="20"/>
        </w:rPr>
        <w:t>NEWS</w:t>
      </w:r>
      <w:r>
        <w:rPr>
          <w:rFonts w:ascii="Arial" w:hAnsi="Arial" w:cs="Arial"/>
          <w:sz w:val="20"/>
          <w:szCs w:val="20"/>
        </w:rPr>
        <w:t xml:space="preserve"> National Early Warning Score; </w:t>
      </w:r>
      <w:r>
        <w:rPr>
          <w:rFonts w:ascii="Arial" w:hAnsi="Arial" w:cs="Arial"/>
          <w:i/>
          <w:iCs/>
          <w:sz w:val="20"/>
          <w:szCs w:val="20"/>
        </w:rPr>
        <w:t>APACHE-II</w:t>
      </w:r>
      <w:r>
        <w:rPr>
          <w:rFonts w:ascii="Arial" w:hAnsi="Arial" w:cs="Arial"/>
          <w:sz w:val="20"/>
          <w:szCs w:val="20"/>
        </w:rPr>
        <w:t xml:space="preserve"> Acute Physiology and Chronic Health Evaluation II. </w:t>
      </w:r>
      <w:r>
        <w:rPr>
          <w:rFonts w:ascii="Arial" w:hAnsi="Arial" w:cs="Arial"/>
          <w:i/>
          <w:iCs/>
          <w:sz w:val="20"/>
          <w:szCs w:val="20"/>
        </w:rPr>
        <w:t>Sen</w:t>
      </w:r>
      <w:r>
        <w:rPr>
          <w:rFonts w:ascii="Arial" w:hAnsi="Arial" w:cs="Arial"/>
          <w:sz w:val="20"/>
          <w:szCs w:val="20"/>
        </w:rPr>
        <w:t xml:space="preserve">, Sensitivity; </w:t>
      </w:r>
      <w:r>
        <w:rPr>
          <w:rFonts w:ascii="Arial" w:hAnsi="Arial" w:cs="Arial"/>
          <w:i/>
          <w:iCs/>
          <w:sz w:val="20"/>
          <w:szCs w:val="20"/>
        </w:rPr>
        <w:t>Spe</w:t>
      </w:r>
      <w:r>
        <w:rPr>
          <w:rFonts w:ascii="Arial" w:hAnsi="Arial" w:cs="Arial"/>
          <w:sz w:val="20"/>
          <w:szCs w:val="20"/>
        </w:rPr>
        <w:t>, Specificity;</w:t>
      </w:r>
      <w:r>
        <w:rPr>
          <w:rFonts w:ascii="Arial" w:hAnsi="Arial" w:cs="Arial"/>
          <w:i/>
          <w:iCs/>
          <w:sz w:val="20"/>
          <w:szCs w:val="20"/>
        </w:rPr>
        <w:t xml:space="preserve"> PPV</w:t>
      </w:r>
      <w:r>
        <w:rPr>
          <w:rFonts w:ascii="Arial" w:hAnsi="Arial" w:cs="Arial"/>
          <w:sz w:val="20"/>
          <w:szCs w:val="20"/>
        </w:rPr>
        <w:t xml:space="preserve">, Positive predictive value; </w:t>
      </w:r>
      <w:r>
        <w:rPr>
          <w:rFonts w:ascii="Arial" w:hAnsi="Arial" w:cs="Arial"/>
          <w:i/>
          <w:iCs/>
          <w:sz w:val="20"/>
          <w:szCs w:val="20"/>
        </w:rPr>
        <w:t>NPV</w:t>
      </w:r>
      <w:r>
        <w:rPr>
          <w:rFonts w:ascii="Arial" w:hAnsi="Arial" w:cs="Arial"/>
          <w:sz w:val="20"/>
          <w:szCs w:val="20"/>
        </w:rPr>
        <w:t>, Negative predictive valu</w:t>
      </w:r>
      <w:r>
        <w:rPr>
          <w:rFonts w:ascii="Arial" w:hAnsi="Arial" w:cs="Arial"/>
          <w:sz w:val="16"/>
          <w:szCs w:val="16"/>
        </w:rPr>
        <w:t xml:space="preserve">e.  </w:t>
      </w:r>
    </w:p>
    <w:p w14:paraId="5C4EF341" w14:textId="77777777" w:rsidR="00176E18" w:rsidRDefault="00176E18">
      <w:pPr>
        <w:spacing w:line="280" w:lineRule="exact"/>
        <w:outlineLvl w:val="0"/>
        <w:rPr>
          <w:rFonts w:ascii="Arial" w:hAnsi="Arial" w:cs="Arial"/>
          <w:sz w:val="22"/>
        </w:rPr>
      </w:pPr>
    </w:p>
    <w:p w14:paraId="5BD6EDBC" w14:textId="77777777" w:rsidR="00176E18" w:rsidRDefault="00176E18">
      <w:pPr>
        <w:spacing w:line="280" w:lineRule="exact"/>
        <w:rPr>
          <w:rFonts w:ascii="Arial" w:hAnsi="Arial" w:cs="Arial"/>
          <w:sz w:val="22"/>
        </w:rPr>
      </w:pPr>
    </w:p>
    <w:p w14:paraId="5F6B3F6E" w14:textId="77777777" w:rsidR="00176E18" w:rsidRDefault="00176E18">
      <w:pPr>
        <w:rPr>
          <w:rFonts w:ascii="Arial" w:eastAsia="Times New Roman Uni" w:hAnsi="Arial" w:cs="Arial"/>
          <w:sz w:val="22"/>
        </w:rPr>
      </w:pPr>
    </w:p>
    <w:p w14:paraId="306D3BA6" w14:textId="77777777" w:rsidR="00176E18" w:rsidRDefault="00000000">
      <w:pPr>
        <w:pageBreakBefore/>
        <w:jc w:val="center"/>
        <w:rPr>
          <w:rFonts w:ascii="Arial" w:eastAsia="等线" w:hAnsi="Arial" w:cs="Arial"/>
          <w:lang w:bidi="ar"/>
        </w:rPr>
      </w:pPr>
      <w:r>
        <w:rPr>
          <w:rFonts w:ascii="Arial" w:eastAsia="等线" w:hAnsi="Arial" w:cs="Arial"/>
          <w:noProof/>
          <w:lang w:bidi="ar"/>
        </w:rPr>
        <w:lastRenderedPageBreak/>
        <w:drawing>
          <wp:inline distT="0" distB="0" distL="114300" distR="114300" wp14:anchorId="79C9BCAE" wp14:editId="4B5869D4">
            <wp:extent cx="3060065" cy="3163570"/>
            <wp:effectExtent l="0" t="0" r="6985" b="8255"/>
            <wp:docPr id="27" name="图片 27"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igure 3"/>
                    <pic:cNvPicPr>
                      <a:picLocks noChangeAspect="1"/>
                    </pic:cNvPicPr>
                  </pic:nvPicPr>
                  <pic:blipFill>
                    <a:blip r:embed="rId24"/>
                    <a:stretch>
                      <a:fillRect/>
                    </a:stretch>
                  </pic:blipFill>
                  <pic:spPr>
                    <a:xfrm>
                      <a:off x="0" y="0"/>
                      <a:ext cx="3060065" cy="3163570"/>
                    </a:xfrm>
                    <a:prstGeom prst="rect">
                      <a:avLst/>
                    </a:prstGeom>
                  </pic:spPr>
                </pic:pic>
              </a:graphicData>
            </a:graphic>
          </wp:inline>
        </w:drawing>
      </w:r>
    </w:p>
    <w:p w14:paraId="69961D3A" w14:textId="77777777" w:rsidR="00176E18" w:rsidRDefault="00000000">
      <w:pPr>
        <w:spacing w:line="320" w:lineRule="exact"/>
        <w:outlineLvl w:val="0"/>
        <w:rPr>
          <w:rFonts w:ascii="Arial" w:eastAsia="Times New Roman Uni" w:hAnsi="Arial" w:cs="Arial"/>
          <w:sz w:val="24"/>
          <w:szCs w:val="24"/>
          <w:lang w:bidi="ar"/>
        </w:rPr>
      </w:pPr>
      <w:bookmarkStart w:id="27" w:name="_Toc3627"/>
      <w:r>
        <w:rPr>
          <w:rFonts w:ascii="Arial" w:eastAsia="Times New Roman Uni" w:hAnsi="Arial" w:cs="Arial"/>
          <w:b/>
          <w:bCs/>
          <w:sz w:val="24"/>
          <w:szCs w:val="24"/>
          <w:lang w:bidi="ar"/>
        </w:rPr>
        <w:t xml:space="preserve">Figure </w:t>
      </w:r>
      <w:r>
        <w:rPr>
          <w:rFonts w:ascii="Arial" w:eastAsia="Times New Roman Uni" w:hAnsi="Arial" w:cs="Arial" w:hint="eastAsia"/>
          <w:b/>
          <w:bCs/>
          <w:sz w:val="24"/>
          <w:szCs w:val="24"/>
          <w:lang w:bidi="ar"/>
        </w:rPr>
        <w:t>S</w:t>
      </w:r>
      <w:r>
        <w:rPr>
          <w:rFonts w:ascii="Arial" w:eastAsia="Times New Roman Uni" w:hAnsi="Arial" w:cs="Arial"/>
          <w:b/>
          <w:bCs/>
          <w:sz w:val="24"/>
          <w:szCs w:val="24"/>
          <w:lang w:bidi="ar"/>
        </w:rPr>
        <w:t>1</w:t>
      </w:r>
      <w:r>
        <w:rPr>
          <w:rFonts w:ascii="Arial" w:eastAsia="Times New Roman Uni" w:hAnsi="Arial" w:cs="Arial" w:hint="eastAsia"/>
          <w:b/>
          <w:bCs/>
          <w:sz w:val="24"/>
          <w:szCs w:val="24"/>
          <w:lang w:bidi="ar"/>
        </w:rPr>
        <w:t>6</w:t>
      </w:r>
      <w:r>
        <w:rPr>
          <w:rFonts w:ascii="Arial" w:eastAsia="Times New Roman Uni" w:hAnsi="Arial" w:cs="Arial"/>
          <w:sz w:val="24"/>
          <w:szCs w:val="24"/>
          <w:lang w:bidi="ar"/>
        </w:rPr>
        <w:t>.</w:t>
      </w:r>
      <w:r>
        <w:rPr>
          <w:rFonts w:ascii="Arial" w:eastAsia="Times New Roman Uni" w:hAnsi="Arial" w:cs="Arial"/>
          <w:b/>
          <w:bCs/>
          <w:sz w:val="24"/>
          <w:szCs w:val="24"/>
          <w:lang w:bidi="ar"/>
        </w:rPr>
        <w:t xml:space="preserve"> Sensitivity and specificity of LIP thresholds for sepsis screening.</w:t>
      </w:r>
      <w:bookmarkEnd w:id="27"/>
      <w:r>
        <w:rPr>
          <w:rFonts w:ascii="Arial" w:eastAsia="Times New Roman Uni" w:hAnsi="Arial" w:cs="Arial"/>
          <w:sz w:val="24"/>
          <w:szCs w:val="24"/>
          <w:lang w:bidi="ar"/>
        </w:rPr>
        <w:t xml:space="preserve"> </w:t>
      </w:r>
    </w:p>
    <w:p w14:paraId="3EEC36AD" w14:textId="77777777" w:rsidR="00176E18" w:rsidRDefault="00000000">
      <w:pPr>
        <w:spacing w:line="320" w:lineRule="exact"/>
        <w:rPr>
          <w:rFonts w:ascii="Arial" w:eastAsia="Times New Roman Uni" w:hAnsi="Arial" w:cs="Arial"/>
          <w:sz w:val="20"/>
          <w:szCs w:val="20"/>
        </w:rPr>
      </w:pPr>
      <w:r>
        <w:rPr>
          <w:rFonts w:ascii="Arial" w:eastAsia="Times New Roman Uni" w:hAnsi="Arial" w:cs="Arial"/>
          <w:sz w:val="20"/>
          <w:szCs w:val="20"/>
          <w:lang w:bidi="ar"/>
        </w:rPr>
        <w:t>(A) Performance trends across LIP thresholds in suspected infection patients (all patients). (B) Performance trends across LIP thresholds in a subgroup of suspected infection patients excluding patients with any single LIP item score=2.</w:t>
      </w:r>
    </w:p>
    <w:p w14:paraId="06FA6750" w14:textId="77777777" w:rsidR="00176E18" w:rsidRDefault="00176E18">
      <w:pPr>
        <w:rPr>
          <w:rFonts w:ascii="Arial" w:eastAsia="等线" w:hAnsi="Arial" w:cs="Arial"/>
          <w:sz w:val="16"/>
          <w:szCs w:val="16"/>
          <w:lang w:bidi="ar"/>
        </w:rPr>
      </w:pPr>
    </w:p>
    <w:p w14:paraId="4F5A2115" w14:textId="77777777" w:rsidR="00176E18" w:rsidRDefault="00176E18">
      <w:pPr>
        <w:spacing w:line="280" w:lineRule="exact"/>
        <w:outlineLvl w:val="0"/>
        <w:rPr>
          <w:rFonts w:ascii="Arial" w:hAnsi="Arial" w:cs="Arial"/>
          <w:sz w:val="22"/>
        </w:rPr>
      </w:pPr>
    </w:p>
    <w:p w14:paraId="4FB4053C" w14:textId="77777777" w:rsidR="00176E18" w:rsidRDefault="00176E18">
      <w:pPr>
        <w:pageBreakBefore/>
        <w:spacing w:line="280" w:lineRule="exact"/>
        <w:outlineLvl w:val="0"/>
        <w:rPr>
          <w:rFonts w:ascii="Arial" w:hAnsi="Arial" w:cs="Arial"/>
          <w:sz w:val="22"/>
        </w:rPr>
      </w:pPr>
    </w:p>
    <w:p w14:paraId="4839AA22" w14:textId="77777777" w:rsidR="00176E18" w:rsidRDefault="00000000">
      <w:pPr>
        <w:jc w:val="center"/>
        <w:rPr>
          <w:rFonts w:ascii="Arial" w:hAnsi="Arial" w:cs="Arial"/>
          <w:b/>
          <w:bCs/>
          <w:sz w:val="16"/>
          <w:szCs w:val="16"/>
        </w:rPr>
      </w:pPr>
      <w:r>
        <w:rPr>
          <w:rFonts w:ascii="Arial" w:hAnsi="Arial" w:cs="Arial"/>
          <w:noProof/>
        </w:rPr>
        <w:drawing>
          <wp:inline distT="0" distB="0" distL="114300" distR="114300" wp14:anchorId="19E0C55B" wp14:editId="5EFFF7A4">
            <wp:extent cx="5010785" cy="5001895"/>
            <wp:effectExtent l="0" t="0" r="8890" b="8255"/>
            <wp:docPr id="30" name="图片 30" descr="20251022 整体-Death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20251022 整体-Death_01"/>
                    <pic:cNvPicPr>
                      <a:picLocks noChangeAspect="1"/>
                    </pic:cNvPicPr>
                  </pic:nvPicPr>
                  <pic:blipFill>
                    <a:blip r:embed="rId25"/>
                    <a:stretch>
                      <a:fillRect/>
                    </a:stretch>
                  </pic:blipFill>
                  <pic:spPr>
                    <a:xfrm>
                      <a:off x="0" y="0"/>
                      <a:ext cx="5010785" cy="5001895"/>
                    </a:xfrm>
                    <a:prstGeom prst="rect">
                      <a:avLst/>
                    </a:prstGeom>
                  </pic:spPr>
                </pic:pic>
              </a:graphicData>
            </a:graphic>
          </wp:inline>
        </w:drawing>
      </w:r>
      <w:r>
        <w:rPr>
          <w:rFonts w:ascii="Arial" w:hAnsi="Arial" w:cs="Arial"/>
        </w:rPr>
        <w:br/>
      </w:r>
    </w:p>
    <w:p w14:paraId="6740C44C" w14:textId="77777777" w:rsidR="00176E18" w:rsidRDefault="00000000">
      <w:pPr>
        <w:spacing w:line="280" w:lineRule="exact"/>
        <w:outlineLvl w:val="0"/>
        <w:rPr>
          <w:rStyle w:val="20"/>
          <w:rFonts w:ascii="Arial" w:hAnsi="Arial" w:cs="Arial"/>
          <w:b/>
          <w:bCs/>
          <w:color w:val="auto"/>
          <w:sz w:val="24"/>
          <w:szCs w:val="24"/>
        </w:rPr>
      </w:pPr>
      <w:bookmarkStart w:id="28" w:name="_Toc15589"/>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w:t>
      </w:r>
      <w:r>
        <w:rPr>
          <w:rStyle w:val="20"/>
          <w:rFonts w:ascii="Arial" w:hAnsi="Arial" w:cs="Arial"/>
          <w:b/>
          <w:bCs/>
          <w:color w:val="auto"/>
          <w:sz w:val="24"/>
          <w:szCs w:val="24"/>
        </w:rPr>
        <w:t>1</w:t>
      </w:r>
      <w:r>
        <w:rPr>
          <w:rStyle w:val="20"/>
          <w:rFonts w:ascii="Arial" w:hAnsi="Arial" w:cs="Arial" w:hint="eastAsia"/>
          <w:b/>
          <w:bCs/>
          <w:color w:val="auto"/>
          <w:sz w:val="24"/>
          <w:szCs w:val="24"/>
        </w:rPr>
        <w:t>7</w:t>
      </w:r>
      <w:r>
        <w:rPr>
          <w:rStyle w:val="20"/>
          <w:rFonts w:ascii="Arial" w:hAnsi="Arial" w:cs="Arial"/>
          <w:b/>
          <w:bCs/>
          <w:color w:val="auto"/>
          <w:sz w:val="24"/>
          <w:szCs w:val="24"/>
        </w:rPr>
        <w:t>. SHAP feature importance ranking of mortality prognostic biomarkers in</w:t>
      </w:r>
      <w:r>
        <w:rPr>
          <w:rStyle w:val="20"/>
          <w:rFonts w:ascii="Arial" w:hAnsi="Arial" w:cs="Arial" w:hint="eastAsia"/>
          <w:b/>
          <w:bCs/>
          <w:color w:val="auto"/>
          <w:sz w:val="24"/>
          <w:szCs w:val="24"/>
        </w:rPr>
        <w:t xml:space="preserve"> </w:t>
      </w:r>
      <w:r>
        <w:rPr>
          <w:rStyle w:val="20"/>
          <w:rFonts w:ascii="Arial" w:hAnsi="Arial" w:cs="Arial"/>
          <w:b/>
          <w:bCs/>
          <w:color w:val="auto"/>
          <w:sz w:val="24"/>
          <w:szCs w:val="24"/>
        </w:rPr>
        <w:t>sepsis.</w:t>
      </w:r>
      <w:bookmarkEnd w:id="28"/>
    </w:p>
    <w:p w14:paraId="3AB791AB" w14:textId="77777777" w:rsidR="00176E18" w:rsidRDefault="00000000">
      <w:pPr>
        <w:spacing w:line="280" w:lineRule="exact"/>
        <w:rPr>
          <w:rFonts w:ascii="Arial" w:hAnsi="Arial" w:cs="Arial"/>
          <w:b/>
          <w:bCs/>
          <w:sz w:val="20"/>
          <w:szCs w:val="20"/>
        </w:rPr>
      </w:pPr>
      <w:r>
        <w:rPr>
          <w:rFonts w:ascii="Arial" w:hAnsi="Arial" w:cs="Arial"/>
          <w:sz w:val="20"/>
          <w:szCs w:val="20"/>
        </w:rPr>
        <w:t xml:space="preserve">As shown in the figure, INR ranks third. </w:t>
      </w:r>
      <w:r>
        <w:rPr>
          <w:rFonts w:ascii="Arial" w:hAnsi="Arial" w:cs="Arial"/>
          <w:i/>
          <w:iCs/>
          <w:sz w:val="20"/>
          <w:szCs w:val="20"/>
        </w:rPr>
        <w:t>BUN</w:t>
      </w:r>
      <w:r>
        <w:rPr>
          <w:rFonts w:ascii="Arial" w:hAnsi="Arial" w:cs="Arial"/>
          <w:sz w:val="20"/>
          <w:szCs w:val="20"/>
        </w:rPr>
        <w:t xml:space="preserve"> Blood Urea Nitrogen; </w:t>
      </w:r>
      <w:r>
        <w:rPr>
          <w:rFonts w:ascii="Arial" w:hAnsi="Arial" w:cs="Arial"/>
          <w:i/>
          <w:iCs/>
          <w:sz w:val="20"/>
          <w:szCs w:val="20"/>
        </w:rPr>
        <w:t>OI</w:t>
      </w:r>
      <w:r>
        <w:rPr>
          <w:rFonts w:ascii="Arial" w:hAnsi="Arial" w:cs="Arial"/>
          <w:sz w:val="20"/>
          <w:szCs w:val="20"/>
        </w:rPr>
        <w:t xml:space="preserve"> Oxygenation Index; </w:t>
      </w:r>
      <w:r>
        <w:rPr>
          <w:rFonts w:ascii="Arial" w:hAnsi="Arial" w:cs="Arial"/>
          <w:i/>
          <w:iCs/>
          <w:sz w:val="20"/>
          <w:szCs w:val="20"/>
        </w:rPr>
        <w:t>INR</w:t>
      </w:r>
      <w:r>
        <w:rPr>
          <w:rFonts w:ascii="Arial" w:hAnsi="Arial" w:cs="Arial"/>
          <w:sz w:val="20"/>
          <w:szCs w:val="20"/>
        </w:rPr>
        <w:t xml:space="preserve"> International Normalized Ratio; </w:t>
      </w:r>
      <w:r>
        <w:rPr>
          <w:rFonts w:ascii="Arial" w:hAnsi="Arial" w:cs="Arial"/>
          <w:i/>
          <w:iCs/>
          <w:sz w:val="20"/>
          <w:szCs w:val="20"/>
        </w:rPr>
        <w:t>Lac</w:t>
      </w:r>
      <w:r>
        <w:rPr>
          <w:rFonts w:ascii="Arial" w:hAnsi="Arial" w:cs="Arial"/>
          <w:sz w:val="20"/>
          <w:szCs w:val="20"/>
        </w:rPr>
        <w:t xml:space="preserve"> Lactate; </w:t>
      </w:r>
      <w:r>
        <w:rPr>
          <w:rFonts w:ascii="Arial" w:hAnsi="Arial" w:cs="Arial"/>
          <w:i/>
          <w:iCs/>
          <w:sz w:val="20"/>
          <w:szCs w:val="20"/>
        </w:rPr>
        <w:t>PA</w:t>
      </w:r>
      <w:r>
        <w:rPr>
          <w:rFonts w:ascii="Arial" w:hAnsi="Arial" w:cs="Arial"/>
          <w:sz w:val="20"/>
          <w:szCs w:val="20"/>
        </w:rPr>
        <w:t xml:space="preserve"> Prealbumin; </w:t>
      </w:r>
      <w:r>
        <w:rPr>
          <w:rFonts w:ascii="Arial" w:hAnsi="Arial" w:cs="Arial"/>
          <w:i/>
          <w:iCs/>
          <w:sz w:val="20"/>
          <w:szCs w:val="20"/>
        </w:rPr>
        <w:t>Crea</w:t>
      </w:r>
      <w:r>
        <w:rPr>
          <w:rFonts w:ascii="Arial" w:hAnsi="Arial" w:cs="Arial"/>
          <w:sz w:val="20"/>
          <w:szCs w:val="20"/>
        </w:rPr>
        <w:t xml:space="preserve"> Creatinine; </w:t>
      </w:r>
      <w:r>
        <w:rPr>
          <w:rFonts w:ascii="Arial" w:hAnsi="Arial" w:cs="Arial"/>
          <w:i/>
          <w:iCs/>
          <w:sz w:val="20"/>
          <w:szCs w:val="20"/>
        </w:rPr>
        <w:t>ALT</w:t>
      </w:r>
      <w:r>
        <w:rPr>
          <w:rFonts w:ascii="Arial" w:hAnsi="Arial" w:cs="Arial"/>
          <w:sz w:val="20"/>
          <w:szCs w:val="20"/>
        </w:rPr>
        <w:t xml:space="preserve"> Alanine Transaminase; </w:t>
      </w:r>
      <w:r>
        <w:rPr>
          <w:rFonts w:ascii="Arial" w:hAnsi="Arial" w:cs="Arial"/>
          <w:i/>
          <w:iCs/>
          <w:sz w:val="20"/>
          <w:szCs w:val="20"/>
        </w:rPr>
        <w:t>Alb</w:t>
      </w:r>
      <w:r>
        <w:rPr>
          <w:rFonts w:ascii="Arial" w:hAnsi="Arial" w:cs="Arial"/>
          <w:sz w:val="20"/>
          <w:szCs w:val="20"/>
        </w:rPr>
        <w:t xml:space="preserve"> Albumin; </w:t>
      </w:r>
      <w:proofErr w:type="spellStart"/>
      <w:r>
        <w:rPr>
          <w:rFonts w:ascii="Arial" w:hAnsi="Arial" w:cs="Arial"/>
          <w:i/>
          <w:iCs/>
          <w:sz w:val="20"/>
          <w:szCs w:val="20"/>
        </w:rPr>
        <w:t>TBil</w:t>
      </w:r>
      <w:proofErr w:type="spellEnd"/>
      <w:r>
        <w:rPr>
          <w:rFonts w:ascii="Arial" w:hAnsi="Arial" w:cs="Arial"/>
          <w:sz w:val="20"/>
          <w:szCs w:val="20"/>
        </w:rPr>
        <w:t xml:space="preserve"> Total Bilirubin; </w:t>
      </w:r>
      <w:r>
        <w:rPr>
          <w:rFonts w:ascii="Arial" w:hAnsi="Arial" w:cs="Arial"/>
          <w:i/>
          <w:iCs/>
          <w:sz w:val="20"/>
          <w:szCs w:val="20"/>
        </w:rPr>
        <w:t>CRP</w:t>
      </w:r>
      <w:r>
        <w:rPr>
          <w:rFonts w:ascii="Arial" w:hAnsi="Arial" w:cs="Arial"/>
          <w:sz w:val="20"/>
          <w:szCs w:val="20"/>
        </w:rPr>
        <w:t xml:space="preserve"> C-Reactive Protein; </w:t>
      </w:r>
      <w:r>
        <w:rPr>
          <w:rFonts w:ascii="Arial" w:hAnsi="Arial" w:cs="Arial"/>
          <w:i/>
          <w:iCs/>
          <w:sz w:val="20"/>
          <w:szCs w:val="20"/>
        </w:rPr>
        <w:t>IL-6</w:t>
      </w:r>
      <w:r>
        <w:rPr>
          <w:rFonts w:ascii="Arial" w:hAnsi="Arial" w:cs="Arial"/>
          <w:sz w:val="20"/>
          <w:szCs w:val="20"/>
        </w:rPr>
        <w:t xml:space="preserve"> Interleukin-6; </w:t>
      </w:r>
      <w:r>
        <w:rPr>
          <w:rFonts w:ascii="Arial" w:hAnsi="Arial" w:cs="Arial"/>
          <w:i/>
          <w:iCs/>
          <w:sz w:val="20"/>
          <w:szCs w:val="20"/>
        </w:rPr>
        <w:t>AST</w:t>
      </w:r>
      <w:r>
        <w:rPr>
          <w:rFonts w:ascii="Arial" w:hAnsi="Arial" w:cs="Arial"/>
          <w:sz w:val="20"/>
          <w:szCs w:val="20"/>
        </w:rPr>
        <w:t xml:space="preserve"> Aspartate Transaminase; </w:t>
      </w:r>
      <w:r>
        <w:rPr>
          <w:rFonts w:ascii="Arial" w:hAnsi="Arial" w:cs="Arial"/>
          <w:i/>
          <w:iCs/>
          <w:sz w:val="20"/>
          <w:szCs w:val="20"/>
        </w:rPr>
        <w:t>WBC</w:t>
      </w:r>
      <w:r>
        <w:rPr>
          <w:rFonts w:ascii="Arial" w:hAnsi="Arial" w:cs="Arial"/>
          <w:sz w:val="20"/>
          <w:szCs w:val="20"/>
        </w:rPr>
        <w:t xml:space="preserve"> White Blood Cell; </w:t>
      </w:r>
      <w:r>
        <w:rPr>
          <w:rFonts w:ascii="Arial" w:hAnsi="Arial" w:cs="Arial"/>
          <w:i/>
          <w:iCs/>
          <w:sz w:val="20"/>
          <w:szCs w:val="20"/>
        </w:rPr>
        <w:t>N%</w:t>
      </w:r>
      <w:r>
        <w:rPr>
          <w:rFonts w:ascii="Arial" w:hAnsi="Arial" w:cs="Arial"/>
          <w:sz w:val="20"/>
          <w:szCs w:val="20"/>
        </w:rPr>
        <w:t xml:space="preserve"> Neutrophil Ratio; </w:t>
      </w:r>
      <w:r>
        <w:rPr>
          <w:rFonts w:ascii="Arial" w:hAnsi="Arial" w:cs="Arial"/>
          <w:i/>
          <w:iCs/>
          <w:sz w:val="20"/>
          <w:szCs w:val="20"/>
        </w:rPr>
        <w:t>APTT</w:t>
      </w:r>
      <w:r>
        <w:rPr>
          <w:rFonts w:ascii="Arial" w:hAnsi="Arial" w:cs="Arial"/>
          <w:sz w:val="20"/>
          <w:szCs w:val="20"/>
        </w:rPr>
        <w:t xml:space="preserve"> Activated partial thromboplastin time; </w:t>
      </w:r>
      <w:r>
        <w:rPr>
          <w:rFonts w:ascii="Arial" w:hAnsi="Arial" w:cs="Arial"/>
          <w:i/>
          <w:iCs/>
          <w:sz w:val="20"/>
          <w:szCs w:val="20"/>
        </w:rPr>
        <w:t>PT</w:t>
      </w:r>
      <w:r>
        <w:rPr>
          <w:rFonts w:ascii="Arial" w:hAnsi="Arial" w:cs="Arial"/>
          <w:sz w:val="20"/>
          <w:szCs w:val="20"/>
        </w:rPr>
        <w:t xml:space="preserve"> Prothrombin time;</w:t>
      </w:r>
      <w:r>
        <w:rPr>
          <w:rFonts w:ascii="Arial" w:hAnsi="Arial" w:cs="Arial"/>
          <w:i/>
          <w:iCs/>
          <w:sz w:val="20"/>
          <w:szCs w:val="20"/>
        </w:rPr>
        <w:t xml:space="preserve"> PLT</w:t>
      </w:r>
      <w:r>
        <w:rPr>
          <w:rFonts w:ascii="Arial" w:hAnsi="Arial" w:cs="Arial"/>
          <w:sz w:val="20"/>
          <w:szCs w:val="20"/>
        </w:rPr>
        <w:t xml:space="preserve"> Platelet; </w:t>
      </w:r>
      <w:r>
        <w:rPr>
          <w:rFonts w:ascii="Arial" w:hAnsi="Arial" w:cs="Arial"/>
          <w:i/>
          <w:iCs/>
          <w:sz w:val="20"/>
          <w:szCs w:val="20"/>
        </w:rPr>
        <w:t>PCT</w:t>
      </w:r>
      <w:r>
        <w:rPr>
          <w:rFonts w:ascii="Arial" w:hAnsi="Arial" w:cs="Arial"/>
          <w:sz w:val="20"/>
          <w:szCs w:val="20"/>
        </w:rPr>
        <w:t xml:space="preserve"> Procalcitonin; </w:t>
      </w:r>
      <w:r>
        <w:rPr>
          <w:rFonts w:ascii="Arial" w:hAnsi="Arial" w:cs="Arial"/>
          <w:i/>
          <w:iCs/>
          <w:sz w:val="20"/>
          <w:szCs w:val="20"/>
        </w:rPr>
        <w:t>Lym</w:t>
      </w:r>
      <w:r>
        <w:rPr>
          <w:rFonts w:ascii="Arial" w:hAnsi="Arial" w:cs="Arial"/>
          <w:sz w:val="20"/>
          <w:szCs w:val="20"/>
        </w:rPr>
        <w:t xml:space="preserve"> Lymphocyte; </w:t>
      </w:r>
      <w:r>
        <w:rPr>
          <w:rFonts w:ascii="Arial" w:hAnsi="Arial" w:cs="Arial"/>
          <w:i/>
          <w:iCs/>
          <w:sz w:val="20"/>
          <w:szCs w:val="20"/>
        </w:rPr>
        <w:t>N#</w:t>
      </w:r>
      <w:r>
        <w:rPr>
          <w:rFonts w:ascii="Arial" w:hAnsi="Arial" w:cs="Arial"/>
          <w:sz w:val="20"/>
          <w:szCs w:val="20"/>
        </w:rPr>
        <w:t xml:space="preserve"> Neutrophil count. </w:t>
      </w:r>
    </w:p>
    <w:p w14:paraId="2F5C22D7" w14:textId="77777777" w:rsidR="00176E18" w:rsidRDefault="00000000">
      <w:pPr>
        <w:widowControl/>
        <w:jc w:val="left"/>
        <w:rPr>
          <w:rFonts w:ascii="Arial" w:hAnsi="Arial" w:cs="Arial"/>
          <w:sz w:val="16"/>
          <w:szCs w:val="16"/>
        </w:rPr>
      </w:pPr>
      <w:r>
        <w:rPr>
          <w:rFonts w:ascii="Arial" w:hAnsi="Arial" w:cs="Arial"/>
          <w:sz w:val="16"/>
          <w:szCs w:val="16"/>
        </w:rPr>
        <w:br w:type="page"/>
      </w:r>
    </w:p>
    <w:p w14:paraId="7CB16426"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1CCC48A4" wp14:editId="640B6AEE">
            <wp:extent cx="5887085" cy="5765800"/>
            <wp:effectExtent l="0" t="0" r="8890" b="6350"/>
            <wp:docPr id="29" name="图片 29" descr="s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sFigure 13"/>
                    <pic:cNvPicPr>
                      <a:picLocks noChangeAspect="1"/>
                    </pic:cNvPicPr>
                  </pic:nvPicPr>
                  <pic:blipFill>
                    <a:blip r:embed="rId26"/>
                    <a:stretch>
                      <a:fillRect/>
                    </a:stretch>
                  </pic:blipFill>
                  <pic:spPr>
                    <a:xfrm>
                      <a:off x="0" y="0"/>
                      <a:ext cx="5887085" cy="5765800"/>
                    </a:xfrm>
                    <a:prstGeom prst="rect">
                      <a:avLst/>
                    </a:prstGeom>
                  </pic:spPr>
                </pic:pic>
              </a:graphicData>
            </a:graphic>
          </wp:inline>
        </w:drawing>
      </w:r>
    </w:p>
    <w:p w14:paraId="3C5C0209" w14:textId="77777777" w:rsidR="00176E18" w:rsidRDefault="00000000">
      <w:pPr>
        <w:spacing w:line="280" w:lineRule="exact"/>
        <w:outlineLvl w:val="0"/>
        <w:rPr>
          <w:rFonts w:ascii="Arial" w:hAnsi="Arial" w:cs="Arial"/>
          <w:sz w:val="24"/>
          <w:szCs w:val="24"/>
        </w:rPr>
      </w:pPr>
      <w:bookmarkStart w:id="29" w:name="_Toc22902"/>
      <w:r>
        <w:rPr>
          <w:rFonts w:ascii="Arial" w:hAnsi="Arial" w:cs="Arial"/>
          <w:b/>
          <w:bCs/>
          <w:sz w:val="24"/>
          <w:szCs w:val="24"/>
        </w:rPr>
        <w:t xml:space="preserve">Figure </w:t>
      </w:r>
      <w:r>
        <w:rPr>
          <w:rFonts w:ascii="Arial" w:hAnsi="Arial" w:cs="Arial" w:hint="eastAsia"/>
          <w:b/>
          <w:bCs/>
          <w:sz w:val="24"/>
          <w:szCs w:val="24"/>
        </w:rPr>
        <w:t>S</w:t>
      </w:r>
      <w:r>
        <w:rPr>
          <w:rFonts w:ascii="Arial" w:hAnsi="Arial" w:cs="Arial"/>
          <w:b/>
          <w:bCs/>
          <w:sz w:val="24"/>
          <w:szCs w:val="24"/>
        </w:rPr>
        <w:t>1</w:t>
      </w:r>
      <w:r>
        <w:rPr>
          <w:rFonts w:ascii="Arial" w:hAnsi="Arial" w:cs="Arial" w:hint="eastAsia"/>
          <w:b/>
          <w:bCs/>
          <w:sz w:val="24"/>
          <w:szCs w:val="24"/>
        </w:rPr>
        <w:t>8</w:t>
      </w:r>
      <w:r>
        <w:rPr>
          <w:rFonts w:ascii="Arial" w:hAnsi="Arial" w:cs="Arial"/>
          <w:b/>
          <w:bCs/>
          <w:sz w:val="24"/>
          <w:szCs w:val="24"/>
        </w:rPr>
        <w:t xml:space="preserve">. Prognostic performance of biomarkers and scoring systems for sepsis in pulmonary </w:t>
      </w:r>
      <w:r>
        <w:rPr>
          <w:rFonts w:ascii="Arial" w:hAnsi="Arial" w:cs="Arial"/>
          <w:b/>
          <w:bCs/>
          <w:i/>
          <w:iCs/>
          <w:sz w:val="24"/>
          <w:szCs w:val="24"/>
        </w:rPr>
        <w:t>vs</w:t>
      </w:r>
      <w:r>
        <w:rPr>
          <w:rFonts w:ascii="Arial" w:hAnsi="Arial" w:cs="Arial"/>
          <w:b/>
          <w:bCs/>
          <w:sz w:val="24"/>
          <w:szCs w:val="24"/>
        </w:rPr>
        <w:t>. non-pulmonary infections.</w:t>
      </w:r>
      <w:bookmarkEnd w:id="29"/>
      <w:r>
        <w:rPr>
          <w:rFonts w:ascii="Arial" w:hAnsi="Arial" w:cs="Arial"/>
          <w:sz w:val="24"/>
          <w:szCs w:val="24"/>
        </w:rPr>
        <w:t xml:space="preserve"> </w:t>
      </w:r>
    </w:p>
    <w:p w14:paraId="30C6F367" w14:textId="77777777" w:rsidR="00176E18" w:rsidRDefault="00000000">
      <w:pPr>
        <w:spacing w:line="280" w:lineRule="exact"/>
        <w:rPr>
          <w:rFonts w:ascii="Arial" w:hAnsi="Arial" w:cs="Arial"/>
          <w:sz w:val="20"/>
          <w:szCs w:val="20"/>
        </w:rPr>
      </w:pPr>
      <w:r>
        <w:rPr>
          <w:rFonts w:ascii="Arial" w:hAnsi="Arial" w:cs="Arial"/>
          <w:sz w:val="20"/>
          <w:szCs w:val="20"/>
        </w:rPr>
        <w:t xml:space="preserve">(A) SHAP feature importance ranking of mortality prognostic biomarkers in pulmonary sepsis; (B) SHAP feature importance ranking of mortality prognostic biomarkers in non-pulmonary sepsis; (C) Screening tool efficacy for pulmonary sepsis mortality prognosis (AUROC: LIP 0.695, NEWS 0.704, </w:t>
      </w:r>
      <w:proofErr w:type="spellStart"/>
      <w:r>
        <w:rPr>
          <w:rFonts w:ascii="Arial" w:hAnsi="Arial" w:cs="Arial"/>
          <w:sz w:val="20"/>
          <w:szCs w:val="20"/>
        </w:rPr>
        <w:t>qSOFA</w:t>
      </w:r>
      <w:proofErr w:type="spellEnd"/>
      <w:r>
        <w:rPr>
          <w:rFonts w:ascii="Arial" w:hAnsi="Arial" w:cs="Arial"/>
          <w:sz w:val="20"/>
          <w:szCs w:val="20"/>
        </w:rPr>
        <w:t xml:space="preserve"> 0.674, SIRS 0.549, SOFA 0.741, APACHE-II 0.749); (D) Screening tool efficacy for non-pulmonary sepsis mortality prognosis (AUROC: LIP 0.715, NEWS 0.740, </w:t>
      </w:r>
      <w:proofErr w:type="spellStart"/>
      <w:r>
        <w:rPr>
          <w:rFonts w:ascii="Arial" w:hAnsi="Arial" w:cs="Arial"/>
          <w:sz w:val="20"/>
          <w:szCs w:val="20"/>
        </w:rPr>
        <w:t>qSOFA</w:t>
      </w:r>
      <w:proofErr w:type="spellEnd"/>
      <w:r>
        <w:rPr>
          <w:rFonts w:ascii="Arial" w:hAnsi="Arial" w:cs="Arial"/>
          <w:sz w:val="20"/>
          <w:szCs w:val="20"/>
        </w:rPr>
        <w:t xml:space="preserve"> 0.727, SIRS 0.617, SOFA 0.790, APACHE-II 0.778). BUN Blood Urea Nitrogen; INR International Normalized Ratio; PA Prealbumin; OI Oxygenation Index; IL-6 Interleukin-6; Crea Creatinine; </w:t>
      </w:r>
      <w:proofErr w:type="spellStart"/>
      <w:r>
        <w:rPr>
          <w:rFonts w:ascii="Arial" w:hAnsi="Arial" w:cs="Arial"/>
          <w:sz w:val="20"/>
          <w:szCs w:val="20"/>
        </w:rPr>
        <w:t>TBil</w:t>
      </w:r>
      <w:proofErr w:type="spellEnd"/>
      <w:r>
        <w:rPr>
          <w:rFonts w:ascii="Arial" w:hAnsi="Arial" w:cs="Arial"/>
          <w:sz w:val="20"/>
          <w:szCs w:val="20"/>
        </w:rPr>
        <w:t xml:space="preserve"> Total Bilirubin; Lac Lactate; PLT Platelet; ALT Alanine Transaminase; Alb Albumin;</w:t>
      </w:r>
      <w:r>
        <w:rPr>
          <w:rFonts w:ascii="Arial" w:hAnsi="Arial" w:cs="Arial"/>
          <w:i/>
          <w:iCs/>
          <w:sz w:val="20"/>
          <w:szCs w:val="20"/>
        </w:rPr>
        <w:t xml:space="preserve"> PT</w:t>
      </w:r>
      <w:r>
        <w:rPr>
          <w:rFonts w:ascii="Arial" w:hAnsi="Arial" w:cs="Arial"/>
          <w:sz w:val="20"/>
          <w:szCs w:val="20"/>
        </w:rPr>
        <w:t xml:space="preserve"> Prothrombin time;</w:t>
      </w:r>
      <w:r>
        <w:rPr>
          <w:rFonts w:ascii="Arial" w:hAnsi="Arial" w:cs="Arial"/>
          <w:i/>
          <w:iCs/>
          <w:sz w:val="20"/>
          <w:szCs w:val="20"/>
        </w:rPr>
        <w:t xml:space="preserve"> CRP</w:t>
      </w:r>
      <w:r>
        <w:rPr>
          <w:rFonts w:ascii="Arial" w:hAnsi="Arial" w:cs="Arial"/>
          <w:sz w:val="20"/>
          <w:szCs w:val="20"/>
        </w:rPr>
        <w:t xml:space="preserve"> C-Reactive Protein;</w:t>
      </w:r>
      <w:r>
        <w:rPr>
          <w:rFonts w:ascii="Arial" w:hAnsi="Arial" w:cs="Arial"/>
          <w:i/>
          <w:iCs/>
          <w:sz w:val="20"/>
          <w:szCs w:val="20"/>
        </w:rPr>
        <w:t xml:space="preserve"> N%</w:t>
      </w:r>
      <w:r>
        <w:rPr>
          <w:rFonts w:ascii="Arial" w:hAnsi="Arial" w:cs="Arial"/>
          <w:sz w:val="20"/>
          <w:szCs w:val="20"/>
        </w:rPr>
        <w:t xml:space="preserve"> Neutrophil Ratio;</w:t>
      </w:r>
      <w:r>
        <w:rPr>
          <w:rFonts w:ascii="Arial" w:hAnsi="Arial" w:cs="Arial"/>
          <w:i/>
          <w:iCs/>
          <w:sz w:val="20"/>
          <w:szCs w:val="20"/>
        </w:rPr>
        <w:t xml:space="preserve"> APTT</w:t>
      </w:r>
      <w:r>
        <w:rPr>
          <w:rFonts w:ascii="Arial" w:hAnsi="Arial" w:cs="Arial"/>
          <w:sz w:val="20"/>
          <w:szCs w:val="20"/>
        </w:rPr>
        <w:t xml:space="preserve"> Activated partial thromboplastin time; </w:t>
      </w:r>
      <w:r>
        <w:rPr>
          <w:rFonts w:ascii="Arial" w:hAnsi="Arial" w:cs="Arial"/>
          <w:i/>
          <w:iCs/>
          <w:sz w:val="20"/>
          <w:szCs w:val="20"/>
        </w:rPr>
        <w:t>PCT</w:t>
      </w:r>
      <w:r>
        <w:rPr>
          <w:rFonts w:ascii="Arial" w:hAnsi="Arial" w:cs="Arial"/>
          <w:sz w:val="20"/>
          <w:szCs w:val="20"/>
        </w:rPr>
        <w:t xml:space="preserve"> Procalcitonin;</w:t>
      </w:r>
      <w:r>
        <w:rPr>
          <w:rFonts w:ascii="Arial" w:hAnsi="Arial" w:cs="Arial"/>
          <w:i/>
          <w:iCs/>
          <w:sz w:val="20"/>
          <w:szCs w:val="20"/>
        </w:rPr>
        <w:t xml:space="preserve"> AST</w:t>
      </w:r>
      <w:r>
        <w:rPr>
          <w:rFonts w:ascii="Arial" w:hAnsi="Arial" w:cs="Arial"/>
          <w:sz w:val="20"/>
          <w:szCs w:val="20"/>
        </w:rPr>
        <w:t xml:space="preserve"> Aspartate Transaminase;</w:t>
      </w:r>
      <w:r>
        <w:rPr>
          <w:rFonts w:ascii="Arial" w:hAnsi="Arial" w:cs="Arial"/>
          <w:i/>
          <w:iCs/>
          <w:sz w:val="20"/>
          <w:szCs w:val="20"/>
        </w:rPr>
        <w:t xml:space="preserve"> WBC</w:t>
      </w:r>
      <w:r>
        <w:rPr>
          <w:rFonts w:ascii="Arial" w:hAnsi="Arial" w:cs="Arial"/>
          <w:sz w:val="20"/>
          <w:szCs w:val="20"/>
        </w:rPr>
        <w:t xml:space="preserve"> White Blood Cell;</w:t>
      </w:r>
      <w:r>
        <w:rPr>
          <w:rFonts w:ascii="Arial" w:hAnsi="Arial" w:cs="Arial"/>
          <w:i/>
          <w:iCs/>
          <w:sz w:val="20"/>
          <w:szCs w:val="20"/>
        </w:rPr>
        <w:t xml:space="preserve"> N#</w:t>
      </w:r>
      <w:r>
        <w:rPr>
          <w:rFonts w:ascii="Arial" w:hAnsi="Arial" w:cs="Arial"/>
          <w:sz w:val="20"/>
          <w:szCs w:val="20"/>
        </w:rPr>
        <w:t xml:space="preserve"> Neutrophil count; </w:t>
      </w:r>
      <w:r>
        <w:rPr>
          <w:rFonts w:ascii="Arial" w:hAnsi="Arial" w:cs="Arial"/>
          <w:i/>
          <w:iCs/>
          <w:sz w:val="20"/>
          <w:szCs w:val="20"/>
        </w:rPr>
        <w:t>Lym</w:t>
      </w:r>
      <w:r>
        <w:rPr>
          <w:rFonts w:ascii="Arial" w:hAnsi="Arial" w:cs="Arial"/>
          <w:sz w:val="20"/>
          <w:szCs w:val="20"/>
        </w:rPr>
        <w:t xml:space="preserve"> Lymphocyte;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hAnsi="Arial" w:cs="Arial"/>
          <w:i/>
          <w:iCs/>
          <w:sz w:val="20"/>
          <w:szCs w:val="20"/>
        </w:rPr>
        <w:t>NEWS</w:t>
      </w:r>
      <w:r>
        <w:rPr>
          <w:rFonts w:ascii="Arial" w:hAnsi="Arial" w:cs="Arial"/>
          <w:sz w:val="20"/>
          <w:szCs w:val="20"/>
        </w:rPr>
        <w:t xml:space="preserve"> National Early Warning Score; </w:t>
      </w:r>
      <w:proofErr w:type="spellStart"/>
      <w:r>
        <w:rPr>
          <w:rFonts w:ascii="Arial" w:hAnsi="Arial" w:cs="Arial"/>
          <w:i/>
          <w:iCs/>
          <w:sz w:val="20"/>
          <w:szCs w:val="20"/>
        </w:rPr>
        <w:t>qSOFA</w:t>
      </w:r>
      <w:proofErr w:type="spellEnd"/>
      <w:r>
        <w:rPr>
          <w:rFonts w:ascii="Arial" w:hAnsi="Arial" w:cs="Arial"/>
          <w:sz w:val="20"/>
          <w:szCs w:val="20"/>
        </w:rPr>
        <w:t xml:space="preserve"> Quick Sequential Organ Failure Assessment; </w:t>
      </w:r>
      <w:r>
        <w:rPr>
          <w:rFonts w:ascii="Arial" w:hAnsi="Arial" w:cs="Arial"/>
          <w:i/>
          <w:iCs/>
          <w:sz w:val="20"/>
          <w:szCs w:val="20"/>
        </w:rPr>
        <w:t>SIRS</w:t>
      </w:r>
      <w:r>
        <w:rPr>
          <w:rFonts w:ascii="Arial" w:hAnsi="Arial" w:cs="Arial"/>
          <w:sz w:val="20"/>
          <w:szCs w:val="20"/>
        </w:rPr>
        <w:t xml:space="preserve"> Systemic Inflammatory Response Syndrome; </w:t>
      </w:r>
      <w:r>
        <w:rPr>
          <w:rFonts w:ascii="Arial" w:eastAsia="Times New Roman Uni" w:hAnsi="Arial" w:cs="Arial"/>
          <w:i/>
          <w:iCs/>
          <w:sz w:val="20"/>
          <w:szCs w:val="20"/>
        </w:rPr>
        <w:t>SOFA*</w:t>
      </w:r>
      <w:r>
        <w:rPr>
          <w:rFonts w:ascii="Arial" w:eastAsia="Times New Roman Uni" w:hAnsi="Arial" w:cs="Arial"/>
          <w:sz w:val="20"/>
          <w:szCs w:val="20"/>
        </w:rPr>
        <w:t>, indicates a SOFA score increase caused by infection</w:t>
      </w:r>
      <w:r>
        <w:rPr>
          <w:rFonts w:ascii="Arial" w:hAnsi="Arial" w:cs="Arial"/>
          <w:sz w:val="20"/>
          <w:szCs w:val="20"/>
        </w:rPr>
        <w:t xml:space="preserve">; </w:t>
      </w:r>
      <w:r>
        <w:rPr>
          <w:rFonts w:ascii="Arial" w:hAnsi="Arial" w:cs="Arial"/>
          <w:i/>
          <w:iCs/>
          <w:sz w:val="20"/>
          <w:szCs w:val="20"/>
        </w:rPr>
        <w:t>APACHE-II</w:t>
      </w:r>
      <w:r>
        <w:rPr>
          <w:rFonts w:ascii="Arial" w:hAnsi="Arial" w:cs="Arial"/>
          <w:sz w:val="20"/>
          <w:szCs w:val="20"/>
        </w:rPr>
        <w:t xml:space="preserve"> Acute Physiology and Chronic Health Evaluation II.  </w:t>
      </w:r>
    </w:p>
    <w:p w14:paraId="5B7491FB"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251224DF" wp14:editId="441D54E1">
            <wp:extent cx="6187440" cy="5939790"/>
            <wp:effectExtent l="0" t="0" r="3810" b="3810"/>
            <wp:docPr id="3" name="图片 3" descr="LIP各项及ICU、非ICU亚组分析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IP各项及ICU、非ICU亚组分析_04"/>
                    <pic:cNvPicPr>
                      <a:picLocks noChangeAspect="1"/>
                    </pic:cNvPicPr>
                  </pic:nvPicPr>
                  <pic:blipFill>
                    <a:blip r:embed="rId27"/>
                    <a:stretch>
                      <a:fillRect/>
                    </a:stretch>
                  </pic:blipFill>
                  <pic:spPr>
                    <a:xfrm>
                      <a:off x="0" y="0"/>
                      <a:ext cx="6187440" cy="5939790"/>
                    </a:xfrm>
                    <a:prstGeom prst="rect">
                      <a:avLst/>
                    </a:prstGeom>
                  </pic:spPr>
                </pic:pic>
              </a:graphicData>
            </a:graphic>
          </wp:inline>
        </w:drawing>
      </w:r>
    </w:p>
    <w:p w14:paraId="221122AD" w14:textId="77777777" w:rsidR="00176E18" w:rsidRDefault="00000000">
      <w:pPr>
        <w:outlineLvl w:val="0"/>
        <w:rPr>
          <w:rStyle w:val="20"/>
          <w:rFonts w:ascii="Arial" w:hAnsi="Arial" w:cs="Arial"/>
          <w:color w:val="auto"/>
          <w:sz w:val="24"/>
          <w:szCs w:val="24"/>
        </w:rPr>
      </w:pPr>
      <w:bookmarkStart w:id="30" w:name="_Toc5751"/>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w:t>
      </w:r>
      <w:r>
        <w:rPr>
          <w:rStyle w:val="20"/>
          <w:rFonts w:ascii="Arial" w:hAnsi="Arial" w:cs="Arial"/>
          <w:b/>
          <w:bCs/>
          <w:color w:val="auto"/>
          <w:sz w:val="24"/>
          <w:szCs w:val="24"/>
        </w:rPr>
        <w:t>1</w:t>
      </w:r>
      <w:r>
        <w:rPr>
          <w:rStyle w:val="20"/>
          <w:rFonts w:ascii="Arial" w:hAnsi="Arial" w:cs="Arial" w:hint="eastAsia"/>
          <w:b/>
          <w:bCs/>
          <w:color w:val="auto"/>
          <w:sz w:val="24"/>
          <w:szCs w:val="24"/>
        </w:rPr>
        <w:t>9</w:t>
      </w:r>
      <w:r>
        <w:rPr>
          <w:rStyle w:val="20"/>
          <w:rFonts w:ascii="Arial" w:hAnsi="Arial" w:cs="Arial"/>
          <w:b/>
          <w:bCs/>
          <w:color w:val="auto"/>
          <w:sz w:val="24"/>
          <w:szCs w:val="24"/>
        </w:rPr>
        <w:t>. Sepsis mortality and ICU length of stay at different LIP scores</w:t>
      </w:r>
      <w:bookmarkEnd w:id="30"/>
    </w:p>
    <w:p w14:paraId="066C0E2F" w14:textId="77777777" w:rsidR="00176E18" w:rsidRDefault="00000000">
      <w:pPr>
        <w:rPr>
          <w:rFonts w:ascii="Arial" w:hAnsi="Arial" w:cs="Arial"/>
          <w:b/>
          <w:bCs/>
          <w:sz w:val="20"/>
          <w:szCs w:val="20"/>
        </w:rPr>
      </w:pPr>
      <w:r>
        <w:rPr>
          <w:rFonts w:ascii="Arial" w:hAnsi="Arial" w:cs="Arial" w:hint="eastAsia"/>
          <w:sz w:val="20"/>
          <w:szCs w:val="20"/>
        </w:rPr>
        <w:t xml:space="preserve">(A) </w:t>
      </w:r>
      <w:r>
        <w:rPr>
          <w:rFonts w:ascii="Arial" w:hAnsi="Arial" w:cs="Arial"/>
          <w:sz w:val="20"/>
          <w:szCs w:val="20"/>
        </w:rPr>
        <w:t xml:space="preserve">When the LIP scores are 0, 1, 2, 3, 4, 5, and 6, the corresponding mortality rates of sepsis patients are 2.09%, 1.43%, 7.37%, 13.83%, 16.89%, 17.91%, and 17.77%, respectively. </w:t>
      </w:r>
      <w:r>
        <w:rPr>
          <w:rFonts w:ascii="Arial" w:hAnsi="Arial" w:cs="Arial" w:hint="eastAsia"/>
          <w:sz w:val="20"/>
          <w:szCs w:val="20"/>
        </w:rPr>
        <w:t xml:space="preserve">(B, C) The relationship between ICU length of stay and different LIP scores in the deceased and survived subgroups was analyzed by restricted cubic spline (RCS). The results showed that in the deceased group, after the LIP score was 3-4, the higher the score, the shorter the ICU stay (associated with an increased mortality rate); while in the survived group, the RCS curve indicated that the ICU length of stay gradually increased with the higher LIP score. Therefore, the deceased patients did indeed show a competing event with ICU length of stay. </w:t>
      </w:r>
      <w:r>
        <w:rPr>
          <w:rFonts w:ascii="Arial" w:hAnsi="Arial" w:cs="Arial"/>
          <w:i/>
          <w:iCs/>
          <w:sz w:val="20"/>
          <w:szCs w:val="20"/>
        </w:rPr>
        <w:t>LIP</w:t>
      </w:r>
      <w:r>
        <w:rPr>
          <w:rFonts w:ascii="Arial" w:hAnsi="Arial" w:cs="Arial"/>
          <w:sz w:val="20"/>
          <w:szCs w:val="20"/>
        </w:rPr>
        <w:t xml:space="preserve">, Lymphocyte, INR, and Procalcitonin-based Sepsis Screening Score. </w:t>
      </w:r>
    </w:p>
    <w:p w14:paraId="7A68D18D" w14:textId="77777777" w:rsidR="00176E18" w:rsidRDefault="00176E18">
      <w:pPr>
        <w:spacing w:line="360" w:lineRule="exact"/>
        <w:rPr>
          <w:rFonts w:ascii="Arial" w:eastAsia="Times New Roman Uni" w:hAnsi="Arial" w:cs="Arial"/>
          <w:b/>
          <w:bCs/>
          <w:sz w:val="16"/>
          <w:szCs w:val="16"/>
        </w:rPr>
      </w:pPr>
    </w:p>
    <w:p w14:paraId="223BFC12" w14:textId="77777777" w:rsidR="00176E18" w:rsidRDefault="00000000">
      <w:pPr>
        <w:jc w:val="center"/>
        <w:rPr>
          <w:rFonts w:ascii="Arial" w:hAnsi="Arial" w:cs="Arial"/>
        </w:rPr>
      </w:pPr>
      <w:r>
        <w:rPr>
          <w:rFonts w:ascii="Arial" w:hAnsi="Arial" w:cs="Arial" w:hint="eastAsia"/>
          <w:noProof/>
        </w:rPr>
        <w:lastRenderedPageBreak/>
        <w:drawing>
          <wp:inline distT="0" distB="0" distL="114300" distR="114300" wp14:anchorId="344E1BB9" wp14:editId="338A55D5">
            <wp:extent cx="5955665" cy="2858770"/>
            <wp:effectExtent l="0" t="0" r="6985" b="8255"/>
            <wp:docPr id="31" name="图片 31" descr="文章图-修改后0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文章图-修改后0_11-"/>
                    <pic:cNvPicPr>
                      <a:picLocks noChangeAspect="1"/>
                    </pic:cNvPicPr>
                  </pic:nvPicPr>
                  <pic:blipFill>
                    <a:blip r:embed="rId28"/>
                    <a:stretch>
                      <a:fillRect/>
                    </a:stretch>
                  </pic:blipFill>
                  <pic:spPr>
                    <a:xfrm>
                      <a:off x="0" y="0"/>
                      <a:ext cx="5955665" cy="2858770"/>
                    </a:xfrm>
                    <a:prstGeom prst="rect">
                      <a:avLst/>
                    </a:prstGeom>
                  </pic:spPr>
                </pic:pic>
              </a:graphicData>
            </a:graphic>
          </wp:inline>
        </w:drawing>
      </w:r>
    </w:p>
    <w:p w14:paraId="7241FD1A" w14:textId="77777777" w:rsidR="00176E18" w:rsidRDefault="00000000">
      <w:pPr>
        <w:spacing w:line="280" w:lineRule="exact"/>
        <w:outlineLvl w:val="0"/>
        <w:rPr>
          <w:rStyle w:val="20"/>
          <w:rFonts w:ascii="Arial" w:hAnsi="Arial" w:cs="Arial"/>
          <w:color w:val="auto"/>
          <w:sz w:val="24"/>
          <w:szCs w:val="24"/>
        </w:rPr>
      </w:pPr>
      <w:bookmarkStart w:id="31" w:name="_Toc16518"/>
      <w:r>
        <w:rPr>
          <w:rStyle w:val="20"/>
          <w:rFonts w:ascii="Arial" w:hAnsi="Arial" w:cs="Arial"/>
          <w:b/>
          <w:bCs/>
          <w:color w:val="auto"/>
          <w:sz w:val="24"/>
          <w:szCs w:val="24"/>
        </w:rPr>
        <w:t xml:space="preserve">Figure </w:t>
      </w:r>
      <w:r>
        <w:rPr>
          <w:rStyle w:val="20"/>
          <w:rFonts w:ascii="Arial" w:hAnsi="Arial" w:cs="Arial" w:hint="eastAsia"/>
          <w:b/>
          <w:bCs/>
          <w:color w:val="auto"/>
          <w:sz w:val="24"/>
          <w:szCs w:val="24"/>
        </w:rPr>
        <w:t>S20</w:t>
      </w:r>
      <w:r>
        <w:rPr>
          <w:rStyle w:val="20"/>
          <w:rFonts w:ascii="Arial" w:hAnsi="Arial" w:cs="Arial"/>
          <w:b/>
          <w:bCs/>
          <w:color w:val="auto"/>
          <w:sz w:val="24"/>
          <w:szCs w:val="24"/>
        </w:rPr>
        <w:t>. Predictive performance of various scoring systems for microbiological positivity in pulmonary and non-pulmonary infections</w:t>
      </w:r>
      <w:r>
        <w:rPr>
          <w:rStyle w:val="20"/>
          <w:rFonts w:ascii="Arial" w:hAnsi="Arial" w:cs="Arial"/>
          <w:color w:val="auto"/>
          <w:sz w:val="24"/>
          <w:szCs w:val="24"/>
        </w:rPr>
        <w:t>.</w:t>
      </w:r>
      <w:bookmarkEnd w:id="31"/>
      <w:r>
        <w:rPr>
          <w:rStyle w:val="20"/>
          <w:rFonts w:ascii="Arial" w:hAnsi="Arial" w:cs="Arial"/>
          <w:color w:val="auto"/>
          <w:sz w:val="24"/>
          <w:szCs w:val="24"/>
        </w:rPr>
        <w:t xml:space="preserve"> </w:t>
      </w:r>
    </w:p>
    <w:p w14:paraId="6897C1FC" w14:textId="77777777" w:rsidR="00176E18" w:rsidRDefault="00000000">
      <w:pPr>
        <w:spacing w:line="280" w:lineRule="exact"/>
        <w:rPr>
          <w:rFonts w:ascii="Arial" w:eastAsia="Times New Roman Uni" w:hAnsi="Arial" w:cs="Arial"/>
          <w:sz w:val="22"/>
        </w:rPr>
      </w:pPr>
      <w:r>
        <w:rPr>
          <w:rFonts w:ascii="Arial" w:eastAsia="Times New Roman Uni" w:hAnsi="Arial" w:cs="Arial"/>
          <w:sz w:val="20"/>
          <w:szCs w:val="20"/>
        </w:rPr>
        <w:t>(A) The efficacy of different screening tools for predicting positive microbiology in pulmonary infection (</w:t>
      </w:r>
      <w:r>
        <w:rPr>
          <w:rFonts w:ascii="Arial" w:hAnsi="Arial" w:cs="Arial"/>
          <w:sz w:val="20"/>
          <w:szCs w:val="20"/>
        </w:rPr>
        <w:t>the AUROC of the LIP score was 0.606, and the detail can be found in Table E2</w:t>
      </w:r>
      <w:r>
        <w:rPr>
          <w:rFonts w:ascii="Arial" w:eastAsia="Times New Roman Uni" w:hAnsi="Arial" w:cs="Arial"/>
          <w:sz w:val="20"/>
          <w:szCs w:val="20"/>
        </w:rPr>
        <w:t xml:space="preserve">); (B) The efficacy of different screening tools for predicting positive microbiology in </w:t>
      </w:r>
      <w:proofErr w:type="gramStart"/>
      <w:r>
        <w:rPr>
          <w:rFonts w:ascii="Arial" w:eastAsia="Times New Roman Uni" w:hAnsi="Arial" w:cs="Arial"/>
          <w:sz w:val="20"/>
          <w:szCs w:val="20"/>
        </w:rPr>
        <w:t>Non-pulmonary</w:t>
      </w:r>
      <w:proofErr w:type="gramEnd"/>
      <w:r>
        <w:rPr>
          <w:rFonts w:ascii="Arial" w:eastAsia="Times New Roman Uni" w:hAnsi="Arial" w:cs="Arial"/>
          <w:sz w:val="20"/>
          <w:szCs w:val="20"/>
        </w:rPr>
        <w:t xml:space="preserve"> infection (</w:t>
      </w:r>
      <w:r>
        <w:rPr>
          <w:rFonts w:ascii="Arial" w:hAnsi="Arial" w:cs="Arial"/>
          <w:sz w:val="20"/>
          <w:szCs w:val="20"/>
        </w:rPr>
        <w:t>the AUROC of the LIP score was 0.659, and the detail can be found in Table E2</w:t>
      </w:r>
      <w:r>
        <w:rPr>
          <w:rFonts w:ascii="Arial" w:eastAsia="Times New Roman Uni" w:hAnsi="Arial" w:cs="Arial"/>
          <w:sz w:val="20"/>
          <w:szCs w:val="20"/>
        </w:rPr>
        <w:t>).</w:t>
      </w:r>
      <w:r>
        <w:rPr>
          <w:rFonts w:ascii="Arial" w:hAnsi="Arial" w:cs="Arial"/>
          <w:sz w:val="20"/>
          <w:szCs w:val="20"/>
        </w:rPr>
        <w:t xml:space="preserve"> </w:t>
      </w:r>
      <w:r>
        <w:rPr>
          <w:rFonts w:ascii="Arial" w:hAnsi="Arial" w:cs="Arial"/>
          <w:i/>
          <w:iCs/>
          <w:sz w:val="20"/>
          <w:szCs w:val="20"/>
        </w:rPr>
        <w:t>LIP</w:t>
      </w:r>
      <w:r>
        <w:rPr>
          <w:rFonts w:ascii="Arial" w:hAnsi="Arial" w:cs="Arial"/>
          <w:sz w:val="20"/>
          <w:szCs w:val="20"/>
        </w:rPr>
        <w:t xml:space="preserve">, Lymphocyte, INR, and Procalcitonin-based Sepsis Screening Score; </w:t>
      </w:r>
      <w:r>
        <w:rPr>
          <w:rFonts w:ascii="Arial" w:eastAsia="Times New Roman Uni" w:hAnsi="Arial" w:cs="Arial"/>
          <w:i/>
          <w:iCs/>
          <w:sz w:val="20"/>
          <w:szCs w:val="20"/>
        </w:rPr>
        <w:t>NEWS</w:t>
      </w:r>
      <w:r>
        <w:rPr>
          <w:rFonts w:ascii="Arial" w:eastAsia="Times New Roman Uni" w:hAnsi="Arial" w:cs="Arial"/>
          <w:sz w:val="20"/>
          <w:szCs w:val="20"/>
        </w:rPr>
        <w:t xml:space="preserve"> National Early Warning Score; </w:t>
      </w:r>
      <w:proofErr w:type="spellStart"/>
      <w:r>
        <w:rPr>
          <w:rFonts w:ascii="Arial" w:eastAsia="Times New Roman Uni" w:hAnsi="Arial" w:cs="Arial"/>
          <w:i/>
          <w:iCs/>
          <w:sz w:val="20"/>
          <w:szCs w:val="20"/>
        </w:rPr>
        <w:t>qSOFA</w:t>
      </w:r>
      <w:proofErr w:type="spellEnd"/>
      <w:r>
        <w:rPr>
          <w:rFonts w:ascii="Arial" w:eastAsia="Times New Roman Uni" w:hAnsi="Arial" w:cs="Arial"/>
          <w:sz w:val="20"/>
          <w:szCs w:val="20"/>
        </w:rPr>
        <w:t xml:space="preserve"> Quick Sequential Organ Failure Assessment; </w:t>
      </w:r>
      <w:r>
        <w:rPr>
          <w:rFonts w:ascii="Arial" w:eastAsia="Times New Roman Uni" w:hAnsi="Arial" w:cs="Arial"/>
          <w:i/>
          <w:iCs/>
          <w:sz w:val="20"/>
          <w:szCs w:val="20"/>
        </w:rPr>
        <w:t>SIRS</w:t>
      </w:r>
      <w:r>
        <w:rPr>
          <w:rFonts w:ascii="Arial" w:eastAsia="Times New Roman Uni" w:hAnsi="Arial" w:cs="Arial"/>
          <w:sz w:val="20"/>
          <w:szCs w:val="20"/>
        </w:rPr>
        <w:t xml:space="preserve"> Systemic Inflammatory Response Syndrome; </w:t>
      </w:r>
      <w:r>
        <w:rPr>
          <w:rFonts w:ascii="Arial" w:eastAsia="Times New Roman Uni" w:hAnsi="Arial" w:cs="Arial"/>
          <w:i/>
          <w:iCs/>
          <w:sz w:val="20"/>
          <w:szCs w:val="20"/>
        </w:rPr>
        <w:t>SOFA*</w:t>
      </w:r>
      <w:r>
        <w:rPr>
          <w:rFonts w:ascii="Arial" w:eastAsia="Times New Roman Uni" w:hAnsi="Arial" w:cs="Arial"/>
          <w:sz w:val="20"/>
          <w:szCs w:val="20"/>
        </w:rPr>
        <w:t xml:space="preserve">, indicates a SOFA score increase caused by infection; </w:t>
      </w:r>
      <w:r>
        <w:rPr>
          <w:rFonts w:ascii="Arial" w:eastAsia="Times New Roman Uni" w:hAnsi="Arial" w:cs="Arial"/>
          <w:i/>
          <w:iCs/>
          <w:sz w:val="20"/>
          <w:szCs w:val="20"/>
        </w:rPr>
        <w:t>APACHE-II</w:t>
      </w:r>
      <w:r>
        <w:rPr>
          <w:rFonts w:ascii="Arial" w:eastAsia="Times New Roman Uni" w:hAnsi="Arial" w:cs="Arial"/>
          <w:sz w:val="20"/>
          <w:szCs w:val="20"/>
        </w:rPr>
        <w:t xml:space="preserve"> Acute Physiology and Chronic Health Evaluation II. </w:t>
      </w:r>
      <w:r>
        <w:rPr>
          <w:rFonts w:ascii="Arial" w:eastAsia="Times New Roman Uni" w:hAnsi="Arial" w:cs="Arial" w:hint="eastAsia"/>
          <w:sz w:val="20"/>
          <w:szCs w:val="20"/>
        </w:rPr>
        <w:t xml:space="preserve"> </w:t>
      </w:r>
    </w:p>
    <w:p w14:paraId="20F9BDFC" w14:textId="77777777" w:rsidR="00176E18" w:rsidRDefault="00176E18">
      <w:pPr>
        <w:spacing w:line="288" w:lineRule="auto"/>
        <w:rPr>
          <w:rFonts w:ascii="Arial" w:eastAsia="等线" w:hAnsi="Arial" w:cs="Arial"/>
          <w:lang w:bidi="ar"/>
        </w:rPr>
      </w:pPr>
    </w:p>
    <w:p w14:paraId="27FA336E" w14:textId="77777777" w:rsidR="00176E18" w:rsidRDefault="00000000">
      <w:pPr>
        <w:pageBreakBefore/>
        <w:jc w:val="center"/>
        <w:rPr>
          <w:rFonts w:hint="eastAsia"/>
        </w:rPr>
      </w:pPr>
      <w:r>
        <w:rPr>
          <w:rFonts w:hint="eastAsia"/>
          <w:noProof/>
        </w:rPr>
        <w:lastRenderedPageBreak/>
        <w:drawing>
          <wp:inline distT="0" distB="0" distL="114300" distR="114300" wp14:anchorId="5D0BAD1C" wp14:editId="23FCF81F">
            <wp:extent cx="5600700" cy="2620010"/>
            <wp:effectExtent l="0" t="0" r="0" b="8890"/>
            <wp:docPr id="12" name="图片 12" descr="文章图-修改后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文章图-修改后_13"/>
                    <pic:cNvPicPr>
                      <a:picLocks noChangeAspect="1"/>
                    </pic:cNvPicPr>
                  </pic:nvPicPr>
                  <pic:blipFill>
                    <a:blip r:embed="rId29"/>
                    <a:stretch>
                      <a:fillRect/>
                    </a:stretch>
                  </pic:blipFill>
                  <pic:spPr>
                    <a:xfrm>
                      <a:off x="0" y="0"/>
                      <a:ext cx="5600700" cy="2620010"/>
                    </a:xfrm>
                    <a:prstGeom prst="rect">
                      <a:avLst/>
                    </a:prstGeom>
                  </pic:spPr>
                </pic:pic>
              </a:graphicData>
            </a:graphic>
          </wp:inline>
        </w:drawing>
      </w:r>
    </w:p>
    <w:p w14:paraId="4493D65B" w14:textId="77777777" w:rsidR="00176E18" w:rsidRDefault="00000000">
      <w:pPr>
        <w:spacing w:line="280" w:lineRule="exact"/>
        <w:outlineLvl w:val="0"/>
        <w:rPr>
          <w:rStyle w:val="20"/>
          <w:rFonts w:ascii="Arial" w:hAnsi="Arial" w:cs="Arial"/>
          <w:b/>
          <w:bCs/>
          <w:color w:val="auto"/>
          <w:sz w:val="24"/>
          <w:szCs w:val="24"/>
        </w:rPr>
      </w:pPr>
      <w:bookmarkStart w:id="32" w:name="_Toc5009"/>
      <w:r>
        <w:rPr>
          <w:rStyle w:val="20"/>
          <w:rFonts w:ascii="Arial" w:hAnsi="Arial" w:cs="Arial" w:hint="eastAsia"/>
          <w:b/>
          <w:bCs/>
          <w:color w:val="auto"/>
          <w:sz w:val="24"/>
          <w:szCs w:val="24"/>
        </w:rPr>
        <w:t>Figure S21. Performance of PCT for sepsis screening and comparison with the LIP score.</w:t>
      </w:r>
      <w:bookmarkEnd w:id="32"/>
    </w:p>
    <w:p w14:paraId="76934143" w14:textId="77777777" w:rsidR="00176E18" w:rsidRDefault="00000000">
      <w:pPr>
        <w:rPr>
          <w:rFonts w:hint="eastAsia"/>
        </w:rPr>
      </w:pPr>
      <w:r>
        <w:rPr>
          <w:rFonts w:hint="eastAsia"/>
        </w:rPr>
        <w:t>(A) ROC analysis of PCT alone for sepsis screening, with an AUC of 0.902 (95% CI: 0.884–</w:t>
      </w:r>
      <w:proofErr w:type="gramStart"/>
      <w:r>
        <w:rPr>
          <w:rFonts w:hint="eastAsia"/>
        </w:rPr>
        <w:t>0.918).</w:t>
      </w:r>
      <w:proofErr w:type="gramEnd"/>
      <w:r>
        <w:rPr>
          <w:rFonts w:hint="eastAsia"/>
        </w:rPr>
        <w:t xml:space="preserve"> At a cutoff of 0.5 ng/mL, sensitivity </w:t>
      </w:r>
      <w:proofErr w:type="gramStart"/>
      <w:r>
        <w:rPr>
          <w:rFonts w:hint="eastAsia"/>
        </w:rPr>
        <w:t>(95% CI)</w:t>
      </w:r>
      <w:proofErr w:type="gramEnd"/>
      <w:r>
        <w:rPr>
          <w:rFonts w:hint="eastAsia"/>
        </w:rPr>
        <w:t xml:space="preserve">, specificity </w:t>
      </w:r>
      <w:proofErr w:type="gramStart"/>
      <w:r>
        <w:rPr>
          <w:rFonts w:hint="eastAsia"/>
        </w:rPr>
        <w:t>(95% CI)</w:t>
      </w:r>
      <w:proofErr w:type="gramEnd"/>
      <w:r>
        <w:rPr>
          <w:rFonts w:hint="eastAsia"/>
        </w:rPr>
        <w:t xml:space="preserve">, PPV, NPV, +LR </w:t>
      </w:r>
      <w:proofErr w:type="gramStart"/>
      <w:r>
        <w:rPr>
          <w:rFonts w:hint="eastAsia"/>
        </w:rPr>
        <w:t>(95% CI)</w:t>
      </w:r>
      <w:proofErr w:type="gramEnd"/>
      <w:r>
        <w:rPr>
          <w:rFonts w:hint="eastAsia"/>
        </w:rPr>
        <w:t xml:space="preserve">, and –LR </w:t>
      </w:r>
      <w:proofErr w:type="gramStart"/>
      <w:r>
        <w:rPr>
          <w:rFonts w:hint="eastAsia"/>
        </w:rPr>
        <w:t>(95% CI)</w:t>
      </w:r>
      <w:proofErr w:type="gramEnd"/>
      <w:r>
        <w:rPr>
          <w:rFonts w:hint="eastAsia"/>
        </w:rPr>
        <w:t xml:space="preserve"> were 85.64% (82.9–</w:t>
      </w:r>
      <w:proofErr w:type="gramStart"/>
      <w:r>
        <w:rPr>
          <w:rFonts w:hint="eastAsia"/>
        </w:rPr>
        <w:t>88.1%),</w:t>
      </w:r>
      <w:proofErr w:type="gramEnd"/>
      <w:r>
        <w:rPr>
          <w:rFonts w:hint="eastAsia"/>
        </w:rPr>
        <w:t xml:space="preserve"> 81.03% (77.2–</w:t>
      </w:r>
      <w:proofErr w:type="gramStart"/>
      <w:r>
        <w:rPr>
          <w:rFonts w:hint="eastAsia"/>
        </w:rPr>
        <w:t>84.5%),</w:t>
      </w:r>
      <w:proofErr w:type="gramEnd"/>
      <w:r>
        <w:rPr>
          <w:rFonts w:hint="eastAsia"/>
        </w:rPr>
        <w:t xml:space="preserve"> 87.64%, 77.80%, 4.52 (3.7–</w:t>
      </w:r>
      <w:proofErr w:type="gramStart"/>
      <w:r>
        <w:rPr>
          <w:rFonts w:hint="eastAsia"/>
        </w:rPr>
        <w:t>5.5),</w:t>
      </w:r>
      <w:proofErr w:type="gramEnd"/>
      <w:r>
        <w:rPr>
          <w:rFonts w:hint="eastAsia"/>
        </w:rPr>
        <w:t xml:space="preserve"> and 0.18 (0.1–</w:t>
      </w:r>
      <w:proofErr w:type="gramStart"/>
      <w:r>
        <w:rPr>
          <w:rFonts w:hint="eastAsia"/>
        </w:rPr>
        <w:t>0.2),</w:t>
      </w:r>
      <w:proofErr w:type="gramEnd"/>
      <w:r>
        <w:rPr>
          <w:rFonts w:hint="eastAsia"/>
        </w:rPr>
        <w:t xml:space="preserve"> respectively. At a cutoff of 0.2 ng/mL, the corresponding values were 63.14% (59.5–</w:t>
      </w:r>
      <w:proofErr w:type="gramStart"/>
      <w:r>
        <w:rPr>
          <w:rFonts w:hint="eastAsia"/>
        </w:rPr>
        <w:t>66.6%),</w:t>
      </w:r>
      <w:proofErr w:type="gramEnd"/>
      <w:r>
        <w:rPr>
          <w:rFonts w:hint="eastAsia"/>
        </w:rPr>
        <w:t xml:space="preserve"> 93.97% (91.4–</w:t>
      </w:r>
      <w:proofErr w:type="gramStart"/>
      <w:r>
        <w:rPr>
          <w:rFonts w:hint="eastAsia"/>
        </w:rPr>
        <w:t>96.0%),</w:t>
      </w:r>
      <w:proofErr w:type="gramEnd"/>
      <w:r>
        <w:rPr>
          <w:rFonts w:hint="eastAsia"/>
        </w:rPr>
        <w:t xml:space="preserve"> 93.94%, 61.39%, 10.46 (7.3–</w:t>
      </w:r>
      <w:proofErr w:type="gramStart"/>
      <w:r>
        <w:rPr>
          <w:rFonts w:hint="eastAsia"/>
        </w:rPr>
        <w:t>15.0),</w:t>
      </w:r>
      <w:proofErr w:type="gramEnd"/>
      <w:r>
        <w:rPr>
          <w:rFonts w:hint="eastAsia"/>
        </w:rPr>
        <w:t xml:space="preserve"> and 0.39 (0.4–</w:t>
      </w:r>
      <w:proofErr w:type="gramStart"/>
      <w:r>
        <w:rPr>
          <w:rFonts w:hint="eastAsia"/>
        </w:rPr>
        <w:t>0.4).</w:t>
      </w:r>
      <w:proofErr w:type="gramEnd"/>
      <w:r>
        <w:rPr>
          <w:rFonts w:hint="eastAsia"/>
        </w:rPr>
        <w:t xml:space="preserve"> (B) Comparison of PCT and the LIP score for sepsis screening: AUCs were 0.902 (0.884–</w:t>
      </w:r>
      <w:proofErr w:type="gramStart"/>
      <w:r>
        <w:rPr>
          <w:rFonts w:hint="eastAsia"/>
        </w:rPr>
        <w:t>0.918)</w:t>
      </w:r>
      <w:proofErr w:type="gramEnd"/>
      <w:r>
        <w:rPr>
          <w:rFonts w:hint="eastAsia"/>
        </w:rPr>
        <w:t xml:space="preserve"> for PCT and 0.932 (0.916–</w:t>
      </w:r>
      <w:proofErr w:type="gramStart"/>
      <w:r>
        <w:rPr>
          <w:rFonts w:hint="eastAsia"/>
        </w:rPr>
        <w:t>0.945)</w:t>
      </w:r>
      <w:proofErr w:type="gramEnd"/>
      <w:r>
        <w:rPr>
          <w:rFonts w:hint="eastAsia"/>
        </w:rPr>
        <w:t xml:space="preserve"> for LIP, demonstrating that the LIP score significantly improved not only the AUC but also the overall sensitivity and specificity. </w:t>
      </w:r>
      <w:r>
        <w:rPr>
          <w:rFonts w:hint="eastAsia"/>
          <w:i/>
          <w:iCs/>
        </w:rPr>
        <w:t>PCT</w:t>
      </w:r>
      <w:r>
        <w:rPr>
          <w:rFonts w:hint="eastAsia"/>
        </w:rPr>
        <w:t>, procalcitonin;</w:t>
      </w:r>
      <w:r>
        <w:rPr>
          <w:rFonts w:hint="eastAsia"/>
          <w:i/>
          <w:iCs/>
        </w:rPr>
        <w:t xml:space="preserve"> PPV</w:t>
      </w:r>
      <w:r>
        <w:rPr>
          <w:rFonts w:hint="eastAsia"/>
        </w:rPr>
        <w:t xml:space="preserve">, positive predictive value; </w:t>
      </w:r>
      <w:r>
        <w:rPr>
          <w:rFonts w:hint="eastAsia"/>
          <w:i/>
          <w:iCs/>
        </w:rPr>
        <w:t>NPV</w:t>
      </w:r>
      <w:r>
        <w:rPr>
          <w:rFonts w:hint="eastAsia"/>
        </w:rPr>
        <w:t>, negative predictive value; +LR, positive likelihood ratio; -LR, negative likelihood ratio.</w:t>
      </w:r>
    </w:p>
    <w:sectPr w:rsidR="00176E18">
      <w:footerReference w:type="default" r:id="rId30"/>
      <w:pgSz w:w="11906" w:h="16838"/>
      <w:pgMar w:top="1440" w:right="1080" w:bottom="567" w:left="108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B1EF0" w14:textId="77777777" w:rsidR="00EF2BD6" w:rsidRDefault="00EF2BD6">
      <w:pPr>
        <w:rPr>
          <w:rFonts w:hint="eastAsia"/>
        </w:rPr>
      </w:pPr>
      <w:r>
        <w:separator/>
      </w:r>
    </w:p>
  </w:endnote>
  <w:endnote w:type="continuationSeparator" w:id="0">
    <w:p w14:paraId="2727E51D" w14:textId="77777777" w:rsidR="00EF2BD6" w:rsidRDefault="00EF2BD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embedRegular r:id="rId1" w:subsetted="1" w:fontKey="{8F08DC8E-8AE1-4CA0-BAD5-65188DF80C27}"/>
    <w:embedItalic r:id="rId2" w:subsetted="1" w:fontKey="{B78F4580-E7E1-4329-825D-61B7722B30D3}"/>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Uni">
    <w:altName w:val="宋体"/>
    <w:charset w:val="86"/>
    <w:family w:val="roman"/>
    <w:pitch w:val="default"/>
    <w:sig w:usb0="00000000" w:usb1="00000000" w:usb2="0000003E" w:usb3="00000000" w:csb0="001F01FF" w:csb1="00000000"/>
    <w:embedRegular r:id="rId3" w:subsetted="1" w:fontKey="{DFB875B3-524C-4729-A91D-1DB8627384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B5B1" w14:textId="77777777" w:rsidR="00176E18" w:rsidRDefault="00000000">
    <w:pPr>
      <w:pStyle w:val="a3"/>
      <w:jc w:val="center"/>
      <w:rPr>
        <w:rFonts w:hint="eastAsia"/>
      </w:rPr>
    </w:pPr>
    <w:r>
      <w:rPr>
        <w:noProof/>
      </w:rPr>
      <mc:AlternateContent>
        <mc:Choice Requires="wps">
          <w:drawing>
            <wp:anchor distT="0" distB="0" distL="114300" distR="114300" simplePos="0" relativeHeight="251659264" behindDoc="0" locked="0" layoutInCell="1" allowOverlap="1" wp14:anchorId="6DDCE3BD" wp14:editId="4E19B5DB">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9120"/>
                          </w:sdtPr>
                          <w:sdtContent>
                            <w:p w14:paraId="6A085A95" w14:textId="77777777" w:rsidR="00176E18"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5D87E596" w14:textId="77777777" w:rsidR="00176E18" w:rsidRDefault="00176E18">
                          <w:pPr>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DDCE3BD" id="_x0000_t202" coordsize="21600,21600" o:spt="202" path="m,l,21600r21600,l21600,xe">
              <v:stroke joinstyle="miter"/>
              <v:path gradientshapeok="t" o:connecttype="rect"/>
            </v:shapetype>
            <v:shape id="文本框 4"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sdt>
                    <w:sdtPr>
                      <w:id w:val="147459120"/>
                    </w:sdtPr>
                    <w:sdtContent>
                      <w:p w14:paraId="6A085A95" w14:textId="77777777" w:rsidR="00176E18"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5D87E596" w14:textId="77777777" w:rsidR="00176E18" w:rsidRDefault="00176E18">
                    <w:pPr>
                      <w:rPr>
                        <w:rFonts w:hint="eastAsia"/>
                      </w:rPr>
                    </w:pPr>
                  </w:p>
                </w:txbxContent>
              </v:textbox>
              <w10:wrap anchorx="margin"/>
            </v:shape>
          </w:pict>
        </mc:Fallback>
      </mc:AlternateContent>
    </w:r>
  </w:p>
  <w:p w14:paraId="1CC6FCCD" w14:textId="77777777" w:rsidR="00176E18" w:rsidRDefault="00176E18">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A892A" w14:textId="77777777" w:rsidR="00176E18" w:rsidRDefault="00000000">
    <w:pPr>
      <w:pStyle w:val="a3"/>
      <w:jc w:val="center"/>
      <w:rPr>
        <w:rFonts w:hint="eastAsia"/>
      </w:rPr>
    </w:pPr>
    <w:r>
      <w:rPr>
        <w:noProof/>
      </w:rPr>
      <mc:AlternateContent>
        <mc:Choice Requires="wps">
          <w:drawing>
            <wp:anchor distT="0" distB="0" distL="114300" distR="114300" simplePos="0" relativeHeight="251660288" behindDoc="0" locked="0" layoutInCell="1" allowOverlap="1" wp14:anchorId="4B62777D" wp14:editId="1B8EC397">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9551"/>
                          </w:sdtPr>
                          <w:sdtContent>
                            <w:p w14:paraId="56868464" w14:textId="77777777" w:rsidR="00176E18"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0191DAA8" w14:textId="77777777" w:rsidR="00176E18" w:rsidRDefault="00176E18">
                          <w:pPr>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B62777D" id="_x0000_t202" coordsize="21600,21600" o:spt="202" path="m,l,21600r21600,l21600,xe">
              <v:stroke joinstyle="miter"/>
              <v:path gradientshapeok="t" o:connecttype="rect"/>
            </v:shapetype>
            <v:shape id="文本框 5" o:spid="_x0000_s1027"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sdt>
                    <w:sdtPr>
                      <w:id w:val="147479551"/>
                    </w:sdtPr>
                    <w:sdtContent>
                      <w:p w14:paraId="56868464" w14:textId="77777777" w:rsidR="00176E18"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0191DAA8" w14:textId="77777777" w:rsidR="00176E18" w:rsidRDefault="00176E18">
                    <w:pPr>
                      <w:rPr>
                        <w:rFonts w:hint="eastAsia"/>
                      </w:rPr>
                    </w:pPr>
                  </w:p>
                </w:txbxContent>
              </v:textbox>
              <w10:wrap anchorx="margin"/>
            </v:shape>
          </w:pict>
        </mc:Fallback>
      </mc:AlternateContent>
    </w:r>
  </w:p>
  <w:p w14:paraId="390D0EF6" w14:textId="77777777" w:rsidR="00176E18" w:rsidRDefault="00176E18">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C486" w14:textId="77777777" w:rsidR="00EF2BD6" w:rsidRDefault="00EF2BD6">
      <w:pPr>
        <w:rPr>
          <w:rFonts w:hint="eastAsia"/>
        </w:rPr>
      </w:pPr>
      <w:r>
        <w:separator/>
      </w:r>
    </w:p>
  </w:footnote>
  <w:footnote w:type="continuationSeparator" w:id="0">
    <w:p w14:paraId="5E1199A8" w14:textId="77777777" w:rsidR="00EF2BD6" w:rsidRDefault="00EF2BD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B87"/>
    <w:rsid w:val="00002A42"/>
    <w:rsid w:val="00002FB3"/>
    <w:rsid w:val="00007611"/>
    <w:rsid w:val="00047C83"/>
    <w:rsid w:val="00066E83"/>
    <w:rsid w:val="0007554B"/>
    <w:rsid w:val="000D3846"/>
    <w:rsid w:val="000D5630"/>
    <w:rsid w:val="000F20D3"/>
    <w:rsid w:val="000F5372"/>
    <w:rsid w:val="000F5999"/>
    <w:rsid w:val="00104E00"/>
    <w:rsid w:val="00114534"/>
    <w:rsid w:val="00157C0E"/>
    <w:rsid w:val="00163328"/>
    <w:rsid w:val="0016708B"/>
    <w:rsid w:val="00172766"/>
    <w:rsid w:val="00176E18"/>
    <w:rsid w:val="00183237"/>
    <w:rsid w:val="00191B36"/>
    <w:rsid w:val="001A536D"/>
    <w:rsid w:val="001C5A0D"/>
    <w:rsid w:val="001F6814"/>
    <w:rsid w:val="00203ECB"/>
    <w:rsid w:val="00204CED"/>
    <w:rsid w:val="00226A23"/>
    <w:rsid w:val="00230BF3"/>
    <w:rsid w:val="00267528"/>
    <w:rsid w:val="002826AE"/>
    <w:rsid w:val="002D2905"/>
    <w:rsid w:val="002E3DBC"/>
    <w:rsid w:val="003023E4"/>
    <w:rsid w:val="003162B4"/>
    <w:rsid w:val="00321498"/>
    <w:rsid w:val="00343AAB"/>
    <w:rsid w:val="00361EC7"/>
    <w:rsid w:val="003A4E4D"/>
    <w:rsid w:val="003D3C3E"/>
    <w:rsid w:val="003E4658"/>
    <w:rsid w:val="003E643E"/>
    <w:rsid w:val="00423BB0"/>
    <w:rsid w:val="00446102"/>
    <w:rsid w:val="00484F2A"/>
    <w:rsid w:val="004939A7"/>
    <w:rsid w:val="00496B78"/>
    <w:rsid w:val="004C310E"/>
    <w:rsid w:val="004C7CDA"/>
    <w:rsid w:val="004D5CFC"/>
    <w:rsid w:val="004E296C"/>
    <w:rsid w:val="005958AC"/>
    <w:rsid w:val="005A1A49"/>
    <w:rsid w:val="005B520D"/>
    <w:rsid w:val="005E1374"/>
    <w:rsid w:val="005E462A"/>
    <w:rsid w:val="005F0201"/>
    <w:rsid w:val="005F202E"/>
    <w:rsid w:val="00614691"/>
    <w:rsid w:val="00615C85"/>
    <w:rsid w:val="00615DC4"/>
    <w:rsid w:val="00630B1C"/>
    <w:rsid w:val="00633B9A"/>
    <w:rsid w:val="00650DD4"/>
    <w:rsid w:val="00680688"/>
    <w:rsid w:val="006976AB"/>
    <w:rsid w:val="006B5B3E"/>
    <w:rsid w:val="006D7560"/>
    <w:rsid w:val="007000A3"/>
    <w:rsid w:val="0071067E"/>
    <w:rsid w:val="007218BB"/>
    <w:rsid w:val="0073099D"/>
    <w:rsid w:val="00771CF0"/>
    <w:rsid w:val="007972B5"/>
    <w:rsid w:val="00797B3F"/>
    <w:rsid w:val="007A0BC7"/>
    <w:rsid w:val="007B03DC"/>
    <w:rsid w:val="007B2759"/>
    <w:rsid w:val="007D6BE2"/>
    <w:rsid w:val="007D6F27"/>
    <w:rsid w:val="00800324"/>
    <w:rsid w:val="008177E5"/>
    <w:rsid w:val="008614DF"/>
    <w:rsid w:val="00874E8D"/>
    <w:rsid w:val="008B2E32"/>
    <w:rsid w:val="008C091C"/>
    <w:rsid w:val="008E067D"/>
    <w:rsid w:val="008E359F"/>
    <w:rsid w:val="008E634E"/>
    <w:rsid w:val="0091352C"/>
    <w:rsid w:val="00995AA2"/>
    <w:rsid w:val="009A37AC"/>
    <w:rsid w:val="009E4B9F"/>
    <w:rsid w:val="00A239FD"/>
    <w:rsid w:val="00A30C07"/>
    <w:rsid w:val="00A34FDB"/>
    <w:rsid w:val="00A71B87"/>
    <w:rsid w:val="00A8336F"/>
    <w:rsid w:val="00AB1D46"/>
    <w:rsid w:val="00AD5ADE"/>
    <w:rsid w:val="00AF35AF"/>
    <w:rsid w:val="00AF4C5F"/>
    <w:rsid w:val="00B034D2"/>
    <w:rsid w:val="00B04362"/>
    <w:rsid w:val="00B15F7F"/>
    <w:rsid w:val="00B26D52"/>
    <w:rsid w:val="00B27E65"/>
    <w:rsid w:val="00B31E20"/>
    <w:rsid w:val="00B525AB"/>
    <w:rsid w:val="00B64D12"/>
    <w:rsid w:val="00B93F1D"/>
    <w:rsid w:val="00BB12FD"/>
    <w:rsid w:val="00BC51A4"/>
    <w:rsid w:val="00BC6F0A"/>
    <w:rsid w:val="00BE1B22"/>
    <w:rsid w:val="00C05F5F"/>
    <w:rsid w:val="00C22DC4"/>
    <w:rsid w:val="00C41A3A"/>
    <w:rsid w:val="00C5315A"/>
    <w:rsid w:val="00C57C90"/>
    <w:rsid w:val="00C7788C"/>
    <w:rsid w:val="00C77AD0"/>
    <w:rsid w:val="00C802C5"/>
    <w:rsid w:val="00CB6DEF"/>
    <w:rsid w:val="00CC65DB"/>
    <w:rsid w:val="00CD768A"/>
    <w:rsid w:val="00D014B1"/>
    <w:rsid w:val="00D45126"/>
    <w:rsid w:val="00D72EF4"/>
    <w:rsid w:val="00D97F16"/>
    <w:rsid w:val="00DA0DB3"/>
    <w:rsid w:val="00DA253F"/>
    <w:rsid w:val="00DC2A93"/>
    <w:rsid w:val="00DC453D"/>
    <w:rsid w:val="00DC76C5"/>
    <w:rsid w:val="00E007E2"/>
    <w:rsid w:val="00E062E8"/>
    <w:rsid w:val="00E15EB0"/>
    <w:rsid w:val="00E50EBE"/>
    <w:rsid w:val="00E77F89"/>
    <w:rsid w:val="00E9632E"/>
    <w:rsid w:val="00ED30D1"/>
    <w:rsid w:val="00ED6B7F"/>
    <w:rsid w:val="00EE0BF2"/>
    <w:rsid w:val="00EE143D"/>
    <w:rsid w:val="00EE6C73"/>
    <w:rsid w:val="00EF2BD6"/>
    <w:rsid w:val="00EF5289"/>
    <w:rsid w:val="00F06E70"/>
    <w:rsid w:val="00F1123C"/>
    <w:rsid w:val="00F167C1"/>
    <w:rsid w:val="00F30C53"/>
    <w:rsid w:val="00F34DA9"/>
    <w:rsid w:val="00F423A2"/>
    <w:rsid w:val="00F66CEE"/>
    <w:rsid w:val="00FB240B"/>
    <w:rsid w:val="00FD7168"/>
    <w:rsid w:val="00FE4231"/>
    <w:rsid w:val="00FE6DDC"/>
    <w:rsid w:val="01FE5971"/>
    <w:rsid w:val="02125874"/>
    <w:rsid w:val="038B0E0E"/>
    <w:rsid w:val="04275FB8"/>
    <w:rsid w:val="046D6330"/>
    <w:rsid w:val="055B4CC1"/>
    <w:rsid w:val="075E0B31"/>
    <w:rsid w:val="07C0231A"/>
    <w:rsid w:val="090B6D66"/>
    <w:rsid w:val="0A833EF9"/>
    <w:rsid w:val="0B1940B7"/>
    <w:rsid w:val="0ED6658A"/>
    <w:rsid w:val="0F4409A7"/>
    <w:rsid w:val="11B25D16"/>
    <w:rsid w:val="11C173B0"/>
    <w:rsid w:val="12C744E4"/>
    <w:rsid w:val="13DA4490"/>
    <w:rsid w:val="14915DCE"/>
    <w:rsid w:val="14F614AD"/>
    <w:rsid w:val="17E05DED"/>
    <w:rsid w:val="1BC65CA6"/>
    <w:rsid w:val="1BD23FAB"/>
    <w:rsid w:val="1EE34988"/>
    <w:rsid w:val="2038161B"/>
    <w:rsid w:val="21B03FF4"/>
    <w:rsid w:val="25CC281B"/>
    <w:rsid w:val="27972322"/>
    <w:rsid w:val="281E04BD"/>
    <w:rsid w:val="28DC2F9D"/>
    <w:rsid w:val="2BA105E9"/>
    <w:rsid w:val="2C46740F"/>
    <w:rsid w:val="2C6B6B64"/>
    <w:rsid w:val="2CCD0A4D"/>
    <w:rsid w:val="2E54265D"/>
    <w:rsid w:val="2E7506B7"/>
    <w:rsid w:val="2F2A340C"/>
    <w:rsid w:val="300C4661"/>
    <w:rsid w:val="32463124"/>
    <w:rsid w:val="32556152"/>
    <w:rsid w:val="32A7310F"/>
    <w:rsid w:val="335069BC"/>
    <w:rsid w:val="35496928"/>
    <w:rsid w:val="365C186B"/>
    <w:rsid w:val="36BF5043"/>
    <w:rsid w:val="37012BDE"/>
    <w:rsid w:val="3722581B"/>
    <w:rsid w:val="376F4369"/>
    <w:rsid w:val="384D4981"/>
    <w:rsid w:val="3BB37014"/>
    <w:rsid w:val="3C6E403E"/>
    <w:rsid w:val="3E893AC1"/>
    <w:rsid w:val="3F0815B0"/>
    <w:rsid w:val="3FC06AAC"/>
    <w:rsid w:val="454E2FAC"/>
    <w:rsid w:val="455F50B8"/>
    <w:rsid w:val="45633B74"/>
    <w:rsid w:val="457933D0"/>
    <w:rsid w:val="46C95B1B"/>
    <w:rsid w:val="48DF495E"/>
    <w:rsid w:val="4C50175E"/>
    <w:rsid w:val="4DD25E13"/>
    <w:rsid w:val="4E437F61"/>
    <w:rsid w:val="4F44697A"/>
    <w:rsid w:val="508403B9"/>
    <w:rsid w:val="52E72E92"/>
    <w:rsid w:val="53E063DA"/>
    <w:rsid w:val="53EA7F78"/>
    <w:rsid w:val="5659713D"/>
    <w:rsid w:val="576C4A4E"/>
    <w:rsid w:val="58EB3B31"/>
    <w:rsid w:val="5A5644A4"/>
    <w:rsid w:val="5B6065F6"/>
    <w:rsid w:val="5CBA1D36"/>
    <w:rsid w:val="5FE72D83"/>
    <w:rsid w:val="60EE6452"/>
    <w:rsid w:val="62551988"/>
    <w:rsid w:val="62CE08AA"/>
    <w:rsid w:val="63696264"/>
    <w:rsid w:val="65DE3931"/>
    <w:rsid w:val="67630B2B"/>
    <w:rsid w:val="68A337EF"/>
    <w:rsid w:val="69580D63"/>
    <w:rsid w:val="697F058F"/>
    <w:rsid w:val="6B2E73E8"/>
    <w:rsid w:val="6B446210"/>
    <w:rsid w:val="6BA677EF"/>
    <w:rsid w:val="6C28375F"/>
    <w:rsid w:val="6D4318D3"/>
    <w:rsid w:val="6FF944CB"/>
    <w:rsid w:val="70B75478"/>
    <w:rsid w:val="72E62CCB"/>
    <w:rsid w:val="75B01AD0"/>
    <w:rsid w:val="76F8372F"/>
    <w:rsid w:val="77563CD7"/>
    <w:rsid w:val="78501970"/>
    <w:rsid w:val="796059F6"/>
    <w:rsid w:val="7BD73400"/>
    <w:rsid w:val="7D4D6026"/>
    <w:rsid w:val="7D653F46"/>
    <w:rsid w:val="7EEB650A"/>
    <w:rsid w:val="7F274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35A9AD"/>
  <w14:defaultImageDpi w14:val="330"/>
  <w15:docId w15:val="{CF548424-1D00-4A8F-AE89-35370767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qFormat/>
    <w:pPr>
      <w:ind w:leftChars="200" w:left="420"/>
    </w:p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rPr>
  </w:style>
  <w:style w:type="character" w:styleId="ad">
    <w:name w:val="Emphasis"/>
    <w:basedOn w:val="a0"/>
    <w:uiPriority w:val="20"/>
    <w:qFormat/>
    <w:rPr>
      <w:i/>
    </w:rPr>
  </w:style>
  <w:style w:type="character" w:styleId="ae">
    <w:name w:val="Hyperlink"/>
    <w:basedOn w:val="a0"/>
    <w:uiPriority w:val="99"/>
    <w:unhideWhenUsed/>
    <w:qFormat/>
    <w:rPr>
      <w:color w:val="0563C1"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2">
    <w:name w:val="Intense Quote"/>
    <w:basedOn w:val="a"/>
    <w:next w:val="a"/>
    <w:link w:val="af3"/>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D334931-F49B-4BF9-BD33-5A73464C60B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29</Pages>
  <Words>3747</Words>
  <Characters>24811</Characters>
  <Application>Microsoft Office Word</Application>
  <DocSecurity>0</DocSecurity>
  <Lines>954</Lines>
  <Paragraphs>815</Paragraphs>
  <ScaleCrop>false</ScaleCrop>
  <Company/>
  <LinksUpToDate>false</LinksUpToDate>
  <CharactersWithSpaces>27743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ice</dc:creator>
  <cp:lastModifiedBy>Bailin Niu</cp:lastModifiedBy>
  <cp:revision>6</cp:revision>
  <dcterms:created xsi:type="dcterms:W3CDTF">2026-09-25T11:15:00Z</dcterms:created>
  <dcterms:modified xsi:type="dcterms:W3CDTF">2026-09-27T03:05:00Z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eyJoZGlkIjoiMzEwNTM5NzYwMDRjMzkwZTVkZjY2ODkwMGIxNGU0OTUiLCJ1c2VySWQiOiIyNjM0MzgxNDQifQ==</vt:lpwstr>
  </property>
  <property fmtid="{D5CDD505-2E9C-101B-9397-08002B2CF9AE}" pid="3" name="KSOProductBuildVer">
    <vt:lpwstr>2052-12.1.0.28505</vt:lpwstr>
  </property>
  <property fmtid="{D5CDD505-2E9C-101B-9397-08002B2CF9AE}" pid="4" name="ICV">
    <vt:lpwstr>F86012B5B12B4BE485FB3D79F10EFCC3_13</vt:lpwstr>
  </property>
</Properties>
</file>