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2E0994" w14:textId="0A447CE1" w:rsidR="009D72E0" w:rsidRPr="00D80EB3" w:rsidRDefault="00565F5B">
      <w:pPr>
        <w:spacing w:after="0" w:line="360" w:lineRule="auto"/>
        <w:rPr>
          <w:rFonts w:ascii="Times New Roman" w:eastAsia="宋体" w:hAnsi="Times New Roman" w:cs="Times New Roman"/>
          <w:b/>
          <w:bCs/>
          <w:sz w:val="24"/>
          <w:szCs w:val="24"/>
          <w:lang w:eastAsia="zh-CN"/>
        </w:rPr>
      </w:pPr>
      <w:r>
        <w:rPr>
          <w:rFonts w:ascii="Times New Roman" w:eastAsia="宋体" w:hAnsi="Times New Roman" w:cs="Times New Roman"/>
          <w:b/>
          <w:bCs/>
          <w:sz w:val="24"/>
          <w:szCs w:val="24"/>
          <w:lang w:eastAsia="zh-CN"/>
        </w:rPr>
        <w:t>A</w:t>
      </w:r>
      <w:r>
        <w:rPr>
          <w:rFonts w:ascii="Times New Roman" w:eastAsia="宋体" w:hAnsi="Times New Roman" w:cs="Times New Roman" w:hint="eastAsia"/>
          <w:b/>
          <w:bCs/>
          <w:sz w:val="24"/>
          <w:szCs w:val="24"/>
          <w:lang w:eastAsia="zh-CN"/>
        </w:rPr>
        <w:t>dditional</w:t>
      </w:r>
      <w:r w:rsidR="00D80EB3" w:rsidRPr="00D80EB3">
        <w:rPr>
          <w:rFonts w:ascii="Times New Roman" w:eastAsia="宋体" w:hAnsi="Times New Roman" w:cs="Times New Roman" w:hint="eastAsia"/>
          <w:b/>
          <w:bCs/>
          <w:sz w:val="24"/>
          <w:szCs w:val="24"/>
          <w:lang w:eastAsia="zh-CN"/>
        </w:rPr>
        <w:t xml:space="preserve"> file </w:t>
      </w:r>
      <w:r w:rsidR="002E11BF">
        <w:rPr>
          <w:rFonts w:ascii="Times New Roman" w:eastAsia="宋体" w:hAnsi="Times New Roman" w:cs="Times New Roman" w:hint="eastAsia"/>
          <w:b/>
          <w:bCs/>
          <w:sz w:val="24"/>
          <w:szCs w:val="24"/>
          <w:lang w:eastAsia="zh-CN"/>
        </w:rPr>
        <w:t>1</w:t>
      </w:r>
      <w:r w:rsidR="00D80EB3" w:rsidRPr="00D80EB3">
        <w:rPr>
          <w:rFonts w:ascii="Times New Roman" w:eastAsia="宋体" w:hAnsi="Times New Roman" w:cs="Times New Roman" w:hint="eastAsia"/>
          <w:b/>
          <w:bCs/>
          <w:sz w:val="24"/>
          <w:szCs w:val="24"/>
          <w:lang w:eastAsia="zh-CN"/>
        </w:rPr>
        <w:t xml:space="preserve"> - </w:t>
      </w:r>
      <w:r w:rsidR="00D80EB3" w:rsidRPr="00D80EB3">
        <w:rPr>
          <w:rFonts w:ascii="Times New Roman" w:eastAsia="宋体" w:hAnsi="Times New Roman" w:cs="Times New Roman"/>
          <w:b/>
          <w:bCs/>
          <w:sz w:val="24"/>
          <w:szCs w:val="24"/>
          <w:lang w:eastAsia="zh-CN"/>
        </w:rPr>
        <w:t>Clinical trial protocol</w:t>
      </w:r>
    </w:p>
    <w:p w14:paraId="283249E9" w14:textId="77777777" w:rsidR="009D72E0" w:rsidRDefault="009D72E0">
      <w:pPr>
        <w:spacing w:after="0" w:line="360" w:lineRule="auto"/>
        <w:rPr>
          <w:rFonts w:ascii="Times New Roman" w:eastAsia="宋体" w:hAnsi="Times New Roman" w:cs="Times New Roman"/>
          <w:sz w:val="28"/>
          <w:szCs w:val="28"/>
          <w:lang w:eastAsia="zh-CN"/>
        </w:rPr>
      </w:pPr>
    </w:p>
    <w:p w14:paraId="2C4A2CA3" w14:textId="77777777" w:rsidR="009D72E0" w:rsidRDefault="009D72E0">
      <w:pPr>
        <w:spacing w:after="0" w:line="360" w:lineRule="auto"/>
        <w:rPr>
          <w:rFonts w:ascii="Times New Roman" w:eastAsia="宋体" w:hAnsi="Times New Roman" w:cs="Times New Roman"/>
          <w:sz w:val="28"/>
          <w:szCs w:val="28"/>
          <w:lang w:eastAsia="zh-CN"/>
        </w:rPr>
      </w:pPr>
    </w:p>
    <w:p w14:paraId="349F3D83" w14:textId="77777777" w:rsidR="009D72E0" w:rsidRDefault="009D72E0">
      <w:pPr>
        <w:spacing w:after="0" w:line="360" w:lineRule="auto"/>
        <w:rPr>
          <w:rFonts w:ascii="Times New Roman" w:eastAsia="宋体" w:hAnsi="Times New Roman" w:cs="Times New Roman"/>
          <w:sz w:val="28"/>
          <w:szCs w:val="28"/>
          <w:lang w:eastAsia="zh-CN"/>
        </w:rPr>
      </w:pPr>
    </w:p>
    <w:p w14:paraId="5C078B54" w14:textId="77777777" w:rsidR="009D72E0" w:rsidRDefault="00000000">
      <w:pPr>
        <w:spacing w:after="0" w:line="360" w:lineRule="auto"/>
        <w:rPr>
          <w:rFonts w:ascii="Times New Roman" w:hAnsi="Times New Roman" w:cs="Times New Roman"/>
          <w:sz w:val="32"/>
          <w:szCs w:val="32"/>
        </w:rPr>
      </w:pPr>
      <w:r>
        <w:rPr>
          <w:rFonts w:ascii="Times New Roman" w:hAnsi="Times New Roman" w:cs="Times New Roman"/>
          <w:b/>
          <w:bCs/>
          <w:sz w:val="32"/>
          <w:szCs w:val="32"/>
        </w:rPr>
        <w:t>Study Title</w:t>
      </w:r>
      <w:r>
        <w:rPr>
          <w:rFonts w:ascii="Times New Roman" w:hAnsi="Times New Roman" w:cs="Times New Roman"/>
          <w:sz w:val="32"/>
          <w:szCs w:val="32"/>
        </w:rPr>
        <w:t xml:space="preserve">: An Exploratory Study of </w:t>
      </w:r>
      <w:proofErr w:type="spellStart"/>
      <w:r>
        <w:rPr>
          <w:rFonts w:ascii="Times New Roman" w:hAnsi="Times New Roman" w:cs="Times New Roman"/>
          <w:sz w:val="32"/>
          <w:szCs w:val="32"/>
        </w:rPr>
        <w:t>Toripalimab</w:t>
      </w:r>
      <w:proofErr w:type="spellEnd"/>
      <w:r>
        <w:rPr>
          <w:rFonts w:ascii="Times New Roman" w:hAnsi="Times New Roman" w:cs="Times New Roman"/>
          <w:sz w:val="32"/>
          <w:szCs w:val="32"/>
        </w:rPr>
        <w:t xml:space="preserve"> Combined with Preoperative Chemoradiotherapy in the Treatment of Locally Advanced Adenocarcinoma of the Esophagogastric Junction.</w:t>
      </w:r>
    </w:p>
    <w:p w14:paraId="2878ECF5" w14:textId="77777777" w:rsidR="009D72E0" w:rsidRDefault="009D72E0">
      <w:pPr>
        <w:spacing w:after="0" w:line="360" w:lineRule="auto"/>
        <w:rPr>
          <w:rFonts w:ascii="Times New Roman" w:eastAsia="宋体" w:hAnsi="Times New Roman" w:cs="Times New Roman"/>
          <w:sz w:val="32"/>
          <w:szCs w:val="32"/>
          <w:lang w:eastAsia="zh-CN"/>
        </w:rPr>
      </w:pPr>
    </w:p>
    <w:p w14:paraId="42274BDE" w14:textId="77777777" w:rsidR="009D72E0" w:rsidRDefault="00000000">
      <w:pPr>
        <w:tabs>
          <w:tab w:val="center" w:pos="4320"/>
        </w:tabs>
        <w:spacing w:after="0" w:line="360" w:lineRule="auto"/>
        <w:rPr>
          <w:rFonts w:ascii="Times New Roman" w:eastAsia="宋体" w:hAnsi="Times New Roman" w:cs="Times New Roman"/>
          <w:b/>
          <w:bCs/>
          <w:sz w:val="32"/>
          <w:szCs w:val="32"/>
          <w:lang w:eastAsia="zh-CN"/>
        </w:rPr>
      </w:pPr>
      <w:r>
        <w:rPr>
          <w:rFonts w:ascii="Times New Roman" w:eastAsia="宋体" w:hAnsi="Times New Roman" w:cs="Times New Roman"/>
          <w:b/>
          <w:bCs/>
          <w:sz w:val="32"/>
          <w:szCs w:val="32"/>
          <w:lang w:eastAsia="zh-CN"/>
        </w:rPr>
        <w:t>Protocol version</w:t>
      </w:r>
      <w:r>
        <w:rPr>
          <w:rFonts w:ascii="Times New Roman" w:eastAsia="宋体" w:hAnsi="Times New Roman" w:cs="Times New Roman"/>
          <w:sz w:val="32"/>
          <w:szCs w:val="32"/>
          <w:lang w:eastAsia="zh-CN"/>
        </w:rPr>
        <w:t>: v1.0</w:t>
      </w:r>
      <w:r>
        <w:rPr>
          <w:rFonts w:ascii="Times New Roman" w:eastAsia="宋体" w:hAnsi="Times New Roman" w:cs="Times New Roman"/>
          <w:sz w:val="32"/>
          <w:szCs w:val="32"/>
          <w:lang w:eastAsia="zh-CN"/>
        </w:rPr>
        <w:tab/>
      </w:r>
    </w:p>
    <w:p w14:paraId="78966DD2"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eastAsia="宋体" w:hAnsi="Times New Roman" w:cs="Times New Roman"/>
          <w:b/>
          <w:bCs/>
          <w:sz w:val="32"/>
          <w:szCs w:val="32"/>
          <w:lang w:eastAsia="zh-CN"/>
        </w:rPr>
        <w:t>Primary Investigator</w:t>
      </w:r>
      <w:r>
        <w:rPr>
          <w:rFonts w:ascii="Times New Roman" w:eastAsia="宋体" w:hAnsi="Times New Roman" w:cs="Times New Roman"/>
          <w:sz w:val="32"/>
          <w:szCs w:val="32"/>
          <w:lang w:eastAsia="zh-CN"/>
        </w:rPr>
        <w:t xml:space="preserve">: </w:t>
      </w:r>
    </w:p>
    <w:p w14:paraId="3DFFF9E4" w14:textId="77777777" w:rsidR="009D72E0" w:rsidRDefault="00000000">
      <w:pPr>
        <w:spacing w:after="0" w:line="360" w:lineRule="auto"/>
        <w:rPr>
          <w:rFonts w:ascii="Times New Roman" w:hAnsi="Times New Roman" w:cs="Times New Roman"/>
          <w:sz w:val="28"/>
          <w:szCs w:val="28"/>
          <w:lang w:eastAsia="zh-CN"/>
        </w:rPr>
      </w:pPr>
      <w:r>
        <w:rPr>
          <w:rFonts w:ascii="Times New Roman" w:hAnsi="Times New Roman" w:cs="Times New Roman"/>
          <w:b/>
          <w:bCs/>
          <w:sz w:val="28"/>
          <w:szCs w:val="28"/>
          <w:lang w:eastAsia="zh-CN"/>
        </w:rPr>
        <w:t>Ziyu Li</w:t>
      </w:r>
      <w:r>
        <w:rPr>
          <w:rFonts w:ascii="Times New Roman" w:hAnsi="Times New Roman" w:cs="Times New Roman"/>
          <w:sz w:val="28"/>
          <w:szCs w:val="28"/>
          <w:lang w:eastAsia="zh-CN"/>
        </w:rPr>
        <w:t>, Key laboratory of Carcinogenesis and Translational Research (Ministry of Education), Department of Gastrointestinal Surgery, Unit I, Peking University Cancer Hospital &amp; Institute, Beijing 100142, China</w:t>
      </w:r>
      <w:r>
        <w:rPr>
          <w:rFonts w:ascii="Times New Roman" w:hAnsi="Times New Roman" w:cs="Times New Roman" w:hint="eastAsia"/>
          <w:sz w:val="28"/>
          <w:szCs w:val="28"/>
          <w:lang w:eastAsia="zh-CN"/>
        </w:rPr>
        <w:t xml:space="preserve">. </w:t>
      </w:r>
    </w:p>
    <w:p w14:paraId="2022692F" w14:textId="77777777" w:rsidR="009D72E0" w:rsidRDefault="00000000">
      <w:pPr>
        <w:spacing w:after="0" w:line="360" w:lineRule="auto"/>
        <w:rPr>
          <w:rFonts w:ascii="Times New Roman" w:hAnsi="Times New Roman" w:cs="Times New Roman"/>
          <w:sz w:val="28"/>
          <w:szCs w:val="28"/>
          <w:lang w:eastAsia="zh-CN"/>
        </w:rPr>
      </w:pPr>
      <w:r>
        <w:rPr>
          <w:rFonts w:ascii="Times New Roman" w:hAnsi="Times New Roman" w:cs="Times New Roman"/>
          <w:sz w:val="28"/>
          <w:szCs w:val="28"/>
          <w:lang w:eastAsia="zh-CN"/>
        </w:rPr>
        <w:t>Email address: ziyu_li@hsc.pku.edu.cn</w:t>
      </w:r>
      <w:r>
        <w:rPr>
          <w:rFonts w:ascii="Times New Roman" w:hAnsi="Times New Roman" w:cs="Times New Roman" w:hint="eastAsia"/>
          <w:sz w:val="28"/>
          <w:szCs w:val="28"/>
          <w:lang w:eastAsia="zh-CN"/>
        </w:rPr>
        <w:t>.</w:t>
      </w:r>
    </w:p>
    <w:p w14:paraId="632A033E" w14:textId="77777777" w:rsidR="009D72E0" w:rsidRDefault="00000000">
      <w:pPr>
        <w:spacing w:after="0" w:line="360" w:lineRule="auto"/>
        <w:rPr>
          <w:rFonts w:ascii="Times New Roman" w:hAnsi="Times New Roman" w:cs="Times New Roman"/>
          <w:sz w:val="28"/>
          <w:szCs w:val="28"/>
          <w:lang w:eastAsia="zh-CN"/>
        </w:rPr>
      </w:pPr>
      <w:proofErr w:type="spellStart"/>
      <w:r>
        <w:rPr>
          <w:rFonts w:ascii="Times New Roman" w:hAnsi="Times New Roman" w:cs="Times New Roman"/>
          <w:b/>
          <w:bCs/>
          <w:sz w:val="28"/>
          <w:szCs w:val="28"/>
          <w:lang w:eastAsia="zh-CN"/>
        </w:rPr>
        <w:t>Yongheng</w:t>
      </w:r>
      <w:proofErr w:type="spellEnd"/>
      <w:r>
        <w:rPr>
          <w:rFonts w:ascii="Times New Roman" w:hAnsi="Times New Roman" w:cs="Times New Roman"/>
          <w:b/>
          <w:bCs/>
          <w:sz w:val="28"/>
          <w:szCs w:val="28"/>
          <w:lang w:eastAsia="zh-CN"/>
        </w:rPr>
        <w:t xml:space="preserve"> Li</w:t>
      </w:r>
      <w:r>
        <w:rPr>
          <w:rFonts w:ascii="Times New Roman" w:hAnsi="Times New Roman" w:cs="Times New Roman" w:hint="eastAsia"/>
          <w:sz w:val="28"/>
          <w:szCs w:val="28"/>
          <w:lang w:eastAsia="zh-CN"/>
        </w:rPr>
        <w:t xml:space="preserve">, </w:t>
      </w:r>
      <w:r>
        <w:rPr>
          <w:rFonts w:ascii="Times New Roman" w:hAnsi="Times New Roman" w:cs="Times New Roman"/>
          <w:sz w:val="28"/>
          <w:szCs w:val="28"/>
          <w:lang w:eastAsia="zh-CN"/>
        </w:rPr>
        <w:t>State Key Laboratory of Holistic Integrative Management of Gastrointestinal Cancers, Department of Radiation Oncology, Peking University Cancer Hospital &amp; Institute, Beijing 100142, China</w:t>
      </w:r>
      <w:r>
        <w:rPr>
          <w:rFonts w:ascii="Times New Roman" w:hAnsi="Times New Roman" w:cs="Times New Roman" w:hint="eastAsia"/>
          <w:sz w:val="28"/>
          <w:szCs w:val="28"/>
          <w:lang w:eastAsia="zh-CN"/>
        </w:rPr>
        <w:t xml:space="preserve">. </w:t>
      </w:r>
    </w:p>
    <w:p w14:paraId="5DCB5330" w14:textId="77777777" w:rsidR="009D72E0" w:rsidRDefault="00000000">
      <w:pPr>
        <w:spacing w:after="0" w:line="360" w:lineRule="auto"/>
        <w:rPr>
          <w:rFonts w:ascii="Times New Roman" w:hAnsi="Times New Roman" w:cs="Times New Roman"/>
          <w:sz w:val="28"/>
          <w:szCs w:val="28"/>
          <w:lang w:eastAsia="zh-CN"/>
        </w:rPr>
      </w:pPr>
      <w:r>
        <w:rPr>
          <w:rFonts w:ascii="Times New Roman" w:hAnsi="Times New Roman" w:cs="Times New Roman"/>
          <w:sz w:val="28"/>
          <w:szCs w:val="28"/>
          <w:lang w:eastAsia="zh-CN"/>
        </w:rPr>
        <w:t>Email address:</w:t>
      </w:r>
      <w:r>
        <w:rPr>
          <w:rFonts w:ascii="Times New Roman" w:hAnsi="Times New Roman" w:cs="Times New Roman" w:hint="eastAsia"/>
          <w:sz w:val="28"/>
          <w:szCs w:val="28"/>
          <w:lang w:eastAsia="zh-CN"/>
        </w:rPr>
        <w:t xml:space="preserve"> yonghenglee@163.com</w:t>
      </w:r>
    </w:p>
    <w:p w14:paraId="5C434754" w14:textId="77777777" w:rsidR="009D72E0" w:rsidRDefault="009D72E0">
      <w:pPr>
        <w:spacing w:after="0" w:line="360" w:lineRule="auto"/>
        <w:rPr>
          <w:rFonts w:ascii="Times New Roman" w:eastAsia="宋体" w:hAnsi="Times New Roman" w:cs="Times New Roman"/>
          <w:sz w:val="28"/>
          <w:szCs w:val="28"/>
          <w:lang w:eastAsia="zh-CN"/>
        </w:rPr>
      </w:pPr>
    </w:p>
    <w:p w14:paraId="1C145B20" w14:textId="77777777" w:rsidR="009D72E0" w:rsidRDefault="009D72E0">
      <w:pPr>
        <w:spacing w:after="0" w:line="360" w:lineRule="auto"/>
        <w:rPr>
          <w:rFonts w:ascii="Times New Roman" w:hAnsi="Times New Roman" w:cs="Times New Roman"/>
          <w:sz w:val="28"/>
          <w:szCs w:val="28"/>
        </w:rPr>
      </w:pPr>
    </w:p>
    <w:p w14:paraId="53F8ACE5" w14:textId="77777777" w:rsidR="009D72E0" w:rsidRDefault="009D72E0">
      <w:pPr>
        <w:spacing w:after="0" w:line="360" w:lineRule="auto"/>
        <w:rPr>
          <w:rFonts w:ascii="Times New Roman" w:hAnsi="Times New Roman" w:cs="Times New Roman"/>
          <w:sz w:val="28"/>
          <w:szCs w:val="28"/>
        </w:rPr>
      </w:pPr>
    </w:p>
    <w:p w14:paraId="060DB7F8" w14:textId="77777777" w:rsidR="009D72E0" w:rsidRDefault="009D72E0">
      <w:pPr>
        <w:spacing w:after="0" w:line="360" w:lineRule="auto"/>
        <w:rPr>
          <w:rFonts w:ascii="Times New Roman" w:hAnsi="Times New Roman" w:cs="Times New Roman"/>
          <w:sz w:val="28"/>
          <w:szCs w:val="28"/>
        </w:rPr>
      </w:pPr>
    </w:p>
    <w:p w14:paraId="57575259" w14:textId="77777777" w:rsidR="009D72E0" w:rsidRDefault="009D72E0">
      <w:pPr>
        <w:spacing w:after="0" w:line="360" w:lineRule="auto"/>
        <w:rPr>
          <w:rFonts w:ascii="Times New Roman" w:hAnsi="Times New Roman" w:cs="Times New Roman"/>
          <w:sz w:val="28"/>
          <w:szCs w:val="28"/>
        </w:rPr>
      </w:pPr>
    </w:p>
    <w:p w14:paraId="4BFF1572" w14:textId="77777777" w:rsidR="009D72E0" w:rsidRDefault="009D72E0">
      <w:pPr>
        <w:spacing w:after="0" w:line="360" w:lineRule="auto"/>
        <w:rPr>
          <w:rFonts w:ascii="Times New Roman" w:hAnsi="Times New Roman" w:cs="Times New Roman"/>
          <w:sz w:val="28"/>
          <w:szCs w:val="28"/>
        </w:rPr>
      </w:pPr>
    </w:p>
    <w:p w14:paraId="13E68C96" w14:textId="77777777" w:rsidR="009D72E0" w:rsidRDefault="00000000">
      <w:pPr>
        <w:spacing w:after="0" w:line="360" w:lineRule="auto"/>
        <w:rPr>
          <w:rFonts w:ascii="Times New Roman" w:eastAsia="宋体" w:hAnsi="Times New Roman" w:cs="Times New Roman"/>
          <w:sz w:val="28"/>
          <w:szCs w:val="28"/>
          <w:lang w:eastAsia="zh-CN"/>
        </w:rPr>
      </w:pPr>
      <w:r>
        <w:rPr>
          <w:rFonts w:ascii="Times New Roman" w:hAnsi="Times New Roman" w:cs="Times New Roman"/>
          <w:sz w:val="28"/>
          <w:szCs w:val="28"/>
        </w:rPr>
        <w:br w:type="page"/>
      </w:r>
    </w:p>
    <w:tbl>
      <w:tblPr>
        <w:tblStyle w:val="afb"/>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400"/>
        <w:gridCol w:w="6183"/>
      </w:tblGrid>
      <w:tr w:rsidR="009D72E0" w14:paraId="2A587AF0" w14:textId="77777777">
        <w:tc>
          <w:tcPr>
            <w:tcW w:w="2400" w:type="dxa"/>
            <w:tcBorders>
              <w:top w:val="single" w:sz="12" w:space="0" w:color="auto"/>
              <w:bottom w:val="single" w:sz="12" w:space="0" w:color="auto"/>
            </w:tcBorders>
          </w:tcPr>
          <w:p w14:paraId="0EAC05A0"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Program Number</w:t>
            </w:r>
          </w:p>
        </w:tc>
        <w:tc>
          <w:tcPr>
            <w:tcW w:w="6183" w:type="dxa"/>
            <w:tcBorders>
              <w:top w:val="single" w:sz="12" w:space="0" w:color="auto"/>
              <w:bottom w:val="single" w:sz="12" w:space="0" w:color="auto"/>
            </w:tcBorders>
          </w:tcPr>
          <w:p w14:paraId="78608843"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EGJRT-01</w:t>
            </w:r>
          </w:p>
        </w:tc>
      </w:tr>
      <w:tr w:rsidR="009D72E0" w14:paraId="0F9E90EB" w14:textId="77777777">
        <w:tc>
          <w:tcPr>
            <w:tcW w:w="2400" w:type="dxa"/>
            <w:tcBorders>
              <w:top w:val="single" w:sz="12" w:space="0" w:color="auto"/>
            </w:tcBorders>
          </w:tcPr>
          <w:p w14:paraId="1F7101C3"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Researcher</w:t>
            </w:r>
          </w:p>
        </w:tc>
        <w:tc>
          <w:tcPr>
            <w:tcW w:w="6183" w:type="dxa"/>
            <w:tcBorders>
              <w:top w:val="single" w:sz="12" w:space="0" w:color="auto"/>
            </w:tcBorders>
          </w:tcPr>
          <w:p w14:paraId="4D5D4EA3"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Peking University Cancer Hospital</w:t>
            </w:r>
          </w:p>
        </w:tc>
      </w:tr>
      <w:tr w:rsidR="009D72E0" w14:paraId="13387C07" w14:textId="77777777">
        <w:tc>
          <w:tcPr>
            <w:tcW w:w="2400" w:type="dxa"/>
          </w:tcPr>
          <w:p w14:paraId="512A48B5"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Trial drug</w:t>
            </w:r>
          </w:p>
        </w:tc>
        <w:tc>
          <w:tcPr>
            <w:tcW w:w="6183" w:type="dxa"/>
          </w:tcPr>
          <w:p w14:paraId="5E343094"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Toripalimab</w:t>
            </w:r>
            <w:proofErr w:type="spellEnd"/>
          </w:p>
        </w:tc>
      </w:tr>
      <w:tr w:rsidR="009D72E0" w14:paraId="6F102597" w14:textId="77777777">
        <w:tc>
          <w:tcPr>
            <w:tcW w:w="2400" w:type="dxa"/>
          </w:tcPr>
          <w:p w14:paraId="78FADF59"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Active Ingredient</w:t>
            </w:r>
          </w:p>
        </w:tc>
        <w:tc>
          <w:tcPr>
            <w:tcW w:w="6183" w:type="dxa"/>
          </w:tcPr>
          <w:p w14:paraId="4B574C1F"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Recombinant Humanized Anti-Programmed Death Receptor 1 (PD-1) Monoclonal Antibody Injection</w:t>
            </w:r>
          </w:p>
        </w:tc>
      </w:tr>
      <w:tr w:rsidR="009D72E0" w14:paraId="72D9AF3C" w14:textId="77777777">
        <w:tc>
          <w:tcPr>
            <w:tcW w:w="2400" w:type="dxa"/>
          </w:tcPr>
          <w:p w14:paraId="597EF403"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Study Title</w:t>
            </w:r>
          </w:p>
        </w:tc>
        <w:tc>
          <w:tcPr>
            <w:tcW w:w="6183" w:type="dxa"/>
          </w:tcPr>
          <w:p w14:paraId="7663EF21"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An Exploratory Study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Combined with Preoperative Chemoradiotherapy in the Treatment of Locally Advanced adenocarcinoma of esophagogastric junction.</w:t>
            </w:r>
          </w:p>
        </w:tc>
      </w:tr>
      <w:tr w:rsidR="009D72E0" w14:paraId="201745CD" w14:textId="77777777">
        <w:tc>
          <w:tcPr>
            <w:tcW w:w="2400" w:type="dxa"/>
          </w:tcPr>
          <w:p w14:paraId="24248084"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Type of Study</w:t>
            </w:r>
          </w:p>
        </w:tc>
        <w:tc>
          <w:tcPr>
            <w:tcW w:w="6183" w:type="dxa"/>
          </w:tcPr>
          <w:p w14:paraId="27631B33"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宋体" w:hAnsi="Times New Roman" w:cs="Times New Roman" w:hint="eastAsia"/>
                <w:sz w:val="28"/>
                <w:szCs w:val="28"/>
                <w:lang w:eastAsia="zh-CN"/>
              </w:rPr>
              <w:t>Prospective,</w:t>
            </w:r>
            <w:r>
              <w:rPr>
                <w:rFonts w:ascii="Times New Roman" w:hAnsi="Times New Roman" w:cs="Times New Roman"/>
                <w:sz w:val="28"/>
                <w:szCs w:val="28"/>
              </w:rPr>
              <w:t xml:space="preserve"> </w:t>
            </w:r>
            <w:r>
              <w:rPr>
                <w:rFonts w:ascii="Times New Roman" w:eastAsia="宋体" w:hAnsi="Times New Roman" w:cs="Times New Roman" w:hint="eastAsia"/>
                <w:sz w:val="28"/>
                <w:szCs w:val="28"/>
                <w:lang w:eastAsia="zh-CN"/>
              </w:rPr>
              <w:t xml:space="preserve">Single-arm, </w:t>
            </w:r>
            <w:r>
              <w:rPr>
                <w:rFonts w:ascii="Times New Roman" w:hAnsi="Times New Roman" w:cs="Times New Roman"/>
                <w:sz w:val="28"/>
                <w:szCs w:val="28"/>
              </w:rPr>
              <w:t>Phase II Study</w:t>
            </w:r>
          </w:p>
        </w:tc>
      </w:tr>
      <w:tr w:rsidR="009D72E0" w14:paraId="0A7189F6" w14:textId="77777777">
        <w:tc>
          <w:tcPr>
            <w:tcW w:w="2400" w:type="dxa"/>
          </w:tcPr>
          <w:p w14:paraId="37DD8DE2"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Study Objectives</w:t>
            </w:r>
          </w:p>
        </w:tc>
        <w:tc>
          <w:tcPr>
            <w:tcW w:w="6183" w:type="dxa"/>
          </w:tcPr>
          <w:p w14:paraId="4998EAB9" w14:textId="77777777" w:rsidR="009D72E0" w:rsidRDefault="00000000">
            <w:pPr>
              <w:spacing w:after="0" w:line="360" w:lineRule="auto"/>
              <w:rPr>
                <w:rFonts w:ascii="Times New Roman" w:eastAsia="宋体" w:hAnsi="Times New Roman" w:cs="Times New Roman"/>
                <w:sz w:val="28"/>
                <w:szCs w:val="28"/>
                <w:lang w:eastAsia="zh-CN"/>
              </w:rPr>
            </w:pPr>
            <w:r>
              <w:rPr>
                <w:rFonts w:ascii="Times New Roman" w:hAnsi="Times New Roman" w:cs="Times New Roman"/>
                <w:sz w:val="28"/>
                <w:szCs w:val="28"/>
              </w:rPr>
              <w:t xml:space="preserve"> Primary Objective:</w:t>
            </w:r>
            <w:r>
              <w:rPr>
                <w:rFonts w:ascii="Times New Roman" w:hAnsi="Times New Roman" w:cs="Times New Roman"/>
                <w:sz w:val="28"/>
                <w:szCs w:val="28"/>
              </w:rPr>
              <w:br/>
              <w:t xml:space="preserve">To evaluate the recent efficacy of </w:t>
            </w:r>
            <w:proofErr w:type="spellStart"/>
            <w:r>
              <w:rPr>
                <w:rFonts w:ascii="Times New Roman" w:eastAsia="宋体" w:hAnsi="Times New Roman" w:cs="Times New Roman" w:hint="eastAsia"/>
                <w:sz w:val="28"/>
                <w:szCs w:val="28"/>
                <w:lang w:eastAsia="zh-CN"/>
              </w:rPr>
              <w:t>t</w:t>
            </w:r>
            <w:r>
              <w:rPr>
                <w:rFonts w:ascii="Times New Roman" w:hAnsi="Times New Roman" w:cs="Times New Roman"/>
                <w:sz w:val="28"/>
                <w:szCs w:val="28"/>
              </w:rPr>
              <w:t>oripalimab</w:t>
            </w:r>
            <w:proofErr w:type="spellEnd"/>
            <w:r>
              <w:rPr>
                <w:rFonts w:ascii="Times New Roman" w:hAnsi="Times New Roman" w:cs="Times New Roman"/>
                <w:sz w:val="28"/>
                <w:szCs w:val="28"/>
              </w:rPr>
              <w:t xml:space="preserve"> in combination with preoperative chemoradiotherapy in </w:t>
            </w:r>
            <w:r>
              <w:rPr>
                <w:rFonts w:ascii="Times New Roman" w:eastAsia="宋体" w:hAnsi="Times New Roman" w:cs="Times New Roman" w:hint="eastAsia"/>
                <w:sz w:val="28"/>
                <w:szCs w:val="28"/>
                <w:lang w:eastAsia="zh-CN"/>
              </w:rPr>
              <w:t xml:space="preserve">the </w:t>
            </w:r>
            <w:r>
              <w:rPr>
                <w:rFonts w:ascii="Times New Roman" w:hAnsi="Times New Roman" w:cs="Times New Roman"/>
                <w:sz w:val="28"/>
                <w:szCs w:val="28"/>
              </w:rPr>
              <w:t>locally advanced adenocarcinoma of esophagogastric junction.</w:t>
            </w:r>
            <w:r>
              <w:rPr>
                <w:rFonts w:ascii="Times New Roman" w:hAnsi="Times New Roman" w:cs="Times New Roman"/>
                <w:sz w:val="28"/>
                <w:szCs w:val="28"/>
              </w:rPr>
              <w:br/>
              <w:t xml:space="preserve"> Secondary Objectives:</w:t>
            </w:r>
            <w:r>
              <w:rPr>
                <w:rFonts w:ascii="Times New Roman" w:hAnsi="Times New Roman" w:cs="Times New Roman"/>
                <w:sz w:val="28"/>
                <w:szCs w:val="28"/>
              </w:rPr>
              <w:br/>
              <w:t>To evaluate the survival</w:t>
            </w:r>
            <w:r>
              <w:rPr>
                <w:rFonts w:ascii="Times New Roman" w:eastAsia="宋体" w:hAnsi="Times New Roman" w:cs="Times New Roman" w:hint="eastAsia"/>
                <w:sz w:val="28"/>
                <w:szCs w:val="28"/>
                <w:lang w:eastAsia="zh-CN"/>
              </w:rPr>
              <w:t xml:space="preserve"> outcomes</w:t>
            </w:r>
            <w:r>
              <w:rPr>
                <w:rFonts w:ascii="Times New Roman" w:hAnsi="Times New Roman" w:cs="Times New Roman"/>
                <w:sz w:val="28"/>
                <w:szCs w:val="28"/>
              </w:rPr>
              <w:t xml:space="preserve"> of locally advanced adenocarcinoma of esophagogastric junction treated with </w:t>
            </w:r>
            <w:proofErr w:type="spellStart"/>
            <w:r>
              <w:rPr>
                <w:rFonts w:ascii="Times New Roman" w:eastAsia="宋体" w:hAnsi="Times New Roman" w:cs="Times New Roman" w:hint="eastAsia"/>
                <w:sz w:val="28"/>
                <w:szCs w:val="28"/>
                <w:lang w:eastAsia="zh-CN"/>
              </w:rPr>
              <w:t>t</w:t>
            </w:r>
            <w:r>
              <w:rPr>
                <w:rFonts w:ascii="Times New Roman" w:hAnsi="Times New Roman" w:cs="Times New Roman"/>
                <w:sz w:val="28"/>
                <w:szCs w:val="28"/>
              </w:rPr>
              <w:t>oripalimab</w:t>
            </w:r>
            <w:proofErr w:type="spellEnd"/>
            <w:r>
              <w:rPr>
                <w:rFonts w:ascii="Times New Roman" w:hAnsi="Times New Roman" w:cs="Times New Roman"/>
                <w:sz w:val="28"/>
                <w:szCs w:val="28"/>
              </w:rPr>
              <w:t xml:space="preserve"> in combination with preoperative chemoradiotherapy and surgery, and safety of the therapy.</w:t>
            </w:r>
            <w:r>
              <w:rPr>
                <w:rFonts w:ascii="Times New Roman" w:eastAsia="宋体" w:hAnsi="Times New Roman" w:cs="Times New Roman" w:hint="eastAsia"/>
                <w:sz w:val="28"/>
                <w:szCs w:val="28"/>
                <w:lang w:eastAsia="zh-CN"/>
              </w:rPr>
              <w:t xml:space="preserve"> To explore the relationship between patients</w:t>
            </w:r>
            <w:r>
              <w:rPr>
                <w:rFonts w:ascii="Times New Roman" w:eastAsia="宋体" w:hAnsi="Times New Roman" w:cs="Times New Roman"/>
                <w:sz w:val="28"/>
                <w:szCs w:val="28"/>
                <w:lang w:eastAsia="zh-CN"/>
              </w:rPr>
              <w:t>’</w:t>
            </w:r>
            <w:r>
              <w:rPr>
                <w:rFonts w:ascii="Times New Roman" w:eastAsia="宋体" w:hAnsi="Times New Roman" w:cs="Times New Roman" w:hint="eastAsia"/>
                <w:sz w:val="28"/>
                <w:szCs w:val="28"/>
                <w:lang w:eastAsia="zh-CN"/>
              </w:rPr>
              <w:t xml:space="preserve"> prognosis and biomarkers and immune microenvironment.</w:t>
            </w:r>
          </w:p>
        </w:tc>
      </w:tr>
      <w:tr w:rsidR="009D72E0" w14:paraId="4C8A4EE2" w14:textId="77777777">
        <w:trPr>
          <w:trHeight w:val="567"/>
        </w:trPr>
        <w:tc>
          <w:tcPr>
            <w:tcW w:w="2400" w:type="dxa"/>
          </w:tcPr>
          <w:p w14:paraId="40C6522C"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Study Design</w:t>
            </w:r>
          </w:p>
        </w:tc>
        <w:tc>
          <w:tcPr>
            <w:tcW w:w="6183" w:type="dxa"/>
          </w:tcPr>
          <w:p w14:paraId="134B377B"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This study will include patients with locally advanced adenocarcinoma of esophagogastric junction (AEG) to explore the effectiveness of </w:t>
            </w:r>
            <w:r>
              <w:rPr>
                <w:rFonts w:ascii="Times New Roman" w:hAnsi="Times New Roman" w:cs="Times New Roman"/>
                <w:sz w:val="28"/>
                <w:szCs w:val="28"/>
              </w:rPr>
              <w:lastRenderedPageBreak/>
              <w:t xml:space="preserve">preoperative chemoradiotherapy in combination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t>
            </w:r>
            <w:r>
              <w:rPr>
                <w:rFonts w:ascii="Times New Roman" w:eastAsia="宋体" w:hAnsi="Times New Roman" w:cs="Times New Roman"/>
                <w:sz w:val="28"/>
                <w:szCs w:val="28"/>
                <w:lang w:eastAsia="zh-CN"/>
              </w:rPr>
              <w:t>Forty</w:t>
            </w:r>
            <w:r>
              <w:rPr>
                <w:rFonts w:ascii="Times New Roman" w:hAnsi="Times New Roman" w:cs="Times New Roman"/>
                <w:sz w:val="28"/>
                <w:szCs w:val="28"/>
              </w:rPr>
              <w:t xml:space="preserve"> cases of locally advanced AEG are planned to be enrolled.</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 xml:space="preserve">Those who meet the enrollment criteria should have detailed medical history, and complete physical examination, hematological examination and systemic imaging examination before enrollment. IMRT/VMAT is adopted as radiotherapy method, and radiotherapy will last for 5 weeks, with single-week SOX regimen applied simultaneously (oxaliplatin 40mg/m2 d1+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30mg/m2 d1-5/w, total 5 weeks). Concomitant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is applied at 240mg per dose from the start of radiotherapy, repeated every 3 weeks for a total of 2 doses. After completion of radiotherapy, the patients wait for 8 to 12 weeks for a complete review and then undergo surgery. During the waiting period, patients will rest for 2-3 weeks after the completion of radiotherapy and continue to be treated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which remains at 240 mg per dose, repeated every 3 weeks for a total of 2 doses. Adjuvant chemotherapy will initiate one month after surgery with a three-week regimen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and SOX, for a total of four cycles.</w:t>
            </w:r>
            <w:r>
              <w:rPr>
                <w:rFonts w:ascii="Times New Roman" w:hAnsi="Times New Roman" w:cs="Times New Roman"/>
                <w:sz w:val="28"/>
                <w:szCs w:val="28"/>
              </w:rPr>
              <w:br/>
              <w:t xml:space="preserve"> The dose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will not be adjusted during treatment,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would be </w:t>
            </w:r>
            <w:r>
              <w:rPr>
                <w:rFonts w:ascii="Times New Roman" w:hAnsi="Times New Roman" w:cs="Times New Roman"/>
                <w:sz w:val="28"/>
                <w:szCs w:val="28"/>
              </w:rPr>
              <w:lastRenderedPageBreak/>
              <w:t xml:space="preserve">discontinued if, </w:t>
            </w:r>
            <w:r>
              <w:rPr>
                <w:rFonts w:ascii="Times New Roman" w:eastAsia="宋体" w:hAnsi="Times New Roman" w:cs="Times New Roman" w:hint="eastAsia"/>
                <w:sz w:val="28"/>
                <w:szCs w:val="28"/>
                <w:lang w:eastAsia="zh-CN"/>
              </w:rPr>
              <w:t>according to</w:t>
            </w:r>
            <w:r>
              <w:rPr>
                <w:rFonts w:ascii="Times New Roman" w:hAnsi="Times New Roman" w:cs="Times New Roman"/>
                <w:sz w:val="28"/>
                <w:szCs w:val="28"/>
              </w:rPr>
              <w:t xml:space="preserve"> the judgment of the investigator, treatment-related toxicity is not tolerated.</w:t>
            </w:r>
            <w:r>
              <w:rPr>
                <w:rFonts w:ascii="Times New Roman" w:hAnsi="Times New Roman" w:cs="Times New Roman"/>
                <w:sz w:val="28"/>
                <w:szCs w:val="28"/>
              </w:rPr>
              <w:br/>
              <w:t xml:space="preserve"> Evaluation of toxicity and efficacy during and after treatment:</w:t>
            </w:r>
            <w:r>
              <w:rPr>
                <w:rFonts w:ascii="Times New Roman" w:hAnsi="Times New Roman" w:cs="Times New Roman"/>
                <w:sz w:val="28"/>
                <w:szCs w:val="28"/>
              </w:rPr>
              <w:br/>
              <w:t>During the period of preoperative radiotherapy, only the toxicity of the treatment and changes in the patient's symptoms and signs will be evaluated, and the frequency of evaluation will be once a week. The effectiveness of treatment will not be evaluated.</w:t>
            </w:r>
            <w:r>
              <w:rPr>
                <w:rFonts w:ascii="Times New Roman" w:hAnsi="Times New Roman" w:cs="Times New Roman"/>
                <w:sz w:val="28"/>
                <w:szCs w:val="28"/>
              </w:rPr>
              <w:br/>
              <w:t xml:space="preserve"> (2) After the completion of preoperative radiotherapy and during the neoadjuvant therapy before surgery, the evaluation of treatment toxicity: every 3 weeks to evaluate the myelosuppression, liver function and renal function abnormalities; and evaluate the non-hematological toxicity, such as dermatitis, gastrointestinal tract discomfort, and so on. Thyroid function should be checked every 6 weeks. Evaluation of efficacy: 8-12 weeks after completion of radiotherapy (i.e., before surgery), through chest CT and abdominal and pelvic CT.</w:t>
            </w:r>
          </w:p>
          <w:p w14:paraId="479C26D3"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(3) Frequency of follow-up/monitoring after surgery and completion of adjuvant therapy: every 3 months for the first 2 years, then every 6 months for up to 5 years. Follow-up/monitoring: a) Clinical history b) Physical examination c) Hematology (CEA and </w:t>
            </w:r>
            <w:r>
              <w:rPr>
                <w:rFonts w:ascii="Times New Roman" w:hAnsi="Times New Roman" w:cs="Times New Roman"/>
                <w:sz w:val="28"/>
                <w:szCs w:val="28"/>
              </w:rPr>
              <w:lastRenderedPageBreak/>
              <w:t>CA199) d) Physical status score (ECOG) e) Body weight monitoring f) Chest, abdominal and pelvic CT examination</w:t>
            </w:r>
          </w:p>
        </w:tc>
      </w:tr>
      <w:tr w:rsidR="009D72E0" w14:paraId="4F3022D8" w14:textId="77777777">
        <w:tc>
          <w:tcPr>
            <w:tcW w:w="2400" w:type="dxa"/>
          </w:tcPr>
          <w:p w14:paraId="710112F5"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Inclusion Criteria</w:t>
            </w:r>
          </w:p>
        </w:tc>
        <w:tc>
          <w:tcPr>
            <w:tcW w:w="6183" w:type="dxa"/>
          </w:tcPr>
          <w:p w14:paraId="51413F8F"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(1) Age 18-75 years old, male and female.</w:t>
            </w:r>
            <w:r>
              <w:rPr>
                <w:rFonts w:ascii="Times New Roman" w:hAnsi="Times New Roman" w:cs="Times New Roman"/>
                <w:sz w:val="28"/>
                <w:szCs w:val="28"/>
              </w:rPr>
              <w:br/>
              <w:t xml:space="preserve"> (2) ECOG score 0-1.</w:t>
            </w:r>
            <w:r>
              <w:rPr>
                <w:rFonts w:ascii="Times New Roman" w:hAnsi="Times New Roman" w:cs="Times New Roman"/>
                <w:sz w:val="28"/>
                <w:szCs w:val="28"/>
              </w:rPr>
              <w:br/>
              <w:t xml:space="preserve"> (3) Diagnosis of adenocarcinoma of esophagogastric junction: </w:t>
            </w:r>
            <w:r>
              <w:rPr>
                <w:rFonts w:ascii="宋体" w:eastAsia="宋体" w:hAnsi="宋体" w:cs="宋体" w:hint="eastAsia"/>
                <w:sz w:val="28"/>
                <w:szCs w:val="28"/>
              </w:rPr>
              <w:t>①</w:t>
            </w:r>
            <w:r>
              <w:rPr>
                <w:rFonts w:ascii="Times New Roman" w:hAnsi="Times New Roman" w:cs="Times New Roman"/>
                <w:sz w:val="28"/>
                <w:szCs w:val="28"/>
              </w:rPr>
              <w:t xml:space="preserve">Endoscopic diagnosis: endoscopic diagnosis of esophagogastric junction (EGJ) tumor, Siewert type II is defined as a tumor invading the EGJ, whose epicenter is located between 1 cm above and 2 cm below the EGJ, and type III is defined as a tumor with an epicenter located 2 cm-5 cm below the EGJ. </w:t>
            </w:r>
            <w:r>
              <w:rPr>
                <w:rFonts w:ascii="宋体" w:eastAsia="宋体" w:hAnsi="宋体" w:cs="宋体" w:hint="eastAsia"/>
                <w:sz w:val="28"/>
                <w:szCs w:val="28"/>
              </w:rPr>
              <w:t>②</w:t>
            </w:r>
            <w:r>
              <w:rPr>
                <w:rFonts w:ascii="Times New Roman" w:hAnsi="Times New Roman" w:cs="Times New Roman"/>
                <w:sz w:val="28"/>
                <w:szCs w:val="28"/>
              </w:rPr>
              <w:t xml:space="preserve"> Pathological diagnosis: adenocarcinoma diagnosed by histological and/or cytological examination; </w:t>
            </w:r>
            <w:r>
              <w:rPr>
                <w:rFonts w:ascii="宋体" w:eastAsia="宋体" w:hAnsi="宋体" w:cs="宋体" w:hint="eastAsia"/>
                <w:sz w:val="28"/>
                <w:szCs w:val="28"/>
              </w:rPr>
              <w:t>③</w:t>
            </w:r>
            <w:r>
              <w:rPr>
                <w:rFonts w:ascii="Times New Roman" w:hAnsi="Times New Roman" w:cs="Times New Roman"/>
                <w:sz w:val="28"/>
                <w:szCs w:val="28"/>
              </w:rPr>
              <w:t xml:space="preserve"> Clinical diagnosis: thickening of the EGJ with arterial enhancement by abdominal CT.</w:t>
            </w:r>
            <w:r>
              <w:rPr>
                <w:rFonts w:ascii="Times New Roman" w:hAnsi="Times New Roman" w:cs="Times New Roman"/>
                <w:sz w:val="28"/>
                <w:szCs w:val="28"/>
              </w:rPr>
              <w:br/>
              <w:t xml:space="preserve"> (4) Primary locally advanced patients (cT3-4 or N+ without distant metastasis).</w:t>
            </w:r>
            <w:r>
              <w:rPr>
                <w:rFonts w:ascii="Times New Roman" w:hAnsi="Times New Roman" w:cs="Times New Roman"/>
                <w:sz w:val="28"/>
                <w:szCs w:val="28"/>
              </w:rPr>
              <w:br/>
              <w:t xml:space="preserve"> (5) Expected survival ≥ 12 months.</w:t>
            </w:r>
            <w:r>
              <w:rPr>
                <w:rFonts w:ascii="Times New Roman" w:hAnsi="Times New Roman" w:cs="Times New Roman"/>
                <w:sz w:val="28"/>
                <w:szCs w:val="28"/>
              </w:rPr>
              <w:br/>
              <w:t xml:space="preserve"> (6) Acceptable bone marrow function (leukocytes ≥ 4×10</w:t>
            </w:r>
            <w:r>
              <w:rPr>
                <w:rFonts w:ascii="Times New Roman" w:hAnsi="Times New Roman" w:cs="Times New Roman"/>
                <w:sz w:val="28"/>
                <w:szCs w:val="28"/>
                <w:vertAlign w:val="superscript"/>
              </w:rPr>
              <w:t>9</w:t>
            </w:r>
            <w:r>
              <w:rPr>
                <w:rFonts w:ascii="Times New Roman" w:hAnsi="Times New Roman" w:cs="Times New Roman"/>
                <w:sz w:val="28"/>
                <w:szCs w:val="28"/>
              </w:rPr>
              <w:t>/L, neutrophils ≥2×10</w:t>
            </w:r>
            <w:r>
              <w:rPr>
                <w:rFonts w:ascii="Times New Roman" w:hAnsi="Times New Roman" w:cs="Times New Roman"/>
                <w:sz w:val="28"/>
                <w:szCs w:val="28"/>
                <w:vertAlign w:val="superscript"/>
              </w:rPr>
              <w:t>9</w:t>
            </w:r>
            <w:r>
              <w:rPr>
                <w:rFonts w:ascii="Times New Roman" w:hAnsi="Times New Roman" w:cs="Times New Roman"/>
                <w:sz w:val="28"/>
                <w:szCs w:val="28"/>
              </w:rPr>
              <w:t>/L, PLT ≥100×10</w:t>
            </w:r>
            <w:r>
              <w:rPr>
                <w:rFonts w:ascii="Times New Roman" w:hAnsi="Times New Roman" w:cs="Times New Roman"/>
                <w:sz w:val="28"/>
                <w:szCs w:val="28"/>
                <w:vertAlign w:val="superscript"/>
              </w:rPr>
              <w:t>9</w:t>
            </w:r>
            <w:r>
              <w:rPr>
                <w:rFonts w:ascii="Times New Roman" w:hAnsi="Times New Roman" w:cs="Times New Roman"/>
                <w:sz w:val="28"/>
                <w:szCs w:val="28"/>
              </w:rPr>
              <w:t>/L, HGB ≥ 100g/L), liver function (ALT, AST, ALP</w:t>
            </w:r>
            <w:r>
              <w:rPr>
                <w:rFonts w:ascii="Times New Roman" w:hAnsi="Times New Roman" w:cs="Times New Roman"/>
                <w:sz w:val="28"/>
                <w:szCs w:val="28"/>
              </w:rPr>
              <w:t>＜</w:t>
            </w:r>
            <w:r>
              <w:rPr>
                <w:rFonts w:ascii="Times New Roman" w:hAnsi="Times New Roman" w:cs="Times New Roman"/>
                <w:sz w:val="28"/>
                <w:szCs w:val="28"/>
              </w:rPr>
              <w:t xml:space="preserve"> 2.5 times upper limit of normal, bilirubin &lt;1.5 times upper limit of normal) and renal function (BUN&lt; 40mg/dl, creatinine &lt;2mg/ml).</w:t>
            </w:r>
            <w:r>
              <w:rPr>
                <w:rFonts w:ascii="Times New Roman" w:hAnsi="Times New Roman" w:cs="Times New Roman"/>
                <w:sz w:val="28"/>
                <w:szCs w:val="28"/>
              </w:rPr>
              <w:br/>
            </w:r>
            <w:r>
              <w:rPr>
                <w:rFonts w:ascii="Times New Roman" w:hAnsi="Times New Roman" w:cs="Times New Roman"/>
                <w:sz w:val="28"/>
                <w:szCs w:val="28"/>
              </w:rPr>
              <w:lastRenderedPageBreak/>
              <w:t xml:space="preserve"> (7) Agree to enrollment and sign the informed consent form.</w:t>
            </w:r>
            <w:r>
              <w:rPr>
                <w:rFonts w:ascii="Times New Roman" w:hAnsi="Times New Roman" w:cs="Times New Roman"/>
                <w:sz w:val="28"/>
                <w:szCs w:val="28"/>
              </w:rPr>
              <w:br/>
              <w:t xml:space="preserve"> (8) Female subjects of childbearing age or male subjects whose sexual partners are of childbearing age should use effective contraception throughout the treatment period until 6 months after the treatment period.</w:t>
            </w:r>
          </w:p>
        </w:tc>
      </w:tr>
      <w:tr w:rsidR="009D72E0" w14:paraId="6270AC0D" w14:textId="77777777">
        <w:tc>
          <w:tcPr>
            <w:tcW w:w="2400" w:type="dxa"/>
          </w:tcPr>
          <w:p w14:paraId="04B5A6C4"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Exclusion Criteria</w:t>
            </w:r>
          </w:p>
        </w:tc>
        <w:tc>
          <w:tcPr>
            <w:tcW w:w="6183" w:type="dxa"/>
          </w:tcPr>
          <w:p w14:paraId="47CB6F11"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(1) Age &gt;75 years or &lt;18 years.</w:t>
            </w:r>
            <w:r>
              <w:rPr>
                <w:rFonts w:ascii="Times New Roman" w:hAnsi="Times New Roman" w:cs="Times New Roman"/>
                <w:sz w:val="28"/>
                <w:szCs w:val="28"/>
              </w:rPr>
              <w:br/>
              <w:t xml:space="preserve"> (2) ECOG score ≥2.</w:t>
            </w:r>
            <w:r>
              <w:rPr>
                <w:rFonts w:ascii="Times New Roman" w:hAnsi="Times New Roman" w:cs="Times New Roman"/>
                <w:sz w:val="28"/>
                <w:szCs w:val="28"/>
              </w:rPr>
              <w:br/>
              <w:t xml:space="preserve"> (3) Distant metastases such as lung, liver, bone, mediastinal lymph nodes, pelvic lymph nodes, peritoneal metastases.</w:t>
            </w:r>
            <w:r>
              <w:rPr>
                <w:rFonts w:ascii="Times New Roman" w:hAnsi="Times New Roman" w:cs="Times New Roman"/>
                <w:sz w:val="28"/>
                <w:szCs w:val="28"/>
              </w:rPr>
              <w:br/>
              <w:t xml:space="preserve"> (4) Allergy to </w:t>
            </w:r>
            <w:proofErr w:type="spellStart"/>
            <w:r>
              <w:rPr>
                <w:rFonts w:ascii="Times New Roman" w:eastAsia="宋体" w:hAnsi="Times New Roman" w:cs="Times New Roman" w:hint="eastAsia"/>
                <w:sz w:val="28"/>
                <w:szCs w:val="28"/>
                <w:lang w:eastAsia="zh-CN"/>
              </w:rPr>
              <w:t>t</w:t>
            </w:r>
            <w:r>
              <w:rPr>
                <w:rFonts w:ascii="Times New Roman" w:hAnsi="Times New Roman" w:cs="Times New Roman"/>
                <w:sz w:val="28"/>
                <w:szCs w:val="28"/>
              </w:rPr>
              <w:t>oripalimab</w:t>
            </w:r>
            <w:proofErr w:type="spellEnd"/>
            <w:r>
              <w:rPr>
                <w:rFonts w:ascii="Times New Roman" w:hAnsi="Times New Roman" w:cs="Times New Roman"/>
                <w:sz w:val="28"/>
                <w:szCs w:val="28"/>
              </w:rPr>
              <w:t>.</w:t>
            </w:r>
            <w:r>
              <w:rPr>
                <w:rFonts w:ascii="Times New Roman" w:hAnsi="Times New Roman" w:cs="Times New Roman"/>
                <w:sz w:val="28"/>
                <w:szCs w:val="28"/>
              </w:rPr>
              <w:br/>
              <w:t xml:space="preserve"> (5)Patients who have previously received immunotherapy, such as PD-1 antibody, PD-L1 antibody, CTLA4 antibody.</w:t>
            </w:r>
            <w:r>
              <w:rPr>
                <w:rFonts w:ascii="Times New Roman" w:hAnsi="Times New Roman" w:cs="Times New Roman"/>
                <w:sz w:val="28"/>
                <w:szCs w:val="28"/>
              </w:rPr>
              <w:br/>
              <w:t xml:space="preserve"> (6) Use of immunosuppressive medications within 4 weeks prior to enrollment, excluding nasal, inhalational, or other topical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or physiologic doses of systemic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(i.e., no more than 10 mg/day of prednisone or equivalent doses of other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temporary use of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to treat respiratory symptoms of asthma, COPD, or other conditions is permitted.</w:t>
            </w:r>
            <w:r>
              <w:rPr>
                <w:rFonts w:ascii="Times New Roman" w:hAnsi="Times New Roman" w:cs="Times New Roman"/>
                <w:sz w:val="28"/>
                <w:szCs w:val="28"/>
              </w:rPr>
              <w:br/>
              <w:t xml:space="preserve"> (7) Active infection, acute myocardial infarction </w:t>
            </w:r>
            <w:r>
              <w:rPr>
                <w:rFonts w:ascii="Times New Roman" w:hAnsi="Times New Roman" w:cs="Times New Roman"/>
                <w:sz w:val="28"/>
                <w:szCs w:val="28"/>
              </w:rPr>
              <w:lastRenderedPageBreak/>
              <w:t>within the last 6 months, severe cardiac arrhythmia requiring long-term pharmacologic intervention, severe stroke, uncontrolled epilepsy, or other serious medical comorbidity.</w:t>
            </w:r>
            <w:r>
              <w:rPr>
                <w:rFonts w:ascii="Times New Roman" w:hAnsi="Times New Roman" w:cs="Times New Roman"/>
                <w:sz w:val="28"/>
                <w:szCs w:val="28"/>
              </w:rPr>
              <w:br/>
              <w:t xml:space="preserve"> (8) History of other malignant diseases in the last 5 years, except cured skin cancer or cervical carcinoma in situ.</w:t>
            </w:r>
          </w:p>
        </w:tc>
      </w:tr>
      <w:tr w:rsidR="009D72E0" w14:paraId="609A6C33" w14:textId="77777777">
        <w:trPr>
          <w:trHeight w:val="657"/>
        </w:trPr>
        <w:tc>
          <w:tcPr>
            <w:tcW w:w="2400" w:type="dxa"/>
          </w:tcPr>
          <w:p w14:paraId="17855680"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Means of intervention</w:t>
            </w:r>
          </w:p>
        </w:tc>
        <w:tc>
          <w:tcPr>
            <w:tcW w:w="6183" w:type="dxa"/>
          </w:tcPr>
          <w:p w14:paraId="715435ED"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Radiation therapy:</w:t>
            </w:r>
            <w:r>
              <w:rPr>
                <w:rFonts w:ascii="Times New Roman" w:hAnsi="Times New Roman" w:cs="Times New Roman"/>
                <w:sz w:val="28"/>
                <w:szCs w:val="28"/>
              </w:rPr>
              <w:br/>
              <w:t xml:space="preserve"> (1) Irradiation method: IMRT/VMAT.</w:t>
            </w:r>
            <w:r>
              <w:rPr>
                <w:rFonts w:ascii="Times New Roman" w:hAnsi="Times New Roman" w:cs="Times New Roman"/>
                <w:sz w:val="28"/>
                <w:szCs w:val="28"/>
              </w:rPr>
              <w:br/>
              <w:t xml:space="preserve"> (2) Position fixation: patients take the supine position, hands holding elbows on forehead, thermoplastic body film fixation.</w:t>
            </w:r>
            <w:r>
              <w:rPr>
                <w:rFonts w:ascii="Times New Roman" w:hAnsi="Times New Roman" w:cs="Times New Roman"/>
                <w:sz w:val="28"/>
                <w:szCs w:val="28"/>
              </w:rPr>
              <w:br/>
              <w:t xml:space="preserve"> (3) CT/MR simulation: the CT simulation scanning is performed from the </w:t>
            </w:r>
            <w:r>
              <w:rPr>
                <w:rFonts w:ascii="Times New Roman" w:eastAsia="宋体" w:hAnsi="Times New Roman" w:cs="Times New Roman" w:hint="eastAsia"/>
                <w:sz w:val="28"/>
                <w:szCs w:val="28"/>
                <w:lang w:eastAsia="zh-CN"/>
              </w:rPr>
              <w:t>carin</w:t>
            </w:r>
            <w:r>
              <w:rPr>
                <w:rFonts w:ascii="Times New Roman" w:eastAsia="宋体" w:hAnsi="Times New Roman" w:cs="Times New Roman" w:hint="eastAsia"/>
                <w:sz w:val="28"/>
                <w:szCs w:val="28"/>
                <w:u w:val="dotted"/>
                <w:lang w:eastAsia="zh-CN"/>
              </w:rPr>
              <w:t>a</w:t>
            </w:r>
            <w:r>
              <w:rPr>
                <w:rFonts w:ascii="Times New Roman" w:hAnsi="Times New Roman" w:cs="Times New Roman"/>
                <w:sz w:val="28"/>
                <w:szCs w:val="28"/>
              </w:rPr>
              <w:t xml:space="preserve"> to the level of lumbar 4 vertebrae, and the scanning layer thickness was 0.5 cm. At the end of the CT scan, an MR simulation scan is performed in the same position, with the same thermoplastic film fixation and the same center, to collect T2, T1 and T1+C images. And the MR scanning images are aligned with the CT scanning images.</w:t>
            </w:r>
          </w:p>
          <w:p w14:paraId="46A5C599"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(4) Outline the target area</w:t>
            </w:r>
            <w:r>
              <w:rPr>
                <w:rFonts w:ascii="Times New Roman" w:hAnsi="Times New Roman" w:cs="Times New Roman"/>
                <w:sz w:val="28"/>
                <w:szCs w:val="28"/>
              </w:rPr>
              <w:br/>
              <w:t xml:space="preserve"> </w:t>
            </w:r>
            <w:proofErr w:type="spellStart"/>
            <w:r>
              <w:rPr>
                <w:rFonts w:ascii="Times New Roman" w:hAnsi="Times New Roman" w:cs="Times New Roman"/>
                <w:sz w:val="28"/>
                <w:szCs w:val="28"/>
              </w:rPr>
              <w:t>GTVp</w:t>
            </w:r>
            <w:proofErr w:type="spellEnd"/>
            <w:r>
              <w:rPr>
                <w:rFonts w:ascii="Times New Roman" w:hAnsi="Times New Roman" w:cs="Times New Roman"/>
                <w:sz w:val="28"/>
                <w:szCs w:val="28"/>
              </w:rPr>
              <w:t xml:space="preserve"> is defined as the primary tumor, and the extent of the tumor is determined according to the localized CT/MR enhancement range, referring to the baseline diagnostic CT and endoscopic results.</w:t>
            </w:r>
            <w:r>
              <w:rPr>
                <w:rFonts w:ascii="Times New Roman" w:hAnsi="Times New Roman" w:cs="Times New Roman"/>
                <w:sz w:val="28"/>
                <w:szCs w:val="28"/>
              </w:rPr>
              <w:br/>
            </w:r>
            <w:r>
              <w:rPr>
                <w:rFonts w:ascii="Times New Roman" w:hAnsi="Times New Roman" w:cs="Times New Roman"/>
                <w:sz w:val="28"/>
                <w:szCs w:val="28"/>
              </w:rPr>
              <w:lastRenderedPageBreak/>
              <w:t xml:space="preserve"> </w:t>
            </w:r>
            <w:proofErr w:type="spellStart"/>
            <w:r>
              <w:rPr>
                <w:rFonts w:ascii="Times New Roman" w:hAnsi="Times New Roman" w:cs="Times New Roman"/>
                <w:sz w:val="28"/>
                <w:szCs w:val="28"/>
              </w:rPr>
              <w:t>GTVnd</w:t>
            </w:r>
            <w:proofErr w:type="spellEnd"/>
            <w:r>
              <w:rPr>
                <w:rFonts w:ascii="Times New Roman" w:hAnsi="Times New Roman" w:cs="Times New Roman"/>
                <w:sz w:val="28"/>
                <w:szCs w:val="28"/>
              </w:rPr>
              <w:t xml:space="preserve"> is defined as the positive regional lymph node, which is determined with reference to the baseline diagnostic CT.</w:t>
            </w:r>
            <w:r>
              <w:rPr>
                <w:rFonts w:ascii="Times New Roman" w:hAnsi="Times New Roman" w:cs="Times New Roman"/>
                <w:sz w:val="28"/>
                <w:szCs w:val="28"/>
              </w:rPr>
              <w:br/>
              <w:t xml:space="preserve"> CTV includes </w:t>
            </w:r>
            <w:proofErr w:type="spellStart"/>
            <w:r>
              <w:rPr>
                <w:rFonts w:ascii="Times New Roman" w:hAnsi="Times New Roman" w:cs="Times New Roman"/>
                <w:sz w:val="28"/>
                <w:szCs w:val="28"/>
              </w:rPr>
              <w:t>CTVp</w:t>
            </w:r>
            <w:proofErr w:type="spellEnd"/>
            <w:r>
              <w:rPr>
                <w:rFonts w:ascii="Times New Roman" w:hAnsi="Times New Roman" w:cs="Times New Roman"/>
                <w:sz w:val="28"/>
                <w:szCs w:val="28"/>
              </w:rPr>
              <w:t xml:space="preserve"> (CTV of the </w:t>
            </w:r>
            <w:proofErr w:type="spellStart"/>
            <w:r>
              <w:rPr>
                <w:rFonts w:ascii="Times New Roman" w:hAnsi="Times New Roman" w:cs="Times New Roman"/>
                <w:sz w:val="28"/>
                <w:szCs w:val="28"/>
              </w:rPr>
              <w:t>GTVp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CTVnd</w:t>
            </w:r>
            <w:proofErr w:type="spellEnd"/>
            <w:r>
              <w:rPr>
                <w:rFonts w:ascii="Times New Roman" w:hAnsi="Times New Roman" w:cs="Times New Roman"/>
                <w:sz w:val="28"/>
                <w:szCs w:val="28"/>
              </w:rPr>
              <w:t xml:space="preserve"> (CTV of the </w:t>
            </w:r>
            <w:proofErr w:type="spellStart"/>
            <w:r>
              <w:rPr>
                <w:rFonts w:ascii="Times New Roman" w:hAnsi="Times New Roman" w:cs="Times New Roman"/>
                <w:sz w:val="28"/>
                <w:szCs w:val="28"/>
              </w:rPr>
              <w:t>GTVnd</w:t>
            </w:r>
            <w:proofErr w:type="spellEnd"/>
            <w:r>
              <w:rPr>
                <w:rFonts w:ascii="Times New Roman" w:hAnsi="Times New Roman" w:cs="Times New Roman"/>
                <w:sz w:val="28"/>
                <w:szCs w:val="28"/>
              </w:rPr>
              <w:t xml:space="preserve">), and high-risk lymphatic drainage area. </w:t>
            </w:r>
            <w:proofErr w:type="spellStart"/>
            <w:r>
              <w:rPr>
                <w:rFonts w:ascii="Times New Roman" w:hAnsi="Times New Roman" w:cs="Times New Roman"/>
                <w:sz w:val="28"/>
                <w:szCs w:val="28"/>
              </w:rPr>
              <w:t>CTVp</w:t>
            </w:r>
            <w:proofErr w:type="spellEnd"/>
            <w:r>
              <w:rPr>
                <w:rFonts w:ascii="Times New Roman" w:hAnsi="Times New Roman" w:cs="Times New Roman"/>
                <w:sz w:val="28"/>
                <w:szCs w:val="28"/>
              </w:rPr>
              <w:t xml:space="preserve"> extends the </w:t>
            </w:r>
            <w:proofErr w:type="spellStart"/>
            <w:r>
              <w:rPr>
                <w:rFonts w:ascii="Times New Roman" w:hAnsi="Times New Roman" w:cs="Times New Roman"/>
                <w:sz w:val="28"/>
                <w:szCs w:val="28"/>
              </w:rPr>
              <w:t>GTVp</w:t>
            </w:r>
            <w:proofErr w:type="spellEnd"/>
            <w:r>
              <w:rPr>
                <w:rFonts w:ascii="Times New Roman" w:hAnsi="Times New Roman" w:cs="Times New Roman"/>
                <w:sz w:val="28"/>
                <w:szCs w:val="28"/>
              </w:rPr>
              <w:t xml:space="preserve"> by 3 cm upward and downward, and has a left, right, and anterior-posterior expansion of 1-1.5 cm. </w:t>
            </w:r>
            <w:proofErr w:type="spellStart"/>
            <w:r>
              <w:rPr>
                <w:rFonts w:ascii="Times New Roman" w:hAnsi="Times New Roman" w:cs="Times New Roman"/>
                <w:sz w:val="28"/>
                <w:szCs w:val="28"/>
              </w:rPr>
              <w:t>CTVnd</w:t>
            </w:r>
            <w:proofErr w:type="spellEnd"/>
            <w:r>
              <w:rPr>
                <w:rFonts w:ascii="Times New Roman" w:hAnsi="Times New Roman" w:cs="Times New Roman"/>
                <w:sz w:val="28"/>
                <w:szCs w:val="28"/>
              </w:rPr>
              <w:t xml:space="preserve"> includes the </w:t>
            </w:r>
            <w:proofErr w:type="spellStart"/>
            <w:r>
              <w:rPr>
                <w:rFonts w:ascii="Times New Roman" w:hAnsi="Times New Roman" w:cs="Times New Roman"/>
                <w:sz w:val="28"/>
                <w:szCs w:val="28"/>
              </w:rPr>
              <w:t>GTVnd</w:t>
            </w:r>
            <w:proofErr w:type="spellEnd"/>
            <w:r>
              <w:rPr>
                <w:rFonts w:ascii="Times New Roman" w:hAnsi="Times New Roman" w:cs="Times New Roman"/>
                <w:sz w:val="28"/>
                <w:szCs w:val="28"/>
              </w:rPr>
              <w:t xml:space="preserve"> with a 0.5-cm expansion in all direction. The high-risk lymphatic drainage areas include mainly lymph nodes in groups 19, 20, 110, 111, 1, 2, 3, 4sa, 7, 9, 11, 16a, and will be adjusted according to the extent of the primary tumor.</w:t>
            </w:r>
            <w:r>
              <w:rPr>
                <w:rFonts w:ascii="Times New Roman" w:hAnsi="Times New Roman" w:cs="Times New Roman"/>
                <w:sz w:val="28"/>
                <w:szCs w:val="28"/>
              </w:rPr>
              <w:br/>
              <w:t>The PTV is expanded by 0.5 cm in three dimensions from the respective CTV.</w:t>
            </w:r>
            <w:r>
              <w:rPr>
                <w:rFonts w:ascii="Times New Roman" w:hAnsi="Times New Roman" w:cs="Times New Roman"/>
                <w:sz w:val="28"/>
                <w:szCs w:val="28"/>
              </w:rPr>
              <w:br/>
              <w:t xml:space="preserve">  Prescribed dose definition: 95% PGTV: 46Gy, 2Gy/F; 95% PTV: 41.4Gy , 1.8Gy/F; 23F.</w:t>
            </w:r>
            <w:r>
              <w:rPr>
                <w:rFonts w:ascii="Times New Roman" w:hAnsi="Times New Roman" w:cs="Times New Roman"/>
                <w:sz w:val="28"/>
                <w:szCs w:val="28"/>
              </w:rPr>
              <w:br/>
              <w:t xml:space="preserve"> (5) Outlining the organs at risk (OAR)</w:t>
            </w:r>
            <w:r>
              <w:rPr>
                <w:rFonts w:ascii="Times New Roman" w:hAnsi="Times New Roman" w:cs="Times New Roman"/>
                <w:sz w:val="28"/>
                <w:szCs w:val="28"/>
              </w:rPr>
              <w:br/>
              <w:t xml:space="preserve"> Spinal cord, small intestine, liver, bilateral kidneys and so on should be outlined. Minimize the amount of organ-at-risk exposure as long as conditions are met.</w:t>
            </w:r>
            <w:r>
              <w:rPr>
                <w:rFonts w:ascii="Times New Roman" w:hAnsi="Times New Roman" w:cs="Times New Roman"/>
                <w:sz w:val="28"/>
                <w:szCs w:val="28"/>
              </w:rPr>
              <w:br/>
              <w:t xml:space="preserve"> Chemotherapy:</w:t>
            </w:r>
            <w:r>
              <w:rPr>
                <w:rFonts w:ascii="Times New Roman" w:hAnsi="Times New Roman" w:cs="Times New Roman"/>
                <w:sz w:val="28"/>
                <w:szCs w:val="28"/>
              </w:rPr>
              <w:br/>
              <w:t xml:space="preserve">Simultaneous chemotherapy with preoperative radiotherapy: single-week SOX regimen (Oxaliplatin 40mg/m2 d1 +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Potassium Capsules 30mg/m2 d1-5/w, 5 cycles in total). </w:t>
            </w:r>
            <w:r>
              <w:rPr>
                <w:rFonts w:ascii="Times New Roman" w:hAnsi="Times New Roman" w:cs="Times New Roman"/>
                <w:sz w:val="28"/>
                <w:szCs w:val="28"/>
              </w:rPr>
              <w:br/>
              <w:t xml:space="preserve">Postoperative chemotherapy: three-week SOX regimen (Oxaliplatin 130mg/m2 d1 +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40-60mg bid d1-14, q3w; 4 cycles in total).</w:t>
            </w:r>
            <w:r>
              <w:rPr>
                <w:rFonts w:ascii="Times New Roman" w:hAnsi="Times New Roman" w:cs="Times New Roman"/>
                <w:sz w:val="28"/>
                <w:szCs w:val="28"/>
              </w:rPr>
              <w:br/>
              <w:t xml:space="preserve"> Surgery:</w:t>
            </w:r>
            <w:r>
              <w:rPr>
                <w:rFonts w:ascii="Times New Roman" w:hAnsi="Times New Roman" w:cs="Times New Roman"/>
                <w:sz w:val="28"/>
                <w:szCs w:val="28"/>
              </w:rPr>
              <w:br/>
              <w:t xml:space="preserve"> Radical gastrectomy + D2 lymph node dissection+ Digestive tract reconstruction.</w:t>
            </w:r>
            <w:r>
              <w:rPr>
                <w:rFonts w:ascii="Times New Roman" w:hAnsi="Times New Roman" w:cs="Times New Roman"/>
                <w:sz w:val="28"/>
                <w:szCs w:val="28"/>
              </w:rPr>
              <w:br/>
              <w:t xml:space="preserve"> Immunotherapy:</w:t>
            </w:r>
            <w:r>
              <w:rPr>
                <w:rFonts w:ascii="Times New Roman" w:hAnsi="Times New Roman" w:cs="Times New Roman"/>
                <w:sz w:val="28"/>
                <w:szCs w:val="28"/>
              </w:rPr>
              <w:br/>
              <w:t xml:space="preserve"> The trial drug is Juniper's original PD-1 inhibitor,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w:t>
            </w:r>
            <w:r>
              <w:rPr>
                <w:rFonts w:ascii="Times New Roman" w:hAnsi="Times New Roman" w:cs="Times New Roman"/>
                <w:sz w:val="28"/>
                <w:szCs w:val="28"/>
              </w:rPr>
              <w:br/>
              <w:t xml:space="preserve"> Specification: 6 mL: 240 mg</w:t>
            </w:r>
            <w:r>
              <w:rPr>
                <w:rFonts w:ascii="Times New Roman" w:hAnsi="Times New Roman" w:cs="Times New Roman"/>
                <w:sz w:val="28"/>
                <w:szCs w:val="28"/>
              </w:rPr>
              <w:br/>
              <w:t xml:space="preserve"> Administration: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240 mg, d1, intravenous infusion, every 3 weeks. Total cycle of treatments: 8 (4 preoperative cycles and 4 postoperative cycles).</w:t>
            </w:r>
          </w:p>
        </w:tc>
      </w:tr>
      <w:tr w:rsidR="009D72E0" w14:paraId="25FC0B3E" w14:textId="77777777">
        <w:trPr>
          <w:trHeight w:val="3074"/>
        </w:trPr>
        <w:tc>
          <w:tcPr>
            <w:tcW w:w="2400" w:type="dxa"/>
            <w:vMerge w:val="restart"/>
          </w:tcPr>
          <w:p w14:paraId="1F35D6C4"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Evaluation Criteria</w:t>
            </w:r>
          </w:p>
        </w:tc>
        <w:tc>
          <w:tcPr>
            <w:tcW w:w="6183" w:type="dxa"/>
          </w:tcPr>
          <w:p w14:paraId="6F7CE8CE"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Safety evaluation:</w:t>
            </w:r>
            <w:r>
              <w:rPr>
                <w:rFonts w:ascii="Times New Roman" w:hAnsi="Times New Roman" w:cs="Times New Roman"/>
                <w:sz w:val="28"/>
                <w:szCs w:val="28"/>
              </w:rPr>
              <w:br/>
              <w:t xml:space="preserve"> (1) The adverse event (AE), treatment emergent adverse event (TEAE), adverse event of special interest (AESI), and serious adverse event (SAE) are reviewed for incidence, relevance to the trial drug, and severity.</w:t>
            </w:r>
            <w:r>
              <w:rPr>
                <w:rFonts w:ascii="Times New Roman" w:hAnsi="Times New Roman" w:cs="Times New Roman"/>
                <w:sz w:val="28"/>
                <w:szCs w:val="28"/>
              </w:rPr>
              <w:br/>
              <w:t xml:space="preserve"> (2) Safety analyses are performed according to the changes of laboratory tests, vital signs, </w:t>
            </w:r>
            <w:r>
              <w:rPr>
                <w:rFonts w:ascii="Times New Roman" w:hAnsi="Times New Roman" w:cs="Times New Roman"/>
                <w:sz w:val="28"/>
                <w:szCs w:val="28"/>
              </w:rPr>
              <w:lastRenderedPageBreak/>
              <w:t>electrocardiograms, immunogenicity, and so on, before, during and after treatment.</w:t>
            </w:r>
          </w:p>
        </w:tc>
      </w:tr>
      <w:tr w:rsidR="009D72E0" w14:paraId="703F9391" w14:textId="77777777">
        <w:tc>
          <w:tcPr>
            <w:tcW w:w="0" w:type="auto"/>
            <w:vMerge/>
            <w:vAlign w:val="center"/>
          </w:tcPr>
          <w:p w14:paraId="51480C49" w14:textId="77777777" w:rsidR="009D72E0" w:rsidRDefault="009D72E0">
            <w:pPr>
              <w:spacing w:after="0" w:line="360" w:lineRule="auto"/>
              <w:rPr>
                <w:rFonts w:ascii="Times New Roman" w:eastAsia="宋体" w:hAnsi="Times New Roman" w:cs="Times New Roman"/>
                <w:kern w:val="2"/>
                <w:sz w:val="28"/>
                <w:szCs w:val="28"/>
              </w:rPr>
            </w:pPr>
          </w:p>
        </w:tc>
        <w:tc>
          <w:tcPr>
            <w:tcW w:w="6183" w:type="dxa"/>
          </w:tcPr>
          <w:p w14:paraId="540C204A"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Efficacy Evaluation:</w:t>
            </w:r>
            <w:r>
              <w:rPr>
                <w:rFonts w:ascii="Times New Roman" w:hAnsi="Times New Roman" w:cs="Times New Roman"/>
                <w:sz w:val="28"/>
                <w:szCs w:val="28"/>
              </w:rPr>
              <w:br/>
              <w:t xml:space="preserve"> The efficacy evaluation follows RECIST criteria and is performed by the investigator and the medical imaging department, respectively. The tumor regression grading (TRG) rating is assessed after surgery based on the pathological diagnosis. The grading system recommended by the NCCN to assess the response to tumor treatment is as follows: grade 0 (complete response) - no residual viable cancer cells, grade 1 (moderate response) - single or small clusters of residual cancer cells, grade 2 (mild response) - residual cancer foci, interstitial fibrosis, grade 3 (poor response) - few or no cancer cells resolved. Disease free survival (DFS) and 1-year and 3-year DFS rates, overall survival (OS) and 1-year and 3-year survival rates are recorded and calculated at follow-up.</w:t>
            </w:r>
          </w:p>
        </w:tc>
      </w:tr>
      <w:tr w:rsidR="009D72E0" w14:paraId="224A7EEC" w14:textId="77777777">
        <w:tc>
          <w:tcPr>
            <w:tcW w:w="2400" w:type="dxa"/>
            <w:tcBorders>
              <w:bottom w:val="single" w:sz="12" w:space="0" w:color="auto"/>
            </w:tcBorders>
          </w:tcPr>
          <w:p w14:paraId="520D15F7"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Statistical methods</w:t>
            </w:r>
          </w:p>
        </w:tc>
        <w:tc>
          <w:tcPr>
            <w:tcW w:w="6183" w:type="dxa"/>
            <w:tcBorders>
              <w:bottom w:val="single" w:sz="12" w:space="0" w:color="auto"/>
            </w:tcBorders>
          </w:tcPr>
          <w:p w14:paraId="5B107AF9"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Sample size:</w:t>
            </w:r>
            <w:r>
              <w:rPr>
                <w:rFonts w:ascii="Times New Roman" w:hAnsi="Times New Roman" w:cs="Times New Roman"/>
                <w:sz w:val="28"/>
                <w:szCs w:val="28"/>
              </w:rPr>
              <w:br/>
              <w:t xml:space="preserve">This study is a single-arm exploratory clinical trial, and PASS 15 software was used to calculate the </w:t>
            </w:r>
            <w:r>
              <w:rPr>
                <w:rFonts w:ascii="Times New Roman" w:hAnsi="Times New Roman" w:cs="Times New Roman"/>
                <w:sz w:val="28"/>
                <w:szCs w:val="28"/>
              </w:rPr>
              <w:lastRenderedPageBreak/>
              <w:t>sample size. According to the data of historical studies, the proportion of TRG grade 0+1 in conventional treatment (chemoradiotherapy) is 55%, and the proportion of TRG grade 0+1 in immunotherapy combined with chemoradiotherapy is expected to be 75%</w:t>
            </w:r>
            <w:r>
              <w:rPr>
                <w:rFonts w:ascii="Times New Roman" w:eastAsia="宋体" w:hAnsi="Times New Roman" w:cs="Times New Roman" w:hint="eastAsia"/>
                <w:sz w:val="28"/>
                <w:szCs w:val="28"/>
                <w:lang w:eastAsia="zh-CN"/>
              </w:rPr>
              <w:t>. Sample size was calculated using two-sided confidence interval method, with</w:t>
            </w:r>
            <w:r>
              <w:rPr>
                <w:rFonts w:ascii="Times New Roman" w:hAnsi="Times New Roman" w:cs="Times New Roman"/>
                <w:sz w:val="28"/>
                <w:szCs w:val="28"/>
              </w:rPr>
              <w:t xml:space="preserve"> </w:t>
            </w:r>
            <w:r>
              <w:rPr>
                <w:rFonts w:ascii="Times New Roman" w:eastAsia="宋体" w:hAnsi="Times New Roman" w:cs="Times New Roman" w:hint="eastAsia"/>
                <w:sz w:val="28"/>
                <w:szCs w:val="28"/>
                <w:lang w:eastAsia="zh-CN"/>
              </w:rPr>
              <w:t>α</w:t>
            </w:r>
            <w:r>
              <w:rPr>
                <w:rFonts w:ascii="Times New Roman" w:hAnsi="Times New Roman" w:cs="Times New Roman"/>
                <w:sz w:val="28"/>
                <w:szCs w:val="28"/>
              </w:rPr>
              <w:t>=0.</w:t>
            </w:r>
            <w:r>
              <w:rPr>
                <w:rFonts w:ascii="Times New Roman" w:eastAsia="宋体" w:hAnsi="Times New Roman" w:cs="Times New Roman" w:hint="eastAsia"/>
                <w:sz w:val="28"/>
                <w:szCs w:val="28"/>
                <w:lang w:eastAsia="zh-CN"/>
              </w:rPr>
              <w:t>0</w:t>
            </w:r>
            <w:r>
              <w:rPr>
                <w:rFonts w:ascii="Times New Roman" w:hAnsi="Times New Roman" w:cs="Times New Roman"/>
                <w:sz w:val="28"/>
                <w:szCs w:val="28"/>
              </w:rPr>
              <w:t>5, power=0.8, and the minimum sample size is calculated to be 37 cases, and considering that the drop-out rate does not exceed 10%, the enrollment of this study is planned to be 40 cases.</w:t>
            </w:r>
            <w:r>
              <w:rPr>
                <w:rFonts w:ascii="Times New Roman" w:hAnsi="Times New Roman" w:cs="Times New Roman"/>
                <w:sz w:val="28"/>
                <w:szCs w:val="28"/>
              </w:rPr>
              <w:br/>
              <w:t xml:space="preserve"> Statistical analysis methods:</w:t>
            </w:r>
            <w:r>
              <w:rPr>
                <w:rFonts w:ascii="Times New Roman" w:hAnsi="Times New Roman" w:cs="Times New Roman"/>
                <w:sz w:val="28"/>
                <w:szCs w:val="28"/>
              </w:rPr>
              <w:br/>
              <w:t>General statistical methods:</w:t>
            </w:r>
            <w:r>
              <w:rPr>
                <w:rFonts w:ascii="Times New Roman" w:hAnsi="Times New Roman" w:cs="Times New Roman"/>
                <w:sz w:val="28"/>
                <w:szCs w:val="28"/>
              </w:rPr>
              <w:br/>
              <w:t xml:space="preserve"> Measurement data is described by mean, median, maximum and minimum value, and standard deviation; count data is described by frequency and percentage. All statistical analyses are performed using SPSS 24.0.</w:t>
            </w:r>
            <w:r>
              <w:rPr>
                <w:rFonts w:ascii="Times New Roman" w:hAnsi="Times New Roman" w:cs="Times New Roman"/>
                <w:sz w:val="28"/>
                <w:szCs w:val="28"/>
              </w:rPr>
              <w:br/>
              <w:t>Safety analysis:</w:t>
            </w:r>
            <w:r>
              <w:rPr>
                <w:rFonts w:ascii="Times New Roman" w:hAnsi="Times New Roman" w:cs="Times New Roman"/>
                <w:sz w:val="28"/>
                <w:szCs w:val="28"/>
              </w:rPr>
              <w:br/>
              <w:t xml:space="preserve"> Safety analyses will be performed using the safety set, and safety indicators include adverse events, laboratory tests, vital signs, electrocardiograms, immunogenicity, and so on. Adverse events will also be aggregated and summarized.</w:t>
            </w:r>
            <w:r>
              <w:rPr>
                <w:rFonts w:ascii="Times New Roman" w:hAnsi="Times New Roman" w:cs="Times New Roman"/>
                <w:sz w:val="28"/>
                <w:szCs w:val="28"/>
              </w:rPr>
              <w:br/>
              <w:t>Efficacy Analysis:</w:t>
            </w:r>
            <w:r>
              <w:rPr>
                <w:rFonts w:ascii="Times New Roman" w:hAnsi="Times New Roman" w:cs="Times New Roman"/>
                <w:sz w:val="28"/>
                <w:szCs w:val="28"/>
              </w:rPr>
              <w:br/>
              <w:t>TRG classification will be calculated, and Kaplan-</w:t>
            </w:r>
            <w:r>
              <w:rPr>
                <w:rFonts w:ascii="Times New Roman" w:hAnsi="Times New Roman" w:cs="Times New Roman"/>
                <w:sz w:val="28"/>
                <w:szCs w:val="28"/>
              </w:rPr>
              <w:lastRenderedPageBreak/>
              <w:t>Meier method will be used to estimate median disease-free survival (</w:t>
            </w:r>
            <w:proofErr w:type="spellStart"/>
            <w:r>
              <w:rPr>
                <w:rFonts w:ascii="Times New Roman" w:hAnsi="Times New Roman" w:cs="Times New Roman"/>
                <w:sz w:val="28"/>
                <w:szCs w:val="28"/>
              </w:rPr>
              <w:t>mDFS</w:t>
            </w:r>
            <w:proofErr w:type="spellEnd"/>
            <w:r>
              <w:rPr>
                <w:rFonts w:ascii="Times New Roman" w:hAnsi="Times New Roman" w:cs="Times New Roman"/>
                <w:sz w:val="28"/>
                <w:szCs w:val="28"/>
              </w:rPr>
              <w:t>), median overall survival (</w:t>
            </w:r>
            <w:proofErr w:type="spellStart"/>
            <w:r>
              <w:rPr>
                <w:rFonts w:ascii="Times New Roman" w:hAnsi="Times New Roman" w:cs="Times New Roman"/>
                <w:sz w:val="28"/>
                <w:szCs w:val="28"/>
              </w:rPr>
              <w:t>mOS</w:t>
            </w:r>
            <w:proofErr w:type="spellEnd"/>
            <w:r>
              <w:rPr>
                <w:rFonts w:ascii="Times New Roman" w:hAnsi="Times New Roman" w:cs="Times New Roman"/>
                <w:sz w:val="28"/>
                <w:szCs w:val="28"/>
              </w:rPr>
              <w:t>), and 1-year and 3-year DFS and OS. And local control of enrolled patients will also be evaluated.</w:t>
            </w:r>
            <w:r>
              <w:rPr>
                <w:rFonts w:ascii="Times New Roman" w:hAnsi="Times New Roman" w:cs="Times New Roman"/>
                <w:sz w:val="28"/>
                <w:szCs w:val="28"/>
              </w:rPr>
              <w:br/>
              <w:t>Subgroup analyses of the validity of gender, age, ECOG score, Siewert classification, Lauren classification, lymph node metastasis, CEA level, HER-2 expression, PD-L1 expression, MSI status, EBV status, and other clinically recognized factors that may affect prognosis will be performed. The subgroup analyses conducted will be defined in detail in the statistical analysis plan.</w:t>
            </w:r>
          </w:p>
        </w:tc>
      </w:tr>
    </w:tbl>
    <w:p w14:paraId="1EF3DCC2" w14:textId="77777777" w:rsidR="009D72E0" w:rsidRDefault="009D72E0">
      <w:pPr>
        <w:spacing w:after="0" w:line="360" w:lineRule="auto"/>
        <w:rPr>
          <w:rFonts w:ascii="Times New Roman" w:hAnsi="Times New Roman" w:cs="Times New Roman"/>
          <w:sz w:val="28"/>
          <w:szCs w:val="28"/>
        </w:rPr>
      </w:pPr>
    </w:p>
    <w:p w14:paraId="0C68BAB9"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14:paraId="28D0002F" w14:textId="77777777" w:rsidR="009D72E0" w:rsidRDefault="00000000">
      <w:pPr>
        <w:spacing w:after="0" w:line="360" w:lineRule="auto"/>
        <w:rPr>
          <w:rFonts w:ascii="Times New Roman" w:hAnsi="Times New Roman" w:cs="Times New Roman"/>
          <w:b/>
          <w:bCs/>
          <w:sz w:val="32"/>
          <w:szCs w:val="32"/>
        </w:rPr>
      </w:pPr>
      <w:r>
        <w:rPr>
          <w:rFonts w:ascii="Times New Roman" w:hAnsi="Times New Roman" w:cs="Times New Roman"/>
          <w:b/>
          <w:bCs/>
          <w:sz w:val="32"/>
          <w:szCs w:val="32"/>
        </w:rPr>
        <w:lastRenderedPageBreak/>
        <w:t>Tab</w:t>
      </w:r>
      <w:r>
        <w:rPr>
          <w:rFonts w:ascii="Times New Roman" w:eastAsia="宋体" w:hAnsi="Times New Roman" w:cs="Times New Roman"/>
          <w:b/>
          <w:bCs/>
          <w:sz w:val="32"/>
          <w:szCs w:val="32"/>
          <w:lang w:eastAsia="zh-CN"/>
        </w:rPr>
        <w:t>l</w:t>
      </w:r>
      <w:r>
        <w:rPr>
          <w:rFonts w:ascii="Times New Roman" w:hAnsi="Times New Roman" w:cs="Times New Roman"/>
          <w:b/>
          <w:bCs/>
          <w:sz w:val="32"/>
          <w:szCs w:val="32"/>
        </w:rPr>
        <w:t>e of Contents</w:t>
      </w:r>
    </w:p>
    <w:p w14:paraId="4EA3CEA9"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Ⅰ. Research Background</w:t>
      </w:r>
      <w:r>
        <w:rPr>
          <w:rFonts w:ascii="Times New Roman" w:eastAsia="宋体" w:hAnsi="Times New Roman" w:cs="Times New Roman" w:hint="eastAsia"/>
          <w:sz w:val="32"/>
          <w:szCs w:val="32"/>
          <w:lang w:eastAsia="zh-CN"/>
        </w:rPr>
        <w:t xml:space="preserve"> </w:t>
      </w:r>
      <w:r>
        <w:rPr>
          <w:rFonts w:ascii="Times New Roman" w:hAnsi="Times New Roman" w:cs="Times New Roman"/>
          <w:sz w:val="32"/>
          <w:szCs w:val="32"/>
        </w:rPr>
        <w:t>................................................................................</w:t>
      </w:r>
      <w:r>
        <w:rPr>
          <w:rFonts w:ascii="Times New Roman" w:eastAsia="宋体" w:hAnsi="Times New Roman" w:cs="Times New Roman" w:hint="eastAsia"/>
          <w:sz w:val="32"/>
          <w:szCs w:val="32"/>
          <w:lang w:eastAsia="zh-CN"/>
        </w:rPr>
        <w:t>15</w:t>
      </w:r>
    </w:p>
    <w:p w14:paraId="7D3BFD16"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Ⅱ. Research</w:t>
      </w:r>
      <w:r>
        <w:rPr>
          <w:rFonts w:ascii="Times New Roman" w:eastAsia="宋体" w:hAnsi="Times New Roman" w:cs="Times New Roman" w:hint="eastAsia"/>
          <w:sz w:val="32"/>
          <w:szCs w:val="32"/>
          <w:lang w:eastAsia="zh-CN"/>
        </w:rPr>
        <w:t xml:space="preserve"> </w:t>
      </w:r>
      <w:r>
        <w:rPr>
          <w:rFonts w:ascii="Times New Roman" w:hAnsi="Times New Roman" w:cs="Times New Roman"/>
          <w:sz w:val="32"/>
          <w:szCs w:val="32"/>
        </w:rPr>
        <w:t>Objectives ...................................................................................</w:t>
      </w:r>
      <w:r>
        <w:rPr>
          <w:rFonts w:ascii="Times New Roman" w:eastAsia="宋体" w:hAnsi="Times New Roman" w:cs="Times New Roman" w:hint="eastAsia"/>
          <w:sz w:val="32"/>
          <w:szCs w:val="32"/>
          <w:lang w:eastAsia="zh-CN"/>
        </w:rPr>
        <w:t>21</w:t>
      </w:r>
    </w:p>
    <w:p w14:paraId="01693114"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Ⅲ. Overall Study Design .........................................................................................</w:t>
      </w:r>
      <w:r>
        <w:rPr>
          <w:rFonts w:ascii="Times New Roman" w:eastAsia="宋体" w:hAnsi="Times New Roman" w:cs="Times New Roman" w:hint="eastAsia"/>
          <w:sz w:val="32"/>
          <w:szCs w:val="32"/>
          <w:lang w:eastAsia="zh-CN"/>
        </w:rPr>
        <w:t>21</w:t>
      </w:r>
    </w:p>
    <w:p w14:paraId="3B8C77F3"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Ⅳ. Study Population</w:t>
      </w:r>
      <w:r>
        <w:rPr>
          <w:rFonts w:ascii="Times New Roman" w:eastAsia="宋体" w:hAnsi="Times New Roman" w:cs="Times New Roman" w:hint="eastAsia"/>
          <w:sz w:val="32"/>
          <w:szCs w:val="32"/>
          <w:lang w:eastAsia="zh-CN"/>
        </w:rPr>
        <w:t xml:space="preserve"> </w:t>
      </w:r>
      <w:r>
        <w:rPr>
          <w:rFonts w:ascii="Times New Roman" w:hAnsi="Times New Roman" w:cs="Times New Roman"/>
          <w:sz w:val="32"/>
          <w:szCs w:val="32"/>
        </w:rPr>
        <w:t>...................................................................................</w:t>
      </w:r>
      <w:r>
        <w:rPr>
          <w:rFonts w:ascii="Times New Roman" w:eastAsia="宋体" w:hAnsi="Times New Roman" w:cs="Times New Roman" w:hint="eastAsia"/>
          <w:sz w:val="32"/>
          <w:szCs w:val="32"/>
          <w:lang w:eastAsia="zh-CN"/>
        </w:rPr>
        <w:t>23</w:t>
      </w:r>
    </w:p>
    <w:p w14:paraId="16E27B26"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Ⅴ. Pre-Enrollment Examinations and Treatment Implementation</w:t>
      </w:r>
      <w:r>
        <w:rPr>
          <w:rFonts w:ascii="Times New Roman" w:eastAsia="宋体" w:hAnsi="Times New Roman" w:cs="Times New Roman" w:hint="eastAsia"/>
          <w:sz w:val="32"/>
          <w:szCs w:val="32"/>
          <w:lang w:eastAsia="zh-CN"/>
        </w:rPr>
        <w:t xml:space="preserve"> </w:t>
      </w:r>
      <w:r>
        <w:rPr>
          <w:rFonts w:ascii="Times New Roman" w:hAnsi="Times New Roman" w:cs="Times New Roman"/>
          <w:sz w:val="32"/>
          <w:szCs w:val="32"/>
        </w:rPr>
        <w:t>.....................................</w:t>
      </w:r>
      <w:r>
        <w:rPr>
          <w:rFonts w:ascii="Times New Roman" w:eastAsia="宋体" w:hAnsi="Times New Roman" w:cs="Times New Roman" w:hint="eastAsia"/>
          <w:sz w:val="32"/>
          <w:szCs w:val="32"/>
          <w:lang w:eastAsia="zh-CN"/>
        </w:rPr>
        <w:t>.</w:t>
      </w:r>
      <w:r>
        <w:rPr>
          <w:rFonts w:ascii="Times New Roman" w:hAnsi="Times New Roman" w:cs="Times New Roman"/>
          <w:sz w:val="32"/>
          <w:szCs w:val="32"/>
        </w:rPr>
        <w:t>....................................</w:t>
      </w:r>
      <w:r>
        <w:rPr>
          <w:rFonts w:ascii="Times New Roman" w:eastAsia="宋体" w:hAnsi="Times New Roman" w:cs="Times New Roman" w:hint="eastAsia"/>
          <w:sz w:val="32"/>
          <w:szCs w:val="32"/>
          <w:lang w:eastAsia="zh-CN"/>
        </w:rPr>
        <w:t>26</w:t>
      </w:r>
    </w:p>
    <w:p w14:paraId="099B25E4"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Ⅵ. Study process ........................................................................................</w:t>
      </w:r>
      <w:r>
        <w:rPr>
          <w:rFonts w:ascii="Times New Roman" w:eastAsia="宋体" w:hAnsi="Times New Roman" w:cs="Times New Roman" w:hint="eastAsia"/>
          <w:sz w:val="32"/>
          <w:szCs w:val="32"/>
          <w:lang w:eastAsia="zh-CN"/>
        </w:rPr>
        <w:t>41</w:t>
      </w:r>
    </w:p>
    <w:p w14:paraId="20096170"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Ⅶ. Study evaluation ....................................................................................</w:t>
      </w:r>
      <w:r>
        <w:rPr>
          <w:rFonts w:ascii="Times New Roman" w:eastAsia="宋体" w:hAnsi="Times New Roman" w:cs="Times New Roman" w:hint="eastAsia"/>
          <w:sz w:val="32"/>
          <w:szCs w:val="32"/>
          <w:lang w:eastAsia="zh-CN"/>
        </w:rPr>
        <w:t>45</w:t>
      </w:r>
    </w:p>
    <w:p w14:paraId="22EBD5B7"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Ⅷ. Management of Adverse Events ..........................................................................................</w:t>
      </w:r>
      <w:r>
        <w:rPr>
          <w:rFonts w:ascii="Times New Roman" w:eastAsia="宋体" w:hAnsi="Times New Roman" w:cs="Times New Roman" w:hint="eastAsia"/>
          <w:sz w:val="32"/>
          <w:szCs w:val="32"/>
          <w:lang w:eastAsia="zh-CN"/>
        </w:rPr>
        <w:t>49</w:t>
      </w:r>
    </w:p>
    <w:p w14:paraId="4C7280A8"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Ⅸ. Data management and analysis ........................................................................................</w:t>
      </w:r>
      <w:r>
        <w:rPr>
          <w:rFonts w:ascii="Times New Roman" w:eastAsia="宋体" w:hAnsi="Times New Roman" w:cs="Times New Roman" w:hint="eastAsia"/>
          <w:sz w:val="32"/>
          <w:szCs w:val="32"/>
          <w:lang w:eastAsia="zh-CN"/>
        </w:rPr>
        <w:t>58</w:t>
      </w:r>
    </w:p>
    <w:p w14:paraId="5FBE8931"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Ⅹ. Study Quality Assurance and Quality Control ...............................................................................</w:t>
      </w:r>
      <w:r>
        <w:rPr>
          <w:rFonts w:ascii="Times New Roman" w:eastAsia="宋体" w:hAnsi="Times New Roman" w:cs="Times New Roman" w:hint="eastAsia"/>
          <w:sz w:val="32"/>
          <w:szCs w:val="32"/>
          <w:lang w:eastAsia="zh-CN"/>
        </w:rPr>
        <w:t>..........60</w:t>
      </w:r>
    </w:p>
    <w:p w14:paraId="2BA206AD" w14:textId="77777777" w:rsidR="009D72E0" w:rsidRDefault="00000000">
      <w:pPr>
        <w:spacing w:after="0" w:line="360" w:lineRule="auto"/>
        <w:rPr>
          <w:rFonts w:ascii="Times New Roman" w:hAnsi="Times New Roman" w:cs="Times New Roman"/>
          <w:sz w:val="32"/>
          <w:szCs w:val="32"/>
        </w:rPr>
      </w:pPr>
      <w:r>
        <w:rPr>
          <w:rFonts w:ascii="Times New Roman" w:hAnsi="Times New Roman" w:cs="Times New Roman"/>
          <w:sz w:val="32"/>
          <w:szCs w:val="32"/>
          <w:lang w:eastAsia="zh-CN"/>
        </w:rPr>
        <w:fldChar w:fldCharType="begin"/>
      </w:r>
      <w:r>
        <w:rPr>
          <w:rFonts w:ascii="Times New Roman" w:eastAsia="宋体" w:hAnsi="Times New Roman" w:cs="Times New Roman"/>
          <w:sz w:val="32"/>
          <w:szCs w:val="32"/>
          <w:lang w:eastAsia="zh-CN"/>
        </w:rPr>
        <w:instrText xml:space="preserve"> = 11 \* ROMAN </w:instrText>
      </w:r>
      <w:r>
        <w:rPr>
          <w:rFonts w:ascii="Times New Roman" w:hAnsi="Times New Roman" w:cs="Times New Roman"/>
          <w:sz w:val="32"/>
          <w:szCs w:val="32"/>
          <w:lang w:eastAsia="zh-CN"/>
        </w:rPr>
        <w:fldChar w:fldCharType="separate"/>
      </w:r>
      <w:r>
        <w:rPr>
          <w:rFonts w:ascii="Times New Roman" w:eastAsia="宋体" w:hAnsi="Times New Roman" w:cs="Times New Roman"/>
          <w:sz w:val="32"/>
          <w:szCs w:val="32"/>
          <w:lang w:eastAsia="zh-CN"/>
        </w:rPr>
        <w:t>XI</w:t>
      </w:r>
      <w:r>
        <w:rPr>
          <w:rFonts w:ascii="Times New Roman" w:hAnsi="Times New Roman" w:cs="Times New Roman"/>
          <w:sz w:val="32"/>
          <w:szCs w:val="32"/>
          <w:lang w:eastAsia="zh-CN"/>
        </w:rPr>
        <w:fldChar w:fldCharType="end"/>
      </w:r>
      <w:r>
        <w:rPr>
          <w:rFonts w:ascii="Times New Roman" w:hAnsi="Times New Roman" w:cs="Times New Roman"/>
          <w:sz w:val="32"/>
          <w:szCs w:val="32"/>
          <w:lang w:eastAsia="zh-CN"/>
        </w:rPr>
        <w:t>.</w:t>
      </w:r>
      <w:r>
        <w:rPr>
          <w:rFonts w:ascii="Times New Roman" w:eastAsia="宋体" w:hAnsi="Times New Roman" w:cs="Times New Roman" w:hint="eastAsia"/>
          <w:sz w:val="32"/>
          <w:szCs w:val="32"/>
          <w:lang w:eastAsia="zh-CN"/>
        </w:rPr>
        <w:t xml:space="preserve"> </w:t>
      </w:r>
      <w:r>
        <w:rPr>
          <w:rFonts w:ascii="Times New Roman" w:hAnsi="Times New Roman" w:cs="Times New Roman"/>
          <w:sz w:val="32"/>
          <w:szCs w:val="32"/>
        </w:rPr>
        <w:t>Ethics .............................................................................................</w:t>
      </w:r>
      <w:r>
        <w:rPr>
          <w:rFonts w:ascii="Times New Roman" w:eastAsia="宋体" w:hAnsi="Times New Roman" w:cs="Times New Roman" w:hint="eastAsia"/>
          <w:sz w:val="32"/>
          <w:szCs w:val="32"/>
          <w:lang w:eastAsia="zh-CN"/>
        </w:rPr>
        <w:t>61</w:t>
      </w:r>
      <w:r>
        <w:rPr>
          <w:rFonts w:ascii="Times New Roman" w:hAnsi="Times New Roman" w:cs="Times New Roman"/>
          <w:sz w:val="32"/>
          <w:szCs w:val="32"/>
        </w:rPr>
        <w:t xml:space="preserve"> </w:t>
      </w:r>
    </w:p>
    <w:p w14:paraId="01E6E794"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lastRenderedPageBreak/>
        <w:t>Appendix 1. ECOG Performance Status Scal</w:t>
      </w:r>
      <w:r>
        <w:rPr>
          <w:rFonts w:ascii="Times New Roman" w:eastAsia="宋体" w:hAnsi="Times New Roman" w:cs="Times New Roman"/>
          <w:sz w:val="32"/>
          <w:szCs w:val="32"/>
          <w:lang w:eastAsia="zh-CN"/>
        </w:rPr>
        <w:t>e</w:t>
      </w:r>
      <w:r>
        <w:rPr>
          <w:rFonts w:ascii="Times New Roman" w:hAnsi="Times New Roman" w:cs="Times New Roman"/>
          <w:sz w:val="32"/>
          <w:szCs w:val="32"/>
        </w:rPr>
        <w:t xml:space="preserve"> ..............................................................................................</w:t>
      </w:r>
      <w:r>
        <w:rPr>
          <w:rFonts w:ascii="Times New Roman" w:eastAsia="宋体" w:hAnsi="Times New Roman" w:cs="Times New Roman" w:hint="eastAsia"/>
          <w:sz w:val="32"/>
          <w:szCs w:val="32"/>
          <w:lang w:eastAsia="zh-CN"/>
        </w:rPr>
        <w:t>64</w:t>
      </w:r>
    </w:p>
    <w:p w14:paraId="124ECC3F" w14:textId="77777777" w:rsidR="009D72E0" w:rsidRDefault="00000000">
      <w:pPr>
        <w:spacing w:after="0" w:line="360" w:lineRule="auto"/>
        <w:rPr>
          <w:rFonts w:ascii="Times New Roman" w:eastAsia="宋体" w:hAnsi="Times New Roman" w:cs="Times New Roman"/>
          <w:sz w:val="32"/>
          <w:szCs w:val="32"/>
          <w:lang w:eastAsia="zh-CN"/>
        </w:rPr>
      </w:pPr>
      <w:r>
        <w:rPr>
          <w:rFonts w:ascii="Times New Roman" w:hAnsi="Times New Roman" w:cs="Times New Roman"/>
          <w:sz w:val="32"/>
          <w:szCs w:val="32"/>
        </w:rPr>
        <w:t xml:space="preserve">Appendix </w:t>
      </w:r>
      <w:r>
        <w:rPr>
          <w:rFonts w:ascii="Times New Roman" w:eastAsia="宋体" w:hAnsi="Times New Roman" w:cs="Times New Roman"/>
          <w:sz w:val="32"/>
          <w:szCs w:val="32"/>
          <w:lang w:eastAsia="zh-CN"/>
        </w:rPr>
        <w:t>2</w:t>
      </w:r>
      <w:r>
        <w:rPr>
          <w:rFonts w:ascii="Times New Roman" w:hAnsi="Times New Roman" w:cs="Times New Roman"/>
          <w:sz w:val="32"/>
          <w:szCs w:val="32"/>
        </w:rPr>
        <w:t>. Tumor Regression Grade (TRG) Criteria</w:t>
      </w:r>
      <w:r>
        <w:rPr>
          <w:rFonts w:ascii="Times New Roman" w:eastAsia="宋体" w:hAnsi="Times New Roman" w:cs="Times New Roman" w:hint="eastAsia"/>
          <w:sz w:val="32"/>
          <w:szCs w:val="32"/>
          <w:lang w:eastAsia="zh-CN"/>
        </w:rPr>
        <w:t xml:space="preserve"> </w:t>
      </w:r>
      <w:r>
        <w:rPr>
          <w:rFonts w:ascii="Times New Roman" w:hAnsi="Times New Roman" w:cs="Times New Roman"/>
          <w:sz w:val="32"/>
          <w:szCs w:val="32"/>
        </w:rPr>
        <w:t>.........................................................................................</w:t>
      </w:r>
      <w:r>
        <w:rPr>
          <w:rFonts w:ascii="Times New Roman" w:eastAsia="宋体" w:hAnsi="Times New Roman" w:cs="Times New Roman" w:hint="eastAsia"/>
          <w:sz w:val="32"/>
          <w:szCs w:val="32"/>
          <w:lang w:eastAsia="zh-CN"/>
        </w:rPr>
        <w:t>.65</w:t>
      </w:r>
    </w:p>
    <w:p w14:paraId="73FE3832"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sz w:val="28"/>
          <w:szCs w:val="28"/>
        </w:rPr>
        <w:br w:type="page"/>
      </w:r>
    </w:p>
    <w:p w14:paraId="7ABEC68E" w14:textId="77777777" w:rsidR="009D72E0" w:rsidRDefault="00000000">
      <w:pPr>
        <w:spacing w:after="0" w:line="360" w:lineRule="auto"/>
        <w:rPr>
          <w:rFonts w:ascii="Times New Roman" w:hAnsi="Times New Roman" w:cs="Times New Roman"/>
          <w:b/>
          <w:bCs/>
          <w:sz w:val="28"/>
          <w:szCs w:val="28"/>
        </w:rPr>
      </w:pPr>
      <w:bookmarkStart w:id="0" w:name="_Hlk206452297"/>
      <w:r>
        <w:rPr>
          <w:rFonts w:ascii="Times New Roman" w:hAnsi="Times New Roman" w:cs="Times New Roman"/>
          <w:b/>
          <w:bCs/>
          <w:sz w:val="28"/>
          <w:szCs w:val="28"/>
        </w:rPr>
        <w:lastRenderedPageBreak/>
        <w:t>Ⅰ. Research Background</w:t>
      </w:r>
    </w:p>
    <w:bookmarkEnd w:id="0"/>
    <w:p w14:paraId="03D4211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Gastric cancer is one of the most common malignant tumors worldwide, with poor prognosis. According to the latest statistics from GLOBOCAN, in 2018, there were about 1,033,000 new cases of gastric cancer and 783,000 deaths worldwide, which are located in the 5th place of malignant tumor incidence rate and the 2nd place of mortality rate, respectively [1]. It is suggested that the treatment difficulty of gastric cancer is higher than that of other tumors. The number of gastric cancer cases and deaths in China accounted for 42.6% and 45.0% of the global incidence and deaths of gastric cancer, respectively, and ranked 5th in incidence rate and 6th in mortality rate among 183 countries in the world. According to the latest data from the National Tumor Registry [2], there were about 679,000 new cases of gastric cancer and 498,000 deaths of gastric cancer in China in 2015. The number of incidence and deaths of gastric cancer ranked the second highest among all malignant tumors. </w:t>
      </w:r>
    </w:p>
    <w:p w14:paraId="7C06FBD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Gastric cancer can be categorized into esophagogastric junction (EGJ) cancer and non-EGJ cancer according to the different sites of primary tumor. According to the classification statistics of GLOBOCAN in 2012, the incidence of EGJ cancer is about 260,000 cases globally, of which 52%, i.e. 135,000 cases are from China [3]. And the incidence of non-EGJ cancers has been steadily decreasing over the past half century, which is associated with the eradication of Helicobacter pylori and the improvement of food preservation techniques. The epidemiological characteristics of EGJ cancer are similar to those of esophageal adenocarcinoma, and risk factors include obesity, gastro-esophageal reflux disease, and Barrett's esophagus.</w:t>
      </w:r>
    </w:p>
    <w:p w14:paraId="32F7A08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treatment of gastric cancer includes surgery, chemotherapy, radiotherapy, targeted therapy and immunotherapy. Due to the atypical symptoms of gastric cancer patients at the beginning and the low rate of gastric cancer screening, more </w:t>
      </w:r>
      <w:r>
        <w:rPr>
          <w:rFonts w:ascii="Times New Roman" w:hAnsi="Times New Roman" w:cs="Times New Roman"/>
          <w:sz w:val="28"/>
          <w:szCs w:val="28"/>
        </w:rPr>
        <w:lastRenderedPageBreak/>
        <w:t xml:space="preserve">than half of the patients in China are in the advanced or locally advanced stage at the time of diagnosis, and it is difficult to achieve complete eradication by surgery alone, and the overall prognosis is not good [4]. For this group of patients, we need to improve the prognosis and quality of life by utilizing a combination of treatments. According to the recommendations of NCCN and CSCO guidelines, neoadjuvant radiotherapy combined with surgery is the first choice for locally advanced stage gastroesophageal carcinoma (cT3-4 or N+). Compared with postoperative adjuvant radiotherapy, preoperative radiotherapy has more advantages, it can make locally advanced tumors downstage and easier to be </w:t>
      </w:r>
      <w:proofErr w:type="spellStart"/>
      <w:r>
        <w:rPr>
          <w:rFonts w:ascii="Times New Roman" w:hAnsi="Times New Roman" w:cs="Times New Roman"/>
          <w:sz w:val="28"/>
          <w:szCs w:val="28"/>
        </w:rPr>
        <w:t>resected</w:t>
      </w:r>
      <w:proofErr w:type="spellEnd"/>
      <w:r>
        <w:rPr>
          <w:rFonts w:ascii="Times New Roman" w:hAnsi="Times New Roman" w:cs="Times New Roman"/>
          <w:sz w:val="28"/>
          <w:szCs w:val="28"/>
        </w:rPr>
        <w:t>, improve R0 resection rate, and reduce the recurrence rate in local area; the tumor tissues are well oxygenated and more sensitive to rays, and are well tolerated by the patients. The CROSS study in the Netherlands and the prospective phase III randomized clinical study conducted by Zhang et al. in China</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[5-7] both indicated that preoperative simultaneous chemoradiotherapy improved the R0 resection rate, local control rate and 5-year overall survival rate compared with surgery alone. However, 10% of patients still cannot achieve R0 resection after preoperative chemoradiation, 22-39% of patients have local recurrence, and only about 1/2 and 1/3 of patients can achieve 3- or 5-year survival. The prognosis of locally advanced adenocarcinoma of the esophagogastric junction is poor, and both regional and systemic treatments need to be improved.</w:t>
      </w:r>
    </w:p>
    <w:p w14:paraId="60D60A9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Malignant tumors often generate immune tolerance through various mechanisms, thus avoiding surveillance and killing by the immune system. Programmed cell death protein 1 (PD-1) is highly expressed on activated T lymphocytes, and can inhibit the immune function of effector T cells when it binds to</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Programmed cell death</w:t>
      </w: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lang w:eastAsia="zh-CN"/>
        </w:rPr>
        <w:t>–</w:t>
      </w:r>
      <w:r>
        <w:rPr>
          <w:rFonts w:ascii="Times New Roman" w:eastAsia="宋体" w:hAnsi="Times New Roman" w:cs="Times New Roman" w:hint="eastAsia"/>
          <w:sz w:val="28"/>
          <w:szCs w:val="28"/>
          <w:lang w:eastAsia="zh-CN"/>
        </w:rPr>
        <w:t xml:space="preserve"> Ligand 1</w:t>
      </w:r>
      <w:r>
        <w:rPr>
          <w:rFonts w:ascii="Times New Roman" w:hAnsi="Times New Roman" w:cs="Times New Roman"/>
          <w:sz w:val="28"/>
          <w:szCs w:val="28"/>
        </w:rPr>
        <w:t xml:space="preserve"> </w:t>
      </w:r>
      <w:r>
        <w:rPr>
          <w:rFonts w:ascii="Times New Roman" w:eastAsia="宋体" w:hAnsi="Times New Roman" w:cs="Times New Roman" w:hint="eastAsia"/>
          <w:sz w:val="28"/>
          <w:szCs w:val="28"/>
          <w:lang w:eastAsia="zh-CN"/>
        </w:rPr>
        <w:t>(</w:t>
      </w:r>
      <w:r>
        <w:rPr>
          <w:rFonts w:ascii="Times New Roman" w:hAnsi="Times New Roman" w:cs="Times New Roman"/>
          <w:sz w:val="28"/>
          <w:szCs w:val="28"/>
        </w:rPr>
        <w:t>PD-L1</w:t>
      </w: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 the main ligand of PD-1 on tumor cells. In recent years, immune </w:t>
      </w:r>
      <w:r>
        <w:rPr>
          <w:rFonts w:ascii="Times New Roman" w:eastAsia="宋体" w:hAnsi="Times New Roman" w:cs="Times New Roman" w:hint="eastAsia"/>
          <w:sz w:val="28"/>
          <w:szCs w:val="28"/>
          <w:lang w:eastAsia="zh-CN"/>
        </w:rPr>
        <w:t>check</w:t>
      </w:r>
      <w:r>
        <w:rPr>
          <w:rFonts w:ascii="Times New Roman" w:hAnsi="Times New Roman" w:cs="Times New Roman"/>
          <w:sz w:val="28"/>
          <w:szCs w:val="28"/>
        </w:rPr>
        <w:t xml:space="preserve">point inhibitors targeting PD-1/PD-L1 have </w:t>
      </w:r>
      <w:r>
        <w:rPr>
          <w:rFonts w:ascii="Times New Roman" w:hAnsi="Times New Roman" w:cs="Times New Roman"/>
          <w:sz w:val="28"/>
          <w:szCs w:val="28"/>
        </w:rPr>
        <w:lastRenderedPageBreak/>
        <w:t>made breakthroughs in the late-stage treatment of many tumors, such as melanoma, head and neck tumors, lung cancer, kidney cancer, and so on.</w:t>
      </w:r>
    </w:p>
    <w:p w14:paraId="0E625CB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Gastric cancer has a unique immune profile, with a high frequency of somatic mutations in adenocarcinoma of esophagogastric junction (AEG) and gastric cancer [8], and a high tumor mutational load, which predicts the effectiveness of immunotherapy. In gastric adenocarcinomas, if 1% is used as the cut-off value for positivity, 14% of the tumor cells are positive for PD-L1 expression, and 11% of the mesenchymal cells are positive</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[9]. In gastric adenocarcinoma, the rate of MSI-H can reach 20% [10-12], which is predicted to be effective for immunotherapy.</w:t>
      </w:r>
    </w:p>
    <w:p w14:paraId="6E8BA1FC" w14:textId="77777777" w:rsidR="009D72E0" w:rsidRDefault="00000000">
      <w:pPr>
        <w:spacing w:after="0" w:line="360" w:lineRule="auto"/>
        <w:ind w:firstLineChars="100" w:firstLine="280"/>
        <w:rPr>
          <w:rFonts w:ascii="Times New Roman" w:hAnsi="Times New Roman" w:cs="Times New Roman"/>
          <w:sz w:val="28"/>
          <w:szCs w:val="28"/>
        </w:rPr>
      </w:pP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is a recombinant, fully human IgG4 monoclonal antibody that specifically binds to the PD-1 expressed on the surface of T cells, thereby blocking the PD-1/PD-L1 pathway that leads to immune escape from tumors, and reactivating the T cells, which then release cytokines to kill the tumor cells. Preliminary data from a clinical study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[13] showed that in the first phase of the study, patients with advanced mucosal melanoma achieved a median OS of 23.18 months (superior to that of pembrolizumab, which was 12.3 months), while baseline values were worse than those of pembrolizumab (44.5%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enrollees were after third- or fourth-line, while pembrolizumab enrollees were basically second-line patients), and adverse effects were mild.</w:t>
      </w:r>
    </w:p>
    <w:p w14:paraId="7DD221A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Radiation therapy is an effective treatment for AEG, and also, in combination with immunotherapy, may have a synergistic effect. Ionizing radiation can enhance antigen production and presentation, thereby amplifying the anti-tumor immune response of checkpoint inhibitors [14]. Radiation therapy can also amplify immunomodulation by promoting cytotoxic T-cell activity and reduce bone marrow-derived immunosuppressive cells, thus achieving synergistic effects with checkpoint inhibitors [15]. </w:t>
      </w:r>
    </w:p>
    <w:p w14:paraId="0161ED1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 xml:space="preserve">In this study, we propose to investigate the safety and efficacy of </w:t>
      </w:r>
      <w:bookmarkStart w:id="1" w:name="OLE_LINK7"/>
      <w:r>
        <w:rPr>
          <w:rFonts w:ascii="Times New Roman" w:hAnsi="Times New Roman" w:cs="Times New Roman"/>
          <w:sz w:val="28"/>
          <w:szCs w:val="28"/>
        </w:rPr>
        <w:t>preoperative</w:t>
      </w:r>
      <w:bookmarkEnd w:id="1"/>
      <w:r>
        <w:rPr>
          <w:rFonts w:ascii="Times New Roman" w:hAnsi="Times New Roman" w:cs="Times New Roman"/>
          <w:sz w:val="28"/>
          <w:szCs w:val="28"/>
        </w:rPr>
        <w:t xml:space="preserve"> chemoradiotherapy combined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in the treatment of locally advanced AEG.</w:t>
      </w:r>
    </w:p>
    <w:p w14:paraId="24D17B13" w14:textId="77777777" w:rsidR="009D72E0" w:rsidRDefault="00000000">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136B5B14"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References</w:t>
      </w:r>
    </w:p>
    <w:p w14:paraId="1891BEB6"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[1] Bray, F, et al. Global cancer statistics 2018: GLOBOCAN estimates of incidence and mortality worldwide for 36 cancers in 185 countries. CA Cancer J Clin, 2018. </w:t>
      </w:r>
    </w:p>
    <w:p w14:paraId="2A4DFCEF"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[2] Chen W, Zheng R, Baade PD, et al. Cancer statistics in China,2015. CA Cancer J Clin, 2016, 66(2):115-132. </w:t>
      </w:r>
    </w:p>
    <w:p w14:paraId="0CED307C"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[3] Colquhoun A, Arnold M, </w:t>
      </w:r>
      <w:proofErr w:type="spellStart"/>
      <w:r>
        <w:rPr>
          <w:rFonts w:ascii="Times New Roman" w:hAnsi="Times New Roman" w:cs="Times New Roman"/>
          <w:sz w:val="28"/>
          <w:szCs w:val="28"/>
        </w:rPr>
        <w:t>Ferlay</w:t>
      </w:r>
      <w:proofErr w:type="spellEnd"/>
      <w:r>
        <w:rPr>
          <w:rFonts w:ascii="Times New Roman" w:hAnsi="Times New Roman" w:cs="Times New Roman"/>
          <w:sz w:val="28"/>
          <w:szCs w:val="28"/>
        </w:rPr>
        <w:t xml:space="preserve"> J, et al. Global patterns of cardia and non-cardia gastric cancer incidence in 2012.Gut, 2015,64(12):1881-8. </w:t>
      </w:r>
    </w:p>
    <w:p w14:paraId="0269C41A" w14:textId="77777777" w:rsidR="009D72E0" w:rsidRDefault="00000000">
      <w:pPr>
        <w:spacing w:after="0" w:line="360" w:lineRule="auto"/>
        <w:rPr>
          <w:rFonts w:ascii="Times New Roman" w:hAnsi="Times New Roman" w:cs="Times New Roman"/>
          <w:sz w:val="28"/>
          <w:szCs w:val="28"/>
        </w:rPr>
      </w:pPr>
      <w:r w:rsidRPr="00D80EB3">
        <w:rPr>
          <w:rFonts w:ascii="Times New Roman" w:hAnsi="Times New Roman" w:cs="Times New Roman"/>
          <w:sz w:val="28"/>
          <w:szCs w:val="28"/>
          <w:lang w:val="es-CU"/>
        </w:rPr>
        <w:t xml:space="preserve">[4] Zeng </w:t>
      </w:r>
      <w:proofErr w:type="spellStart"/>
      <w:proofErr w:type="gramStart"/>
      <w:r w:rsidRPr="00D80EB3">
        <w:rPr>
          <w:rFonts w:ascii="Times New Roman" w:hAnsi="Times New Roman" w:cs="Times New Roman"/>
          <w:sz w:val="28"/>
          <w:szCs w:val="28"/>
          <w:lang w:val="es-CU"/>
        </w:rPr>
        <w:t>H,Zheng</w:t>
      </w:r>
      <w:proofErr w:type="spellEnd"/>
      <w:proofErr w:type="gramEnd"/>
      <w:r w:rsidRPr="00D80EB3">
        <w:rPr>
          <w:rFonts w:ascii="Times New Roman" w:hAnsi="Times New Roman" w:cs="Times New Roman"/>
          <w:sz w:val="28"/>
          <w:szCs w:val="28"/>
          <w:lang w:val="es-CU"/>
        </w:rPr>
        <w:t xml:space="preserve"> </w:t>
      </w:r>
      <w:proofErr w:type="spellStart"/>
      <w:r w:rsidRPr="00D80EB3">
        <w:rPr>
          <w:rFonts w:ascii="Times New Roman" w:hAnsi="Times New Roman" w:cs="Times New Roman"/>
          <w:sz w:val="28"/>
          <w:szCs w:val="28"/>
          <w:lang w:val="es-CU"/>
        </w:rPr>
        <w:t>R,Guo</w:t>
      </w:r>
      <w:proofErr w:type="spellEnd"/>
      <w:r w:rsidRPr="00D80EB3">
        <w:rPr>
          <w:rFonts w:ascii="Times New Roman" w:hAnsi="Times New Roman" w:cs="Times New Roman"/>
          <w:sz w:val="28"/>
          <w:szCs w:val="28"/>
          <w:lang w:val="es-CU"/>
        </w:rPr>
        <w:t xml:space="preserve"> </w:t>
      </w:r>
      <w:proofErr w:type="spellStart"/>
      <w:r w:rsidRPr="00D80EB3">
        <w:rPr>
          <w:rFonts w:ascii="Times New Roman" w:hAnsi="Times New Roman" w:cs="Times New Roman"/>
          <w:sz w:val="28"/>
          <w:szCs w:val="28"/>
          <w:lang w:val="es-CU"/>
        </w:rPr>
        <w:t>Y,et</w:t>
      </w:r>
      <w:proofErr w:type="spellEnd"/>
      <w:r w:rsidRPr="00D80EB3">
        <w:rPr>
          <w:rFonts w:ascii="Times New Roman" w:hAnsi="Times New Roman" w:cs="Times New Roman"/>
          <w:sz w:val="28"/>
          <w:szCs w:val="28"/>
          <w:lang w:val="es-CU"/>
        </w:rPr>
        <w:t xml:space="preserve"> al. </w:t>
      </w:r>
      <w:r>
        <w:rPr>
          <w:rFonts w:ascii="Times New Roman" w:hAnsi="Times New Roman" w:cs="Times New Roman"/>
          <w:sz w:val="28"/>
          <w:szCs w:val="28"/>
        </w:rPr>
        <w:t xml:space="preserve">Cancer survival in China, 2003-2005:a population-based study. Int J Cancer,2015,136(8):1921-1930. </w:t>
      </w:r>
    </w:p>
    <w:p w14:paraId="2E94DA5F"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[5] Zhang ZX, Gu XZ, Yin WB, et al. Randomized clinical trial on the combination of preoperative irradiation and surgery in </w:t>
      </w:r>
      <w:proofErr w:type="spellStart"/>
      <w:r>
        <w:rPr>
          <w:rFonts w:ascii="Times New Roman" w:hAnsi="Times New Roman" w:cs="Times New Roman"/>
          <w:sz w:val="28"/>
          <w:szCs w:val="28"/>
        </w:rPr>
        <w:t>thetreatment</w:t>
      </w:r>
      <w:proofErr w:type="spellEnd"/>
      <w:r>
        <w:rPr>
          <w:rFonts w:ascii="Times New Roman" w:hAnsi="Times New Roman" w:cs="Times New Roman"/>
          <w:sz w:val="28"/>
          <w:szCs w:val="28"/>
        </w:rPr>
        <w:t xml:space="preserve"> of adenocarcinoma of gastric cardia (AGC)--report on 370patients. Int J </w:t>
      </w:r>
      <w:proofErr w:type="spellStart"/>
      <w:r>
        <w:rPr>
          <w:rFonts w:ascii="Times New Roman" w:hAnsi="Times New Roman" w:cs="Times New Roman"/>
          <w:sz w:val="28"/>
          <w:szCs w:val="28"/>
        </w:rPr>
        <w:t>Radiat</w:t>
      </w:r>
      <w:proofErr w:type="spellEnd"/>
      <w:r>
        <w:rPr>
          <w:rFonts w:ascii="Times New Roman" w:hAnsi="Times New Roman" w:cs="Times New Roman"/>
          <w:sz w:val="28"/>
          <w:szCs w:val="28"/>
        </w:rPr>
        <w:t xml:space="preserve"> Oncol Biol Phys, 1998, 42(5): 929-334. </w:t>
      </w:r>
    </w:p>
    <w:p w14:paraId="1F8A4432"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[6] van Hagen P, Hulshof MC, van </w:t>
      </w:r>
      <w:proofErr w:type="spellStart"/>
      <w:r>
        <w:rPr>
          <w:rFonts w:ascii="Times New Roman" w:hAnsi="Times New Roman" w:cs="Times New Roman"/>
          <w:sz w:val="28"/>
          <w:szCs w:val="28"/>
        </w:rPr>
        <w:t>Lanschot</w:t>
      </w:r>
      <w:proofErr w:type="spellEnd"/>
      <w:r>
        <w:rPr>
          <w:rFonts w:ascii="Times New Roman" w:hAnsi="Times New Roman" w:cs="Times New Roman"/>
          <w:sz w:val="28"/>
          <w:szCs w:val="28"/>
        </w:rPr>
        <w:t xml:space="preserve"> JJ, et al. Preoperative Chemoradiotherapy for Esophageal or Junctional Cancer. N Engl </w:t>
      </w:r>
      <w:proofErr w:type="spellStart"/>
      <w:r>
        <w:rPr>
          <w:rFonts w:ascii="Times New Roman" w:hAnsi="Times New Roman" w:cs="Times New Roman"/>
          <w:sz w:val="28"/>
          <w:szCs w:val="28"/>
        </w:rPr>
        <w:t>JMed</w:t>
      </w:r>
      <w:proofErr w:type="spellEnd"/>
      <w:r>
        <w:rPr>
          <w:rFonts w:ascii="Times New Roman" w:hAnsi="Times New Roman" w:cs="Times New Roman"/>
          <w:sz w:val="28"/>
          <w:szCs w:val="28"/>
        </w:rPr>
        <w:t xml:space="preserve">, 2012, 366(22): 2074-2084. </w:t>
      </w:r>
    </w:p>
    <w:p w14:paraId="1667048D"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[7] Shapiro J, van </w:t>
      </w:r>
      <w:proofErr w:type="spellStart"/>
      <w:r>
        <w:rPr>
          <w:rFonts w:ascii="Times New Roman" w:hAnsi="Times New Roman" w:cs="Times New Roman"/>
          <w:sz w:val="28"/>
          <w:szCs w:val="28"/>
        </w:rPr>
        <w:t>Lanschot</w:t>
      </w:r>
      <w:proofErr w:type="spellEnd"/>
      <w:r>
        <w:rPr>
          <w:rFonts w:ascii="Times New Roman" w:hAnsi="Times New Roman" w:cs="Times New Roman"/>
          <w:sz w:val="28"/>
          <w:szCs w:val="28"/>
        </w:rPr>
        <w:t xml:space="preserve"> JJB, Hulshof MCCM, et al. </w:t>
      </w:r>
      <w:proofErr w:type="spellStart"/>
      <w:r>
        <w:rPr>
          <w:rFonts w:ascii="Times New Roman" w:hAnsi="Times New Roman" w:cs="Times New Roman"/>
          <w:sz w:val="28"/>
          <w:szCs w:val="28"/>
        </w:rPr>
        <w:t>Neoadjuvantchemoradiotherapy</w:t>
      </w:r>
      <w:proofErr w:type="spellEnd"/>
      <w:r>
        <w:rPr>
          <w:rFonts w:ascii="Times New Roman" w:hAnsi="Times New Roman" w:cs="Times New Roman"/>
          <w:sz w:val="28"/>
          <w:szCs w:val="28"/>
        </w:rPr>
        <w:t xml:space="preserve"> plus surgery versus surgery alone for </w:t>
      </w:r>
      <w:proofErr w:type="spellStart"/>
      <w:r>
        <w:rPr>
          <w:rFonts w:ascii="Times New Roman" w:hAnsi="Times New Roman" w:cs="Times New Roman"/>
          <w:sz w:val="28"/>
          <w:szCs w:val="28"/>
        </w:rPr>
        <w:t>oesophagealor</w:t>
      </w:r>
      <w:proofErr w:type="spellEnd"/>
      <w:r>
        <w:rPr>
          <w:rFonts w:ascii="Times New Roman" w:hAnsi="Times New Roman" w:cs="Times New Roman"/>
          <w:sz w:val="28"/>
          <w:szCs w:val="28"/>
        </w:rPr>
        <w:t xml:space="preserve"> junctional cancer (CROSS): long-term results of a randomized controlled trial. Lancet Oncol, 2015, 16(9): 1090-1098. </w:t>
      </w:r>
    </w:p>
    <w:p w14:paraId="092650E8"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[8] Lawrence MS, Stojanov P, Polak P, et al. Mutational heterogeneity in cancer and the search for new cancer-associated </w:t>
      </w:r>
      <w:proofErr w:type="spellStart"/>
      <w:proofErr w:type="gramStart"/>
      <w:r>
        <w:rPr>
          <w:rFonts w:ascii="Times New Roman" w:hAnsi="Times New Roman" w:cs="Times New Roman"/>
          <w:sz w:val="28"/>
          <w:szCs w:val="28"/>
        </w:rPr>
        <w:t>genes.Nature</w:t>
      </w:r>
      <w:proofErr w:type="spellEnd"/>
      <w:proofErr w:type="gramEnd"/>
      <w:r>
        <w:rPr>
          <w:rFonts w:ascii="Times New Roman" w:hAnsi="Times New Roman" w:cs="Times New Roman"/>
          <w:sz w:val="28"/>
          <w:szCs w:val="28"/>
        </w:rPr>
        <w:t xml:space="preserve">, 2013, 499(7457):214-218. </w:t>
      </w:r>
    </w:p>
    <w:p w14:paraId="1DFA8E8A" w14:textId="77777777" w:rsidR="009D72E0" w:rsidRDefault="00000000">
      <w:pPr>
        <w:spacing w:after="0" w:line="360" w:lineRule="auto"/>
        <w:rPr>
          <w:rFonts w:ascii="Times New Roman" w:hAnsi="Times New Roman" w:cs="Times New Roman"/>
          <w:sz w:val="28"/>
          <w:szCs w:val="28"/>
        </w:rPr>
      </w:pPr>
      <w:r w:rsidRPr="00D80EB3">
        <w:rPr>
          <w:rFonts w:ascii="Times New Roman" w:hAnsi="Times New Roman" w:cs="Times New Roman"/>
          <w:sz w:val="28"/>
          <w:szCs w:val="28"/>
          <w:lang w:val="es-CU"/>
        </w:rPr>
        <w:t xml:space="preserve">[9] </w:t>
      </w:r>
      <w:proofErr w:type="spellStart"/>
      <w:r w:rsidRPr="00D80EB3">
        <w:rPr>
          <w:rFonts w:ascii="Times New Roman" w:hAnsi="Times New Roman" w:cs="Times New Roman"/>
          <w:sz w:val="28"/>
          <w:szCs w:val="28"/>
          <w:lang w:val="es-CU"/>
        </w:rPr>
        <w:t>Harada</w:t>
      </w:r>
      <w:proofErr w:type="spellEnd"/>
      <w:r w:rsidRPr="00D80EB3">
        <w:rPr>
          <w:rFonts w:ascii="Times New Roman" w:hAnsi="Times New Roman" w:cs="Times New Roman"/>
          <w:sz w:val="28"/>
          <w:szCs w:val="28"/>
          <w:lang w:val="es-CU"/>
        </w:rPr>
        <w:t xml:space="preserve"> K, Dong X, Estrella JS, et al. </w:t>
      </w:r>
      <w:r>
        <w:rPr>
          <w:rFonts w:ascii="Times New Roman" w:hAnsi="Times New Roman" w:cs="Times New Roman"/>
          <w:sz w:val="28"/>
          <w:szCs w:val="28"/>
        </w:rPr>
        <w:t xml:space="preserve">Tumor-associated macrophage infiltration is highly associated with PD-L1 expression in gastric </w:t>
      </w:r>
      <w:proofErr w:type="spellStart"/>
      <w:proofErr w:type="gramStart"/>
      <w:r>
        <w:rPr>
          <w:rFonts w:ascii="Times New Roman" w:hAnsi="Times New Roman" w:cs="Times New Roman"/>
          <w:sz w:val="28"/>
          <w:szCs w:val="28"/>
        </w:rPr>
        <w:t>adenocarcinoma.Gastric</w:t>
      </w:r>
      <w:proofErr w:type="spellEnd"/>
      <w:proofErr w:type="gramEnd"/>
      <w:r>
        <w:rPr>
          <w:rFonts w:ascii="Times New Roman" w:hAnsi="Times New Roman" w:cs="Times New Roman"/>
          <w:sz w:val="28"/>
          <w:szCs w:val="28"/>
        </w:rPr>
        <w:t xml:space="preserve"> Cancer, 2018, 21(1):31-40. </w:t>
      </w:r>
    </w:p>
    <w:p w14:paraId="303B1372"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[10] Hause RJ, Pritchard CC, </w:t>
      </w:r>
      <w:proofErr w:type="spellStart"/>
      <w:r>
        <w:rPr>
          <w:rFonts w:ascii="Times New Roman" w:hAnsi="Times New Roman" w:cs="Times New Roman"/>
          <w:sz w:val="28"/>
          <w:szCs w:val="28"/>
        </w:rPr>
        <w:t>Shendure</w:t>
      </w:r>
      <w:proofErr w:type="spellEnd"/>
      <w:r>
        <w:rPr>
          <w:rFonts w:ascii="Times New Roman" w:hAnsi="Times New Roman" w:cs="Times New Roman"/>
          <w:sz w:val="28"/>
          <w:szCs w:val="28"/>
        </w:rPr>
        <w:t xml:space="preserve"> J, et al. Classification and characterization of microsatellite instability across 18 cancer </w:t>
      </w:r>
      <w:proofErr w:type="spellStart"/>
      <w:proofErr w:type="gramStart"/>
      <w:r>
        <w:rPr>
          <w:rFonts w:ascii="Times New Roman" w:hAnsi="Times New Roman" w:cs="Times New Roman"/>
          <w:sz w:val="28"/>
          <w:szCs w:val="28"/>
        </w:rPr>
        <w:t>types.Nat</w:t>
      </w:r>
      <w:proofErr w:type="spellEnd"/>
      <w:proofErr w:type="gramEnd"/>
      <w:r>
        <w:rPr>
          <w:rFonts w:ascii="Times New Roman" w:hAnsi="Times New Roman" w:cs="Times New Roman"/>
          <w:sz w:val="28"/>
          <w:szCs w:val="28"/>
        </w:rPr>
        <w:t xml:space="preserve"> Med, 2016, 22(11):1342-1350. </w:t>
      </w:r>
    </w:p>
    <w:p w14:paraId="6565CD4C"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[11] Hause RJ, Pritchard CC, </w:t>
      </w:r>
      <w:proofErr w:type="spellStart"/>
      <w:r>
        <w:rPr>
          <w:rFonts w:ascii="Times New Roman" w:hAnsi="Times New Roman" w:cs="Times New Roman"/>
          <w:sz w:val="28"/>
          <w:szCs w:val="28"/>
        </w:rPr>
        <w:t>Shendure</w:t>
      </w:r>
      <w:proofErr w:type="spellEnd"/>
      <w:r>
        <w:rPr>
          <w:rFonts w:ascii="Times New Roman" w:hAnsi="Times New Roman" w:cs="Times New Roman"/>
          <w:sz w:val="28"/>
          <w:szCs w:val="28"/>
        </w:rPr>
        <w:t xml:space="preserve"> J, et al. Corrigendum: Classification and characterization of microsatellite instability across 18 cancer </w:t>
      </w:r>
      <w:proofErr w:type="spellStart"/>
      <w:proofErr w:type="gramStart"/>
      <w:r>
        <w:rPr>
          <w:rFonts w:ascii="Times New Roman" w:hAnsi="Times New Roman" w:cs="Times New Roman"/>
          <w:sz w:val="28"/>
          <w:szCs w:val="28"/>
        </w:rPr>
        <w:t>types.Nat</w:t>
      </w:r>
      <w:proofErr w:type="spellEnd"/>
      <w:proofErr w:type="gramEnd"/>
      <w:r>
        <w:rPr>
          <w:rFonts w:ascii="Times New Roman" w:hAnsi="Times New Roman" w:cs="Times New Roman"/>
          <w:sz w:val="28"/>
          <w:szCs w:val="28"/>
        </w:rPr>
        <w:t xml:space="preserve"> Med, 2018, 24(4):525. </w:t>
      </w:r>
    </w:p>
    <w:p w14:paraId="0D81CCBE"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[12] Hause RJ, Pritchard CC, </w:t>
      </w:r>
      <w:proofErr w:type="spellStart"/>
      <w:r>
        <w:rPr>
          <w:rFonts w:ascii="Times New Roman" w:hAnsi="Times New Roman" w:cs="Times New Roman"/>
          <w:sz w:val="28"/>
          <w:szCs w:val="28"/>
        </w:rPr>
        <w:t>Shendure</w:t>
      </w:r>
      <w:proofErr w:type="spellEnd"/>
      <w:r>
        <w:rPr>
          <w:rFonts w:ascii="Times New Roman" w:hAnsi="Times New Roman" w:cs="Times New Roman"/>
          <w:sz w:val="28"/>
          <w:szCs w:val="28"/>
        </w:rPr>
        <w:t xml:space="preserve"> J, et al. Corrigendum: Classification and characterization of microsatellite instability across 18 cancer types.2017 Oct 6;23(10):1241. </w:t>
      </w:r>
    </w:p>
    <w:p w14:paraId="47985503" w14:textId="77777777" w:rsidR="009D72E0" w:rsidRPr="00D80EB3" w:rsidRDefault="00000000">
      <w:pPr>
        <w:spacing w:after="0" w:line="360" w:lineRule="auto"/>
        <w:rPr>
          <w:rFonts w:ascii="Times New Roman" w:hAnsi="Times New Roman" w:cs="Times New Roman"/>
          <w:sz w:val="28"/>
          <w:szCs w:val="28"/>
          <w:lang w:val="es-CU"/>
        </w:rPr>
      </w:pPr>
      <w:r w:rsidRPr="00D80EB3">
        <w:rPr>
          <w:rFonts w:ascii="Times New Roman" w:hAnsi="Times New Roman" w:cs="Times New Roman"/>
          <w:sz w:val="28"/>
          <w:szCs w:val="28"/>
          <w:lang w:val="es-CU"/>
        </w:rPr>
        <w:t>[13] ASCO 2018 Poster (</w:t>
      </w:r>
      <w:proofErr w:type="spellStart"/>
      <w:r w:rsidRPr="00D80EB3">
        <w:rPr>
          <w:rFonts w:ascii="Times New Roman" w:hAnsi="Times New Roman" w:cs="Times New Roman"/>
          <w:sz w:val="28"/>
          <w:szCs w:val="28"/>
          <w:lang w:val="es-CU"/>
        </w:rPr>
        <w:t>Abstract</w:t>
      </w:r>
      <w:proofErr w:type="spellEnd"/>
      <w:r w:rsidRPr="00D80EB3">
        <w:rPr>
          <w:rFonts w:ascii="Times New Roman" w:hAnsi="Times New Roman" w:cs="Times New Roman"/>
          <w:sz w:val="28"/>
          <w:szCs w:val="28"/>
          <w:lang w:val="es-CU"/>
        </w:rPr>
        <w:t xml:space="preserve"> 9528). HMO-Toripalimab-IbCRP-01 CT13</w:t>
      </w:r>
      <w:r w:rsidRPr="00D80EB3">
        <w:rPr>
          <w:rFonts w:ascii="Times New Roman" w:hAnsi="Times New Roman" w:cs="Times New Roman"/>
          <w:sz w:val="28"/>
          <w:szCs w:val="28"/>
          <w:lang w:val="es-CU"/>
        </w:rPr>
        <w:t>（</w:t>
      </w:r>
      <w:r w:rsidRPr="00D80EB3">
        <w:rPr>
          <w:rFonts w:ascii="Times New Roman" w:hAnsi="Times New Roman" w:cs="Times New Roman"/>
          <w:sz w:val="28"/>
          <w:szCs w:val="28"/>
          <w:lang w:val="es-CU"/>
        </w:rPr>
        <w:t>NCT03086174</w:t>
      </w:r>
      <w:r w:rsidRPr="00D80EB3">
        <w:rPr>
          <w:rFonts w:ascii="Times New Roman" w:hAnsi="Times New Roman" w:cs="Times New Roman"/>
          <w:sz w:val="28"/>
          <w:szCs w:val="28"/>
          <w:lang w:val="es-CU"/>
        </w:rPr>
        <w:t>）</w:t>
      </w:r>
      <w:r w:rsidRPr="00D80EB3">
        <w:rPr>
          <w:rFonts w:ascii="Times New Roman" w:hAnsi="Times New Roman" w:cs="Times New Roman"/>
          <w:sz w:val="28"/>
          <w:szCs w:val="28"/>
          <w:lang w:val="es-CU"/>
        </w:rPr>
        <w:t xml:space="preserve">. </w:t>
      </w:r>
    </w:p>
    <w:p w14:paraId="3A023293"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[14] </w:t>
      </w:r>
      <w:proofErr w:type="spellStart"/>
      <w:r>
        <w:rPr>
          <w:rFonts w:ascii="Times New Roman" w:hAnsi="Times New Roman" w:cs="Times New Roman"/>
          <w:sz w:val="28"/>
          <w:szCs w:val="28"/>
        </w:rPr>
        <w:t>Reits</w:t>
      </w:r>
      <w:proofErr w:type="spellEnd"/>
      <w:r>
        <w:rPr>
          <w:rFonts w:ascii="Times New Roman" w:hAnsi="Times New Roman" w:cs="Times New Roman"/>
          <w:sz w:val="28"/>
          <w:szCs w:val="28"/>
        </w:rPr>
        <w:t xml:space="preserve"> EA, Hodge JW, Herberts CA, et al. Radiation modulates the peptide repertoire, enhances MHC class I expression, and induces successful antitumor immunotherapy. J Exp Med, 2006. 203(5): p. 1259-71. </w:t>
      </w:r>
    </w:p>
    <w:p w14:paraId="015B0D1E"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[15] Tang C, Wang X, Soh H, et al. Combining radiation and immunotherapy: a new systemic therapy for solid tumors? Cancer Immunol Res, 2014. 2(9): p. 831-8.</w:t>
      </w:r>
    </w:p>
    <w:p w14:paraId="1D12F7F7"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br/>
      </w:r>
    </w:p>
    <w:p w14:paraId="7BBF7DD1" w14:textId="77777777" w:rsidR="009D72E0" w:rsidRDefault="00000000">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7C4AC461" w14:textId="77777777" w:rsidR="009D72E0" w:rsidRDefault="00000000">
      <w:pPr>
        <w:spacing w:after="0" w:line="360" w:lineRule="auto"/>
        <w:rPr>
          <w:rFonts w:ascii="Times New Roman" w:hAnsi="Times New Roman" w:cs="Times New Roman"/>
          <w:b/>
          <w:bCs/>
          <w:sz w:val="28"/>
          <w:szCs w:val="28"/>
        </w:rPr>
      </w:pPr>
      <w:bookmarkStart w:id="2" w:name="_Hlk206452318"/>
      <w:r>
        <w:rPr>
          <w:rFonts w:ascii="Times New Roman" w:hAnsi="Times New Roman" w:cs="Times New Roman"/>
          <w:b/>
          <w:bCs/>
          <w:sz w:val="28"/>
          <w:szCs w:val="28"/>
        </w:rPr>
        <w:lastRenderedPageBreak/>
        <w:t>Ⅱ. Research Objectives</w:t>
      </w:r>
    </w:p>
    <w:bookmarkEnd w:id="2"/>
    <w:p w14:paraId="5B5CB2C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Primary Study Objective: To evaluate the short-term efficacy</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 xml:space="preserve">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in combination with preoperative chemoradiotherapy in locally advanced adenocarcinoma of esophagogastric junction (AEG).</w:t>
      </w:r>
    </w:p>
    <w:p w14:paraId="0E443C2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Secondary Study Objective: To evaluate the survival </w:t>
      </w:r>
      <w:r>
        <w:rPr>
          <w:rFonts w:ascii="Times New Roman" w:eastAsia="宋体" w:hAnsi="Times New Roman" w:cs="Times New Roman" w:hint="eastAsia"/>
          <w:sz w:val="28"/>
          <w:szCs w:val="28"/>
          <w:lang w:eastAsia="zh-CN"/>
        </w:rPr>
        <w:t xml:space="preserve">outcomes and safety </w:t>
      </w:r>
      <w:r>
        <w:rPr>
          <w:rFonts w:ascii="Times New Roman" w:hAnsi="Times New Roman" w:cs="Times New Roman"/>
          <w:sz w:val="28"/>
          <w:szCs w:val="28"/>
        </w:rPr>
        <w:t xml:space="preserve">of locally advanced AEG patients treated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in combination with preoperative chemoradiotherapy and surger</w:t>
      </w:r>
      <w:r>
        <w:rPr>
          <w:rFonts w:ascii="Times New Roman" w:eastAsia="宋体" w:hAnsi="Times New Roman" w:cs="Times New Roman" w:hint="eastAsia"/>
          <w:sz w:val="28"/>
          <w:szCs w:val="28"/>
          <w:lang w:eastAsia="zh-CN"/>
        </w:rPr>
        <w:t>y</w:t>
      </w:r>
      <w:r>
        <w:rPr>
          <w:rFonts w:ascii="Times New Roman" w:hAnsi="Times New Roman" w:cs="Times New Roman"/>
          <w:sz w:val="28"/>
          <w:szCs w:val="28"/>
        </w:rPr>
        <w:t xml:space="preserve">. </w:t>
      </w:r>
      <w:r>
        <w:rPr>
          <w:rFonts w:ascii="Times New Roman" w:eastAsia="宋体" w:hAnsi="Times New Roman" w:cs="Times New Roman" w:hint="eastAsia"/>
          <w:sz w:val="28"/>
          <w:szCs w:val="28"/>
          <w:lang w:eastAsia="zh-CN"/>
        </w:rPr>
        <w:t>To explore the relationship between patients</w:t>
      </w:r>
      <w:r>
        <w:rPr>
          <w:rFonts w:ascii="Times New Roman" w:eastAsia="宋体" w:hAnsi="Times New Roman" w:cs="Times New Roman"/>
          <w:sz w:val="28"/>
          <w:szCs w:val="28"/>
          <w:lang w:eastAsia="zh-CN"/>
        </w:rPr>
        <w:t>’</w:t>
      </w:r>
      <w:r>
        <w:rPr>
          <w:rFonts w:ascii="Times New Roman" w:eastAsia="宋体" w:hAnsi="Times New Roman" w:cs="Times New Roman" w:hint="eastAsia"/>
          <w:sz w:val="28"/>
          <w:szCs w:val="28"/>
          <w:lang w:eastAsia="zh-CN"/>
        </w:rPr>
        <w:t xml:space="preserve"> prognosis and biomarkers and immune microenvironment.</w:t>
      </w:r>
    </w:p>
    <w:p w14:paraId="6AC4DAFE" w14:textId="77777777" w:rsidR="009D72E0" w:rsidRDefault="00000000">
      <w:pPr>
        <w:spacing w:after="0" w:line="360" w:lineRule="auto"/>
        <w:rPr>
          <w:rFonts w:ascii="Times New Roman" w:hAnsi="Times New Roman" w:cs="Times New Roman"/>
          <w:b/>
          <w:bCs/>
          <w:sz w:val="28"/>
          <w:szCs w:val="28"/>
        </w:rPr>
      </w:pPr>
      <w:bookmarkStart w:id="3" w:name="_Hlk206452333"/>
      <w:r>
        <w:rPr>
          <w:rFonts w:ascii="Times New Roman" w:hAnsi="Times New Roman" w:cs="Times New Roman"/>
          <w:b/>
          <w:bCs/>
          <w:sz w:val="28"/>
          <w:szCs w:val="28"/>
        </w:rPr>
        <w:t>Ⅲ. Overall Study Design</w:t>
      </w:r>
    </w:p>
    <w:bookmarkEnd w:id="3"/>
    <w:p w14:paraId="1D1223E8" w14:textId="77777777" w:rsidR="009D72E0" w:rsidRDefault="00000000">
      <w:pPr>
        <w:spacing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This study will investigate the efficacy and safety of preoperative radiotherapy combined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in patients with locally advanced AEGs.</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40 cases of locally advanced AEGs are planned to be enrolled. The patients who meet the enrollment criteria will complete the collection of medical history, physical examination, hematological examination, and imaging examination before enrollment. IMRT</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(Intensity-Modulated Radiation Therapy)/VMAT (Volumetric-Modulated Arc Therapy)</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 xml:space="preserve">is adopted as radiotherapy method, and radiotherapy will last for 5 weeks, with single-week SOX regimen applied simultaneously (oxaliplatin 40mg/m2 d1+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30mg/m2 d1-5/w, total 5 weeks). Concomitant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is applied at 240mg per dose from the start of radiotherapy, repeated every 3 weeks for a total of 2 doses. After completion of radiotherapy, the patients wait for 8 to 12 weeks for a complete review and then undergo surgery. During the waiting period, patients will rest for 2-3 weeks after the completion of radiotherapy and continue to be treated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which remains at 240 mg per dose, repeated every 3 weeks for a total of 2 doses. Adjuvant chemotherapy will initiate one month after surgery with a three-week regimen of </w:t>
      </w:r>
      <w:proofErr w:type="spellStart"/>
      <w:r>
        <w:rPr>
          <w:rFonts w:ascii="Times New Roman" w:eastAsia="宋体" w:hAnsi="Times New Roman" w:cs="Times New Roman"/>
          <w:sz w:val="28"/>
          <w:szCs w:val="28"/>
          <w:lang w:eastAsia="zh-CN"/>
        </w:rPr>
        <w:t>t</w:t>
      </w:r>
      <w:r>
        <w:rPr>
          <w:rFonts w:ascii="Times New Roman" w:hAnsi="Times New Roman" w:cs="Times New Roman"/>
          <w:sz w:val="28"/>
          <w:szCs w:val="28"/>
        </w:rPr>
        <w:t>oripalimab</w:t>
      </w:r>
      <w:proofErr w:type="spellEnd"/>
      <w:r>
        <w:rPr>
          <w:rFonts w:ascii="Times New Roman" w:hAnsi="Times New Roman" w:cs="Times New Roman"/>
          <w:sz w:val="28"/>
          <w:szCs w:val="28"/>
        </w:rPr>
        <w:t xml:space="preserve"> and SOX, for a total of four cycles. The dose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will not be adjusted during treatment,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would </w:t>
      </w:r>
      <w:r>
        <w:rPr>
          <w:rFonts w:ascii="Times New Roman" w:hAnsi="Times New Roman" w:cs="Times New Roman"/>
          <w:sz w:val="28"/>
          <w:szCs w:val="28"/>
        </w:rPr>
        <w:lastRenderedPageBreak/>
        <w:t xml:space="preserve">be discontinued if, in the judgment of the investigator, treatment-related toxicity is not tolerated. </w:t>
      </w:r>
    </w:p>
    <w:p w14:paraId="5BF848D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Evaluation of safety and efficacy during and after treatment:</w:t>
      </w:r>
    </w:p>
    <w:p w14:paraId="5F0EED24"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①</w:t>
      </w:r>
      <w:r>
        <w:rPr>
          <w:rFonts w:ascii="Times New Roman" w:hAnsi="Times New Roman" w:cs="Times New Roman"/>
          <w:sz w:val="28"/>
          <w:szCs w:val="28"/>
        </w:rPr>
        <w:t>During preoperative radiotherapy, only the toxicity of the treatment and changes in the patient's symptoms and signs will be evaluated, and the frequency of evaluation will be once a week. The efficacy of treatment will not be evaluated.</w:t>
      </w:r>
    </w:p>
    <w:p w14:paraId="5AAC6F25"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②</w:t>
      </w:r>
      <w:r>
        <w:rPr>
          <w:rFonts w:ascii="Times New Roman" w:hAnsi="Times New Roman" w:cs="Times New Roman"/>
          <w:sz w:val="28"/>
          <w:szCs w:val="28"/>
        </w:rPr>
        <w:t>After the completion of neoadjuvant chemoradiotherapy and during the neoadjuvant immunotherapy before surgery: evaluation of treatment</w:t>
      </w:r>
      <w:r>
        <w:rPr>
          <w:rFonts w:ascii="Times New Roman" w:eastAsia="宋体" w:hAnsi="Times New Roman" w:cs="Times New Roman"/>
          <w:sz w:val="28"/>
          <w:szCs w:val="28"/>
          <w:lang w:eastAsia="zh-CN"/>
        </w:rPr>
        <w:t>-related</w:t>
      </w:r>
      <w:r>
        <w:rPr>
          <w:rFonts w:ascii="Times New Roman" w:hAnsi="Times New Roman" w:cs="Times New Roman"/>
          <w:sz w:val="28"/>
          <w:szCs w:val="28"/>
        </w:rPr>
        <w:t xml:space="preserve"> toxicity: to evaluate the myelosuppression, liver function and renal function abnormalities every 3 weeks; and to evaluate the non-hematological toxicity, such as dermatitis, gastrointestinal tract </w:t>
      </w:r>
      <w:r>
        <w:rPr>
          <w:rFonts w:ascii="Times New Roman" w:eastAsia="宋体" w:hAnsi="Times New Roman" w:cs="Times New Roman"/>
          <w:sz w:val="28"/>
          <w:szCs w:val="28"/>
          <w:lang w:eastAsia="zh-CN"/>
        </w:rPr>
        <w:t>reactions</w:t>
      </w:r>
      <w:r>
        <w:rPr>
          <w:rFonts w:ascii="Times New Roman" w:hAnsi="Times New Roman" w:cs="Times New Roman"/>
          <w:sz w:val="28"/>
          <w:szCs w:val="28"/>
        </w:rPr>
        <w:t>, and so on</w:t>
      </w:r>
      <w:r>
        <w:rPr>
          <w:rFonts w:ascii="Times New Roman" w:eastAsia="宋体" w:hAnsi="Times New Roman" w:cs="Times New Roman"/>
          <w:sz w:val="28"/>
          <w:szCs w:val="28"/>
          <w:lang w:eastAsia="zh-CN"/>
        </w:rPr>
        <w:t>,</w:t>
      </w:r>
      <w:r>
        <w:rPr>
          <w:rFonts w:ascii="Times New Roman" w:hAnsi="Times New Roman" w:cs="Times New Roman"/>
          <w:sz w:val="28"/>
          <w:szCs w:val="28"/>
        </w:rPr>
        <w:t xml:space="preserve"> every 3 weeks; thyroid function should be checked every 6 weeks. Evaluation of efficacy: to evaluate through chest CT and abdominal and pelvic CT, 8-12 weeks after completion of radiotherapy (i.e., before surgery).</w:t>
      </w:r>
    </w:p>
    <w:p w14:paraId="2430BBF4"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③</w:t>
      </w:r>
      <w:r>
        <w:rPr>
          <w:rFonts w:ascii="Times New Roman" w:hAnsi="Times New Roman" w:cs="Times New Roman"/>
          <w:sz w:val="28"/>
          <w:szCs w:val="28"/>
        </w:rPr>
        <w:t>Frequency of follow-up/monitoring after completing surgery and adjuvant therapy: every 3 months for the first 2 years, then every 6 months for up to 5 years. Follow-up/monitoring: a) Clinical history b) Physical examination c) Hematology (CEA and CA199) d) Physical status score (ECOG) e) Body weight monitoring f) Chest, abdominal and pelvic CT examination.</w:t>
      </w:r>
    </w:p>
    <w:p w14:paraId="7CA74D7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Definition of end of study: a subject is considered to have completed this study if the subject completes survival follow-up or withdraws from the study. End of the study was defined as the last subject completing safety visit and survival follow-up.</w:t>
      </w:r>
    </w:p>
    <w:p w14:paraId="3954AA0C" w14:textId="77777777" w:rsidR="009D72E0" w:rsidRDefault="00000000">
      <w:pPr>
        <w:spacing w:after="0" w:line="360" w:lineRule="auto"/>
        <w:rPr>
          <w:rFonts w:ascii="Times New Roman" w:hAnsi="Times New Roman" w:cs="Times New Roman"/>
          <w:b/>
          <w:bCs/>
          <w:sz w:val="28"/>
          <w:szCs w:val="28"/>
        </w:rPr>
      </w:pPr>
      <w:bookmarkStart w:id="4" w:name="_Hlk206452350"/>
      <w:r>
        <w:rPr>
          <w:rFonts w:ascii="Times New Roman" w:hAnsi="Times New Roman" w:cs="Times New Roman" w:hint="eastAsia"/>
          <w:b/>
          <w:bCs/>
          <w:sz w:val="28"/>
          <w:szCs w:val="28"/>
        </w:rPr>
        <w:t>Ⅳ</w:t>
      </w:r>
      <w:r>
        <w:rPr>
          <w:rFonts w:ascii="Times New Roman" w:hAnsi="Times New Roman" w:cs="Times New Roman"/>
          <w:b/>
          <w:bCs/>
          <w:sz w:val="28"/>
          <w:szCs w:val="28"/>
        </w:rPr>
        <w:t>. Study Population</w:t>
      </w:r>
    </w:p>
    <w:bookmarkEnd w:id="4"/>
    <w:p w14:paraId="000C6F1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sz w:val="28"/>
          <w:szCs w:val="28"/>
          <w:lang w:eastAsia="zh-CN"/>
        </w:rPr>
        <w:t>1. Inclusion</w:t>
      </w:r>
      <w:r>
        <w:rPr>
          <w:rFonts w:ascii="Times New Roman" w:hAnsi="Times New Roman" w:cs="Times New Roman"/>
          <w:sz w:val="28"/>
          <w:szCs w:val="28"/>
        </w:rPr>
        <w:t xml:space="preserve"> criteria:</w:t>
      </w:r>
    </w:p>
    <w:p w14:paraId="780EB24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(1) Age 18-75 years old, male and female.</w:t>
      </w:r>
    </w:p>
    <w:p w14:paraId="66DB11D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(2) ECOG score 0-1.</w:t>
      </w:r>
    </w:p>
    <w:p w14:paraId="7D48FCF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(3) Diagnosis of adenocarcinoma of esophagogastric junction: </w:t>
      </w:r>
      <w:r>
        <w:rPr>
          <w:rFonts w:ascii="宋体" w:eastAsia="宋体" w:hAnsi="宋体" w:cs="宋体" w:hint="eastAsia"/>
          <w:sz w:val="28"/>
          <w:szCs w:val="28"/>
        </w:rPr>
        <w:t>①</w:t>
      </w:r>
      <w:r>
        <w:rPr>
          <w:rFonts w:ascii="Times New Roman" w:hAnsi="Times New Roman" w:cs="Times New Roman"/>
          <w:sz w:val="28"/>
          <w:szCs w:val="28"/>
        </w:rPr>
        <w:t xml:space="preserve">Endoscopic diagnosis: endoscopic diagnosis of esophagogastric junction (EGJ) tumor, Siewert type II is defined as a tumor invading the EGJ, whose epicenter is located between 1 cm above and 2 cm below the EGJ, and type III is defined as a tumor with an epicenter located 2 cm-5 cm below the EGJ. </w:t>
      </w:r>
      <w:r>
        <w:rPr>
          <w:rFonts w:ascii="宋体" w:eastAsia="宋体" w:hAnsi="宋体" w:cs="宋体" w:hint="eastAsia"/>
          <w:sz w:val="28"/>
          <w:szCs w:val="28"/>
        </w:rPr>
        <w:t>②</w:t>
      </w:r>
      <w:r>
        <w:rPr>
          <w:rFonts w:ascii="Times New Roman" w:hAnsi="Times New Roman" w:cs="Times New Roman"/>
          <w:sz w:val="28"/>
          <w:szCs w:val="28"/>
        </w:rPr>
        <w:t xml:space="preserve"> Pathological diagnosis: adenocarcinoma diagnosed by histological and/or cytological examination; </w:t>
      </w:r>
      <w:r>
        <w:rPr>
          <w:rFonts w:ascii="宋体" w:eastAsia="宋体" w:hAnsi="宋体" w:cs="宋体" w:hint="eastAsia"/>
          <w:sz w:val="28"/>
          <w:szCs w:val="28"/>
        </w:rPr>
        <w:t>③</w:t>
      </w:r>
      <w:r>
        <w:rPr>
          <w:rFonts w:ascii="Times New Roman" w:hAnsi="Times New Roman" w:cs="Times New Roman"/>
          <w:sz w:val="28"/>
          <w:szCs w:val="28"/>
        </w:rPr>
        <w:t xml:space="preserve"> Clinical diagnosis: thickening of the EGJ with arterial enhancement by abdominal CT.</w:t>
      </w:r>
    </w:p>
    <w:p w14:paraId="741D539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(4) Primary locally advanced patients (cT3-4 or N+ without distant metastasis).</w:t>
      </w:r>
    </w:p>
    <w:p w14:paraId="241D9DC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(5) Expected survival ≥ 12 months.</w:t>
      </w:r>
    </w:p>
    <w:p w14:paraId="1F39C85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(6) Acceptable bone marrow function (leukocytes ≥ 4×10</w:t>
      </w:r>
      <w:r>
        <w:rPr>
          <w:rFonts w:ascii="Times New Roman" w:hAnsi="Times New Roman" w:cs="Times New Roman"/>
          <w:sz w:val="28"/>
          <w:szCs w:val="28"/>
          <w:vertAlign w:val="superscript"/>
        </w:rPr>
        <w:t>9</w:t>
      </w:r>
      <w:r>
        <w:rPr>
          <w:rFonts w:ascii="Times New Roman" w:hAnsi="Times New Roman" w:cs="Times New Roman"/>
          <w:sz w:val="28"/>
          <w:szCs w:val="28"/>
        </w:rPr>
        <w:t>/L, neutrophils ≥2×10</w:t>
      </w:r>
      <w:r>
        <w:rPr>
          <w:rFonts w:ascii="Times New Roman" w:hAnsi="Times New Roman" w:cs="Times New Roman"/>
          <w:sz w:val="28"/>
          <w:szCs w:val="28"/>
          <w:vertAlign w:val="superscript"/>
        </w:rPr>
        <w:t>9</w:t>
      </w:r>
      <w:r>
        <w:rPr>
          <w:rFonts w:ascii="Times New Roman" w:hAnsi="Times New Roman" w:cs="Times New Roman"/>
          <w:sz w:val="28"/>
          <w:szCs w:val="28"/>
        </w:rPr>
        <w:t>/L, PLT ≥100×10</w:t>
      </w:r>
      <w:r>
        <w:rPr>
          <w:rFonts w:ascii="Times New Roman" w:hAnsi="Times New Roman" w:cs="Times New Roman"/>
          <w:sz w:val="28"/>
          <w:szCs w:val="28"/>
          <w:vertAlign w:val="superscript"/>
        </w:rPr>
        <w:t>9</w:t>
      </w:r>
      <w:r>
        <w:rPr>
          <w:rFonts w:ascii="Times New Roman" w:hAnsi="Times New Roman" w:cs="Times New Roman"/>
          <w:sz w:val="28"/>
          <w:szCs w:val="28"/>
        </w:rPr>
        <w:t>/L, HGB ≥ 100g/L), liver function (ALT, AST, ALP&lt; 2.5 times upper limit of normal, bilirubin &lt;1.5 times upper limit of normal) and renal function (BUN&lt; 40mg/dl, creatinine &lt;2mg/ml).</w:t>
      </w:r>
    </w:p>
    <w:p w14:paraId="06C843B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(7) Agree to enrollment and sign the informed consent form.</w:t>
      </w:r>
    </w:p>
    <w:p w14:paraId="4BD9C81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(8) Female subjects of childbearing age or male subjects whose sexual partners are of childbearing age should use effective contraception throughout the treatment period until 6 months after the treatment period.</w:t>
      </w:r>
    </w:p>
    <w:p w14:paraId="7CDD548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2. Exclusion Criteria:</w:t>
      </w:r>
    </w:p>
    <w:p w14:paraId="5200676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(1) Age &gt;75 years or &lt;18 years.</w:t>
      </w:r>
    </w:p>
    <w:p w14:paraId="748CBD3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(2) ECOG score ≥2.</w:t>
      </w:r>
    </w:p>
    <w:p w14:paraId="5643505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(3) Distant metastases such as lung, liver, bone, mediastinal lymph nodes, pelvic lymph nodes, peritoneal metastases.</w:t>
      </w:r>
    </w:p>
    <w:p w14:paraId="6F6E6C3A"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 xml:space="preserve">(4) Allergy to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w:t>
      </w:r>
    </w:p>
    <w:p w14:paraId="7A3ADD9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(5) Patients who have previously received immunotherapy, such as PD-1 antibody, PD-L1 antibody, CTLA4 antibody.</w:t>
      </w:r>
    </w:p>
    <w:p w14:paraId="3F54A348"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 xml:space="preserve">(6) Use of immunosuppressive medications within 4 weeks prior to enrollment, excluding nasal, inhalational, or other topical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or physiologic doses of systemic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(i.e., no more than 10 mg/day of prednisone or equivalent doses of other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temporary use of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to treat respiratory symptoms of asthma, COPD, or other conditions is permitted.</w:t>
      </w:r>
    </w:p>
    <w:p w14:paraId="2D08D381"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 xml:space="preserve">(7) Active infection, acute myocardial infarction within the last 6 months, severe cardiac arrhythmia requiring long-term pharmacologic intervention, severe stroke, uncontrolled epilepsy, or </w:t>
      </w:r>
      <w:proofErr w:type="gramStart"/>
      <w:r>
        <w:rPr>
          <w:rFonts w:ascii="Times New Roman" w:hAnsi="Times New Roman" w:cs="Times New Roman"/>
          <w:sz w:val="28"/>
          <w:szCs w:val="28"/>
        </w:rPr>
        <w:t>other</w:t>
      </w:r>
      <w:proofErr w:type="gramEnd"/>
      <w:r>
        <w:rPr>
          <w:rFonts w:ascii="Times New Roman" w:hAnsi="Times New Roman" w:cs="Times New Roman"/>
          <w:sz w:val="28"/>
          <w:szCs w:val="28"/>
        </w:rPr>
        <w:t xml:space="preserve"> serious medical comorbidity.</w:t>
      </w:r>
    </w:p>
    <w:p w14:paraId="46A6C73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(8) History of other malignant diseases in the last 5 years, except cured skin cancer or cervical carcinoma in situ.</w:t>
      </w:r>
    </w:p>
    <w:p w14:paraId="0736650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3. Withdrawal Criteria</w:t>
      </w:r>
    </w:p>
    <w:p w14:paraId="4CCE664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(1) Rapid progression of disease during the treatment;</w:t>
      </w:r>
    </w:p>
    <w:p w14:paraId="253790F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(2) The patient requests to withdraw on his/her own initiative;</w:t>
      </w:r>
    </w:p>
    <w:p w14:paraId="5FC1D46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(3) Requested by the investigator, sponsor manufacturer, ethics committee, or national governmental departments to stop.</w:t>
      </w:r>
    </w:p>
    <w:p w14:paraId="29FF8BB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4. Subject Withdrawal from the Study </w:t>
      </w:r>
    </w:p>
    <w:p w14:paraId="4B9F490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Subjects have the rights to withdraw from the study at any time for any reason and must withdraw from the study if the subject or the subject's legal representative withdraws informed consent.</w:t>
      </w:r>
    </w:p>
    <w:p w14:paraId="38C0E30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investigator may ask the subject to withdraw from the study for the following reasons:</w:t>
      </w:r>
    </w:p>
    <w:p w14:paraId="5AD1CBA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(1) Poor compliance in the subject;</w:t>
      </w:r>
    </w:p>
    <w:p w14:paraId="3D7E65D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(2) The occurrence of adverse events (AEs), abnormal laboratory test, or other medical condition which indicate that continued participation in the study would not be in the best interest of the subject;</w:t>
      </w:r>
    </w:p>
    <w:p w14:paraId="3514B37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(3) The subject meets the exclusion criteria (emerging or previously unrecognized) and cannot continue to participate in the study.</w:t>
      </w:r>
    </w:p>
    <w:p w14:paraId="7636442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If the subject withdraws from the study, he/she will no longer receive treatment and follow-up as specified in the protocol, but should be persuaded to complete the safety follow-up and imaging follow-up evaluations if possible. The reason for the subject's withdrawal from the study should be documented on the Case Report Form (CRF). Subjects who sign the informed consent form to receive the study intervention and withdraw or are withdrawn/terminated from the study due to treatment toxicity, disease progression during the course of treatment are not eligible for replacement.</w:t>
      </w:r>
    </w:p>
    <w:p w14:paraId="1AE0AD0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5. Missed Visits </w:t>
      </w:r>
    </w:p>
    <w:p w14:paraId="385A0BD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Subjects who fail to return to the </w:t>
      </w:r>
      <w:r>
        <w:rPr>
          <w:rFonts w:ascii="Times New Roman" w:eastAsia="宋体" w:hAnsi="Times New Roman" w:cs="Times New Roman" w:hint="eastAsia"/>
          <w:sz w:val="28"/>
          <w:szCs w:val="28"/>
          <w:lang w:eastAsia="zh-CN"/>
        </w:rPr>
        <w:t>s</w:t>
      </w:r>
      <w:r>
        <w:rPr>
          <w:rFonts w:ascii="Times New Roman" w:hAnsi="Times New Roman" w:cs="Times New Roman"/>
          <w:sz w:val="28"/>
          <w:szCs w:val="28"/>
        </w:rPr>
        <w:t xml:space="preserve">tudy </w:t>
      </w:r>
      <w:r>
        <w:rPr>
          <w:rFonts w:ascii="Times New Roman" w:eastAsia="宋体" w:hAnsi="Times New Roman" w:cs="Times New Roman" w:hint="eastAsia"/>
          <w:sz w:val="28"/>
          <w:szCs w:val="28"/>
          <w:lang w:eastAsia="zh-CN"/>
        </w:rPr>
        <w:t>c</w:t>
      </w:r>
      <w:r>
        <w:rPr>
          <w:rFonts w:ascii="Times New Roman" w:hAnsi="Times New Roman" w:cs="Times New Roman"/>
          <w:sz w:val="28"/>
          <w:szCs w:val="28"/>
        </w:rPr>
        <w:t xml:space="preserve">enter for 2 consecutive scheduled visits and cannot be contacted by the </w:t>
      </w:r>
      <w:r>
        <w:rPr>
          <w:rFonts w:ascii="Times New Roman" w:eastAsia="宋体" w:hAnsi="Times New Roman" w:cs="Times New Roman" w:hint="eastAsia"/>
          <w:sz w:val="28"/>
          <w:szCs w:val="28"/>
          <w:lang w:eastAsia="zh-CN"/>
        </w:rPr>
        <w:t>s</w:t>
      </w:r>
      <w:r>
        <w:rPr>
          <w:rFonts w:ascii="Times New Roman" w:hAnsi="Times New Roman" w:cs="Times New Roman"/>
          <w:sz w:val="28"/>
          <w:szCs w:val="28"/>
        </w:rPr>
        <w:t xml:space="preserve">tudy </w:t>
      </w:r>
      <w:r>
        <w:rPr>
          <w:rFonts w:ascii="Times New Roman" w:eastAsia="宋体" w:hAnsi="Times New Roman" w:cs="Times New Roman" w:hint="eastAsia"/>
          <w:sz w:val="28"/>
          <w:szCs w:val="28"/>
          <w:lang w:eastAsia="zh-CN"/>
        </w:rPr>
        <w:t>c</w:t>
      </w:r>
      <w:r>
        <w:rPr>
          <w:rFonts w:ascii="Times New Roman" w:hAnsi="Times New Roman" w:cs="Times New Roman"/>
          <w:sz w:val="28"/>
          <w:szCs w:val="28"/>
        </w:rPr>
        <w:t>enter staff will be considered to have missed a visit.</w:t>
      </w:r>
    </w:p>
    <w:p w14:paraId="71859A2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If a subject fails to return to the </w:t>
      </w:r>
      <w:r>
        <w:rPr>
          <w:rFonts w:ascii="Times New Roman" w:eastAsia="宋体" w:hAnsi="Times New Roman" w:cs="Times New Roman" w:hint="eastAsia"/>
          <w:sz w:val="28"/>
          <w:szCs w:val="28"/>
          <w:lang w:eastAsia="zh-CN"/>
        </w:rPr>
        <w:t>s</w:t>
      </w:r>
      <w:r>
        <w:rPr>
          <w:rFonts w:ascii="Times New Roman" w:hAnsi="Times New Roman" w:cs="Times New Roman"/>
          <w:sz w:val="28"/>
          <w:szCs w:val="28"/>
        </w:rPr>
        <w:t xml:space="preserve">tudy </w:t>
      </w:r>
      <w:r>
        <w:rPr>
          <w:rFonts w:ascii="Times New Roman" w:eastAsia="宋体" w:hAnsi="Times New Roman" w:cs="Times New Roman" w:hint="eastAsia"/>
          <w:sz w:val="28"/>
          <w:szCs w:val="28"/>
          <w:lang w:eastAsia="zh-CN"/>
        </w:rPr>
        <w:t>c</w:t>
      </w:r>
      <w:r>
        <w:rPr>
          <w:rFonts w:ascii="Times New Roman" w:hAnsi="Times New Roman" w:cs="Times New Roman"/>
          <w:sz w:val="28"/>
          <w:szCs w:val="28"/>
        </w:rPr>
        <w:t xml:space="preserve">enter for a scheduled study visit, the following actions must be taken: </w:t>
      </w:r>
    </w:p>
    <w:p w14:paraId="2D7718C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sz w:val="28"/>
          <w:szCs w:val="28"/>
          <w:lang w:eastAsia="zh-CN"/>
        </w:rPr>
        <w:t xml:space="preserve">(1) </w:t>
      </w:r>
      <w:r>
        <w:rPr>
          <w:rFonts w:ascii="Times New Roman" w:hAnsi="Times New Roman" w:cs="Times New Roman"/>
          <w:sz w:val="28"/>
          <w:szCs w:val="28"/>
        </w:rPr>
        <w:t xml:space="preserve">The </w:t>
      </w:r>
      <w:r>
        <w:rPr>
          <w:rFonts w:ascii="Times New Roman" w:eastAsia="宋体" w:hAnsi="Times New Roman" w:cs="Times New Roman" w:hint="eastAsia"/>
          <w:sz w:val="28"/>
          <w:szCs w:val="28"/>
          <w:lang w:eastAsia="zh-CN"/>
        </w:rPr>
        <w:t>s</w:t>
      </w:r>
      <w:r>
        <w:rPr>
          <w:rFonts w:ascii="Times New Roman" w:hAnsi="Times New Roman" w:cs="Times New Roman"/>
          <w:sz w:val="28"/>
          <w:szCs w:val="28"/>
        </w:rPr>
        <w:t xml:space="preserve">tudy </w:t>
      </w:r>
      <w:r>
        <w:rPr>
          <w:rFonts w:ascii="Times New Roman" w:eastAsia="宋体" w:hAnsi="Times New Roman" w:cs="Times New Roman" w:hint="eastAsia"/>
          <w:sz w:val="28"/>
          <w:szCs w:val="28"/>
          <w:lang w:eastAsia="zh-CN"/>
        </w:rPr>
        <w:t>c</w:t>
      </w:r>
      <w:r>
        <w:rPr>
          <w:rFonts w:ascii="Times New Roman" w:hAnsi="Times New Roman" w:cs="Times New Roman"/>
          <w:sz w:val="28"/>
          <w:szCs w:val="28"/>
        </w:rPr>
        <w:t>enter should attempt to contact the subject to reschedule the missed visit, explain the importance of adhering to the visit schedule, and confirm that the subject is willing and/or deserving to continue participation in this study.</w:t>
      </w:r>
    </w:p>
    <w:p w14:paraId="4CFEE2C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sz w:val="28"/>
          <w:szCs w:val="28"/>
          <w:lang w:eastAsia="zh-CN"/>
        </w:rPr>
        <w:t xml:space="preserve">(2) </w:t>
      </w:r>
      <w:r>
        <w:rPr>
          <w:rFonts w:ascii="Times New Roman" w:hAnsi="Times New Roman" w:cs="Times New Roman"/>
          <w:sz w:val="28"/>
          <w:szCs w:val="28"/>
        </w:rPr>
        <w:t xml:space="preserve">Prior to the subject being recognized as a missed visit, the investigator or designee should make every effort to reconnect with the subject (at least two attempts should be made to call, and if contact is still not possible, a letter should be sent to the subject's most recently updated contact address). These attempts to </w:t>
      </w:r>
      <w:r>
        <w:rPr>
          <w:rFonts w:ascii="Times New Roman" w:hAnsi="Times New Roman" w:cs="Times New Roman"/>
          <w:sz w:val="28"/>
          <w:szCs w:val="28"/>
        </w:rPr>
        <w:lastRenderedPageBreak/>
        <w:t xml:space="preserve">contact the subject should be documented in the subject's medical record or study file. </w:t>
      </w:r>
    </w:p>
    <w:p w14:paraId="694E237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If the subject cannot be contacted, he/she will be considered lost and withdrawn from the study.</w:t>
      </w:r>
    </w:p>
    <w:p w14:paraId="75B350C9" w14:textId="77777777" w:rsidR="009D72E0" w:rsidRDefault="00000000">
      <w:pPr>
        <w:spacing w:after="0" w:line="360" w:lineRule="auto"/>
        <w:rPr>
          <w:rFonts w:ascii="Times New Roman" w:hAnsi="Times New Roman" w:cs="Times New Roman"/>
          <w:b/>
          <w:bCs/>
          <w:sz w:val="28"/>
          <w:szCs w:val="28"/>
        </w:rPr>
      </w:pPr>
      <w:bookmarkStart w:id="5" w:name="_Hlk206452542"/>
      <w:r>
        <w:rPr>
          <w:rFonts w:ascii="Times New Roman" w:hAnsi="Times New Roman" w:cs="Times New Roman" w:hint="eastAsia"/>
          <w:b/>
          <w:bCs/>
          <w:sz w:val="28"/>
          <w:szCs w:val="28"/>
        </w:rPr>
        <w:t>Ⅴ</w:t>
      </w:r>
      <w:r>
        <w:rPr>
          <w:rFonts w:ascii="Times New Roman" w:hAnsi="Times New Roman" w:cs="Times New Roman"/>
          <w:b/>
          <w:bCs/>
          <w:sz w:val="28"/>
          <w:szCs w:val="28"/>
        </w:rPr>
        <w:t xml:space="preserve">. Pre-Enrollment Examinations and Treatment Implementation </w:t>
      </w:r>
    </w:p>
    <w:bookmarkEnd w:id="5"/>
    <w:p w14:paraId="7B2F36F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1. Completion of Relevant Examinations Before Enrollment (4 weeks before enrollment):</w:t>
      </w:r>
    </w:p>
    <w:p w14:paraId="5D5B823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a) Clinical history b) Physical examination c) Physical status score (ECOG) d) Electrocardiograph (ECG) e) Hematology: </w:t>
      </w:r>
      <w:r>
        <w:rPr>
          <w:rFonts w:ascii="宋体" w:eastAsia="宋体" w:hAnsi="宋体" w:cs="宋体" w:hint="eastAsia"/>
          <w:sz w:val="28"/>
          <w:szCs w:val="28"/>
        </w:rPr>
        <w:t>①</w:t>
      </w:r>
      <w:r>
        <w:rPr>
          <w:rFonts w:ascii="Times New Roman" w:hAnsi="Times New Roman" w:cs="Times New Roman"/>
          <w:sz w:val="28"/>
          <w:szCs w:val="28"/>
        </w:rPr>
        <w:t>routine analysis of bloo</w:t>
      </w:r>
      <w:r>
        <w:rPr>
          <w:rFonts w:ascii="Times New Roman" w:eastAsia="宋体" w:hAnsi="Times New Roman" w:cs="Times New Roman"/>
          <w:sz w:val="28"/>
          <w:szCs w:val="28"/>
          <w:lang w:eastAsia="zh-CN"/>
        </w:rPr>
        <w:t xml:space="preserve">d; </w:t>
      </w:r>
      <w:r>
        <w:rPr>
          <w:rFonts w:ascii="宋体" w:eastAsia="宋体" w:hAnsi="宋体" w:cs="宋体" w:hint="eastAsia"/>
          <w:sz w:val="28"/>
          <w:szCs w:val="28"/>
        </w:rPr>
        <w:t>②</w:t>
      </w:r>
      <w:r>
        <w:rPr>
          <w:rFonts w:ascii="Times New Roman" w:hAnsi="Times New Roman" w:cs="Times New Roman"/>
          <w:sz w:val="28"/>
          <w:szCs w:val="28"/>
        </w:rPr>
        <w:t>liver function</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 xml:space="preserve">ALT, AST, ALP, GGT, TBIL, DBIL, IBIL, ALB; Kidney function: creatinine, BUN, electrolytes, fasting blood glucose; </w:t>
      </w:r>
      <w:r>
        <w:rPr>
          <w:rFonts w:ascii="宋体" w:eastAsia="宋体" w:hAnsi="宋体" w:cs="宋体" w:hint="eastAsia"/>
          <w:sz w:val="28"/>
          <w:szCs w:val="28"/>
        </w:rPr>
        <w:t>③</w:t>
      </w:r>
      <w:r>
        <w:rPr>
          <w:rFonts w:ascii="Times New Roman" w:hAnsi="Times New Roman" w:cs="Times New Roman"/>
          <w:sz w:val="28"/>
          <w:szCs w:val="28"/>
        </w:rPr>
        <w:t xml:space="preserve"> Coagulation function; </w:t>
      </w:r>
      <w:r>
        <w:rPr>
          <w:rFonts w:ascii="宋体" w:eastAsia="宋体" w:hAnsi="宋体" w:cs="宋体" w:hint="eastAsia"/>
          <w:sz w:val="28"/>
          <w:szCs w:val="28"/>
        </w:rPr>
        <w:t>④</w:t>
      </w:r>
      <w:r>
        <w:rPr>
          <w:rFonts w:ascii="Times New Roman" w:hAnsi="Times New Roman" w:cs="Times New Roman"/>
          <w:sz w:val="28"/>
          <w:szCs w:val="28"/>
        </w:rPr>
        <w:t xml:space="preserve"> Tumor markers (CEA, CA199); </w:t>
      </w:r>
      <w:r>
        <w:rPr>
          <w:rFonts w:ascii="宋体" w:eastAsia="宋体" w:hAnsi="宋体" w:cs="宋体" w:hint="eastAsia"/>
          <w:sz w:val="28"/>
          <w:szCs w:val="28"/>
        </w:rPr>
        <w:t>⑤</w:t>
      </w:r>
      <w:r>
        <w:rPr>
          <w:rFonts w:ascii="Times New Roman" w:hAnsi="Times New Roman" w:cs="Times New Roman"/>
          <w:sz w:val="28"/>
          <w:szCs w:val="28"/>
        </w:rPr>
        <w:t xml:space="preserve"> Thyroid function (T3, T4, TSH); </w:t>
      </w:r>
      <w:r>
        <w:rPr>
          <w:rFonts w:ascii="宋体" w:eastAsia="宋体" w:hAnsi="宋体" w:cs="宋体" w:hint="eastAsia"/>
          <w:sz w:val="28"/>
          <w:szCs w:val="28"/>
        </w:rPr>
        <w:t>⑥</w:t>
      </w:r>
      <w:r>
        <w:rPr>
          <w:rFonts w:ascii="Times New Roman" w:hAnsi="Times New Roman" w:cs="Times New Roman"/>
          <w:sz w:val="28"/>
          <w:szCs w:val="28"/>
        </w:rPr>
        <w:t xml:space="preserve">myocardial enzymes; </w:t>
      </w:r>
      <w:r>
        <w:rPr>
          <w:rFonts w:ascii="宋体" w:eastAsia="宋体" w:hAnsi="宋体" w:cs="宋体" w:hint="eastAsia"/>
          <w:sz w:val="28"/>
          <w:szCs w:val="28"/>
        </w:rPr>
        <w:t>⑦</w:t>
      </w:r>
      <w:r>
        <w:rPr>
          <w:rFonts w:ascii="Times New Roman" w:hAnsi="Times New Roman" w:cs="Times New Roman"/>
          <w:sz w:val="28"/>
          <w:szCs w:val="28"/>
        </w:rPr>
        <w:t xml:space="preserve">Routine urine and feces routine; f) Imaging: </w:t>
      </w:r>
      <w:r>
        <w:rPr>
          <w:rFonts w:ascii="宋体" w:eastAsia="宋体" w:hAnsi="宋体" w:cs="宋体" w:hint="eastAsia"/>
          <w:sz w:val="28"/>
          <w:szCs w:val="28"/>
        </w:rPr>
        <w:t>①</w:t>
      </w:r>
      <w:r>
        <w:rPr>
          <w:rFonts w:ascii="Times New Roman" w:hAnsi="Times New Roman" w:cs="Times New Roman"/>
          <w:sz w:val="28"/>
          <w:szCs w:val="28"/>
        </w:rPr>
        <w:t xml:space="preserve"> Chest, abdominal and pelvic CT examination </w:t>
      </w:r>
      <w:r>
        <w:rPr>
          <w:rFonts w:ascii="宋体" w:eastAsia="宋体" w:hAnsi="宋体" w:cs="宋体" w:hint="eastAsia"/>
          <w:sz w:val="28"/>
          <w:szCs w:val="28"/>
        </w:rPr>
        <w:t>②</w:t>
      </w:r>
      <w:r>
        <w:rPr>
          <w:rFonts w:ascii="Times New Roman" w:hAnsi="Times New Roman" w:cs="Times New Roman"/>
          <w:sz w:val="28"/>
          <w:szCs w:val="28"/>
        </w:rPr>
        <w:t xml:space="preserve"> Brain CT or MRI, only when clinically suspected of central nervous system metastasis; </w:t>
      </w:r>
      <w:r>
        <w:rPr>
          <w:rFonts w:ascii="宋体" w:eastAsia="宋体" w:hAnsi="宋体" w:cs="宋体" w:hint="eastAsia"/>
          <w:sz w:val="28"/>
          <w:szCs w:val="28"/>
        </w:rPr>
        <w:t>③</w:t>
      </w:r>
      <w:r>
        <w:rPr>
          <w:rFonts w:ascii="Times New Roman" w:hAnsi="Times New Roman" w:cs="Times New Roman"/>
          <w:sz w:val="28"/>
          <w:szCs w:val="28"/>
        </w:rPr>
        <w:t xml:space="preserve"> Bone scan, only when clinically suspected of bone metastasis; </w:t>
      </w:r>
      <w:r>
        <w:rPr>
          <w:rFonts w:ascii="宋体" w:eastAsia="宋体" w:hAnsi="宋体" w:cs="宋体" w:hint="eastAsia"/>
          <w:sz w:val="28"/>
          <w:szCs w:val="28"/>
        </w:rPr>
        <w:t>④</w:t>
      </w:r>
      <w:r>
        <w:rPr>
          <w:rFonts w:ascii="Times New Roman" w:hAnsi="Times New Roman" w:cs="Times New Roman"/>
          <w:sz w:val="28"/>
          <w:szCs w:val="28"/>
        </w:rPr>
        <w:t xml:space="preserve"> PET/CT (optional) </w:t>
      </w:r>
    </w:p>
    <w:p w14:paraId="1A9F102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2. Implementation of radiation therapy</w:t>
      </w:r>
    </w:p>
    <w:p w14:paraId="633CA84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(1) Irradiation method: IMRT/VMAT.</w:t>
      </w:r>
    </w:p>
    <w:p w14:paraId="290F7C8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(2) Position fixation: patients take the supine position, hands holding elbows on forehead, thermoplastic body film fixation.</w:t>
      </w:r>
    </w:p>
    <w:p w14:paraId="5229731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(3) CT/MR simulation: the CT simulation scanning was performed from the </w:t>
      </w:r>
      <w:r>
        <w:rPr>
          <w:rFonts w:ascii="Times New Roman" w:eastAsia="宋体" w:hAnsi="Times New Roman" w:cs="Times New Roman" w:hint="eastAsia"/>
          <w:sz w:val="28"/>
          <w:szCs w:val="28"/>
          <w:lang w:eastAsia="zh-CN"/>
        </w:rPr>
        <w:t>carina</w:t>
      </w:r>
      <w:r>
        <w:rPr>
          <w:rFonts w:ascii="Times New Roman" w:hAnsi="Times New Roman" w:cs="Times New Roman"/>
          <w:sz w:val="28"/>
          <w:szCs w:val="28"/>
        </w:rPr>
        <w:t xml:space="preserve"> to the level of lumbar 4 vertebrae, and the scanning layer thickness was 0.5 cm. At the end of the CT scan, an MR simulation scan was performed in the same position, with the same thermoplastic film fixation and the same center, to collect T2, T1 and T1+C images. And the MR scanning images were aligned with the CT scanning images.</w:t>
      </w:r>
    </w:p>
    <w:p w14:paraId="1B30A1E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(4) Outline the target area</w:t>
      </w:r>
    </w:p>
    <w:p w14:paraId="33BFFA61" w14:textId="77777777" w:rsidR="009D72E0" w:rsidRDefault="00000000">
      <w:pPr>
        <w:spacing w:after="0" w:line="360" w:lineRule="auto"/>
        <w:ind w:firstLineChars="100" w:firstLine="280"/>
        <w:rPr>
          <w:rFonts w:ascii="Times New Roman" w:hAnsi="Times New Roman" w:cs="Times New Roman"/>
          <w:sz w:val="28"/>
          <w:szCs w:val="28"/>
        </w:rPr>
      </w:pPr>
      <w:proofErr w:type="spellStart"/>
      <w:r>
        <w:rPr>
          <w:rFonts w:ascii="Times New Roman" w:hAnsi="Times New Roman" w:cs="Times New Roman"/>
          <w:sz w:val="28"/>
          <w:szCs w:val="28"/>
        </w:rPr>
        <w:t>GTVp</w:t>
      </w:r>
      <w:proofErr w:type="spellEnd"/>
      <w:r>
        <w:rPr>
          <w:rFonts w:ascii="Times New Roman" w:hAnsi="Times New Roman" w:cs="Times New Roman"/>
          <w:sz w:val="28"/>
          <w:szCs w:val="28"/>
        </w:rPr>
        <w:t xml:space="preserve"> is defined as the primary tumor, and the extent of the tumor is determined according to the localized CT/MR enhancement range, referring to the baseline diagnostic CT and endoscopic results.</w:t>
      </w:r>
    </w:p>
    <w:p w14:paraId="66F51E72" w14:textId="77777777" w:rsidR="009D72E0" w:rsidRDefault="00000000">
      <w:pPr>
        <w:spacing w:after="0" w:line="360" w:lineRule="auto"/>
        <w:ind w:firstLineChars="100" w:firstLine="280"/>
        <w:rPr>
          <w:rFonts w:ascii="Times New Roman" w:hAnsi="Times New Roman" w:cs="Times New Roman"/>
          <w:sz w:val="28"/>
          <w:szCs w:val="28"/>
        </w:rPr>
      </w:pPr>
      <w:proofErr w:type="spellStart"/>
      <w:r>
        <w:rPr>
          <w:rFonts w:ascii="Times New Roman" w:hAnsi="Times New Roman" w:cs="Times New Roman"/>
          <w:sz w:val="28"/>
          <w:szCs w:val="28"/>
        </w:rPr>
        <w:t>GTVnd</w:t>
      </w:r>
      <w:proofErr w:type="spellEnd"/>
      <w:r>
        <w:rPr>
          <w:rFonts w:ascii="Times New Roman" w:hAnsi="Times New Roman" w:cs="Times New Roman"/>
          <w:sz w:val="28"/>
          <w:szCs w:val="28"/>
        </w:rPr>
        <w:t xml:space="preserve"> is defined as the positive regional lymph node, which is determined with reference to the baseline diagnostic CT.</w:t>
      </w:r>
    </w:p>
    <w:p w14:paraId="649DF8F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CTV includes </w:t>
      </w:r>
      <w:proofErr w:type="spellStart"/>
      <w:r>
        <w:rPr>
          <w:rFonts w:ascii="Times New Roman" w:hAnsi="Times New Roman" w:cs="Times New Roman"/>
          <w:sz w:val="28"/>
          <w:szCs w:val="28"/>
        </w:rPr>
        <w:t>CTVp</w:t>
      </w:r>
      <w:proofErr w:type="spellEnd"/>
      <w:r>
        <w:rPr>
          <w:rFonts w:ascii="Times New Roman" w:hAnsi="Times New Roman" w:cs="Times New Roman"/>
          <w:sz w:val="28"/>
          <w:szCs w:val="28"/>
        </w:rPr>
        <w:t xml:space="preserve"> (CTV of the </w:t>
      </w:r>
      <w:proofErr w:type="spellStart"/>
      <w:r>
        <w:rPr>
          <w:rFonts w:ascii="Times New Roman" w:hAnsi="Times New Roman" w:cs="Times New Roman"/>
          <w:sz w:val="28"/>
          <w:szCs w:val="28"/>
        </w:rPr>
        <w:t>GTVp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CTVnd</w:t>
      </w:r>
      <w:proofErr w:type="spellEnd"/>
      <w:r>
        <w:rPr>
          <w:rFonts w:ascii="Times New Roman" w:hAnsi="Times New Roman" w:cs="Times New Roman"/>
          <w:sz w:val="28"/>
          <w:szCs w:val="28"/>
        </w:rPr>
        <w:t xml:space="preserve"> (CTV of the </w:t>
      </w:r>
      <w:proofErr w:type="spellStart"/>
      <w:r>
        <w:rPr>
          <w:rFonts w:ascii="Times New Roman" w:hAnsi="Times New Roman" w:cs="Times New Roman"/>
          <w:sz w:val="28"/>
          <w:szCs w:val="28"/>
        </w:rPr>
        <w:t>GTVnd</w:t>
      </w:r>
      <w:proofErr w:type="spellEnd"/>
      <w:r>
        <w:rPr>
          <w:rFonts w:ascii="Times New Roman" w:hAnsi="Times New Roman" w:cs="Times New Roman"/>
          <w:sz w:val="28"/>
          <w:szCs w:val="28"/>
        </w:rPr>
        <w:t xml:space="preserve">), and high-risk lymphatic drainage area. </w:t>
      </w:r>
      <w:proofErr w:type="spellStart"/>
      <w:r>
        <w:rPr>
          <w:rFonts w:ascii="Times New Roman" w:hAnsi="Times New Roman" w:cs="Times New Roman"/>
          <w:sz w:val="28"/>
          <w:szCs w:val="28"/>
        </w:rPr>
        <w:t>CTVp</w:t>
      </w:r>
      <w:proofErr w:type="spellEnd"/>
      <w:r>
        <w:rPr>
          <w:rFonts w:ascii="Times New Roman" w:hAnsi="Times New Roman" w:cs="Times New Roman"/>
          <w:sz w:val="28"/>
          <w:szCs w:val="28"/>
        </w:rPr>
        <w:t xml:space="preserve"> extends the </w:t>
      </w:r>
      <w:proofErr w:type="spellStart"/>
      <w:r>
        <w:rPr>
          <w:rFonts w:ascii="Times New Roman" w:hAnsi="Times New Roman" w:cs="Times New Roman"/>
          <w:sz w:val="28"/>
          <w:szCs w:val="28"/>
        </w:rPr>
        <w:t>GTVp</w:t>
      </w:r>
      <w:proofErr w:type="spellEnd"/>
      <w:r>
        <w:rPr>
          <w:rFonts w:ascii="Times New Roman" w:hAnsi="Times New Roman" w:cs="Times New Roman"/>
          <w:sz w:val="28"/>
          <w:szCs w:val="28"/>
        </w:rPr>
        <w:t xml:space="preserve"> by 3 cm upward and downward, and has a left, right, and anterior-posterior expansion of 1-1.5 cm. </w:t>
      </w:r>
      <w:proofErr w:type="spellStart"/>
      <w:r>
        <w:rPr>
          <w:rFonts w:ascii="Times New Roman" w:hAnsi="Times New Roman" w:cs="Times New Roman"/>
          <w:sz w:val="28"/>
          <w:szCs w:val="28"/>
        </w:rPr>
        <w:t>CTVnd</w:t>
      </w:r>
      <w:proofErr w:type="spellEnd"/>
      <w:r>
        <w:rPr>
          <w:rFonts w:ascii="Times New Roman" w:hAnsi="Times New Roman" w:cs="Times New Roman"/>
          <w:sz w:val="28"/>
          <w:szCs w:val="28"/>
        </w:rPr>
        <w:t xml:space="preserve"> includes the </w:t>
      </w:r>
      <w:proofErr w:type="spellStart"/>
      <w:r>
        <w:rPr>
          <w:rFonts w:ascii="Times New Roman" w:hAnsi="Times New Roman" w:cs="Times New Roman"/>
          <w:sz w:val="28"/>
          <w:szCs w:val="28"/>
        </w:rPr>
        <w:t>GTVnd</w:t>
      </w:r>
      <w:proofErr w:type="spellEnd"/>
      <w:r>
        <w:rPr>
          <w:rFonts w:ascii="Times New Roman" w:hAnsi="Times New Roman" w:cs="Times New Roman"/>
          <w:sz w:val="28"/>
          <w:szCs w:val="28"/>
        </w:rPr>
        <w:t xml:space="preserve"> with a 0.5-cm expansion in all direction. The high-risk lymphatic drainage areas include mainly lymph nodes in groups 19, 20, 110, 111, 1, 2, 3, 4sa, 7, 9, 11, 16a, and will be adjusted according to the extent of the primary tumor.</w:t>
      </w:r>
    </w:p>
    <w:p w14:paraId="1B66129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PTV is expanded by 0.5 cm in three dimensions from the respective CTV.</w:t>
      </w:r>
    </w:p>
    <w:p w14:paraId="35E447C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Prescribed dose definition: 95% PGTV: 46Gy, 2Gy/F; 95% PTV: 41.4Gy, 1.8Gy/F; 23F.</w:t>
      </w:r>
    </w:p>
    <w:p w14:paraId="11A19E9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5) Outlining of Organs at Risk (OAR) </w:t>
      </w:r>
    </w:p>
    <w:p w14:paraId="004DDAC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Outlining of the spinal cord, small bowel, liver, and bilateral kidneys is required.</w:t>
      </w:r>
    </w:p>
    <w:p w14:paraId="45CEC88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Maximum dose to spinal cord ≤45Gy. </w:t>
      </w:r>
    </w:p>
    <w:p w14:paraId="28F0B54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Maximum dose to small bowel not exceed</w:t>
      </w:r>
      <w:r>
        <w:rPr>
          <w:rFonts w:ascii="Times New Roman" w:eastAsia="宋体" w:hAnsi="Times New Roman" w:cs="Times New Roman" w:hint="eastAsia"/>
          <w:sz w:val="28"/>
          <w:szCs w:val="28"/>
          <w:lang w:eastAsia="zh-CN"/>
        </w:rPr>
        <w:t>s</w:t>
      </w:r>
      <w:r>
        <w:rPr>
          <w:rFonts w:ascii="Times New Roman" w:hAnsi="Times New Roman" w:cs="Times New Roman"/>
          <w:sz w:val="28"/>
          <w:szCs w:val="28"/>
        </w:rPr>
        <w:t xml:space="preserve"> 54Gy, volume of dose higher than 45Gy &lt;195cc. </w:t>
      </w:r>
    </w:p>
    <w:p w14:paraId="3566FD7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Average dose to liver &lt;25Gy, volume of dose higher than 30Gy ≤33% of liver volume.</w:t>
      </w:r>
    </w:p>
    <w:p w14:paraId="4B15CF0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Unilateral kidney average dose &lt; 18Gy,</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 xml:space="preserve">volume of dose higher than 20Gy ≤ 33% of </w:t>
      </w:r>
      <w:r>
        <w:rPr>
          <w:rFonts w:ascii="Times New Roman" w:eastAsia="宋体" w:hAnsi="Times New Roman" w:cs="Times New Roman"/>
          <w:sz w:val="28"/>
          <w:szCs w:val="28"/>
          <w:lang w:eastAsia="zh-CN"/>
        </w:rPr>
        <w:t>kidney</w:t>
      </w:r>
      <w:r>
        <w:rPr>
          <w:rFonts w:ascii="Times New Roman" w:hAnsi="Times New Roman" w:cs="Times New Roman"/>
          <w:sz w:val="28"/>
          <w:szCs w:val="28"/>
        </w:rPr>
        <w:t xml:space="preserve"> volume.</w:t>
      </w:r>
    </w:p>
    <w:p w14:paraId="1EB4773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Minimize the </w:t>
      </w:r>
      <w:proofErr w:type="gramStart"/>
      <w:r>
        <w:rPr>
          <w:rFonts w:ascii="Times New Roman" w:hAnsi="Times New Roman" w:cs="Times New Roman"/>
          <w:sz w:val="28"/>
          <w:szCs w:val="28"/>
        </w:rPr>
        <w:t>amount</w:t>
      </w:r>
      <w:proofErr w:type="gramEnd"/>
      <w:r>
        <w:rPr>
          <w:rFonts w:ascii="Times New Roman" w:hAnsi="Times New Roman" w:cs="Times New Roman"/>
          <w:sz w:val="28"/>
          <w:szCs w:val="28"/>
        </w:rPr>
        <w:t xml:space="preserve"> of endangered organs as much as possible when the conditions are met.</w:t>
      </w:r>
    </w:p>
    <w:p w14:paraId="0C4D745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(6) Treatment of radiotherapy-related toxicit</w:t>
      </w:r>
      <w:r>
        <w:rPr>
          <w:rFonts w:ascii="Times New Roman" w:eastAsia="宋体" w:hAnsi="Times New Roman" w:cs="Times New Roman" w:hint="eastAsia"/>
          <w:sz w:val="28"/>
          <w:szCs w:val="28"/>
          <w:lang w:eastAsia="zh-CN"/>
        </w:rPr>
        <w:t>ies</w:t>
      </w:r>
      <w:r>
        <w:rPr>
          <w:rFonts w:ascii="Times New Roman" w:hAnsi="Times New Roman" w:cs="Times New Roman"/>
          <w:sz w:val="28"/>
          <w:szCs w:val="28"/>
        </w:rPr>
        <w:t xml:space="preserve"> </w:t>
      </w:r>
    </w:p>
    <w:p w14:paraId="1275B3E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During radiotherapy, if there are radiotherapy-related toxicities such as nausea, vomiting, malaise, loss of appetite, weight loss, abdominal pain, fever, bone marrow suppression, transaminase elevation, etc., subjects should be encouraged to continue accepting radiation with a prerequisite to active symptomatic supportive treatment; if there are grade 3 radiotherapy-related toxicities, it is recommended to suspend radiotherapy and continue after side effects have been improved. For patients with ≥ grade 4 radiotherapy-related AEs, or the toxicity has not been restored to lower than grade 2 after more than 1 week of suspension of radiotherapy, it is recommended to terminate radiotherapy at the judgment of the investigator and withdraw from the study.</w:t>
      </w:r>
    </w:p>
    <w:p w14:paraId="4884886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3. Implementation of chemotherapy </w:t>
      </w:r>
    </w:p>
    <w:p w14:paraId="1F70BFB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(1) Chemotherapy regimen </w:t>
      </w:r>
    </w:p>
    <w:p w14:paraId="4376A398"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①</w:t>
      </w:r>
      <w:r>
        <w:rPr>
          <w:rFonts w:ascii="Times New Roman" w:hAnsi="Times New Roman" w:cs="Times New Roman"/>
          <w:sz w:val="28"/>
          <w:szCs w:val="28"/>
        </w:rPr>
        <w:t xml:space="preserve">Simultaneous chemotherapy with preoperative radiotherapy: single-week SOX regimen (Oxaliplatin 40mg/m2 d1 +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30mg/m2 d1-5/w, 5 cycles in total). </w:t>
      </w:r>
    </w:p>
    <w:p w14:paraId="396EE432"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②</w:t>
      </w:r>
      <w:r>
        <w:rPr>
          <w:rFonts w:ascii="Times New Roman" w:hAnsi="Times New Roman" w:cs="Times New Roman"/>
          <w:sz w:val="28"/>
          <w:szCs w:val="28"/>
        </w:rPr>
        <w:t xml:space="preserve">Postoperative chemotherapy: three-week SOX regimen (Oxaliplatin 130mg/m2 d1 +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40-60mg bid d1-14, q3w; 4 cycles in total).</w:t>
      </w:r>
    </w:p>
    <w:p w14:paraId="6E35342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(2) Drug dosage adjustment according to the following criteria</w:t>
      </w:r>
      <w:r>
        <w:rPr>
          <w:rFonts w:ascii="Times New Roman" w:hAnsi="Times New Roman" w:cs="Times New Roman"/>
          <w:sz w:val="28"/>
          <w:szCs w:val="28"/>
        </w:rPr>
        <w:t>：</w:t>
      </w:r>
    </w:p>
    <w:p w14:paraId="0A1F45F1"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①</w:t>
      </w:r>
      <w:r>
        <w:rPr>
          <w:rFonts w:ascii="Times New Roman" w:hAnsi="Times New Roman" w:cs="Times New Roman"/>
          <w:sz w:val="28"/>
          <w:szCs w:val="28"/>
        </w:rPr>
        <w:t>Hematological toxicity - dose adjustment based on neutropenia: Grade 2: Definition: 1.0≤ANC &lt;1.5×10</w:t>
      </w:r>
      <w:r>
        <w:rPr>
          <w:rFonts w:ascii="Times New Roman" w:hAnsi="Times New Roman" w:cs="Times New Roman"/>
          <w:sz w:val="28"/>
          <w:szCs w:val="28"/>
          <w:vertAlign w:val="superscript"/>
        </w:rPr>
        <w:t>9</w:t>
      </w:r>
      <w:r>
        <w:rPr>
          <w:rFonts w:ascii="Times New Roman" w:hAnsi="Times New Roman" w:cs="Times New Roman"/>
          <w:sz w:val="28"/>
          <w:szCs w:val="28"/>
        </w:rPr>
        <w:t>/L. First occurrence: no need for dose adjustment; second occurrence: no need for dose adjustment; third occurrence: no need for dose adjustment. Grade 3: Definition: 0.5 ≤ ANC &lt; 1.0×10</w:t>
      </w:r>
      <w:r>
        <w:rPr>
          <w:rFonts w:ascii="Times New Roman" w:hAnsi="Times New Roman" w:cs="Times New Roman"/>
          <w:sz w:val="28"/>
          <w:szCs w:val="28"/>
          <w:vertAlign w:val="superscript"/>
        </w:rPr>
        <w:t>9</w:t>
      </w:r>
      <w:r>
        <w:rPr>
          <w:rFonts w:ascii="Times New Roman" w:hAnsi="Times New Roman" w:cs="Times New Roman"/>
          <w:sz w:val="28"/>
          <w:szCs w:val="28"/>
        </w:rPr>
        <w:t xml:space="preserve">/L. First occurrence: 75% of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 oxaliplatin 100mg/m2; second occurrence: 75% of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w:t>
      </w:r>
      <w:r>
        <w:rPr>
          <w:rFonts w:ascii="Times New Roman" w:hAnsi="Times New Roman" w:cs="Times New Roman"/>
          <w:sz w:val="28"/>
          <w:szCs w:val="28"/>
        </w:rPr>
        <w:lastRenderedPageBreak/>
        <w:t xml:space="preserve">Capsules dose + oxaliplatin 85mg/m2. Third occurrence: permanent discontinuation of treatment unless the investigator considers that single-agent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chemotherapy at 75% of the original dose is the best treatment option for the patient. Grade 4: Definition: ANC &lt;0.5×10</w:t>
      </w:r>
      <w:r>
        <w:rPr>
          <w:rFonts w:ascii="Times New Roman" w:hAnsi="Times New Roman" w:cs="Times New Roman"/>
          <w:sz w:val="28"/>
          <w:szCs w:val="28"/>
          <w:vertAlign w:val="superscript"/>
        </w:rPr>
        <w:t>9</w:t>
      </w:r>
      <w:r>
        <w:rPr>
          <w:rFonts w:ascii="Times New Roman" w:hAnsi="Times New Roman" w:cs="Times New Roman"/>
          <w:sz w:val="28"/>
          <w:szCs w:val="28"/>
        </w:rPr>
        <w:t xml:space="preserve">/L. First occurrence: 50% of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 oxaliplatin 85mg/m2; second occurrence: permanent discontinuation of therapy.</w:t>
      </w:r>
    </w:p>
    <w:p w14:paraId="6CCAECD0"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②</w:t>
      </w:r>
      <w:r>
        <w:rPr>
          <w:rFonts w:ascii="Times New Roman" w:hAnsi="Times New Roman" w:cs="Times New Roman"/>
          <w:sz w:val="28"/>
          <w:szCs w:val="28"/>
        </w:rPr>
        <w:t xml:space="preserve"> Hematologic toxicity - dose adjustment based on thrombocytopenia: Grade 2: Definition: 50 ≤ PLT &lt; 75×10</w:t>
      </w:r>
      <w:r>
        <w:rPr>
          <w:rFonts w:ascii="Times New Roman" w:hAnsi="Times New Roman" w:cs="Times New Roman"/>
          <w:sz w:val="28"/>
          <w:szCs w:val="28"/>
          <w:vertAlign w:val="superscript"/>
        </w:rPr>
        <w:t>9</w:t>
      </w:r>
      <w:r>
        <w:rPr>
          <w:rFonts w:ascii="Times New Roman" w:hAnsi="Times New Roman" w:cs="Times New Roman"/>
          <w:sz w:val="28"/>
          <w:szCs w:val="28"/>
        </w:rPr>
        <w:t xml:space="preserve">/L. First occurrence: no change in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 oxaliplatin 100mg/m2; second </w:t>
      </w:r>
      <w:proofErr w:type="spellStart"/>
      <w:r>
        <w:rPr>
          <w:rFonts w:ascii="Times New Roman" w:hAnsi="Times New Roman" w:cs="Times New Roman"/>
          <w:sz w:val="28"/>
          <w:szCs w:val="28"/>
        </w:rPr>
        <w:t>occurrence:no</w:t>
      </w:r>
      <w:proofErr w:type="spellEnd"/>
      <w:r>
        <w:rPr>
          <w:rFonts w:ascii="Times New Roman" w:hAnsi="Times New Roman" w:cs="Times New Roman"/>
          <w:sz w:val="28"/>
          <w:szCs w:val="28"/>
        </w:rPr>
        <w:t xml:space="preserve"> change in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 oxaliplatin 100mg/m2; third occurrence: no change in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 oxaliplatin 100mg/m2. Grade 3: Definition: 25 ≤ PLT &lt; 50×10</w:t>
      </w:r>
      <w:r>
        <w:rPr>
          <w:rFonts w:ascii="Times New Roman" w:hAnsi="Times New Roman" w:cs="Times New Roman"/>
          <w:sz w:val="28"/>
          <w:szCs w:val="28"/>
          <w:vertAlign w:val="superscript"/>
        </w:rPr>
        <w:t>9</w:t>
      </w:r>
      <w:r>
        <w:rPr>
          <w:rFonts w:ascii="Times New Roman" w:hAnsi="Times New Roman" w:cs="Times New Roman"/>
          <w:sz w:val="28"/>
          <w:szCs w:val="28"/>
        </w:rPr>
        <w:t xml:space="preserve">/L. First occurrence: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reduced by one dose level + oxaliplatin 100mg/m2; second occurrence: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reduced by one dose level + oxaliplatin 85mg/m2; </w:t>
      </w:r>
      <w:r>
        <w:rPr>
          <w:rFonts w:ascii="Times New Roman" w:eastAsia="宋体" w:hAnsi="Times New Roman" w:cs="Times New Roman"/>
          <w:sz w:val="28"/>
          <w:szCs w:val="28"/>
          <w:lang w:eastAsia="zh-CN"/>
        </w:rPr>
        <w:t>T</w:t>
      </w:r>
      <w:r>
        <w:rPr>
          <w:rFonts w:ascii="Times New Roman" w:hAnsi="Times New Roman" w:cs="Times New Roman"/>
          <w:sz w:val="28"/>
          <w:szCs w:val="28"/>
        </w:rPr>
        <w:t xml:space="preserve">hird </w:t>
      </w:r>
      <w:r>
        <w:rPr>
          <w:rFonts w:ascii="Times New Roman" w:eastAsia="宋体" w:hAnsi="Times New Roman" w:cs="Times New Roman"/>
          <w:sz w:val="28"/>
          <w:szCs w:val="28"/>
          <w:lang w:eastAsia="zh-CN"/>
        </w:rPr>
        <w:t>occurrence</w:t>
      </w:r>
      <w:r>
        <w:rPr>
          <w:rFonts w:ascii="Times New Roman" w:hAnsi="Times New Roman" w:cs="Times New Roman"/>
          <w:sz w:val="28"/>
          <w:szCs w:val="28"/>
        </w:rPr>
        <w:t xml:space="preserve">: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reduced by two dose levels + oxaliplatin 85mg/m2. Grade 4: Definition: PLT &lt;25×10</w:t>
      </w:r>
      <w:r>
        <w:rPr>
          <w:rFonts w:ascii="Times New Roman" w:hAnsi="Times New Roman" w:cs="Times New Roman"/>
          <w:sz w:val="28"/>
          <w:szCs w:val="28"/>
          <w:vertAlign w:val="superscript"/>
        </w:rPr>
        <w:t>9</w:t>
      </w:r>
      <w:r>
        <w:rPr>
          <w:rFonts w:ascii="Times New Roman" w:hAnsi="Times New Roman" w:cs="Times New Roman"/>
          <w:sz w:val="28"/>
          <w:szCs w:val="28"/>
        </w:rPr>
        <w:t xml:space="preserve">/L. First occurrence: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reduced by two dose levels + oxaliplatin 85mg/m2; Second occurrence: permanent discontinuation of therapy unless the investigator considers that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reduced by two dose levels is the best treatment option for the patient; </w:t>
      </w:r>
      <w:r>
        <w:rPr>
          <w:rFonts w:ascii="Times New Roman" w:eastAsia="宋体" w:hAnsi="Times New Roman" w:cs="Times New Roman"/>
          <w:sz w:val="28"/>
          <w:szCs w:val="28"/>
          <w:lang w:eastAsia="zh-CN"/>
        </w:rPr>
        <w:t>T</w:t>
      </w:r>
      <w:r>
        <w:rPr>
          <w:rFonts w:ascii="Times New Roman" w:hAnsi="Times New Roman" w:cs="Times New Roman"/>
          <w:sz w:val="28"/>
          <w:szCs w:val="28"/>
        </w:rPr>
        <w:t xml:space="preserve">hird </w:t>
      </w:r>
      <w:r>
        <w:rPr>
          <w:rFonts w:ascii="Times New Roman" w:eastAsia="宋体" w:hAnsi="Times New Roman" w:cs="Times New Roman"/>
          <w:sz w:val="28"/>
          <w:szCs w:val="28"/>
          <w:lang w:eastAsia="zh-CN"/>
        </w:rPr>
        <w:t>occurrence</w:t>
      </w:r>
      <w:r>
        <w:rPr>
          <w:rFonts w:ascii="Times New Roman" w:hAnsi="Times New Roman" w:cs="Times New Roman"/>
          <w:sz w:val="28"/>
          <w:szCs w:val="28"/>
        </w:rPr>
        <w:t>: permanent discontinuation of treatment.</w:t>
      </w:r>
    </w:p>
    <w:p w14:paraId="3FEBE598"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③</w:t>
      </w:r>
      <w:r>
        <w:rPr>
          <w:rFonts w:ascii="Times New Roman" w:hAnsi="Times New Roman" w:cs="Times New Roman"/>
          <w:sz w:val="28"/>
          <w:szCs w:val="28"/>
        </w:rPr>
        <w:t xml:space="preserve">Hematologic toxicity - dose adjustment based on anemia (non-hemolytic): Grade 2: Definition: 8 &lt; Hb &lt; 10 g/dL, whenever occurs, no need for dose </w:t>
      </w:r>
      <w:r>
        <w:rPr>
          <w:rFonts w:ascii="Times New Roman" w:hAnsi="Times New Roman" w:cs="Times New Roman"/>
          <w:sz w:val="28"/>
          <w:szCs w:val="28"/>
        </w:rPr>
        <w:lastRenderedPageBreak/>
        <w:t>adjustment (can be corrected by blood transfusion); Grade 3: Definition: 6.5 &lt; Hb &lt; 8 g/dL, whenever occurs, no need for dose adjustment (can be corrected by blood transfusion); Grade 4: Definition: Hb &lt; 6.5 g/dL, whenever occurs, no need for dose adjustment (can be corrected by blood transfusion).</w:t>
      </w:r>
    </w:p>
    <w:p w14:paraId="57D3BFC6"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④</w:t>
      </w:r>
      <w:r>
        <w:rPr>
          <w:rFonts w:ascii="Times New Roman" w:hAnsi="Times New Roman" w:cs="Times New Roman"/>
          <w:sz w:val="28"/>
          <w:szCs w:val="28"/>
        </w:rPr>
        <w:t xml:space="preserve"> Non-hematologic adverse events - oxaliplatin dose adjustment: any grade of anaphylactic reaction: permanent discontinuation of therapy; any grade of </w:t>
      </w:r>
      <w:proofErr w:type="spellStart"/>
      <w:r>
        <w:rPr>
          <w:rFonts w:ascii="Times New Roman" w:hAnsi="Times New Roman" w:cs="Times New Roman"/>
          <w:sz w:val="28"/>
          <w:szCs w:val="28"/>
        </w:rPr>
        <w:t>espiratory</w:t>
      </w:r>
      <w:proofErr w:type="spellEnd"/>
      <w:r>
        <w:rPr>
          <w:rFonts w:ascii="Times New Roman" w:hAnsi="Times New Roman" w:cs="Times New Roman"/>
          <w:sz w:val="28"/>
          <w:szCs w:val="28"/>
        </w:rPr>
        <w:t xml:space="preserve"> symptoms suggestive of pulmonary fibrosis: discontinue treatment and investigate the cause of the symptoms; any grade of interstitial pulmonary fibrosis not present at baseline: permanent discontinuation of therapy; nausea and/or vomiting despite effective antiemetic therapy: Grade 3 or 4: adjusted to 100 mg/m2; diarrhea: Grade 3 or 4: adjusted to 100 mg/m2; stomatitis: Grade 3: no need for dose adjustment; Grade 4: adjusted to 100 mg/m2; dermatitis: Grade 3 or 4: chemotherapy delayed until symptoms recovering to grade 1, no need for dose adjustment.</w:t>
      </w:r>
    </w:p>
    <w:p w14:paraId="7170FAAD"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⑤</w:t>
      </w:r>
      <w:r>
        <w:rPr>
          <w:rFonts w:ascii="Times New Roman" w:hAnsi="Times New Roman" w:cs="Times New Roman"/>
          <w:sz w:val="28"/>
          <w:szCs w:val="28"/>
        </w:rPr>
        <w:t xml:space="preserve"> </w:t>
      </w:r>
      <w:proofErr w:type="gramStart"/>
      <w:r>
        <w:rPr>
          <w:rFonts w:ascii="Times New Roman" w:hAnsi="Times New Roman" w:cs="Times New Roman"/>
          <w:sz w:val="28"/>
          <w:szCs w:val="28"/>
        </w:rPr>
        <w:t>Non-hematologic</w:t>
      </w:r>
      <w:proofErr w:type="gramEnd"/>
      <w:r>
        <w:rPr>
          <w:rFonts w:ascii="Times New Roman" w:hAnsi="Times New Roman" w:cs="Times New Roman"/>
          <w:sz w:val="28"/>
          <w:szCs w:val="28"/>
        </w:rPr>
        <w:t xml:space="preserve"> adverse events - Tegafur, </w:t>
      </w:r>
      <w:proofErr w:type="spellStart"/>
      <w:r>
        <w:rPr>
          <w:rFonts w:ascii="Times New Roman" w:hAnsi="Times New Roman" w:cs="Times New Roman"/>
          <w:sz w:val="28"/>
          <w:szCs w:val="28"/>
        </w:rPr>
        <w:t>Gimeracil</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Oteracil</w:t>
      </w:r>
      <w:proofErr w:type="spellEnd"/>
      <w:r>
        <w:rPr>
          <w:rFonts w:ascii="Times New Roman" w:hAnsi="Times New Roman" w:cs="Times New Roman"/>
          <w:sz w:val="28"/>
          <w:szCs w:val="28"/>
        </w:rPr>
        <w:t xml:space="preserve"> Potassium Capsules dose adjustment: Grade 2: first occurrence: no need for dose adjustment; second occurrence: one dose level reduction; third occurrence: two dose levels reduction; fourth occurrence: permanent discontinuation of treatment unless the investigator considers that continuing the therapy is the best treatment option for the patient. Grade 3: first occurrence: one dose level reduction; second occurrence: two dose levels reduction; third occurrence: permanent discontinuation of treatment unless the investigator considers that continuing the therapy is the best treatment option for the patient. Grade 4: first occurrence: permanent discontinuation of treatment unless the investigator considers that continuing the therapy is the best treatment option for the patient.</w:t>
      </w:r>
    </w:p>
    <w:p w14:paraId="164DA05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Note: Chemotherapy must be discontinued after ≥grade 2 toxicities and cannot be continued until the toxicity is ≤ grade 1.</w:t>
      </w:r>
    </w:p>
    <w:p w14:paraId="3B0C9C7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4. Trial drug, specification, and method of administration </w:t>
      </w:r>
    </w:p>
    <w:p w14:paraId="6DDC6FC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trial drug used in this study is the </w:t>
      </w:r>
      <w:proofErr w:type="spellStart"/>
      <w:r>
        <w:rPr>
          <w:rFonts w:ascii="Times New Roman" w:hAnsi="Times New Roman" w:cs="Times New Roman"/>
          <w:sz w:val="28"/>
          <w:szCs w:val="28"/>
        </w:rPr>
        <w:t>Trepolizumab</w:t>
      </w:r>
      <w:proofErr w:type="spellEnd"/>
      <w:r>
        <w:rPr>
          <w:rFonts w:ascii="Times New Roman" w:hAnsi="Times New Roman" w:cs="Times New Roman"/>
          <w:sz w:val="28"/>
          <w:szCs w:val="28"/>
        </w:rPr>
        <w:t xml:space="preserve"> injection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which is an original PD-1 inhibitor produced by </w:t>
      </w:r>
      <w:proofErr w:type="spellStart"/>
      <w:r>
        <w:rPr>
          <w:rFonts w:ascii="Times New Roman" w:hAnsi="Times New Roman" w:cs="Times New Roman"/>
          <w:sz w:val="28"/>
          <w:szCs w:val="28"/>
        </w:rPr>
        <w:t>Junshi</w:t>
      </w:r>
      <w:proofErr w:type="spellEnd"/>
      <w:r>
        <w:rPr>
          <w:rFonts w:ascii="Times New Roman" w:hAnsi="Times New Roman" w:cs="Times New Roman"/>
          <w:sz w:val="28"/>
          <w:szCs w:val="28"/>
        </w:rPr>
        <w:t xml:space="preserve"> Bio-medical Technology Co. </w:t>
      </w:r>
    </w:p>
    <w:p w14:paraId="3CB9159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Administration: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240mg, d1, intravenous infusion, once every 3 weeks. The total cycles of treatment will be 8.</w:t>
      </w:r>
    </w:p>
    <w:p w14:paraId="237EE64D" w14:textId="77777777" w:rsidR="009D72E0" w:rsidRDefault="00000000">
      <w:pPr>
        <w:pStyle w:val="aff7"/>
        <w:numPr>
          <w:ilvl w:val="0"/>
          <w:numId w:val="7"/>
        </w:numPr>
        <w:spacing w:after="0" w:line="360" w:lineRule="auto"/>
        <w:rPr>
          <w:rFonts w:ascii="Times New Roman" w:hAnsi="Times New Roman" w:cs="Times New Roman"/>
          <w:sz w:val="28"/>
          <w:szCs w:val="28"/>
        </w:rPr>
      </w:pP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 xml:space="preserve">Description of </w:t>
      </w:r>
      <w:proofErr w:type="spellStart"/>
      <w:r>
        <w:rPr>
          <w:rFonts w:ascii="Times New Roman" w:hAnsi="Times New Roman" w:cs="Times New Roman"/>
          <w:sz w:val="28"/>
          <w:szCs w:val="28"/>
        </w:rPr>
        <w:t>Toripalimab</w:t>
      </w:r>
      <w:proofErr w:type="spellEnd"/>
      <w:r>
        <w:rPr>
          <w:rFonts w:ascii="Times New Roman" w:eastAsia="宋体" w:hAnsi="Times New Roman" w:cs="Times New Roman"/>
          <w:sz w:val="28"/>
          <w:szCs w:val="28"/>
          <w:lang w:eastAsia="zh-CN"/>
        </w:rPr>
        <w:t>:</w:t>
      </w:r>
      <w:r>
        <w:rPr>
          <w:rFonts w:ascii="Times New Roman" w:hAnsi="Times New Roman" w:cs="Times New Roman"/>
          <w:sz w:val="28"/>
          <w:szCs w:val="28"/>
        </w:rPr>
        <w:t xml:space="preserve"> </w:t>
      </w:r>
    </w:p>
    <w:p w14:paraId="5655EFA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Main active ingredient: recombinant fully human anti-programmed death receptor 1 monoclonal antibody </w:t>
      </w:r>
    </w:p>
    <w:p w14:paraId="39D72DF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Specification: 6 mL: 240 mg </w:t>
      </w:r>
    </w:p>
    <w:p w14:paraId="0F0BFA5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Appearance: clear, colorless liquid, free of foreign matter, flocculent and precipitate </w:t>
      </w:r>
    </w:p>
    <w:p w14:paraId="59905EC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Storage conditions and expiration date: 2</w:t>
      </w:r>
      <w:r>
        <w:rPr>
          <w:rFonts w:ascii="Times New Roman" w:hAnsi="Times New Roman" w:cs="Times New Roman"/>
          <w:sz w:val="28"/>
          <w:szCs w:val="28"/>
        </w:rPr>
        <w:t>～</w:t>
      </w:r>
      <w:r>
        <w:rPr>
          <w:rFonts w:ascii="Times New Roman" w:hAnsi="Times New Roman" w:cs="Times New Roman"/>
          <w:sz w:val="28"/>
          <w:szCs w:val="28"/>
        </w:rPr>
        <w:t xml:space="preserve">8℃, stored and transported away from light, with an expiration date of 24 months </w:t>
      </w:r>
    </w:p>
    <w:p w14:paraId="129103D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Manufacturer: Shanghai </w:t>
      </w:r>
      <w:proofErr w:type="spellStart"/>
      <w:r>
        <w:rPr>
          <w:rFonts w:ascii="Times New Roman" w:hAnsi="Times New Roman" w:cs="Times New Roman"/>
          <w:sz w:val="28"/>
          <w:szCs w:val="28"/>
        </w:rPr>
        <w:t>Junshi</w:t>
      </w:r>
      <w:proofErr w:type="spellEnd"/>
      <w:r>
        <w:rPr>
          <w:rFonts w:ascii="Times New Roman" w:hAnsi="Times New Roman" w:cs="Times New Roman"/>
          <w:sz w:val="28"/>
          <w:szCs w:val="28"/>
        </w:rPr>
        <w:t xml:space="preserve"> Bio-medical Technology Co. </w:t>
      </w:r>
    </w:p>
    <w:p w14:paraId="604BFE4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eastAsia="宋体" w:hAnsi="Times New Roman" w:cs="Times New Roman"/>
          <w:sz w:val="28"/>
          <w:szCs w:val="28"/>
          <w:lang w:eastAsia="zh-CN"/>
        </w:rPr>
        <w:t xml:space="preserve">2)  </w:t>
      </w:r>
      <w:r>
        <w:rPr>
          <w:rFonts w:ascii="Times New Roman" w:hAnsi="Times New Roman" w:cs="Times New Roman"/>
          <w:sz w:val="28"/>
          <w:szCs w:val="28"/>
        </w:rPr>
        <w:t xml:space="preserve">Preparation and Infusion Procedure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t>
      </w:r>
    </w:p>
    <w:p w14:paraId="5E66E11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a.  Completely withdraw 1 bottle of </w:t>
      </w:r>
      <w:proofErr w:type="spellStart"/>
      <w:r>
        <w:rPr>
          <w:rFonts w:ascii="Times New Roman" w:eastAsia="宋体" w:hAnsi="Times New Roman" w:cs="Times New Roman" w:hint="eastAsia"/>
          <w:sz w:val="28"/>
          <w:szCs w:val="28"/>
          <w:lang w:eastAsia="zh-CN"/>
        </w:rPr>
        <w:t>t</w:t>
      </w:r>
      <w:r>
        <w:rPr>
          <w:rFonts w:ascii="Times New Roman" w:hAnsi="Times New Roman" w:cs="Times New Roman"/>
          <w:sz w:val="28"/>
          <w:szCs w:val="28"/>
        </w:rPr>
        <w:t>oripalimab</w:t>
      </w:r>
      <w:proofErr w:type="spellEnd"/>
      <w:r>
        <w:rPr>
          <w:rFonts w:ascii="Times New Roman" w:hAnsi="Times New Roman" w:cs="Times New Roman"/>
          <w:sz w:val="28"/>
          <w:szCs w:val="28"/>
        </w:rPr>
        <w:t xml:space="preserve"> injection and add to 100 ml of 0.9% (w/v) saline solution infusion bag and record the start time of preparation.</w:t>
      </w:r>
    </w:p>
    <w:p w14:paraId="2BD59CB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b.  Mix by gently inverting the infusion bag to ensure homogeneity of the drug in the bag and to avoid foaming from violent shaking.</w:t>
      </w:r>
    </w:p>
    <w:p w14:paraId="3CE9501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c.  Administer the drug through a vein infusion device fitted with a 0.2-1.2 </w:t>
      </w:r>
      <w:proofErr w:type="spellStart"/>
      <w:r>
        <w:rPr>
          <w:rFonts w:ascii="Times New Roman" w:hAnsi="Times New Roman" w:cs="Times New Roman"/>
          <w:sz w:val="28"/>
          <w:szCs w:val="28"/>
        </w:rPr>
        <w:t>μm</w:t>
      </w:r>
      <w:proofErr w:type="spellEnd"/>
      <w:r>
        <w:rPr>
          <w:rFonts w:ascii="Times New Roman" w:hAnsi="Times New Roman" w:cs="Times New Roman"/>
          <w:sz w:val="28"/>
          <w:szCs w:val="28"/>
        </w:rPr>
        <w:t xml:space="preserve"> filter (infusion time is recommended to be 30-60 minutes) and record the start and end time of administration.</w:t>
      </w:r>
    </w:p>
    <w:p w14:paraId="5DB2BD7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d.  </w:t>
      </w:r>
      <w:bookmarkStart w:id="6" w:name="OLE_LINK5"/>
      <w:bookmarkStart w:id="7" w:name="OLE_LINK6"/>
      <w:r>
        <w:rPr>
          <w:rFonts w:ascii="Times New Roman" w:hAnsi="Times New Roman" w:cs="Times New Roman"/>
          <w:sz w:val="28"/>
          <w:szCs w:val="28"/>
        </w:rPr>
        <w:t>Flush the tubing with 0.9% saline solution after administration.</w:t>
      </w:r>
      <w:bookmarkEnd w:id="6"/>
      <w:bookmarkEnd w:id="7"/>
    </w:p>
    <w:p w14:paraId="2D1AD3F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 xml:space="preserve">Precautions: Before preparation, make sure that the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injection is clear and free from turbidity, precipitation or other quality problems; make sure that the time from the start of extracting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to the end of the administration is no more than 24 hours. The prepared drug should be stored in the refrigerator at 2-8℃, and avoid mixing with other medications or intravenous infusion. </w:t>
      </w:r>
    </w:p>
    <w:p w14:paraId="7942C03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 xml:space="preserve">(3) </w:t>
      </w:r>
      <w:r>
        <w:rPr>
          <w:rFonts w:ascii="Times New Roman" w:hAnsi="Times New Roman" w:cs="Times New Roman"/>
          <w:sz w:val="28"/>
          <w:szCs w:val="28"/>
        </w:rPr>
        <w:t xml:space="preserve">Medication adjustment of the trial drug </w:t>
      </w:r>
    </w:p>
    <w:p w14:paraId="10D4BFC5" w14:textId="77777777" w:rsidR="009D72E0" w:rsidRDefault="00000000">
      <w:pPr>
        <w:spacing w:after="0" w:line="360" w:lineRule="auto"/>
        <w:ind w:firstLineChars="100" w:firstLine="280"/>
        <w:rPr>
          <w:rFonts w:ascii="Times New Roman" w:eastAsia="宋体" w:hAnsi="Times New Roman" w:cs="Times New Roman"/>
          <w:sz w:val="28"/>
          <w:szCs w:val="28"/>
          <w:lang w:eastAsia="zh-CN"/>
        </w:rPr>
      </w:pPr>
      <w:r>
        <w:rPr>
          <w:rFonts w:ascii="Times New Roman" w:hAnsi="Times New Roman" w:cs="Times New Roman"/>
          <w:sz w:val="28"/>
          <w:szCs w:val="28"/>
        </w:rPr>
        <w:t xml:space="preserve">General principles: </w:t>
      </w:r>
    </w:p>
    <w:p w14:paraId="4CCDAEA0"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①</w:t>
      </w:r>
      <w:r>
        <w:rPr>
          <w:rFonts w:ascii="Times New Roman" w:hAnsi="Times New Roman" w:cs="Times New Roman"/>
          <w:sz w:val="28"/>
          <w:szCs w:val="28"/>
        </w:rPr>
        <w:t>Within 3 days prior to the administration of each cycle, the subject's hematologic, liver and renal functions should meet the requirements for administration of the drug and all toxic reactions must have resolved to Grade 0-1 level according to Commonly Used Criteria for Terminology of Adverse Events (CTCAE) V5.0, or to the baseline level (except for alopecia areata and fatigue).</w:t>
      </w:r>
    </w:p>
    <w:p w14:paraId="09B10399"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②</w:t>
      </w:r>
      <w:r>
        <w:rPr>
          <w:rFonts w:ascii="Times New Roman" w:hAnsi="Times New Roman" w:cs="Times New Roman"/>
          <w:sz w:val="28"/>
          <w:szCs w:val="28"/>
        </w:rPr>
        <w:t>All medication adjustments should be documented, including the reasons and methods adopted.</w:t>
      </w:r>
    </w:p>
    <w:p w14:paraId="66E3C56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Dose adjustments for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t>
      </w:r>
    </w:p>
    <w:p w14:paraId="4B18921A"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①</w:t>
      </w:r>
      <w:r>
        <w:rPr>
          <w:rFonts w:ascii="Times New Roman" w:hAnsi="Times New Roman" w:cs="Times New Roman"/>
          <w:sz w:val="28"/>
          <w:szCs w:val="28"/>
        </w:rPr>
        <w:t xml:space="preserve">Dose adjustments for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are not permitted throughout the study; refer to the Handbook for the Management of Adverse Events Associated with Immune Checkpoint Inhibitors for the principles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suspension of dosing and permanent discontinuation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w:t>
      </w:r>
    </w:p>
    <w:p w14:paraId="08A9C431"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②</w:t>
      </w:r>
      <w:r>
        <w:rPr>
          <w:rFonts w:ascii="Times New Roman" w:hAnsi="Times New Roman" w:cs="Times New Roman"/>
          <w:sz w:val="28"/>
          <w:szCs w:val="28"/>
        </w:rPr>
        <w:t xml:space="preserve">If treatment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is temporarily or permanently discontinued during combination therapy due to intolerable adverse events, the subject may, by the judgement of the investigator, continue to be followed until withdrawal of informed consent, progression of the disease, loss to follow-up or death, termination at the discretion of the investigator, or completion of treatment, whichever occurs first. </w:t>
      </w:r>
    </w:p>
    <w:p w14:paraId="73D84FFC"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lastRenderedPageBreak/>
        <w:t>③</w:t>
      </w:r>
      <w:r>
        <w:rPr>
          <w:rFonts w:ascii="Times New Roman" w:hAnsi="Times New Roman" w:cs="Times New Roman"/>
          <w:sz w:val="28"/>
          <w:szCs w:val="28"/>
        </w:rPr>
        <w:t xml:space="preserve">The maximum interval allowed for drug suspension is 12 weeks. Subjects will be permanently discontinued from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if they do not return to a state where </w:t>
      </w:r>
      <w:proofErr w:type="spellStart"/>
      <w:r>
        <w:rPr>
          <w:rFonts w:ascii="Times New Roman" w:eastAsia="宋体" w:hAnsi="Times New Roman" w:cs="Times New Roman" w:hint="eastAsia"/>
          <w:sz w:val="28"/>
          <w:szCs w:val="28"/>
          <w:lang w:eastAsia="zh-CN"/>
        </w:rPr>
        <w:t>t</w:t>
      </w:r>
      <w:r>
        <w:rPr>
          <w:rFonts w:ascii="Times New Roman" w:hAnsi="Times New Roman" w:cs="Times New Roman"/>
          <w:sz w:val="28"/>
          <w:szCs w:val="28"/>
        </w:rPr>
        <w:t>oripalimab</w:t>
      </w:r>
      <w:proofErr w:type="spellEnd"/>
      <w:r>
        <w:rPr>
          <w:rFonts w:ascii="Times New Roman" w:hAnsi="Times New Roman" w:cs="Times New Roman"/>
          <w:sz w:val="28"/>
          <w:szCs w:val="28"/>
        </w:rPr>
        <w:t xml:space="preserve"> can be reintroduced within 12 weeks, except for the following two conditions:</w:t>
      </w:r>
    </w:p>
    <w:p w14:paraId="4C815BA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are used for treating immune-related adverse events (</w:t>
      </w:r>
      <w:proofErr w:type="spellStart"/>
      <w:r>
        <w:rPr>
          <w:rFonts w:ascii="Times New Roman" w:hAnsi="Times New Roman" w:cs="Times New Roman"/>
          <w:sz w:val="28"/>
          <w:szCs w:val="28"/>
        </w:rPr>
        <w:t>irAE</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are tapered in such a way that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is suspended for more than 12 weeks. In this case, it depends on the investigator's judgment whether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can be continued. Imaging studies to assess efficacy were performed as planned and were not affected by the discontinuation.</w:t>
      </w:r>
    </w:p>
    <w:p w14:paraId="19A4E45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Discontinuation or suspension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for more than 12 weeks due to treatments of </w:t>
      </w:r>
      <w:proofErr w:type="spellStart"/>
      <w:r>
        <w:rPr>
          <w:rFonts w:ascii="Times New Roman" w:hAnsi="Times New Roman" w:cs="Times New Roman"/>
          <w:sz w:val="28"/>
          <w:szCs w:val="28"/>
        </w:rPr>
        <w:t>adeverse</w:t>
      </w:r>
      <w:proofErr w:type="spellEnd"/>
      <w:r>
        <w:rPr>
          <w:rFonts w:ascii="Times New Roman" w:hAnsi="Times New Roman" w:cs="Times New Roman"/>
          <w:sz w:val="28"/>
          <w:szCs w:val="28"/>
        </w:rPr>
        <w:t xml:space="preserve"> events unrelated to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 xml:space="preserve">In this case, it depends on the investigator's judgment whether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can be continued. Imaging to assess efficacy will be performed as planned and will not be affected by the suspension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w:t>
      </w:r>
    </w:p>
    <w:p w14:paraId="65D7AD13"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④</w:t>
      </w:r>
      <w:r>
        <w:rPr>
          <w:rFonts w:ascii="Times New Roman" w:hAnsi="Times New Roman" w:cs="Times New Roman"/>
          <w:sz w:val="28"/>
          <w:szCs w:val="28"/>
        </w:rPr>
        <w:t xml:space="preserve"> Resumption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requires a recover of the relevant adverse event to grade 0-1 or baseline level, with an ECOG score of 0-1.</w:t>
      </w:r>
    </w:p>
    <w:p w14:paraId="1E178DD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4) Management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-Related Infusion Reactions: </w:t>
      </w:r>
    </w:p>
    <w:p w14:paraId="08A94614" w14:textId="77777777" w:rsidR="009D72E0" w:rsidRDefault="00000000">
      <w:pPr>
        <w:spacing w:after="0" w:line="360" w:lineRule="auto"/>
        <w:ind w:firstLineChars="100" w:firstLine="280"/>
        <w:rPr>
          <w:rFonts w:ascii="Times New Roman" w:hAnsi="Times New Roman" w:cs="Times New Roman"/>
          <w:sz w:val="28"/>
          <w:szCs w:val="28"/>
        </w:rPr>
      </w:pP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may result in severe or life-threatening infusion reactions, including severe hypersensitivity or allergic reactions, with signs and symptoms usually appearing during or shortly after the drug infusion and usually resolving completely within 24 hours of completion of the infusion.</w:t>
      </w:r>
    </w:p>
    <w:p w14:paraId="60F21FF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See Table 1 for management of toxic reactions and infusion reactions associated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t>
      </w:r>
    </w:p>
    <w:p w14:paraId="43C22BF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5) Other Permissible Dose Adjustments for </w:t>
      </w:r>
      <w:proofErr w:type="spellStart"/>
      <w:r>
        <w:rPr>
          <w:rFonts w:ascii="Times New Roman" w:hAnsi="Times New Roman" w:cs="Times New Roman"/>
          <w:sz w:val="28"/>
          <w:szCs w:val="28"/>
        </w:rPr>
        <w:t>toripalimab</w:t>
      </w:r>
      <w:proofErr w:type="spellEnd"/>
    </w:p>
    <w:p w14:paraId="0B1E652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 xml:space="preserve">Interruption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may be possible under circumstances other than treatment-related AEs, such as for medical/surgical events unrelated to study treatment or for administrative reasons. Subjects should restart study treatment within 3 weeks of the planned interruption, unless the investigator considers inappropriate. The reasons for discontinuation should be documented in the patient's study record.</w:t>
      </w:r>
    </w:p>
    <w:p w14:paraId="281B2D49" w14:textId="77777777" w:rsidR="009D72E0" w:rsidRDefault="009D72E0">
      <w:pPr>
        <w:spacing w:after="0" w:line="360" w:lineRule="auto"/>
        <w:rPr>
          <w:rFonts w:ascii="Times New Roman" w:eastAsia="宋体" w:hAnsi="Times New Roman" w:cs="Times New Roman"/>
          <w:sz w:val="28"/>
          <w:szCs w:val="28"/>
          <w:lang w:eastAsia="zh-CN"/>
        </w:rPr>
      </w:pPr>
    </w:p>
    <w:p w14:paraId="35A51220" w14:textId="77777777" w:rsidR="009D72E0" w:rsidRDefault="00000000">
      <w:pPr>
        <w:spacing w:after="0" w:line="360" w:lineRule="auto"/>
        <w:rPr>
          <w:rFonts w:ascii="Times New Roman" w:eastAsia="宋体" w:hAnsi="Times New Roman" w:cs="Times New Roman"/>
          <w:sz w:val="28"/>
          <w:szCs w:val="28"/>
          <w:lang w:eastAsia="zh-CN"/>
        </w:rPr>
      </w:pPr>
      <w:r>
        <w:rPr>
          <w:rFonts w:ascii="Times New Roman" w:hAnsi="Times New Roman" w:cs="Times New Roman"/>
          <w:sz w:val="28"/>
          <w:szCs w:val="28"/>
        </w:rPr>
        <w:t>Table 1</w:t>
      </w: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 Management of Adverse events Associated with </w:t>
      </w:r>
      <w:proofErr w:type="spellStart"/>
      <w:r>
        <w:rPr>
          <w:rFonts w:ascii="Times New Roman" w:hAnsi="Times New Roman" w:cs="Times New Roman"/>
          <w:sz w:val="28"/>
          <w:szCs w:val="28"/>
        </w:rPr>
        <w:t>Toripalimab</w:t>
      </w:r>
      <w:proofErr w:type="spellEnd"/>
    </w:p>
    <w:tbl>
      <w:tblPr>
        <w:tblStyle w:val="210"/>
        <w:tblW w:w="8220" w:type="dxa"/>
        <w:tblBorders>
          <w:top w:val="single" w:sz="12" w:space="0" w:color="auto"/>
          <w:bottom w:val="single" w:sz="12" w:space="0" w:color="auto"/>
        </w:tblBorders>
        <w:tblLayout w:type="fixed"/>
        <w:tblLook w:val="04A0" w:firstRow="1" w:lastRow="0" w:firstColumn="1" w:lastColumn="0" w:noHBand="0" w:noVBand="1"/>
      </w:tblPr>
      <w:tblGrid>
        <w:gridCol w:w="2055"/>
        <w:gridCol w:w="3747"/>
        <w:gridCol w:w="2418"/>
      </w:tblGrid>
      <w:tr w:rsidR="009D72E0" w14:paraId="225EB217" w14:textId="77777777" w:rsidTr="009D72E0">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055" w:type="dxa"/>
            <w:tcBorders>
              <w:bottom w:val="single" w:sz="12" w:space="0" w:color="auto"/>
            </w:tcBorders>
          </w:tcPr>
          <w:p w14:paraId="18B52FD7"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Immune-related Adverse events</w:t>
            </w:r>
          </w:p>
        </w:tc>
        <w:tc>
          <w:tcPr>
            <w:tcW w:w="3747" w:type="dxa"/>
            <w:tcBorders>
              <w:bottom w:val="single" w:sz="12" w:space="0" w:color="auto"/>
            </w:tcBorders>
          </w:tcPr>
          <w:p w14:paraId="79F91941" w14:textId="77777777" w:rsidR="009D72E0" w:rsidRDefault="00000000">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Severity</w:t>
            </w:r>
          </w:p>
        </w:tc>
        <w:tc>
          <w:tcPr>
            <w:tcW w:w="2418" w:type="dxa"/>
            <w:tcBorders>
              <w:bottom w:val="single" w:sz="12" w:space="0" w:color="auto"/>
            </w:tcBorders>
          </w:tcPr>
          <w:p w14:paraId="644ABDC2" w14:textId="77777777" w:rsidR="009D72E0" w:rsidRDefault="00000000">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Therapeutic modification regimen</w:t>
            </w:r>
          </w:p>
        </w:tc>
      </w:tr>
      <w:tr w:rsidR="009D72E0" w14:paraId="1982DA86" w14:textId="77777777" w:rsidTr="009D72E0">
        <w:trPr>
          <w:trHeight w:val="484"/>
        </w:trPr>
        <w:tc>
          <w:tcPr>
            <w:cnfStyle w:val="001000000000" w:firstRow="0" w:lastRow="0" w:firstColumn="1" w:lastColumn="0" w:oddVBand="0" w:evenVBand="0" w:oddHBand="0" w:evenHBand="0" w:firstRowFirstColumn="0" w:firstRowLastColumn="0" w:lastRowFirstColumn="0" w:lastRowLastColumn="0"/>
            <w:tcW w:w="2055" w:type="dxa"/>
            <w:tcBorders>
              <w:top w:val="single" w:sz="12" w:space="0" w:color="auto"/>
            </w:tcBorders>
          </w:tcPr>
          <w:p w14:paraId="25E2E470" w14:textId="77777777" w:rsidR="009D72E0" w:rsidRDefault="00000000">
            <w:pPr>
              <w:spacing w:after="0" w:line="360" w:lineRule="auto"/>
              <w:rPr>
                <w:rFonts w:ascii="Times New Roman" w:eastAsia="Times New Roman" w:hAnsi="Times New Roman" w:cs="Times New Roman"/>
                <w:b w:val="0"/>
                <w:bCs w:val="0"/>
                <w:sz w:val="28"/>
                <w:szCs w:val="28"/>
                <w:lang w:eastAsia="zh-CN"/>
              </w:rPr>
            </w:pPr>
            <w:r>
              <w:rPr>
                <w:rFonts w:ascii="Times New Roman" w:eastAsia="Times New Roman" w:hAnsi="Times New Roman" w:cs="Times New Roman"/>
                <w:b w:val="0"/>
                <w:bCs w:val="0"/>
                <w:sz w:val="28"/>
                <w:szCs w:val="28"/>
                <w:lang w:eastAsia="zh-CN"/>
              </w:rPr>
              <w:t xml:space="preserve"> Pneumonia</w:t>
            </w:r>
          </w:p>
        </w:tc>
        <w:tc>
          <w:tcPr>
            <w:tcW w:w="3747" w:type="dxa"/>
            <w:tcBorders>
              <w:top w:val="single" w:sz="12" w:space="0" w:color="auto"/>
            </w:tcBorders>
          </w:tcPr>
          <w:p w14:paraId="0C626C7D"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Moderate (Grade 2)</w:t>
            </w:r>
          </w:p>
        </w:tc>
        <w:tc>
          <w:tcPr>
            <w:tcW w:w="2418" w:type="dxa"/>
            <w:tcBorders>
              <w:top w:val="single" w:sz="12" w:space="0" w:color="auto"/>
            </w:tcBorders>
          </w:tcPr>
          <w:p w14:paraId="36E8BC0C"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Suspend medication until improvement to grade 0-1</w:t>
            </w:r>
          </w:p>
        </w:tc>
      </w:tr>
      <w:tr w:rsidR="009D72E0" w14:paraId="1D04B6BC" w14:textId="77777777" w:rsidTr="009D72E0">
        <w:trPr>
          <w:trHeight w:val="245"/>
        </w:trPr>
        <w:tc>
          <w:tcPr>
            <w:cnfStyle w:val="001000000000" w:firstRow="0" w:lastRow="0" w:firstColumn="1" w:lastColumn="0" w:oddVBand="0" w:evenVBand="0" w:oddHBand="0" w:evenHBand="0" w:firstRowFirstColumn="0" w:firstRowLastColumn="0" w:lastRowFirstColumn="0" w:lastRowLastColumn="0"/>
            <w:tcW w:w="2055" w:type="dxa"/>
          </w:tcPr>
          <w:p w14:paraId="4C060911" w14:textId="77777777" w:rsidR="009D72E0" w:rsidRDefault="009D72E0">
            <w:pPr>
              <w:spacing w:after="0" w:line="360" w:lineRule="auto"/>
              <w:rPr>
                <w:rFonts w:ascii="Times New Roman" w:eastAsia="Times New Roman" w:hAnsi="Times New Roman" w:cs="Times New Roman"/>
                <w:sz w:val="28"/>
                <w:szCs w:val="28"/>
                <w:lang w:eastAsia="zh-CN"/>
              </w:rPr>
            </w:pPr>
          </w:p>
        </w:tc>
        <w:tc>
          <w:tcPr>
            <w:tcW w:w="3747" w:type="dxa"/>
          </w:tcPr>
          <w:p w14:paraId="1E96A878"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3-4 or recurrent Grade 2</w:t>
            </w:r>
          </w:p>
        </w:tc>
        <w:tc>
          <w:tcPr>
            <w:tcW w:w="2418" w:type="dxa"/>
          </w:tcPr>
          <w:p w14:paraId="14C9CE86"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Discontinue medication permanently</w:t>
            </w:r>
          </w:p>
        </w:tc>
      </w:tr>
      <w:tr w:rsidR="009D72E0" w14:paraId="43CF7662" w14:textId="77777777" w:rsidTr="009D72E0">
        <w:trPr>
          <w:trHeight w:val="487"/>
        </w:trPr>
        <w:tc>
          <w:tcPr>
            <w:cnfStyle w:val="001000000000" w:firstRow="0" w:lastRow="0" w:firstColumn="1" w:lastColumn="0" w:oddVBand="0" w:evenVBand="0" w:oddHBand="0" w:evenHBand="0" w:firstRowFirstColumn="0" w:firstRowLastColumn="0" w:lastRowFirstColumn="0" w:lastRowLastColumn="0"/>
            <w:tcW w:w="2055" w:type="dxa"/>
            <w:vMerge w:val="restart"/>
          </w:tcPr>
          <w:p w14:paraId="58E30BC8"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t xml:space="preserve"> Diarrhea and colitis</w:t>
            </w:r>
          </w:p>
        </w:tc>
        <w:tc>
          <w:tcPr>
            <w:tcW w:w="3747" w:type="dxa"/>
          </w:tcPr>
          <w:p w14:paraId="1947EE6C"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2-3</w:t>
            </w:r>
          </w:p>
        </w:tc>
        <w:tc>
          <w:tcPr>
            <w:tcW w:w="2418" w:type="dxa"/>
          </w:tcPr>
          <w:p w14:paraId="779254E3"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Suspend until improvement to grade 0-1</w:t>
            </w:r>
          </w:p>
        </w:tc>
      </w:tr>
      <w:tr w:rsidR="009D72E0" w14:paraId="219EB98C" w14:textId="77777777" w:rsidTr="009D72E0">
        <w:trPr>
          <w:trHeight w:val="245"/>
        </w:trPr>
        <w:tc>
          <w:tcPr>
            <w:cnfStyle w:val="001000000000" w:firstRow="0" w:lastRow="0" w:firstColumn="1" w:lastColumn="0" w:oddVBand="0" w:evenVBand="0" w:oddHBand="0" w:evenHBand="0" w:firstRowFirstColumn="0" w:firstRowLastColumn="0" w:lastRowFirstColumn="0" w:lastRowLastColumn="0"/>
            <w:tcW w:w="2055" w:type="dxa"/>
            <w:vMerge/>
            <w:vAlign w:val="center"/>
          </w:tcPr>
          <w:p w14:paraId="08FD796D" w14:textId="77777777" w:rsidR="009D72E0" w:rsidRDefault="009D72E0">
            <w:pPr>
              <w:spacing w:after="0" w:line="360" w:lineRule="auto"/>
              <w:rPr>
                <w:rFonts w:ascii="Times New Roman" w:eastAsia="宋体" w:hAnsi="Times New Roman" w:cs="Times New Roman"/>
                <w:kern w:val="2"/>
                <w:sz w:val="28"/>
                <w:szCs w:val="28"/>
                <w:lang w:eastAsia="zh-CN"/>
              </w:rPr>
            </w:pPr>
          </w:p>
        </w:tc>
        <w:tc>
          <w:tcPr>
            <w:tcW w:w="3747" w:type="dxa"/>
          </w:tcPr>
          <w:p w14:paraId="7F280CAE"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4</w:t>
            </w:r>
          </w:p>
        </w:tc>
        <w:tc>
          <w:tcPr>
            <w:tcW w:w="2418" w:type="dxa"/>
          </w:tcPr>
          <w:p w14:paraId="3E7B775B"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Discontinue permanently</w:t>
            </w:r>
          </w:p>
        </w:tc>
      </w:tr>
      <w:tr w:rsidR="009D72E0" w14:paraId="00787D98" w14:textId="77777777" w:rsidTr="009D72E0">
        <w:trPr>
          <w:trHeight w:val="724"/>
        </w:trPr>
        <w:tc>
          <w:tcPr>
            <w:cnfStyle w:val="001000000000" w:firstRow="0" w:lastRow="0" w:firstColumn="1" w:lastColumn="0" w:oddVBand="0" w:evenVBand="0" w:oddHBand="0" w:evenHBand="0" w:firstRowFirstColumn="0" w:firstRowLastColumn="0" w:lastRowFirstColumn="0" w:lastRowLastColumn="0"/>
            <w:tcW w:w="2055" w:type="dxa"/>
            <w:vMerge w:val="restart"/>
          </w:tcPr>
          <w:p w14:paraId="61410161"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t xml:space="preserve"> Hepatitis</w:t>
            </w:r>
          </w:p>
        </w:tc>
        <w:tc>
          <w:tcPr>
            <w:tcW w:w="3747" w:type="dxa"/>
          </w:tcPr>
          <w:p w14:paraId="15DED80F"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Grade 2, aspartate aminotransferase (AST) or alanine aminotransferase </w:t>
            </w:r>
            <w:r>
              <w:rPr>
                <w:rFonts w:ascii="Times New Roman" w:eastAsia="Times New Roman" w:hAnsi="Times New Roman" w:cs="Times New Roman"/>
                <w:sz w:val="28"/>
                <w:szCs w:val="28"/>
                <w:lang w:eastAsia="zh-CN"/>
              </w:rPr>
              <w:lastRenderedPageBreak/>
              <w:t>(ALT) at 3-5 times upper limit of normal (ULN) or total bilirubin at 1.5-3 times ULN</w:t>
            </w:r>
          </w:p>
        </w:tc>
        <w:tc>
          <w:tcPr>
            <w:tcW w:w="2418" w:type="dxa"/>
          </w:tcPr>
          <w:p w14:paraId="2113678E"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 Suspend medication until </w:t>
            </w:r>
            <w:r>
              <w:rPr>
                <w:rFonts w:ascii="Times New Roman" w:eastAsia="Times New Roman" w:hAnsi="Times New Roman" w:cs="Times New Roman"/>
                <w:sz w:val="28"/>
                <w:szCs w:val="28"/>
                <w:lang w:eastAsia="zh-CN"/>
              </w:rPr>
              <w:lastRenderedPageBreak/>
              <w:t>improvement to grade 0-1</w:t>
            </w:r>
          </w:p>
        </w:tc>
      </w:tr>
      <w:tr w:rsidR="009D72E0" w14:paraId="60B177BC" w14:textId="77777777" w:rsidTr="009D72E0">
        <w:trPr>
          <w:trHeight w:val="485"/>
        </w:trPr>
        <w:tc>
          <w:tcPr>
            <w:cnfStyle w:val="001000000000" w:firstRow="0" w:lastRow="0" w:firstColumn="1" w:lastColumn="0" w:oddVBand="0" w:evenVBand="0" w:oddHBand="0" w:evenHBand="0" w:firstRowFirstColumn="0" w:firstRowLastColumn="0" w:lastRowFirstColumn="0" w:lastRowLastColumn="0"/>
            <w:tcW w:w="2055" w:type="dxa"/>
            <w:vMerge/>
            <w:vAlign w:val="center"/>
          </w:tcPr>
          <w:p w14:paraId="2976DCE1" w14:textId="77777777" w:rsidR="009D72E0" w:rsidRDefault="009D72E0">
            <w:pPr>
              <w:spacing w:after="0" w:line="360" w:lineRule="auto"/>
              <w:rPr>
                <w:rFonts w:ascii="Times New Roman" w:eastAsia="宋体" w:hAnsi="Times New Roman" w:cs="Times New Roman"/>
                <w:kern w:val="2"/>
                <w:sz w:val="28"/>
                <w:szCs w:val="28"/>
                <w:lang w:eastAsia="zh-CN"/>
              </w:rPr>
            </w:pPr>
          </w:p>
        </w:tc>
        <w:tc>
          <w:tcPr>
            <w:tcW w:w="3747" w:type="dxa"/>
          </w:tcPr>
          <w:p w14:paraId="5004611B"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3-4, AST or ALT</w:t>
            </w:r>
            <w:r>
              <w:rPr>
                <w:rFonts w:ascii="宋体" w:eastAsia="宋体" w:hAnsi="宋体" w:cs="宋体" w:hint="eastAsia"/>
                <w:sz w:val="28"/>
                <w:szCs w:val="28"/>
                <w:lang w:eastAsia="zh-CN"/>
              </w:rPr>
              <w:t>＞</w:t>
            </w:r>
            <w:r>
              <w:rPr>
                <w:rFonts w:ascii="Times New Roman" w:eastAsia="Times New Roman" w:hAnsi="Times New Roman" w:cs="Times New Roman"/>
                <w:sz w:val="28"/>
                <w:szCs w:val="28"/>
                <w:lang w:eastAsia="zh-CN"/>
              </w:rPr>
              <w:t xml:space="preserve"> 5x ULN, or total bilirubin &gt; 3x ULN</w:t>
            </w:r>
          </w:p>
        </w:tc>
        <w:tc>
          <w:tcPr>
            <w:tcW w:w="2418" w:type="dxa"/>
          </w:tcPr>
          <w:p w14:paraId="530E2515"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Discontinue permanently</w:t>
            </w:r>
          </w:p>
        </w:tc>
      </w:tr>
      <w:tr w:rsidR="009D72E0" w14:paraId="03630377" w14:textId="77777777" w:rsidTr="009D72E0">
        <w:trPr>
          <w:trHeight w:val="484"/>
        </w:trPr>
        <w:tc>
          <w:tcPr>
            <w:cnfStyle w:val="001000000000" w:firstRow="0" w:lastRow="0" w:firstColumn="1" w:lastColumn="0" w:oddVBand="0" w:evenVBand="0" w:oddHBand="0" w:evenHBand="0" w:firstRowFirstColumn="0" w:firstRowLastColumn="0" w:lastRowFirstColumn="0" w:lastRowLastColumn="0"/>
            <w:tcW w:w="2055" w:type="dxa"/>
            <w:vMerge w:val="restart"/>
          </w:tcPr>
          <w:p w14:paraId="134B50B9"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t xml:space="preserve"> Nephritis</w:t>
            </w:r>
          </w:p>
        </w:tc>
        <w:tc>
          <w:tcPr>
            <w:tcW w:w="3747" w:type="dxa"/>
          </w:tcPr>
          <w:p w14:paraId="4B64927D"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2-3 elevated creatinine</w:t>
            </w:r>
          </w:p>
        </w:tc>
        <w:tc>
          <w:tcPr>
            <w:tcW w:w="2418" w:type="dxa"/>
          </w:tcPr>
          <w:p w14:paraId="6C54919C"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Suspend until improvement to grade 0-1</w:t>
            </w:r>
          </w:p>
        </w:tc>
      </w:tr>
      <w:tr w:rsidR="009D72E0" w14:paraId="5172D25B" w14:textId="77777777" w:rsidTr="009D72E0">
        <w:trPr>
          <w:trHeight w:val="245"/>
        </w:trPr>
        <w:tc>
          <w:tcPr>
            <w:cnfStyle w:val="001000000000" w:firstRow="0" w:lastRow="0" w:firstColumn="1" w:lastColumn="0" w:oddVBand="0" w:evenVBand="0" w:oddHBand="0" w:evenHBand="0" w:firstRowFirstColumn="0" w:firstRowLastColumn="0" w:lastRowFirstColumn="0" w:lastRowLastColumn="0"/>
            <w:tcW w:w="2055" w:type="dxa"/>
            <w:vMerge/>
            <w:vAlign w:val="center"/>
          </w:tcPr>
          <w:p w14:paraId="08888E07" w14:textId="77777777" w:rsidR="009D72E0" w:rsidRDefault="009D72E0">
            <w:pPr>
              <w:spacing w:after="0" w:line="360" w:lineRule="auto"/>
              <w:rPr>
                <w:rFonts w:ascii="Times New Roman" w:eastAsia="宋体" w:hAnsi="Times New Roman" w:cs="Times New Roman"/>
                <w:kern w:val="2"/>
                <w:sz w:val="28"/>
                <w:szCs w:val="28"/>
                <w:lang w:eastAsia="zh-CN"/>
              </w:rPr>
            </w:pPr>
          </w:p>
        </w:tc>
        <w:tc>
          <w:tcPr>
            <w:tcW w:w="3747" w:type="dxa"/>
          </w:tcPr>
          <w:p w14:paraId="79BD52F2"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4 elevated creatinine</w:t>
            </w:r>
          </w:p>
        </w:tc>
        <w:tc>
          <w:tcPr>
            <w:tcW w:w="2418" w:type="dxa"/>
          </w:tcPr>
          <w:p w14:paraId="6F23F4CA"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Discontinue permanently</w:t>
            </w:r>
          </w:p>
        </w:tc>
      </w:tr>
      <w:tr w:rsidR="009D72E0" w14:paraId="5D082F3E" w14:textId="77777777" w:rsidTr="009D72E0">
        <w:trPr>
          <w:trHeight w:val="967"/>
        </w:trPr>
        <w:tc>
          <w:tcPr>
            <w:cnfStyle w:val="001000000000" w:firstRow="0" w:lastRow="0" w:firstColumn="1" w:lastColumn="0" w:oddVBand="0" w:evenVBand="0" w:oddHBand="0" w:evenHBand="0" w:firstRowFirstColumn="0" w:firstRowLastColumn="0" w:lastRowFirstColumn="0" w:lastRowLastColumn="0"/>
            <w:tcW w:w="2055" w:type="dxa"/>
            <w:vMerge w:val="restart"/>
          </w:tcPr>
          <w:p w14:paraId="3CFCD955"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t xml:space="preserve"> Endocrine disorders</w:t>
            </w:r>
          </w:p>
        </w:tc>
        <w:tc>
          <w:tcPr>
            <w:tcW w:w="3747" w:type="dxa"/>
          </w:tcPr>
          <w:p w14:paraId="4B2A5769"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Symptomatic grade 2-3 hypothyroidism, grade 2-3 hyperthyroidism, grade 2-3 pituitary gland inflammation, grade 2 adrenal insufficiency</w:t>
            </w:r>
          </w:p>
          <w:p w14:paraId="32684690"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3 hyperglycemia or type 1 diabetes mellitus</w:t>
            </w:r>
          </w:p>
        </w:tc>
        <w:tc>
          <w:tcPr>
            <w:tcW w:w="2418" w:type="dxa"/>
          </w:tcPr>
          <w:p w14:paraId="6567DFF9"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Withhold medication until improvement to grade 0-1.</w:t>
            </w:r>
          </w:p>
        </w:tc>
      </w:tr>
      <w:tr w:rsidR="009D72E0" w14:paraId="7A10BD56" w14:textId="77777777" w:rsidTr="009D72E0">
        <w:trPr>
          <w:trHeight w:val="724"/>
        </w:trPr>
        <w:tc>
          <w:tcPr>
            <w:cnfStyle w:val="001000000000" w:firstRow="0" w:lastRow="0" w:firstColumn="1" w:lastColumn="0" w:oddVBand="0" w:evenVBand="0" w:oddHBand="0" w:evenHBand="0" w:firstRowFirstColumn="0" w:firstRowLastColumn="0" w:lastRowFirstColumn="0" w:lastRowLastColumn="0"/>
            <w:tcW w:w="2055" w:type="dxa"/>
            <w:vMerge/>
            <w:vAlign w:val="center"/>
          </w:tcPr>
          <w:p w14:paraId="1E094AEC" w14:textId="77777777" w:rsidR="009D72E0" w:rsidRDefault="009D72E0">
            <w:pPr>
              <w:spacing w:after="0" w:line="360" w:lineRule="auto"/>
              <w:rPr>
                <w:rFonts w:ascii="Times New Roman" w:eastAsia="宋体" w:hAnsi="Times New Roman" w:cs="Times New Roman"/>
                <w:kern w:val="2"/>
                <w:sz w:val="28"/>
                <w:szCs w:val="28"/>
                <w:lang w:eastAsia="zh-CN"/>
              </w:rPr>
            </w:pPr>
          </w:p>
        </w:tc>
        <w:tc>
          <w:tcPr>
            <w:tcW w:w="3747" w:type="dxa"/>
          </w:tcPr>
          <w:p w14:paraId="658BFAB3"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4 hypothyroidism, Grade 4 hyperthyroidism Grade 4 pituitary gland inflammation, Grade 3-4 adrenal insufficiency, Grade 4 hyperglycemia or type 1 diabetes mellitus</w:t>
            </w:r>
          </w:p>
        </w:tc>
        <w:tc>
          <w:tcPr>
            <w:tcW w:w="2418" w:type="dxa"/>
          </w:tcPr>
          <w:p w14:paraId="461DA35B"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Discontinue permanently</w:t>
            </w:r>
          </w:p>
        </w:tc>
      </w:tr>
      <w:tr w:rsidR="009D72E0" w14:paraId="5FE1A0FB" w14:textId="77777777" w:rsidTr="009D72E0">
        <w:trPr>
          <w:trHeight w:val="484"/>
        </w:trPr>
        <w:tc>
          <w:tcPr>
            <w:cnfStyle w:val="001000000000" w:firstRow="0" w:lastRow="0" w:firstColumn="1" w:lastColumn="0" w:oddVBand="0" w:evenVBand="0" w:oddHBand="0" w:evenHBand="0" w:firstRowFirstColumn="0" w:firstRowLastColumn="0" w:lastRowFirstColumn="0" w:lastRowLastColumn="0"/>
            <w:tcW w:w="2055" w:type="dxa"/>
            <w:vMerge w:val="restart"/>
          </w:tcPr>
          <w:p w14:paraId="6F3C7FEE"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lastRenderedPageBreak/>
              <w:t xml:space="preserve"> Skin reactions</w:t>
            </w:r>
          </w:p>
          <w:p w14:paraId="7F04B8AE"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t xml:space="preserve"> </w:t>
            </w:r>
          </w:p>
        </w:tc>
        <w:tc>
          <w:tcPr>
            <w:tcW w:w="3747" w:type="dxa"/>
          </w:tcPr>
          <w:p w14:paraId="732DE8B7"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3 rash</w:t>
            </w:r>
          </w:p>
        </w:tc>
        <w:tc>
          <w:tcPr>
            <w:tcW w:w="2418" w:type="dxa"/>
          </w:tcPr>
          <w:p w14:paraId="434597E9"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Suspend until improvement to grade 0-1.</w:t>
            </w:r>
          </w:p>
        </w:tc>
      </w:tr>
      <w:tr w:rsidR="009D72E0" w14:paraId="00C61A30" w14:textId="77777777" w:rsidTr="009D72E0">
        <w:trPr>
          <w:trHeight w:val="485"/>
        </w:trPr>
        <w:tc>
          <w:tcPr>
            <w:cnfStyle w:val="001000000000" w:firstRow="0" w:lastRow="0" w:firstColumn="1" w:lastColumn="0" w:oddVBand="0" w:evenVBand="0" w:oddHBand="0" w:evenHBand="0" w:firstRowFirstColumn="0" w:firstRowLastColumn="0" w:lastRowFirstColumn="0" w:lastRowLastColumn="0"/>
            <w:tcW w:w="2055" w:type="dxa"/>
            <w:vMerge/>
            <w:vAlign w:val="center"/>
          </w:tcPr>
          <w:p w14:paraId="6DE9A721" w14:textId="77777777" w:rsidR="009D72E0" w:rsidRDefault="009D72E0">
            <w:pPr>
              <w:spacing w:after="0" w:line="360" w:lineRule="auto"/>
              <w:rPr>
                <w:rFonts w:ascii="Times New Roman" w:eastAsia="宋体" w:hAnsi="Times New Roman" w:cs="Times New Roman"/>
                <w:kern w:val="2"/>
                <w:sz w:val="28"/>
                <w:szCs w:val="28"/>
                <w:lang w:eastAsia="zh-CN"/>
              </w:rPr>
            </w:pPr>
          </w:p>
        </w:tc>
        <w:tc>
          <w:tcPr>
            <w:tcW w:w="3747" w:type="dxa"/>
          </w:tcPr>
          <w:p w14:paraId="37BD970C"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4 rash, Stevens-Johnson syndrome (SJS) or toxic epidermal necrolysis (TEN)</w:t>
            </w:r>
          </w:p>
        </w:tc>
        <w:tc>
          <w:tcPr>
            <w:tcW w:w="2418" w:type="dxa"/>
          </w:tcPr>
          <w:p w14:paraId="7F587D26"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Permanent discontinuation</w:t>
            </w:r>
          </w:p>
        </w:tc>
      </w:tr>
      <w:tr w:rsidR="009D72E0" w14:paraId="40FCB47C" w14:textId="77777777" w:rsidTr="009D72E0">
        <w:trPr>
          <w:trHeight w:val="484"/>
        </w:trPr>
        <w:tc>
          <w:tcPr>
            <w:cnfStyle w:val="001000000000" w:firstRow="0" w:lastRow="0" w:firstColumn="1" w:lastColumn="0" w:oddVBand="0" w:evenVBand="0" w:oddHBand="0" w:evenHBand="0" w:firstRowFirstColumn="0" w:firstRowLastColumn="0" w:lastRowFirstColumn="0" w:lastRowLastColumn="0"/>
            <w:tcW w:w="2055" w:type="dxa"/>
            <w:vMerge w:val="restart"/>
          </w:tcPr>
          <w:p w14:paraId="4AE74ED2"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t xml:space="preserve"> Thrombocytopenia</w:t>
            </w:r>
          </w:p>
        </w:tc>
        <w:tc>
          <w:tcPr>
            <w:tcW w:w="3747" w:type="dxa"/>
          </w:tcPr>
          <w:p w14:paraId="26C7AEA6"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3</w:t>
            </w:r>
          </w:p>
        </w:tc>
        <w:tc>
          <w:tcPr>
            <w:tcW w:w="2418" w:type="dxa"/>
          </w:tcPr>
          <w:p w14:paraId="5583EBDF"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Suspend medication until improvement to grade 0-1</w:t>
            </w:r>
          </w:p>
        </w:tc>
      </w:tr>
      <w:tr w:rsidR="009D72E0" w14:paraId="6C3D8D97" w14:textId="77777777" w:rsidTr="009D72E0">
        <w:trPr>
          <w:trHeight w:val="245"/>
        </w:trPr>
        <w:tc>
          <w:tcPr>
            <w:cnfStyle w:val="001000000000" w:firstRow="0" w:lastRow="0" w:firstColumn="1" w:lastColumn="0" w:oddVBand="0" w:evenVBand="0" w:oddHBand="0" w:evenHBand="0" w:firstRowFirstColumn="0" w:firstRowLastColumn="0" w:lastRowFirstColumn="0" w:lastRowLastColumn="0"/>
            <w:tcW w:w="2055" w:type="dxa"/>
            <w:vMerge/>
            <w:vAlign w:val="center"/>
          </w:tcPr>
          <w:p w14:paraId="39A4D728" w14:textId="77777777" w:rsidR="009D72E0" w:rsidRDefault="009D72E0">
            <w:pPr>
              <w:spacing w:after="0" w:line="360" w:lineRule="auto"/>
              <w:rPr>
                <w:rFonts w:ascii="Times New Roman" w:eastAsia="宋体" w:hAnsi="Times New Roman" w:cs="Times New Roman"/>
                <w:kern w:val="2"/>
                <w:sz w:val="28"/>
                <w:szCs w:val="28"/>
                <w:lang w:eastAsia="zh-CN"/>
              </w:rPr>
            </w:pPr>
          </w:p>
        </w:tc>
        <w:tc>
          <w:tcPr>
            <w:tcW w:w="3747" w:type="dxa"/>
          </w:tcPr>
          <w:p w14:paraId="03DEF8C5"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4</w:t>
            </w:r>
          </w:p>
        </w:tc>
        <w:tc>
          <w:tcPr>
            <w:tcW w:w="2418" w:type="dxa"/>
          </w:tcPr>
          <w:p w14:paraId="1BFA4BE0"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Discontinue permanently</w:t>
            </w:r>
          </w:p>
        </w:tc>
      </w:tr>
      <w:tr w:rsidR="009D72E0" w14:paraId="2BA2145E" w14:textId="77777777" w:rsidTr="009D72E0">
        <w:trPr>
          <w:trHeight w:val="1206"/>
        </w:trPr>
        <w:tc>
          <w:tcPr>
            <w:cnfStyle w:val="001000000000" w:firstRow="0" w:lastRow="0" w:firstColumn="1" w:lastColumn="0" w:oddVBand="0" w:evenVBand="0" w:oddHBand="0" w:evenHBand="0" w:firstRowFirstColumn="0" w:firstRowLastColumn="0" w:lastRowFirstColumn="0" w:lastRowLastColumn="0"/>
            <w:tcW w:w="2055" w:type="dxa"/>
            <w:vMerge w:val="restart"/>
          </w:tcPr>
          <w:p w14:paraId="106DC30F"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t xml:space="preserve"> Other adverse events</w:t>
            </w:r>
          </w:p>
        </w:tc>
        <w:tc>
          <w:tcPr>
            <w:tcW w:w="3747" w:type="dxa"/>
          </w:tcPr>
          <w:p w14:paraId="5DE0CAD3"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2-3 Elevated blood amylase or elevated lipase</w:t>
            </w:r>
          </w:p>
          <w:p w14:paraId="13D1D938"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2 pancreatitis</w:t>
            </w:r>
          </w:p>
          <w:p w14:paraId="748707A4"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2 </w:t>
            </w:r>
            <w:proofErr w:type="spellStart"/>
            <w:r>
              <w:rPr>
                <w:rFonts w:ascii="Times New Roman" w:eastAsia="Times New Roman" w:hAnsi="Times New Roman" w:cs="Times New Roman"/>
                <w:sz w:val="28"/>
                <w:szCs w:val="28"/>
                <w:lang w:eastAsia="zh-CN"/>
              </w:rPr>
              <w:t>myocarditisa</w:t>
            </w:r>
            <w:proofErr w:type="spellEnd"/>
          </w:p>
          <w:p w14:paraId="7B3D17A9"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Other grade 2-3 first occurrence of immune-related adverse events</w:t>
            </w:r>
          </w:p>
        </w:tc>
        <w:tc>
          <w:tcPr>
            <w:tcW w:w="2418" w:type="dxa"/>
          </w:tcPr>
          <w:p w14:paraId="71C19C9D"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Suspend medication until improvement to grade 0-1</w:t>
            </w:r>
          </w:p>
        </w:tc>
      </w:tr>
      <w:tr w:rsidR="009D72E0" w14:paraId="18EF62AE" w14:textId="77777777" w:rsidTr="009D72E0">
        <w:trPr>
          <w:trHeight w:val="724"/>
        </w:trPr>
        <w:tc>
          <w:tcPr>
            <w:cnfStyle w:val="001000000000" w:firstRow="0" w:lastRow="0" w:firstColumn="1" w:lastColumn="0" w:oddVBand="0" w:evenVBand="0" w:oddHBand="0" w:evenHBand="0" w:firstRowFirstColumn="0" w:firstRowLastColumn="0" w:lastRowFirstColumn="0" w:lastRowLastColumn="0"/>
            <w:tcW w:w="2055" w:type="dxa"/>
            <w:vMerge/>
            <w:vAlign w:val="center"/>
          </w:tcPr>
          <w:p w14:paraId="03F43231" w14:textId="77777777" w:rsidR="009D72E0" w:rsidRDefault="009D72E0">
            <w:pPr>
              <w:spacing w:after="0" w:line="360" w:lineRule="auto"/>
              <w:rPr>
                <w:rFonts w:ascii="Times New Roman" w:eastAsia="宋体" w:hAnsi="Times New Roman" w:cs="Times New Roman"/>
                <w:kern w:val="2"/>
                <w:sz w:val="28"/>
                <w:szCs w:val="28"/>
                <w:lang w:eastAsia="zh-CN"/>
              </w:rPr>
            </w:pPr>
          </w:p>
        </w:tc>
        <w:tc>
          <w:tcPr>
            <w:tcW w:w="3747" w:type="dxa"/>
          </w:tcPr>
          <w:p w14:paraId="4A3645AF"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4 elevated amylase or lipase, grade 3-4 pancreatitis, grade 3-4 myocarditis, grade 3-4 encephalitis, grade 4 first occurrence of other immune-related adverse events</w:t>
            </w:r>
          </w:p>
        </w:tc>
        <w:tc>
          <w:tcPr>
            <w:tcW w:w="2418" w:type="dxa"/>
          </w:tcPr>
          <w:p w14:paraId="1F1C3A25"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Permanent discontinuation</w:t>
            </w:r>
          </w:p>
        </w:tc>
      </w:tr>
      <w:tr w:rsidR="009D72E0" w14:paraId="4D3DC3CE" w14:textId="77777777" w:rsidTr="009D72E0">
        <w:trPr>
          <w:trHeight w:val="1205"/>
        </w:trPr>
        <w:tc>
          <w:tcPr>
            <w:cnfStyle w:val="001000000000" w:firstRow="0" w:lastRow="0" w:firstColumn="1" w:lastColumn="0" w:oddVBand="0" w:evenVBand="0" w:oddHBand="0" w:evenHBand="0" w:firstRowFirstColumn="0" w:firstRowLastColumn="0" w:lastRowFirstColumn="0" w:lastRowLastColumn="0"/>
            <w:tcW w:w="2055" w:type="dxa"/>
          </w:tcPr>
          <w:p w14:paraId="32A95A65"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lastRenderedPageBreak/>
              <w:t xml:space="preserve"> Recurrent or persistent adverse events</w:t>
            </w:r>
          </w:p>
        </w:tc>
        <w:tc>
          <w:tcPr>
            <w:tcW w:w="3747" w:type="dxa"/>
          </w:tcPr>
          <w:p w14:paraId="25FD9C7A"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Recurrent Grade 3-4 (except endocrine disease)</w:t>
            </w:r>
          </w:p>
          <w:p w14:paraId="0D68A840"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2-3 adverse events not improving to Grade 0-1 (except endocrine diseases) within 12 weeks of last dose</w:t>
            </w:r>
          </w:p>
          <w:p w14:paraId="030B4E02"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Failure to reduce corticosteroid to ≤ 10 mg/day prednisone equivalent within 12 weeks of last dose</w:t>
            </w:r>
          </w:p>
        </w:tc>
        <w:tc>
          <w:tcPr>
            <w:tcW w:w="2418" w:type="dxa"/>
          </w:tcPr>
          <w:p w14:paraId="63BC6363"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Permanent discontinuation</w:t>
            </w:r>
          </w:p>
        </w:tc>
      </w:tr>
      <w:tr w:rsidR="009D72E0" w14:paraId="083020EF" w14:textId="77777777" w:rsidTr="009D72E0">
        <w:trPr>
          <w:trHeight w:val="964"/>
        </w:trPr>
        <w:tc>
          <w:tcPr>
            <w:cnfStyle w:val="001000000000" w:firstRow="0" w:lastRow="0" w:firstColumn="1" w:lastColumn="0" w:oddVBand="0" w:evenVBand="0" w:oddHBand="0" w:evenHBand="0" w:firstRowFirstColumn="0" w:firstRowLastColumn="0" w:lastRowFirstColumn="0" w:lastRowLastColumn="0"/>
            <w:tcW w:w="2055" w:type="dxa"/>
            <w:vMerge w:val="restart"/>
          </w:tcPr>
          <w:p w14:paraId="558D8376" w14:textId="77777777" w:rsidR="009D72E0" w:rsidRDefault="00000000">
            <w:pPr>
              <w:spacing w:after="0" w:line="360" w:lineRule="auto"/>
              <w:rPr>
                <w:rFonts w:ascii="Times New Roman" w:eastAsia="Times New Roman" w:hAnsi="Times New Roman" w:cs="Times New Roman"/>
                <w:sz w:val="28"/>
                <w:szCs w:val="28"/>
                <w:lang w:eastAsia="zh-CN"/>
              </w:rPr>
            </w:pPr>
            <w:r>
              <w:rPr>
                <w:rFonts w:ascii="Times New Roman" w:eastAsia="Times New Roman" w:hAnsi="Times New Roman" w:cs="Times New Roman"/>
                <w:b w:val="0"/>
                <w:bCs w:val="0"/>
                <w:sz w:val="28"/>
                <w:szCs w:val="28"/>
                <w:lang w:eastAsia="zh-CN"/>
              </w:rPr>
              <w:t xml:space="preserve"> Infusion reactions</w:t>
            </w:r>
          </w:p>
        </w:tc>
        <w:tc>
          <w:tcPr>
            <w:tcW w:w="3747" w:type="dxa"/>
          </w:tcPr>
          <w:p w14:paraId="30F9269A"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2</w:t>
            </w:r>
          </w:p>
        </w:tc>
        <w:tc>
          <w:tcPr>
            <w:tcW w:w="2418" w:type="dxa"/>
          </w:tcPr>
          <w:p w14:paraId="614AA887"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Decrease drip rate or suspend dosing; consider resuming dosing when symptoms resolve, and monitor closely.</w:t>
            </w:r>
          </w:p>
        </w:tc>
      </w:tr>
      <w:tr w:rsidR="009D72E0" w14:paraId="4E683F22" w14:textId="77777777" w:rsidTr="009D72E0">
        <w:trPr>
          <w:trHeight w:val="729"/>
        </w:trPr>
        <w:tc>
          <w:tcPr>
            <w:cnfStyle w:val="001000000000" w:firstRow="0" w:lastRow="0" w:firstColumn="1" w:lastColumn="0" w:oddVBand="0" w:evenVBand="0" w:oddHBand="0" w:evenHBand="0" w:firstRowFirstColumn="0" w:firstRowLastColumn="0" w:lastRowFirstColumn="0" w:lastRowLastColumn="0"/>
            <w:tcW w:w="2055" w:type="dxa"/>
            <w:vMerge/>
            <w:vAlign w:val="center"/>
          </w:tcPr>
          <w:p w14:paraId="396C14CA" w14:textId="77777777" w:rsidR="009D72E0" w:rsidRDefault="009D72E0">
            <w:pPr>
              <w:spacing w:after="0" w:line="360" w:lineRule="auto"/>
              <w:rPr>
                <w:rFonts w:ascii="Times New Roman" w:eastAsia="宋体" w:hAnsi="Times New Roman" w:cs="Times New Roman"/>
                <w:kern w:val="2"/>
                <w:sz w:val="28"/>
                <w:szCs w:val="28"/>
                <w:lang w:eastAsia="zh-CN"/>
              </w:rPr>
            </w:pPr>
          </w:p>
        </w:tc>
        <w:tc>
          <w:tcPr>
            <w:tcW w:w="3747" w:type="dxa"/>
          </w:tcPr>
          <w:p w14:paraId="02666A6B"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Grade 3-4</w:t>
            </w:r>
          </w:p>
        </w:tc>
        <w:tc>
          <w:tcPr>
            <w:tcW w:w="2418" w:type="dxa"/>
          </w:tcPr>
          <w:p w14:paraId="2E0D46F7" w14:textId="77777777" w:rsidR="009D72E0" w:rsidRDefault="00000000">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Product must be discontinued immediately and permanently and treated symptomatically.</w:t>
            </w:r>
          </w:p>
        </w:tc>
      </w:tr>
    </w:tbl>
    <w:p w14:paraId="104ADE2F" w14:textId="77777777" w:rsidR="009D72E0" w:rsidRDefault="009D72E0">
      <w:pPr>
        <w:spacing w:after="0" w:line="360" w:lineRule="auto"/>
        <w:rPr>
          <w:rFonts w:ascii="Times New Roman" w:eastAsia="宋体" w:hAnsi="Times New Roman" w:cs="Times New Roman"/>
          <w:sz w:val="28"/>
          <w:szCs w:val="28"/>
          <w:lang w:eastAsia="zh-CN"/>
        </w:rPr>
      </w:pPr>
    </w:p>
    <w:p w14:paraId="233A7AF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(6) Concomitant Treatments </w:t>
      </w:r>
    </w:p>
    <w:p w14:paraId="158BC03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following treatments are prohibited during treatment in this study: </w:t>
      </w:r>
    </w:p>
    <w:p w14:paraId="2D5A45E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 xml:space="preserve"> Anti-tumor therapy: except for the investigational drugs used in this clinical trial, subjects will not be a</w:t>
      </w:r>
      <w:r>
        <w:rPr>
          <w:rFonts w:ascii="Times New Roman" w:eastAsia="宋体" w:hAnsi="Times New Roman" w:cs="Times New Roman"/>
          <w:sz w:val="28"/>
          <w:szCs w:val="28"/>
          <w:lang w:eastAsia="zh-CN"/>
        </w:rPr>
        <w:t>llowed</w:t>
      </w:r>
      <w:r>
        <w:rPr>
          <w:rFonts w:ascii="Times New Roman" w:hAnsi="Times New Roman" w:cs="Times New Roman"/>
          <w:sz w:val="28"/>
          <w:szCs w:val="28"/>
        </w:rPr>
        <w:t xml:space="preserve"> to receive any other systemic anti-tumor therapy at the same time, including cytotoxic drugs, biologic therapies, immune-modulating drugs; Chinese patent medicines with anti-tumor indications or Chinese herbal remedies for anti-tumor treatment purposes will </w:t>
      </w:r>
      <w:r>
        <w:rPr>
          <w:rFonts w:ascii="Times New Roman" w:eastAsia="宋体" w:hAnsi="Times New Roman" w:cs="Times New Roman"/>
          <w:sz w:val="28"/>
          <w:szCs w:val="28"/>
          <w:lang w:eastAsia="zh-CN"/>
        </w:rPr>
        <w:t xml:space="preserve">also </w:t>
      </w:r>
      <w:r>
        <w:rPr>
          <w:rFonts w:ascii="Times New Roman" w:hAnsi="Times New Roman" w:cs="Times New Roman"/>
          <w:sz w:val="28"/>
          <w:szCs w:val="28"/>
        </w:rPr>
        <w:t>not be used during the study. Any accidental misuse by the subject will not be taken as a violation of the protocol.</w:t>
      </w:r>
    </w:p>
    <w:p w14:paraId="7B3806F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Live vaccination: live vaccination within 30 days prior to the first dose of study treatment and during the whole treatment. Live vaccines include, but are not limited to, the following</w:t>
      </w:r>
      <w:r>
        <w:rPr>
          <w:rFonts w:ascii="Times New Roman" w:eastAsia="宋体" w:hAnsi="Times New Roman" w:cs="Times New Roman"/>
          <w:sz w:val="28"/>
          <w:szCs w:val="28"/>
          <w:lang w:eastAsia="zh-CN"/>
        </w:rPr>
        <w:t>s</w:t>
      </w:r>
      <w:r>
        <w:rPr>
          <w:rFonts w:ascii="Times New Roman" w:hAnsi="Times New Roman" w:cs="Times New Roman"/>
          <w:sz w:val="28"/>
          <w:szCs w:val="28"/>
        </w:rPr>
        <w:t>: measles, mumps, rubella, varicella, yellow fever, rabies, BCG, and typhoid (oral) vaccines. Inactivated viral vaccine for seasonal influenza by injection is permitted; however, live attenuated influenza vaccine is not permitted.</w:t>
      </w:r>
    </w:p>
    <w:p w14:paraId="2F70AC2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Corticosteroids, topical (e.g., topical dermal, inhalation, etc.), physiologic doses of systemic medications (≤10 mg/day prednisone or equivalent), or medications to treat adverse events of potential immunologic etiology are permitted.</w:t>
      </w:r>
    </w:p>
    <w:p w14:paraId="1088BCB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In this study, the following concomitant therapies are allowed: </w:t>
      </w:r>
    </w:p>
    <w:p w14:paraId="68BC97F0"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①</w:t>
      </w:r>
      <w:r>
        <w:rPr>
          <w:rFonts w:ascii="Times New Roman" w:hAnsi="Times New Roman" w:cs="Times New Roman"/>
          <w:sz w:val="28"/>
          <w:szCs w:val="28"/>
        </w:rPr>
        <w:t xml:space="preserve"> Medications that, according to the judgment of the investigator, are protocol compliant (e.g., concomitant therapies for the treatment of disease-related symptoms and for the treatment of </w:t>
      </w:r>
      <w:r>
        <w:rPr>
          <w:rFonts w:ascii="Times New Roman" w:eastAsia="宋体" w:hAnsi="Times New Roman" w:cs="Times New Roman"/>
          <w:sz w:val="28"/>
          <w:szCs w:val="28"/>
          <w:lang w:eastAsia="zh-CN"/>
        </w:rPr>
        <w:t>latent</w:t>
      </w:r>
      <w:r>
        <w:rPr>
          <w:rFonts w:ascii="Times New Roman" w:hAnsi="Times New Roman" w:cs="Times New Roman"/>
          <w:sz w:val="28"/>
          <w:szCs w:val="28"/>
        </w:rPr>
        <w:t xml:space="preserve"> AEs associated with the disease).</w:t>
      </w:r>
    </w:p>
    <w:p w14:paraId="261DBBC3"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②</w:t>
      </w:r>
      <w:r>
        <w:rPr>
          <w:rFonts w:ascii="Times New Roman" w:hAnsi="Times New Roman" w:cs="Times New Roman"/>
          <w:sz w:val="28"/>
          <w:szCs w:val="28"/>
        </w:rPr>
        <w:t xml:space="preserve"> Subjects requiring long-term medication for underlying diseases such as hypertension and diabetes are allowed to continue using the medication.</w:t>
      </w:r>
    </w:p>
    <w:p w14:paraId="5DB8FF0E"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Supportive therapy to relieve tumor-related symptoms, such as bisphosphonate therapy for bone metastases, is permitted.</w:t>
      </w:r>
    </w:p>
    <w:p w14:paraId="1D1DA669"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 xml:space="preserve">③ </w:t>
      </w:r>
      <w:r>
        <w:rPr>
          <w:rFonts w:ascii="Times New Roman" w:eastAsia="宋体" w:hAnsi="Times New Roman" w:cs="Times New Roman"/>
          <w:sz w:val="28"/>
          <w:szCs w:val="28"/>
          <w:lang w:eastAsia="zh-CN"/>
        </w:rPr>
        <w:t>N</w:t>
      </w:r>
      <w:r>
        <w:rPr>
          <w:rFonts w:ascii="Times New Roman" w:hAnsi="Times New Roman" w:cs="Times New Roman"/>
          <w:sz w:val="28"/>
          <w:szCs w:val="28"/>
        </w:rPr>
        <w:t>ecessary antiviral treatment</w:t>
      </w:r>
      <w:r>
        <w:rPr>
          <w:rFonts w:ascii="Times New Roman" w:eastAsia="宋体" w:hAnsi="Times New Roman" w:cs="Times New Roman"/>
          <w:sz w:val="28"/>
          <w:szCs w:val="28"/>
          <w:lang w:eastAsia="zh-CN"/>
        </w:rPr>
        <w:t xml:space="preserve"> is permitted</w:t>
      </w:r>
      <w:r>
        <w:rPr>
          <w:rFonts w:ascii="Times New Roman" w:hAnsi="Times New Roman" w:cs="Times New Roman"/>
          <w:sz w:val="28"/>
          <w:szCs w:val="28"/>
        </w:rPr>
        <w:t xml:space="preserve">, </w:t>
      </w:r>
      <w:r>
        <w:rPr>
          <w:rFonts w:ascii="Times New Roman" w:eastAsia="宋体" w:hAnsi="Times New Roman" w:cs="Times New Roman"/>
          <w:sz w:val="28"/>
          <w:szCs w:val="28"/>
          <w:lang w:eastAsia="zh-CN"/>
        </w:rPr>
        <w:t>e.g.,</w:t>
      </w:r>
      <w:r>
        <w:rPr>
          <w:rFonts w:ascii="Times New Roman" w:hAnsi="Times New Roman" w:cs="Times New Roman"/>
          <w:sz w:val="28"/>
          <w:szCs w:val="28"/>
        </w:rPr>
        <w:t xml:space="preserve"> the subject is a hepatitis B virus carrier, antiviral treatment during the study is in need</w:t>
      </w:r>
      <w:r>
        <w:rPr>
          <w:rFonts w:ascii="Times New Roman" w:eastAsia="宋体" w:hAnsi="Times New Roman" w:cs="Times New Roman"/>
          <w:sz w:val="28"/>
          <w:szCs w:val="28"/>
          <w:lang w:eastAsia="zh-CN"/>
        </w:rPr>
        <w:t xml:space="preserve"> and allowed</w:t>
      </w:r>
      <w:r>
        <w:rPr>
          <w:rFonts w:ascii="Times New Roman" w:hAnsi="Times New Roman" w:cs="Times New Roman"/>
          <w:sz w:val="28"/>
          <w:szCs w:val="28"/>
        </w:rPr>
        <w:t>.</w:t>
      </w:r>
    </w:p>
    <w:p w14:paraId="1585DA5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lastRenderedPageBreak/>
        <w:t>④</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Allow the use of anti-allergy drugs, glucocorticoids, etc. for pretreatment of trial drugs.</w:t>
      </w:r>
    </w:p>
    <w:p w14:paraId="4B153CE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⑤</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 xml:space="preserve">Temporary use of </w:t>
      </w:r>
      <w:proofErr w:type="spellStart"/>
      <w:r>
        <w:rPr>
          <w:rFonts w:ascii="Times New Roman" w:hAnsi="Times New Roman" w:cs="Times New Roman"/>
          <w:sz w:val="28"/>
          <w:szCs w:val="28"/>
        </w:rPr>
        <w:t>glucocorticosteroids</w:t>
      </w:r>
      <w:proofErr w:type="spellEnd"/>
      <w:r>
        <w:rPr>
          <w:rFonts w:ascii="Times New Roman" w:hAnsi="Times New Roman" w:cs="Times New Roman"/>
          <w:sz w:val="28"/>
          <w:szCs w:val="28"/>
        </w:rPr>
        <w:t xml:space="preserve"> for the treatment of symptoms such as dyspnea is permitted.</w:t>
      </w:r>
    </w:p>
    <w:p w14:paraId="08CE3DD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⑥</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The use of colony-stimulating factors is permitted according to relevant guidelines.</w:t>
      </w:r>
    </w:p>
    <w:p w14:paraId="6B27255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5. Surgical procedures </w:t>
      </w:r>
    </w:p>
    <w:p w14:paraId="57D14CD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(1) Surgical procedure: Radical gastrectomy with D2 lymph node dissection is recommended. According to the Japanese gastric cancer treatment guidelines 2010 Ver.3, the scope of radical gastrectomy requires that the distal margin to be ≥5 cm away from tumor, and the proximal margin should be demonstrated negative through intraoperative rapid </w:t>
      </w:r>
      <w:proofErr w:type="spellStart"/>
      <w:r>
        <w:rPr>
          <w:rFonts w:ascii="Times New Roman" w:hAnsi="Times New Roman" w:cs="Times New Roman"/>
          <w:sz w:val="28"/>
          <w:szCs w:val="28"/>
        </w:rPr>
        <w:t>cryopathology</w:t>
      </w:r>
      <w:proofErr w:type="spellEnd"/>
      <w:r>
        <w:rPr>
          <w:rFonts w:ascii="Times New Roman" w:hAnsi="Times New Roman" w:cs="Times New Roman"/>
          <w:sz w:val="28"/>
          <w:szCs w:val="28"/>
        </w:rPr>
        <w:t xml:space="preserve">. If negative proximal margins cannot be achieved by open abdominal surgery, the thoracic esophagus would be </w:t>
      </w:r>
      <w:proofErr w:type="spellStart"/>
      <w:r>
        <w:rPr>
          <w:rFonts w:ascii="Times New Roman" w:hAnsi="Times New Roman" w:cs="Times New Roman"/>
          <w:sz w:val="28"/>
          <w:szCs w:val="28"/>
        </w:rPr>
        <w:t>resected</w:t>
      </w:r>
      <w:proofErr w:type="spellEnd"/>
      <w:r>
        <w:rPr>
          <w:rFonts w:ascii="Times New Roman" w:hAnsi="Times New Roman" w:cs="Times New Roman"/>
          <w:sz w:val="28"/>
          <w:szCs w:val="28"/>
        </w:rPr>
        <w:t xml:space="preserve"> by a combination of transdiaphragmatic or transthoracic surgical routes to ensure R0 resection. D2 lymph node dissection should include No1, 2, 3, 4sa, 4sb, 4d, 5, 6, 7, 8a, 9, 10, 11p, 11d, and 12a; when the tumor invades the greater curvature of the stomach, splenectomy should be considered to completely remove the 10th group of lymph nodes; in other cases, the extent of the dissection should be adjusted according to the focus of the origin. Postoperative management of patients should strengthen the measures to prevent postoperative bleeding and digestive fistula, including the use of hemostatic materials, jejunostomy, abdominal drainage, etc.</w:t>
      </w:r>
    </w:p>
    <w:p w14:paraId="137D5E8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(2) Surgical quality control </w:t>
      </w:r>
    </w:p>
    <w:p w14:paraId="4B9FF7AC"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①</w:t>
      </w:r>
      <w:r>
        <w:rPr>
          <w:rFonts w:ascii="Times New Roman" w:hAnsi="Times New Roman" w:cs="Times New Roman"/>
          <w:sz w:val="28"/>
          <w:szCs w:val="28"/>
        </w:rPr>
        <w:t xml:space="preserve"> Admission system for surgeons: the surgeon in charge should be a surgeon with senior title and experience of at least 10 cases of radical gastrectomy and D2 lymph node removal.</w:t>
      </w:r>
    </w:p>
    <w:p w14:paraId="52ED55C7"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lastRenderedPageBreak/>
        <w:t>②</w:t>
      </w:r>
      <w:r>
        <w:rPr>
          <w:rFonts w:ascii="Times New Roman" w:hAnsi="Times New Roman" w:cs="Times New Roman"/>
          <w:sz w:val="28"/>
          <w:szCs w:val="28"/>
          <w:lang w:eastAsia="zh-CN"/>
        </w:rPr>
        <w:t xml:space="preserve"> </w:t>
      </w:r>
      <w:r>
        <w:rPr>
          <w:rFonts w:ascii="Times New Roman" w:hAnsi="Times New Roman" w:cs="Times New Roman"/>
          <w:sz w:val="28"/>
          <w:szCs w:val="28"/>
        </w:rPr>
        <w:t>Surgical quality</w:t>
      </w:r>
      <w:r>
        <w:rPr>
          <w:rFonts w:ascii="Times New Roman" w:hAnsi="Times New Roman" w:cs="Times New Roman"/>
          <w:sz w:val="28"/>
          <w:szCs w:val="28"/>
          <w:lang w:eastAsia="zh-CN"/>
        </w:rPr>
        <w:t xml:space="preserve"> assessment</w:t>
      </w:r>
      <w:r>
        <w:rPr>
          <w:rFonts w:ascii="Times New Roman" w:hAnsi="Times New Roman" w:cs="Times New Roman"/>
          <w:sz w:val="28"/>
          <w:szCs w:val="28"/>
        </w:rPr>
        <w:t xml:space="preserve">: In this study, intraoperative photographs were used as a reference for judging the surgical quality. Intraoperative photographs of cutting edges of the left gastroepiploic vessels, the </w:t>
      </w:r>
      <w:proofErr w:type="spellStart"/>
      <w:r>
        <w:rPr>
          <w:rFonts w:ascii="Times New Roman" w:hAnsi="Times New Roman" w:cs="Times New Roman"/>
          <w:sz w:val="28"/>
          <w:szCs w:val="28"/>
        </w:rPr>
        <w:t>subpyloric</w:t>
      </w:r>
      <w:proofErr w:type="spellEnd"/>
      <w:r>
        <w:rPr>
          <w:rFonts w:ascii="Times New Roman" w:hAnsi="Times New Roman" w:cs="Times New Roman"/>
          <w:sz w:val="28"/>
          <w:szCs w:val="28"/>
        </w:rPr>
        <w:t xml:space="preserve"> region, the right side of the upper edge of the pancreas, the left side of the upper edge of the pancreas, the right side of the cardia, the left side of the cardia, and the splenic hilar region should be taken in order to determine whether the D2 lymph node dissection has been achieved.</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Photographs of the size of the lesion on the mucosal surface, the distance of the lesion away from both the proximal and</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distal margin of the specimen should also be taken before dissection of the specimen, and after the specimen is opened by dissection in order to determine whether or not radical gastrectomy has been achieved.</w:t>
      </w:r>
    </w:p>
    <w:p w14:paraId="76009A64"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lang w:eastAsia="zh-CN"/>
        </w:rPr>
        <w:t>③</w:t>
      </w:r>
      <w:r>
        <w:rPr>
          <w:rFonts w:ascii="Times New Roman" w:hAnsi="Times New Roman" w:cs="Times New Roman"/>
          <w:sz w:val="28"/>
          <w:szCs w:val="28"/>
        </w:rPr>
        <w:t xml:space="preserve"> Postoperative pathological evaluation: The postoperative specimens should be processed and reported according to the 14th edition of the Japanese Gastric Cancer Statute.</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Pathological evaluation should include description of the tumor specimen, margins, pathological classification of the tumor, depth of invasion, lymph node metastasis at each station, and vascular thrombosis.</w:t>
      </w:r>
    </w:p>
    <w:p w14:paraId="102FEC23" w14:textId="77777777" w:rsidR="009D72E0" w:rsidRDefault="00000000">
      <w:pPr>
        <w:spacing w:after="0" w:line="360" w:lineRule="auto"/>
        <w:rPr>
          <w:rFonts w:ascii="Times New Roman" w:hAnsi="Times New Roman" w:cs="Times New Roman"/>
          <w:b/>
          <w:bCs/>
          <w:sz w:val="28"/>
          <w:szCs w:val="28"/>
        </w:rPr>
      </w:pPr>
      <w:bookmarkStart w:id="8" w:name="_Hlk206452590"/>
      <w:r>
        <w:rPr>
          <w:rFonts w:ascii="Times New Roman" w:hAnsi="Times New Roman" w:cs="Times New Roman"/>
          <w:b/>
          <w:bCs/>
          <w:sz w:val="28"/>
          <w:szCs w:val="28"/>
        </w:rPr>
        <w:t>Ⅵ. Study process</w:t>
      </w:r>
    </w:p>
    <w:bookmarkEnd w:id="8"/>
    <w:p w14:paraId="1982AD4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1. Subject enrollment process</w:t>
      </w:r>
    </w:p>
    <w:p w14:paraId="453EE10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1) Obtain an informed consent form with the subject's signature prior to any study-related procedures.</w:t>
      </w:r>
    </w:p>
    <w:p w14:paraId="184B87A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2) The Principal Investigator or appropriately trained designee reviews the inclusion/exclusion criteria and formally determines the eligibility of the subject for enrollment.</w:t>
      </w:r>
    </w:p>
    <w:p w14:paraId="24A0282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2. Study Visit Arrangements </w:t>
      </w:r>
    </w:p>
    <w:p w14:paraId="2F30234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lastRenderedPageBreak/>
        <w:t>(</w:t>
      </w:r>
      <w:r>
        <w:rPr>
          <w:rFonts w:ascii="Times New Roman" w:hAnsi="Times New Roman" w:cs="Times New Roman"/>
          <w:sz w:val="28"/>
          <w:szCs w:val="28"/>
        </w:rPr>
        <w:t>1) The following study procedures must be completed during the Screening Period (up to 4 weeks prior to enrollment) to ensure that subjects are eligible for the study:</w:t>
      </w:r>
    </w:p>
    <w:p w14:paraId="64C6117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Sign the informed consent form</w:t>
      </w:r>
    </w:p>
    <w:p w14:paraId="1D99D92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Check inclusion/exclusion criteria</w:t>
      </w:r>
    </w:p>
    <w:p w14:paraId="322D7B5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Record demographic data, past medical history, and past medications</w:t>
      </w:r>
    </w:p>
    <w:p w14:paraId="15E1E3A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Record vital signs, height and weight</w:t>
      </w:r>
    </w:p>
    <w:p w14:paraId="15E7E4E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Physical examination</w:t>
      </w:r>
    </w:p>
    <w:p w14:paraId="7C4513D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ECOG score</w:t>
      </w:r>
    </w:p>
    <w:p w14:paraId="0117C3A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Electrocardiogram</w:t>
      </w:r>
    </w:p>
    <w:p w14:paraId="07B8AFC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Routine blood/blood biochemistry/urine routine (within 7 days prior to the first dose)</w:t>
      </w:r>
    </w:p>
    <w:p w14:paraId="533B8F2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Coagulation (within 7 days prior to first dose)</w:t>
      </w:r>
    </w:p>
    <w:p w14:paraId="2EEEA85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CEA, CA199 (within 7 days prior to first dose)</w:t>
      </w:r>
    </w:p>
    <w:p w14:paraId="14BBD39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Pregnancy test (within 7 days prior to first dose)</w:t>
      </w:r>
    </w:p>
    <w:p w14:paraId="04B1091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Thyroid function</w:t>
      </w:r>
    </w:p>
    <w:p w14:paraId="16B7A5C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Adverse Event Assessment</w:t>
      </w:r>
    </w:p>
    <w:p w14:paraId="1E5EBF7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Concomitant medications</w:t>
      </w:r>
    </w:p>
    <w:p w14:paraId="33E5319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Tumor imaging evaluation</w:t>
      </w:r>
    </w:p>
    <w:p w14:paraId="7AAB7DF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Archived or Fresh Tumor Tissue Sample </w:t>
      </w:r>
    </w:p>
    <w:p w14:paraId="200D257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2) Baseline Condition Record (prior to radiation therapy/first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dose)</w:t>
      </w:r>
    </w:p>
    <w:p w14:paraId="3363C01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Record vital signs and weight</w:t>
      </w:r>
    </w:p>
    <w:p w14:paraId="14CE0FF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ECOG score</w:t>
      </w:r>
    </w:p>
    <w:p w14:paraId="40478B7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Immunogenicity sample collection</w:t>
      </w:r>
    </w:p>
    <w:p w14:paraId="13BE1D1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Adverse event assessment</w:t>
      </w:r>
    </w:p>
    <w:p w14:paraId="7F6DB79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Documentation of concomitant medications</w:t>
      </w:r>
    </w:p>
    <w:p w14:paraId="2F281DD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Peripheral blood specimens </w:t>
      </w:r>
    </w:p>
    <w:p w14:paraId="310D141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lastRenderedPageBreak/>
        <w:t>(</w:t>
      </w:r>
      <w:r>
        <w:rPr>
          <w:rFonts w:ascii="Times New Roman" w:hAnsi="Times New Roman" w:cs="Times New Roman"/>
          <w:sz w:val="28"/>
          <w:szCs w:val="28"/>
        </w:rPr>
        <w:t>3) Visits during radiation therapy (weekly visits, except for those specifically accounted for below)</w:t>
      </w:r>
    </w:p>
    <w:p w14:paraId="5DC7F05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Study drug administration, interruption of radiation therapy</w:t>
      </w:r>
    </w:p>
    <w:p w14:paraId="5A5D53B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Record of vital signs and weight</w:t>
      </w:r>
    </w:p>
    <w:p w14:paraId="4960655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Physical examination</w:t>
      </w:r>
    </w:p>
    <w:p w14:paraId="121CDC1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ECOG score</w:t>
      </w:r>
    </w:p>
    <w:p w14:paraId="7833AF7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Electrocardiogram (every 3 weeks)</w:t>
      </w:r>
    </w:p>
    <w:p w14:paraId="71DEB3D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Routine blood/blood biochemistry/urine routine</w:t>
      </w:r>
    </w:p>
    <w:p w14:paraId="07A6B3C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Coagulation (every 3 weeks)</w:t>
      </w:r>
    </w:p>
    <w:p w14:paraId="214A827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CEA, CA199 (every 3 weeks)</w:t>
      </w:r>
    </w:p>
    <w:p w14:paraId="427C3ED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Thyroid function (every 3 weeks)</w:t>
      </w:r>
    </w:p>
    <w:p w14:paraId="3384752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Immunogenic blood sample collection (every 3 weeks)</w:t>
      </w:r>
    </w:p>
    <w:p w14:paraId="7B8E72D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Peripheral blood specimen (every 3 weeks)</w:t>
      </w:r>
    </w:p>
    <w:p w14:paraId="22D7911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Adverse event assessment</w:t>
      </w:r>
    </w:p>
    <w:p w14:paraId="42E719F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Documentation of concomitant medications (every 3 weeks)</w:t>
      </w:r>
    </w:p>
    <w:p w14:paraId="36DC126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Tumor imaging assessment: no tumor assessment is performed during radiotherapy.</w:t>
      </w:r>
    </w:p>
    <w:p w14:paraId="33BB45C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4) After completion of radiation therapy, during continuation of treatment after surgery </w:t>
      </w:r>
    </w:p>
    <w:p w14:paraId="326F970A"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①</w:t>
      </w:r>
      <w:r>
        <w:rPr>
          <w:rFonts w:ascii="Times New Roman" w:hAnsi="Times New Roman" w:cs="Times New Roman"/>
          <w:sz w:val="28"/>
          <w:szCs w:val="28"/>
        </w:rPr>
        <w:t xml:space="preserve"> Safety visits (every 3 weeks, except for those specifically accounted for below; before each next cycle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w:t>
      </w:r>
    </w:p>
    <w:p w14:paraId="7E022EA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Study drug administration</w:t>
      </w:r>
    </w:p>
    <w:p w14:paraId="34C3A1B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Record vital signs and weight</w:t>
      </w:r>
    </w:p>
    <w:p w14:paraId="501FD16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Physical examination</w:t>
      </w:r>
    </w:p>
    <w:p w14:paraId="6FB15A2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ECOG score</w:t>
      </w:r>
    </w:p>
    <w:p w14:paraId="01DC35B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Electrocardiogram (ECG)</w:t>
      </w:r>
    </w:p>
    <w:p w14:paraId="7805026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Routine blood/blood biochemistry/urine routine</w:t>
      </w:r>
    </w:p>
    <w:p w14:paraId="7339CBE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 Coagulation</w:t>
      </w:r>
    </w:p>
    <w:p w14:paraId="0B4FA34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CEA, CA199</w:t>
      </w:r>
    </w:p>
    <w:p w14:paraId="093880B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Thyroid Function</w:t>
      </w:r>
    </w:p>
    <w:p w14:paraId="57AF9C3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Immunogenic Blood Sample Collection</w:t>
      </w:r>
    </w:p>
    <w:p w14:paraId="0709B83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Peripheral Blood Specimen</w:t>
      </w:r>
    </w:p>
    <w:p w14:paraId="1AEDBB1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Perioperative complications</w:t>
      </w:r>
    </w:p>
    <w:p w14:paraId="2D2F9E1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Assessment of adverse events</w:t>
      </w:r>
    </w:p>
    <w:p w14:paraId="16D1142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Documentation of concomitant medications </w:t>
      </w:r>
    </w:p>
    <w:p w14:paraId="6DFDF0CE"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②</w:t>
      </w:r>
      <w:r>
        <w:rPr>
          <w:rFonts w:ascii="Times New Roman" w:hAnsi="Times New Roman" w:cs="Times New Roman"/>
          <w:sz w:val="28"/>
          <w:szCs w:val="28"/>
        </w:rPr>
        <w:t xml:space="preserve"> Efficacy assessment (preoperative, and comprehensive imaging every 12 weeks postoperatively): </w:t>
      </w:r>
    </w:p>
    <w:p w14:paraId="420BFF3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first imaging evaluation is performed 8-12 weeks after completion of radiation therapy, and then every 12 weeks after surgery. The evaluation mainly includes:</w:t>
      </w:r>
    </w:p>
    <w:p w14:paraId="614B3F9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CT of the chest, CT of the abdomen and pelvis</w:t>
      </w:r>
    </w:p>
    <w:p w14:paraId="1ED376C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CT or MRI of the brain, only if there is clinical suspicion of central nervous system metastases</w:t>
      </w:r>
    </w:p>
    <w:p w14:paraId="31813C0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Bone scan, only if there is clinical suspicion of bone metastases</w:t>
      </w:r>
    </w:p>
    <w:p w14:paraId="45E8190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PET/CT (when necessary)</w:t>
      </w:r>
    </w:p>
    <w:p w14:paraId="7414140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endoscope (when necessary)</w:t>
      </w:r>
    </w:p>
    <w:p w14:paraId="41503FA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If tumor markers are significantly elevated during the period, the frequency of imaging examinations may be increased.</w:t>
      </w:r>
    </w:p>
    <w:p w14:paraId="3EA5F89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5) End-of-treatment visits for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w:t>
      </w:r>
    </w:p>
    <w:p w14:paraId="003F021E"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①</w:t>
      </w:r>
      <w:r>
        <w:rPr>
          <w:rFonts w:ascii="Times New Roman" w:hAnsi="Times New Roman" w:cs="Times New Roman"/>
          <w:sz w:val="28"/>
          <w:szCs w:val="28"/>
        </w:rPr>
        <w:t xml:space="preserve"> Safety visit: 3-4 weeks after the end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a safety visit will be conducted.</w:t>
      </w:r>
    </w:p>
    <w:p w14:paraId="0C40E808"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②</w:t>
      </w:r>
      <w:r>
        <w:rPr>
          <w:rFonts w:ascii="Times New Roman" w:hAnsi="Times New Roman" w:cs="Times New Roman"/>
          <w:sz w:val="28"/>
          <w:szCs w:val="28"/>
        </w:rPr>
        <w:t xml:space="preserve"> Efficacy Assessment: for patients who discontinue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due to toxicity, visits should be implemented every 2 weeks until remission of </w:t>
      </w:r>
      <w:r>
        <w:rPr>
          <w:rFonts w:ascii="Times New Roman" w:hAnsi="Times New Roman" w:cs="Times New Roman"/>
          <w:sz w:val="28"/>
          <w:szCs w:val="28"/>
        </w:rPr>
        <w:lastRenderedPageBreak/>
        <w:t xml:space="preserve">symptoms or death or withdrawal from the study; oncologic effectiveness assessment and survival follow-up will continue until 2 years or until the patient withdraws from the study; For patients who discontinue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due to tumor progression, drug safety was followed until 1 month after the last dose; survival follow-up continued until 2 years or until the patient withdraws from the study; for patients who discontinue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treatment due to completion of therapy will be followed every 3 months until tumor progression or 2 years. </w:t>
      </w:r>
      <w:r>
        <w:rPr>
          <w:rFonts w:ascii="Times New Roman" w:hAnsi="Times New Roman" w:cs="Times New Roman"/>
          <w:sz w:val="28"/>
          <w:szCs w:val="28"/>
          <w:lang w:eastAsia="zh-CN"/>
        </w:rPr>
        <w:t>During the 2</w:t>
      </w:r>
      <w:r>
        <w:rPr>
          <w:rFonts w:ascii="Times New Roman" w:hAnsi="Times New Roman" w:cs="Times New Roman"/>
          <w:sz w:val="28"/>
          <w:szCs w:val="28"/>
        </w:rPr>
        <w:t xml:space="preserve">-5 years, patients will be followed every 6 months until tumor progression. </w:t>
      </w:r>
    </w:p>
    <w:p w14:paraId="3112380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visit details are as follows:</w:t>
      </w:r>
    </w:p>
    <w:p w14:paraId="22FD14F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Blood tests/blood biochemistry/urine tests</w:t>
      </w:r>
    </w:p>
    <w:p w14:paraId="621A38E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Blood/blood biochemistry/urine routine</w:t>
      </w:r>
    </w:p>
    <w:p w14:paraId="2306176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CEA, CA199</w:t>
      </w:r>
    </w:p>
    <w:p w14:paraId="3BBD8B6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Thyroid function</w:t>
      </w:r>
    </w:p>
    <w:p w14:paraId="719A1AA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Immunogenic blood sample collection</w:t>
      </w:r>
    </w:p>
    <w:p w14:paraId="3FFE4F6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Peripheral blood specimen</w:t>
      </w:r>
    </w:p>
    <w:p w14:paraId="1A38829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Adverse event assessment (1 month after last dose)</w:t>
      </w:r>
    </w:p>
    <w:p w14:paraId="04F613A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Efficacy assessment, same as before.</w:t>
      </w:r>
    </w:p>
    <w:p w14:paraId="6F5D9841" w14:textId="77777777" w:rsidR="009D72E0" w:rsidRDefault="00000000">
      <w:pPr>
        <w:spacing w:after="0" w:line="360" w:lineRule="auto"/>
        <w:rPr>
          <w:rFonts w:ascii="Times New Roman" w:hAnsi="Times New Roman" w:cs="Times New Roman"/>
          <w:b/>
          <w:bCs/>
          <w:sz w:val="28"/>
          <w:szCs w:val="28"/>
        </w:rPr>
      </w:pPr>
      <w:bookmarkStart w:id="9" w:name="_Hlk206452620"/>
      <w:r>
        <w:rPr>
          <w:rFonts w:ascii="Times New Roman" w:hAnsi="Times New Roman" w:cs="Times New Roman" w:hint="eastAsia"/>
          <w:b/>
          <w:bCs/>
          <w:sz w:val="28"/>
          <w:szCs w:val="28"/>
        </w:rPr>
        <w:t>Ⅶ</w:t>
      </w:r>
      <w:r>
        <w:rPr>
          <w:rFonts w:ascii="Times New Roman" w:hAnsi="Times New Roman" w:cs="Times New Roman"/>
          <w:b/>
          <w:bCs/>
          <w:sz w:val="28"/>
          <w:szCs w:val="28"/>
        </w:rPr>
        <w:t xml:space="preserve">. Study evaluation </w:t>
      </w:r>
    </w:p>
    <w:bookmarkEnd w:id="9"/>
    <w:p w14:paraId="74A6EF9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1. Effectiveness evaluation: </w:t>
      </w:r>
    </w:p>
    <w:p w14:paraId="43428F5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Effectiveness evaluation is mainly based on the tumor markers and imaging tests. Imaging examination includes enhanced CT, and the examination site must include the chest, abdomen and pelvis. In this study, the imaging assessment was performed by the investigator and the imaging specialist of our center.</w:t>
      </w:r>
    </w:p>
    <w:p w14:paraId="6B81861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frequency of imaging evaluation is as described above: before radiotherapy and immunotherapy, the baseline imaging examination should be performed within 4 weeks before the treatment; no imaging evaluation will be performed during radiotherapy, and the first imaging evaluation will be performed 8-12 weeks after </w:t>
      </w:r>
      <w:r>
        <w:rPr>
          <w:rFonts w:ascii="Times New Roman" w:hAnsi="Times New Roman" w:cs="Times New Roman"/>
          <w:sz w:val="28"/>
          <w:szCs w:val="28"/>
        </w:rPr>
        <w:lastRenderedPageBreak/>
        <w:t xml:space="preserve">radiotherapy (i.e., before the surgery); after the surgery, the evaluation will be performed every 12 weeks; after the completion of the treatment with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or termination of the treatment, the evaluation will be performed every 12 weeks until the tumor progresses or the patient dies, or the follow-up reaches 2 years, and every 24 weeks from 2 to 5 years until tumor progression or patient death. </w:t>
      </w:r>
    </w:p>
    <w:p w14:paraId="63032FB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For the first time that the investigator documents imaging progression, if the subject has stable disease, as determined by the investigator, the medication may continue, and imaging will be repeated 3-6 weeks later to confirm the imaging progression suggested before. If the investigator is unable to determine whether disease progression has occurred, particularly with respect to non-target lesions and new lesions uncertainty, the subject may continue treatment and the subject's disease status may be reassessed according to the clinical indication or, at the next scheduled evaluation time point. If disease progression is confirmed on scan review, the date of progression should be the date of initial detection.</w:t>
      </w:r>
    </w:p>
    <w:p w14:paraId="0C4AABB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Scheduled tumor imaging examination should be performed at regular intervals by reference to a calendar and should not be postponed due to treatment delays, vacations, or any other reasons.</w:t>
      </w:r>
    </w:p>
    <w:p w14:paraId="27AB623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2. Safety Assessment: </w:t>
      </w:r>
    </w:p>
    <w:p w14:paraId="74E337F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1) Adverse Event Assessment: </w:t>
      </w:r>
    </w:p>
    <w:p w14:paraId="4BE7A93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Each subject will be evaluated by the Investigator or qualified designee for the purpose of determining possible new or worsening adverse events as specified in Table 1, or more frequently when clinically indicated. Adverse events will be graded and documented according to CTCAE V5.0 during the course of the study and follow-up period, and measures will be taken with respect to the experimental treatment.</w:t>
      </w:r>
    </w:p>
    <w:p w14:paraId="1154A28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All AEs of unknown etiology associated with exposure to study treatments should be evaluated to determine if they are potentially immunotherapy-related.</w:t>
      </w:r>
    </w:p>
    <w:p w14:paraId="76EC5B0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lastRenderedPageBreak/>
        <w:t>(</w:t>
      </w:r>
      <w:r>
        <w:rPr>
          <w:rFonts w:ascii="Times New Roman" w:hAnsi="Times New Roman" w:cs="Times New Roman"/>
          <w:sz w:val="28"/>
          <w:szCs w:val="28"/>
        </w:rPr>
        <w:t>2) Physical examination, ECOG score, vital signs, height, and weight;</w:t>
      </w:r>
    </w:p>
    <w:p w14:paraId="646C0B2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3) Laboratory tests </w:t>
      </w:r>
    </w:p>
    <w:p w14:paraId="1FF4D6A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Laboratory tests related to treatment toxicity involved in this study are listed in Table 2.</w:t>
      </w:r>
    </w:p>
    <w:p w14:paraId="0EDA6A7B" w14:textId="77777777" w:rsidR="009D72E0" w:rsidRDefault="009D72E0">
      <w:pPr>
        <w:spacing w:after="0" w:line="360" w:lineRule="auto"/>
        <w:rPr>
          <w:rFonts w:ascii="Times New Roman" w:hAnsi="Times New Roman" w:cs="Times New Roman"/>
          <w:sz w:val="28"/>
          <w:szCs w:val="28"/>
        </w:rPr>
      </w:pPr>
    </w:p>
    <w:p w14:paraId="6C33A68E"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Table 2. Laboratory tests in evaluating the treatment-related toxicities</w:t>
      </w:r>
    </w:p>
    <w:tbl>
      <w:tblPr>
        <w:tblStyle w:val="af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9D72E0" w14:paraId="6ECA3EA1" w14:textId="77777777">
        <w:tc>
          <w:tcPr>
            <w:tcW w:w="4428" w:type="dxa"/>
            <w:tcBorders>
              <w:top w:val="single" w:sz="12" w:space="0" w:color="auto"/>
            </w:tcBorders>
          </w:tcPr>
          <w:p w14:paraId="1489866E"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Routine blood/blood biochemistry/urine routine</w:t>
            </w:r>
          </w:p>
        </w:tc>
        <w:tc>
          <w:tcPr>
            <w:tcW w:w="4428" w:type="dxa"/>
            <w:tcBorders>
              <w:top w:val="single" w:sz="12" w:space="0" w:color="auto"/>
            </w:tcBorders>
          </w:tcPr>
          <w:p w14:paraId="7AF6F2B7" w14:textId="77777777" w:rsidR="009D72E0" w:rsidRDefault="00000000">
            <w:pPr>
              <w:pStyle w:val="af6"/>
              <w:spacing w:line="360" w:lineRule="auto"/>
              <w:rPr>
                <w:rFonts w:ascii="Times New Roman" w:hAnsi="Times New Roman" w:cs="Times New Roman"/>
                <w:sz w:val="28"/>
                <w:szCs w:val="28"/>
              </w:rPr>
            </w:pPr>
            <w:r>
              <w:rPr>
                <w:rFonts w:ascii="Times New Roman" w:hAnsi="Times New Roman" w:cs="Times New Roman"/>
                <w:sz w:val="28"/>
                <w:szCs w:val="28"/>
              </w:rPr>
              <w:t>RBC</w:t>
            </w:r>
            <w:r>
              <w:rPr>
                <w:rFonts w:ascii="Times New Roman" w:hAnsi="Times New Roman" w:cs="Times New Roman"/>
                <w:sz w:val="28"/>
                <w:szCs w:val="28"/>
              </w:rPr>
              <w:t>、</w:t>
            </w:r>
            <w:r>
              <w:rPr>
                <w:rFonts w:ascii="Times New Roman" w:hAnsi="Times New Roman" w:cs="Times New Roman"/>
                <w:sz w:val="28"/>
                <w:szCs w:val="28"/>
              </w:rPr>
              <w:t>HGB</w:t>
            </w:r>
            <w:r>
              <w:rPr>
                <w:rFonts w:ascii="Times New Roman" w:hAnsi="Times New Roman" w:cs="Times New Roman"/>
                <w:sz w:val="28"/>
                <w:szCs w:val="28"/>
              </w:rPr>
              <w:t>、</w:t>
            </w:r>
            <w:r>
              <w:rPr>
                <w:rFonts w:ascii="Times New Roman" w:hAnsi="Times New Roman" w:cs="Times New Roman"/>
                <w:sz w:val="28"/>
                <w:szCs w:val="28"/>
              </w:rPr>
              <w:t>WBC</w:t>
            </w:r>
            <w:r>
              <w:rPr>
                <w:rFonts w:ascii="Times New Roman" w:hAnsi="Times New Roman" w:cs="Times New Roman"/>
                <w:sz w:val="28"/>
                <w:szCs w:val="28"/>
              </w:rPr>
              <w:t>、</w:t>
            </w:r>
            <w:r>
              <w:rPr>
                <w:rFonts w:ascii="Times New Roman" w:hAnsi="Times New Roman" w:cs="Times New Roman"/>
                <w:sz w:val="28"/>
                <w:szCs w:val="28"/>
              </w:rPr>
              <w:t>PLT</w:t>
            </w:r>
            <w:r>
              <w:rPr>
                <w:rFonts w:ascii="Times New Roman" w:hAnsi="Times New Roman" w:cs="Times New Roman"/>
                <w:sz w:val="28"/>
                <w:szCs w:val="28"/>
              </w:rPr>
              <w:t>、</w:t>
            </w:r>
            <w:r>
              <w:rPr>
                <w:rFonts w:ascii="Times New Roman" w:hAnsi="Times New Roman" w:cs="Times New Roman"/>
                <w:sz w:val="28"/>
                <w:szCs w:val="28"/>
              </w:rPr>
              <w:t>LYM</w:t>
            </w:r>
            <w:r>
              <w:rPr>
                <w:rFonts w:ascii="Times New Roman" w:hAnsi="Times New Roman" w:cs="Times New Roman"/>
                <w:sz w:val="28"/>
                <w:szCs w:val="28"/>
              </w:rPr>
              <w:t>、</w:t>
            </w:r>
            <w:r>
              <w:rPr>
                <w:rFonts w:ascii="Times New Roman" w:hAnsi="Times New Roman" w:cs="Times New Roman"/>
                <w:sz w:val="28"/>
                <w:szCs w:val="28"/>
              </w:rPr>
              <w:t>ANC</w:t>
            </w:r>
          </w:p>
        </w:tc>
      </w:tr>
      <w:tr w:rsidR="009D72E0" w14:paraId="73F5C794" w14:textId="77777777">
        <w:tc>
          <w:tcPr>
            <w:tcW w:w="4428" w:type="dxa"/>
          </w:tcPr>
          <w:p w14:paraId="5FD192E8"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Blood biochemistry</w:t>
            </w:r>
          </w:p>
        </w:tc>
        <w:tc>
          <w:tcPr>
            <w:tcW w:w="4428" w:type="dxa"/>
          </w:tcPr>
          <w:p w14:paraId="05FDC832" w14:textId="77777777" w:rsidR="009D72E0" w:rsidRDefault="00000000">
            <w:pPr>
              <w:pStyle w:val="af6"/>
              <w:spacing w:line="360" w:lineRule="auto"/>
              <w:rPr>
                <w:rFonts w:ascii="Times New Roman" w:hAnsi="Times New Roman" w:cs="Times New Roman"/>
                <w:sz w:val="28"/>
                <w:szCs w:val="28"/>
              </w:rPr>
            </w:pPr>
            <w:r>
              <w:rPr>
                <w:rFonts w:ascii="Times New Roman" w:hAnsi="Times New Roman" w:cs="Times New Roman"/>
                <w:sz w:val="28"/>
                <w:szCs w:val="28"/>
              </w:rPr>
              <w:t>TBIL</w:t>
            </w:r>
            <w:r>
              <w:rPr>
                <w:rFonts w:ascii="Times New Roman" w:hAnsi="Times New Roman" w:cs="Times New Roman"/>
                <w:sz w:val="28"/>
                <w:szCs w:val="28"/>
              </w:rPr>
              <w:t>、</w:t>
            </w:r>
            <w:r>
              <w:rPr>
                <w:rFonts w:ascii="Times New Roman" w:hAnsi="Times New Roman" w:cs="Times New Roman"/>
                <w:sz w:val="28"/>
                <w:szCs w:val="28"/>
              </w:rPr>
              <w:t>DBIL</w:t>
            </w:r>
            <w:r>
              <w:rPr>
                <w:rFonts w:ascii="Times New Roman" w:hAnsi="Times New Roman" w:cs="Times New Roman"/>
                <w:sz w:val="28"/>
                <w:szCs w:val="28"/>
              </w:rPr>
              <w:t>、</w:t>
            </w:r>
            <w:r>
              <w:rPr>
                <w:rFonts w:ascii="Times New Roman" w:hAnsi="Times New Roman" w:cs="Times New Roman"/>
                <w:sz w:val="28"/>
                <w:szCs w:val="28"/>
              </w:rPr>
              <w:t>CK</w:t>
            </w:r>
            <w:r>
              <w:rPr>
                <w:rFonts w:ascii="Times New Roman" w:hAnsi="Times New Roman" w:cs="Times New Roman"/>
                <w:sz w:val="28"/>
                <w:szCs w:val="28"/>
              </w:rPr>
              <w:t>、</w:t>
            </w:r>
            <w:r>
              <w:rPr>
                <w:rFonts w:ascii="Times New Roman" w:hAnsi="Times New Roman" w:cs="Times New Roman"/>
                <w:sz w:val="28"/>
                <w:szCs w:val="28"/>
              </w:rPr>
              <w:t>CK-MR</w:t>
            </w:r>
            <w:r>
              <w:rPr>
                <w:rFonts w:ascii="Times New Roman" w:hAnsi="Times New Roman" w:cs="Times New Roman"/>
                <w:sz w:val="28"/>
                <w:szCs w:val="28"/>
              </w:rPr>
              <w:t>、</w:t>
            </w:r>
            <w:r>
              <w:rPr>
                <w:rFonts w:ascii="Times New Roman" w:hAnsi="Times New Roman" w:cs="Times New Roman"/>
                <w:sz w:val="28"/>
                <w:szCs w:val="28"/>
              </w:rPr>
              <w:t>ALT</w:t>
            </w:r>
            <w:r>
              <w:rPr>
                <w:rFonts w:ascii="Times New Roman" w:hAnsi="Times New Roman" w:cs="Times New Roman"/>
                <w:sz w:val="28"/>
                <w:szCs w:val="28"/>
              </w:rPr>
              <w:t>、</w:t>
            </w:r>
            <w:r>
              <w:rPr>
                <w:rFonts w:ascii="Times New Roman" w:hAnsi="Times New Roman" w:cs="Times New Roman"/>
                <w:sz w:val="28"/>
                <w:szCs w:val="28"/>
              </w:rPr>
              <w:t>AST</w:t>
            </w:r>
            <w:r>
              <w:rPr>
                <w:rFonts w:ascii="Times New Roman" w:hAnsi="Times New Roman" w:cs="Times New Roman"/>
                <w:sz w:val="28"/>
                <w:szCs w:val="28"/>
              </w:rPr>
              <w:t>、</w:t>
            </w:r>
            <w:r>
              <w:rPr>
                <w:rFonts w:ascii="Times New Roman" w:hAnsi="Times New Roman" w:cs="Times New Roman"/>
                <w:sz w:val="28"/>
                <w:szCs w:val="28"/>
              </w:rPr>
              <w:t>γ-GT</w:t>
            </w:r>
            <w:r>
              <w:rPr>
                <w:rFonts w:ascii="Times New Roman" w:hAnsi="Times New Roman" w:cs="Times New Roman"/>
                <w:sz w:val="28"/>
                <w:szCs w:val="28"/>
              </w:rPr>
              <w:t>、</w:t>
            </w:r>
            <w:r>
              <w:rPr>
                <w:rFonts w:ascii="Times New Roman" w:hAnsi="Times New Roman" w:cs="Times New Roman"/>
                <w:sz w:val="28"/>
                <w:szCs w:val="28"/>
              </w:rPr>
              <w:t>ALP</w:t>
            </w:r>
            <w:r>
              <w:rPr>
                <w:rFonts w:ascii="Times New Roman" w:hAnsi="Times New Roman" w:cs="Times New Roman"/>
                <w:sz w:val="28"/>
                <w:szCs w:val="28"/>
              </w:rPr>
              <w:t>、</w:t>
            </w:r>
            <w:r>
              <w:rPr>
                <w:rFonts w:ascii="Times New Roman" w:hAnsi="Times New Roman" w:cs="Times New Roman"/>
                <w:sz w:val="28"/>
                <w:szCs w:val="28"/>
              </w:rPr>
              <w:t>ALB</w:t>
            </w:r>
            <w:r>
              <w:rPr>
                <w:rFonts w:ascii="Times New Roman" w:hAnsi="Times New Roman" w:cs="Times New Roman"/>
                <w:sz w:val="28"/>
                <w:szCs w:val="28"/>
              </w:rPr>
              <w:t>、</w:t>
            </w:r>
            <w:r>
              <w:rPr>
                <w:rFonts w:ascii="Times New Roman" w:hAnsi="Times New Roman" w:cs="Times New Roman"/>
                <w:sz w:val="28"/>
                <w:szCs w:val="28"/>
              </w:rPr>
              <w:t>TP</w:t>
            </w:r>
            <w:r>
              <w:rPr>
                <w:rFonts w:ascii="Times New Roman" w:hAnsi="Times New Roman" w:cs="Times New Roman"/>
                <w:sz w:val="28"/>
                <w:szCs w:val="28"/>
              </w:rPr>
              <w:t>、</w:t>
            </w:r>
            <w:r>
              <w:rPr>
                <w:rFonts w:ascii="Times New Roman" w:hAnsi="Times New Roman" w:cs="Times New Roman"/>
                <w:sz w:val="28"/>
                <w:szCs w:val="28"/>
              </w:rPr>
              <w:t xml:space="preserve"> LDH</w:t>
            </w:r>
            <w:r>
              <w:rPr>
                <w:rFonts w:ascii="Times New Roman" w:hAnsi="Times New Roman" w:cs="Times New Roman"/>
                <w:sz w:val="28"/>
                <w:szCs w:val="28"/>
              </w:rPr>
              <w:t>、</w:t>
            </w:r>
            <w:r>
              <w:rPr>
                <w:rFonts w:ascii="Times New Roman" w:hAnsi="Times New Roman" w:cs="Times New Roman"/>
                <w:sz w:val="28"/>
                <w:szCs w:val="28"/>
              </w:rPr>
              <w:t>UREA</w:t>
            </w:r>
            <w:r>
              <w:rPr>
                <w:rFonts w:ascii="Times New Roman" w:hAnsi="Times New Roman" w:cs="Times New Roman"/>
                <w:sz w:val="28"/>
                <w:szCs w:val="28"/>
              </w:rPr>
              <w:t>、</w:t>
            </w:r>
            <w:r>
              <w:rPr>
                <w:rFonts w:ascii="Times New Roman" w:hAnsi="Times New Roman" w:cs="Times New Roman"/>
                <w:sz w:val="28"/>
                <w:szCs w:val="28"/>
              </w:rPr>
              <w:t>Cr</w:t>
            </w:r>
            <w:r>
              <w:rPr>
                <w:rFonts w:ascii="Times New Roman" w:hAnsi="Times New Roman" w:cs="Times New Roman"/>
                <w:sz w:val="28"/>
                <w:szCs w:val="28"/>
              </w:rPr>
              <w:t>、</w:t>
            </w:r>
            <w:r>
              <w:rPr>
                <w:rFonts w:ascii="Times New Roman" w:hAnsi="Times New Roman" w:cs="Times New Roman"/>
                <w:sz w:val="28"/>
                <w:szCs w:val="28"/>
              </w:rPr>
              <w:t>Na</w:t>
            </w:r>
            <w:r>
              <w:rPr>
                <w:rFonts w:ascii="Times New Roman" w:hAnsi="Times New Roman" w:cs="Times New Roman"/>
                <w:sz w:val="28"/>
                <w:szCs w:val="28"/>
              </w:rPr>
              <w:t>、</w:t>
            </w:r>
            <w:r>
              <w:rPr>
                <w:rFonts w:ascii="Times New Roman" w:hAnsi="Times New Roman" w:cs="Times New Roman"/>
                <w:sz w:val="28"/>
                <w:szCs w:val="28"/>
              </w:rPr>
              <w:t>K</w:t>
            </w:r>
            <w:r>
              <w:rPr>
                <w:rFonts w:ascii="Times New Roman" w:hAnsi="Times New Roman" w:cs="Times New Roman"/>
                <w:sz w:val="28"/>
                <w:szCs w:val="28"/>
              </w:rPr>
              <w:t>、</w:t>
            </w:r>
            <w:r>
              <w:rPr>
                <w:rFonts w:ascii="Times New Roman" w:hAnsi="Times New Roman" w:cs="Times New Roman"/>
                <w:sz w:val="28"/>
                <w:szCs w:val="28"/>
              </w:rPr>
              <w:t>Cl</w:t>
            </w:r>
            <w:r>
              <w:rPr>
                <w:rFonts w:ascii="Times New Roman" w:hAnsi="Times New Roman" w:cs="Times New Roman"/>
                <w:sz w:val="28"/>
                <w:szCs w:val="28"/>
              </w:rPr>
              <w:t>、</w:t>
            </w:r>
            <w:r>
              <w:rPr>
                <w:rFonts w:ascii="Times New Roman" w:hAnsi="Times New Roman" w:cs="Times New Roman"/>
                <w:sz w:val="28"/>
                <w:szCs w:val="28"/>
              </w:rPr>
              <w:t>Mg</w:t>
            </w:r>
            <w:r>
              <w:rPr>
                <w:rFonts w:ascii="Times New Roman" w:hAnsi="Times New Roman" w:cs="Times New Roman"/>
                <w:sz w:val="28"/>
                <w:szCs w:val="28"/>
              </w:rPr>
              <w:t>、</w:t>
            </w:r>
            <w:r>
              <w:rPr>
                <w:rFonts w:ascii="Times New Roman" w:hAnsi="Times New Roman" w:cs="Times New Roman"/>
                <w:sz w:val="28"/>
                <w:szCs w:val="28"/>
              </w:rPr>
              <w:t>Ca</w:t>
            </w:r>
            <w:r>
              <w:rPr>
                <w:rFonts w:ascii="Times New Roman" w:hAnsi="Times New Roman" w:cs="Times New Roman"/>
                <w:sz w:val="28"/>
                <w:szCs w:val="28"/>
              </w:rPr>
              <w:t>、</w:t>
            </w:r>
            <w:r>
              <w:rPr>
                <w:rFonts w:ascii="Times New Roman" w:hAnsi="Times New Roman" w:cs="Times New Roman"/>
                <w:sz w:val="28"/>
                <w:szCs w:val="28"/>
              </w:rPr>
              <w:t>P</w:t>
            </w:r>
          </w:p>
        </w:tc>
      </w:tr>
      <w:tr w:rsidR="009D72E0" w14:paraId="2359FACF" w14:textId="77777777">
        <w:tc>
          <w:tcPr>
            <w:tcW w:w="4428" w:type="dxa"/>
          </w:tcPr>
          <w:p w14:paraId="36F6796B"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Urine routine</w:t>
            </w:r>
          </w:p>
        </w:tc>
        <w:tc>
          <w:tcPr>
            <w:tcW w:w="4428" w:type="dxa"/>
          </w:tcPr>
          <w:p w14:paraId="289CD311" w14:textId="77777777" w:rsidR="009D72E0" w:rsidRDefault="00000000">
            <w:pPr>
              <w:pStyle w:val="af6"/>
              <w:spacing w:line="360" w:lineRule="auto"/>
              <w:rPr>
                <w:rFonts w:ascii="Times New Roman" w:hAnsi="Times New Roman" w:cs="Times New Roman"/>
                <w:sz w:val="28"/>
                <w:szCs w:val="28"/>
              </w:rPr>
            </w:pPr>
            <w:r>
              <w:rPr>
                <w:rFonts w:ascii="Times New Roman" w:hAnsi="Times New Roman" w:cs="Times New Roman"/>
                <w:sz w:val="28"/>
                <w:szCs w:val="28"/>
              </w:rPr>
              <w:t>pH</w:t>
            </w:r>
            <w:r>
              <w:rPr>
                <w:rFonts w:ascii="Times New Roman" w:hAnsi="Times New Roman" w:cs="Times New Roman"/>
                <w:sz w:val="28"/>
                <w:szCs w:val="28"/>
              </w:rPr>
              <w:t>、</w:t>
            </w:r>
            <w:r>
              <w:rPr>
                <w:rFonts w:ascii="Times New Roman" w:hAnsi="Times New Roman" w:cs="Times New Roman"/>
                <w:sz w:val="28"/>
                <w:szCs w:val="28"/>
              </w:rPr>
              <w:t>UWBC</w:t>
            </w:r>
            <w:r>
              <w:rPr>
                <w:rFonts w:ascii="Times New Roman" w:hAnsi="Times New Roman" w:cs="Times New Roman"/>
                <w:sz w:val="28"/>
                <w:szCs w:val="28"/>
              </w:rPr>
              <w:t>、</w:t>
            </w:r>
            <w:r>
              <w:rPr>
                <w:rFonts w:ascii="Times New Roman" w:hAnsi="Times New Roman" w:cs="Times New Roman"/>
                <w:sz w:val="28"/>
                <w:szCs w:val="28"/>
              </w:rPr>
              <w:t>UPRO</w:t>
            </w:r>
            <w:r>
              <w:rPr>
                <w:rFonts w:ascii="Times New Roman" w:hAnsi="Times New Roman" w:cs="Times New Roman"/>
                <w:sz w:val="28"/>
                <w:szCs w:val="28"/>
              </w:rPr>
              <w:t>、</w:t>
            </w:r>
            <w:r>
              <w:rPr>
                <w:rFonts w:ascii="Times New Roman" w:hAnsi="Times New Roman" w:cs="Times New Roman"/>
                <w:sz w:val="28"/>
                <w:szCs w:val="28"/>
              </w:rPr>
              <w:t>URBC</w:t>
            </w:r>
            <w:r>
              <w:rPr>
                <w:rFonts w:ascii="Times New Roman" w:hAnsi="Times New Roman" w:cs="Times New Roman"/>
                <w:sz w:val="28"/>
                <w:szCs w:val="28"/>
              </w:rPr>
              <w:t>、</w:t>
            </w:r>
            <w:r>
              <w:rPr>
                <w:rFonts w:ascii="Times New Roman" w:hAnsi="Times New Roman" w:cs="Times New Roman"/>
                <w:sz w:val="28"/>
                <w:szCs w:val="28"/>
              </w:rPr>
              <w:t xml:space="preserve">UGLU </w:t>
            </w:r>
          </w:p>
        </w:tc>
      </w:tr>
      <w:tr w:rsidR="009D72E0" w14:paraId="29F67B68" w14:textId="77777777">
        <w:tc>
          <w:tcPr>
            <w:tcW w:w="4428" w:type="dxa"/>
          </w:tcPr>
          <w:p w14:paraId="4DF7A38D"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Thyroid function</w:t>
            </w:r>
          </w:p>
        </w:tc>
        <w:tc>
          <w:tcPr>
            <w:tcW w:w="4428" w:type="dxa"/>
          </w:tcPr>
          <w:p w14:paraId="304A3596" w14:textId="77777777" w:rsidR="009D72E0" w:rsidRDefault="00000000">
            <w:pPr>
              <w:pStyle w:val="af6"/>
              <w:spacing w:line="360" w:lineRule="auto"/>
              <w:rPr>
                <w:rFonts w:ascii="Times New Roman" w:hAnsi="Times New Roman" w:cs="Times New Roman"/>
                <w:sz w:val="28"/>
                <w:szCs w:val="28"/>
              </w:rPr>
            </w:pPr>
            <w:r>
              <w:rPr>
                <w:rFonts w:ascii="Times New Roman" w:hAnsi="Times New Roman" w:cs="Times New Roman"/>
                <w:sz w:val="28"/>
                <w:szCs w:val="28"/>
              </w:rPr>
              <w:t>FT3</w:t>
            </w:r>
            <w:r>
              <w:rPr>
                <w:rFonts w:ascii="Times New Roman" w:hAnsi="Times New Roman" w:cs="Times New Roman"/>
                <w:sz w:val="28"/>
                <w:szCs w:val="28"/>
              </w:rPr>
              <w:t>、</w:t>
            </w:r>
            <w:r>
              <w:rPr>
                <w:rFonts w:ascii="Times New Roman" w:hAnsi="Times New Roman" w:cs="Times New Roman"/>
                <w:sz w:val="28"/>
                <w:szCs w:val="28"/>
              </w:rPr>
              <w:t>FT4</w:t>
            </w:r>
            <w:r>
              <w:rPr>
                <w:rFonts w:ascii="Times New Roman" w:hAnsi="Times New Roman" w:cs="Times New Roman"/>
                <w:sz w:val="28"/>
                <w:szCs w:val="28"/>
              </w:rPr>
              <w:t>、</w:t>
            </w:r>
            <w:r>
              <w:rPr>
                <w:rFonts w:ascii="Times New Roman" w:hAnsi="Times New Roman" w:cs="Times New Roman"/>
                <w:sz w:val="28"/>
                <w:szCs w:val="28"/>
              </w:rPr>
              <w:t xml:space="preserve">TSH </w:t>
            </w:r>
          </w:p>
        </w:tc>
      </w:tr>
      <w:tr w:rsidR="009D72E0" w14:paraId="6893282D" w14:textId="77777777">
        <w:tc>
          <w:tcPr>
            <w:tcW w:w="4428" w:type="dxa"/>
            <w:tcBorders>
              <w:bottom w:val="single" w:sz="12" w:space="0" w:color="auto"/>
            </w:tcBorders>
          </w:tcPr>
          <w:p w14:paraId="6FE91C4B"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Coagulation</w:t>
            </w:r>
          </w:p>
        </w:tc>
        <w:tc>
          <w:tcPr>
            <w:tcW w:w="4428" w:type="dxa"/>
            <w:tcBorders>
              <w:bottom w:val="single" w:sz="12" w:space="0" w:color="auto"/>
            </w:tcBorders>
          </w:tcPr>
          <w:p w14:paraId="5CEF6F71" w14:textId="77777777" w:rsidR="009D72E0" w:rsidRDefault="00000000">
            <w:pPr>
              <w:pStyle w:val="af6"/>
              <w:spacing w:line="360" w:lineRule="auto"/>
              <w:rPr>
                <w:rFonts w:ascii="Times New Roman" w:hAnsi="Times New Roman" w:cs="Times New Roman"/>
                <w:sz w:val="28"/>
                <w:szCs w:val="28"/>
              </w:rPr>
            </w:pPr>
            <w:r>
              <w:rPr>
                <w:rFonts w:ascii="Times New Roman" w:hAnsi="Times New Roman" w:cs="Times New Roman"/>
                <w:sz w:val="28"/>
                <w:szCs w:val="28"/>
              </w:rPr>
              <w:t>PT</w:t>
            </w:r>
            <w:r>
              <w:rPr>
                <w:rFonts w:ascii="Times New Roman" w:hAnsi="Times New Roman" w:cs="Times New Roman"/>
                <w:sz w:val="28"/>
                <w:szCs w:val="28"/>
              </w:rPr>
              <w:t>、</w:t>
            </w:r>
            <w:r>
              <w:rPr>
                <w:rFonts w:ascii="Times New Roman" w:hAnsi="Times New Roman" w:cs="Times New Roman"/>
                <w:sz w:val="28"/>
                <w:szCs w:val="28"/>
              </w:rPr>
              <w:t>APTT</w:t>
            </w:r>
            <w:r>
              <w:rPr>
                <w:rFonts w:ascii="Times New Roman" w:hAnsi="Times New Roman" w:cs="Times New Roman"/>
                <w:sz w:val="28"/>
                <w:szCs w:val="28"/>
              </w:rPr>
              <w:t>、</w:t>
            </w:r>
            <w:r>
              <w:rPr>
                <w:rFonts w:ascii="Times New Roman" w:hAnsi="Times New Roman" w:cs="Times New Roman"/>
                <w:sz w:val="28"/>
                <w:szCs w:val="28"/>
              </w:rPr>
              <w:t xml:space="preserve">INR </w:t>
            </w:r>
          </w:p>
        </w:tc>
      </w:tr>
    </w:tbl>
    <w:p w14:paraId="7079364A" w14:textId="77777777" w:rsidR="009D72E0" w:rsidRDefault="009D72E0">
      <w:pPr>
        <w:spacing w:after="0" w:line="360" w:lineRule="auto"/>
        <w:rPr>
          <w:rFonts w:ascii="Times New Roman" w:hAnsi="Times New Roman" w:cs="Times New Roman"/>
          <w:sz w:val="28"/>
          <w:szCs w:val="28"/>
        </w:rPr>
      </w:pPr>
    </w:p>
    <w:p w14:paraId="75249CF5"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ALB=albumin; ALP=alkaline phosphatase; ALT=alanine aminotransferase; ANC=absolute neutrophil count; APTT=partial thromboplastin time; AST=aspartate aminotransferase; CK=creatine kinase; Cr=serum creatinine; DBIL= direct bilirubin; FBG=fasting blood glucose; FT3=freely triiodothyronine; FT4=freely thyroxine; γ-GT=γ-</w:t>
      </w:r>
      <w:proofErr w:type="spellStart"/>
      <w:r>
        <w:rPr>
          <w:rFonts w:ascii="Times New Roman" w:hAnsi="Times New Roman" w:cs="Times New Roman"/>
          <w:sz w:val="28"/>
          <w:szCs w:val="28"/>
        </w:rPr>
        <w:t>glutamyltransferase</w:t>
      </w:r>
      <w:proofErr w:type="spellEnd"/>
      <w:r>
        <w:rPr>
          <w:rFonts w:ascii="Times New Roman" w:hAnsi="Times New Roman" w:cs="Times New Roman"/>
          <w:sz w:val="28"/>
          <w:szCs w:val="28"/>
        </w:rPr>
        <w:t xml:space="preserve">; HGB=hemoglobin content; HIV=human immunodeficiency virus; INR=International Normalized Ratio; LDH=lactate dehydrogenase; LYM=lymphocyte count; PH=phase of acidity/alkalinity; PLT=platelet classification; TBIL=total serum bilirubin; </w:t>
      </w:r>
      <w:r>
        <w:rPr>
          <w:rFonts w:ascii="Times New Roman" w:hAnsi="Times New Roman" w:cs="Times New Roman"/>
          <w:sz w:val="28"/>
          <w:szCs w:val="28"/>
        </w:rPr>
        <w:lastRenderedPageBreak/>
        <w:t>TP=total protein; TSH=thyroid stimulating hormone; RBC=red blood cell count; UGLU=urine glucose; UPRO=urine protein; URBC= urinary red blood cells; UREA=urine urea; UWBC = urinary white blood cells; WBC = white blood cell count.</w:t>
      </w:r>
    </w:p>
    <w:p w14:paraId="18A64862" w14:textId="77777777" w:rsidR="009D72E0" w:rsidRDefault="009D72E0">
      <w:pPr>
        <w:spacing w:after="0" w:line="360" w:lineRule="auto"/>
        <w:rPr>
          <w:rFonts w:ascii="Times New Roman" w:eastAsia="宋体" w:hAnsi="Times New Roman" w:cs="Times New Roman"/>
          <w:sz w:val="28"/>
          <w:szCs w:val="28"/>
          <w:lang w:eastAsia="zh-CN"/>
        </w:rPr>
      </w:pPr>
    </w:p>
    <w:p w14:paraId="3E33A84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Among them, women of childbearing age who are not sure whether they are pregnant on the eve of or during treatment should be examined by a pregnancy test, if urine β-HCG is positive or if it is not sure whether it is negative or not, a serum β-HCG test should be performed, and the serum result will be used as the basis. If the result is positive, the subject is ineligible for enrollment/ must discontinue participation in the study. If pregnancy is suspected to have occurred during the study, it should be reviewed. If a female patient becomes pregnant during the course of the study, treatment should be discontinued immediately.</w:t>
      </w:r>
    </w:p>
    <w:p w14:paraId="5ECC5D8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4) Definition and evaluation of radiation therapy-related toxicity: </w:t>
      </w:r>
    </w:p>
    <w:p w14:paraId="612BD4E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Non-hematological toxicities that may be induced by radiation therapy include acute radiation-related toxicities: radiation esophagitis, radiation pneumonitis, radiation gastritis, radiation enteritis, radiation myelitis, radiodermatitis, renal function abnormalities, malaise, appetite loss, weight loss, and pain, etc.</w:t>
      </w:r>
    </w:p>
    <w:p w14:paraId="6994C21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L</w:t>
      </w:r>
      <w:r>
        <w:rPr>
          <w:rFonts w:ascii="Times New Roman" w:hAnsi="Times New Roman" w:cs="Times New Roman"/>
          <w:sz w:val="28"/>
          <w:szCs w:val="28"/>
        </w:rPr>
        <w:t xml:space="preserve">ate radiation-related toxicities include radiation esophagitis, gastroenteritis, liver failure, renal dysfunction, heart disease and pain, etc.  </w:t>
      </w:r>
    </w:p>
    <w:p w14:paraId="0AE5FFF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All of them are evaluated with reference to CTCAE v5.0. </w:t>
      </w:r>
    </w:p>
    <w:p w14:paraId="3498540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5) Collection of Immunogenic Specimens </w:t>
      </w:r>
    </w:p>
    <w:p w14:paraId="52DC997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Immunogenicity samples will be collected within 1h prior to the start of the cycle 1/2/4/6/8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infusion.</w:t>
      </w:r>
    </w:p>
    <w:p w14:paraId="73F7320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If a subject develops a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infusion-related reaction, blood samples will be collected as close as possible to the onset of the event, the resolution of the </w:t>
      </w:r>
      <w:r>
        <w:rPr>
          <w:rFonts w:ascii="Times New Roman" w:hAnsi="Times New Roman" w:cs="Times New Roman"/>
          <w:sz w:val="28"/>
          <w:szCs w:val="28"/>
        </w:rPr>
        <w:lastRenderedPageBreak/>
        <w:t xml:space="preserve">event, and approximately 30 days after the end of the event for pre- and </w:t>
      </w:r>
      <w:proofErr w:type="spellStart"/>
      <w:r>
        <w:rPr>
          <w:rFonts w:ascii="Times New Roman" w:hAnsi="Times New Roman" w:cs="Times New Roman"/>
          <w:sz w:val="28"/>
          <w:szCs w:val="28"/>
        </w:rPr>
        <w:t>postimmunogenicity</w:t>
      </w:r>
      <w:proofErr w:type="spellEnd"/>
      <w:r>
        <w:rPr>
          <w:rFonts w:ascii="Times New Roman" w:hAnsi="Times New Roman" w:cs="Times New Roman"/>
          <w:sz w:val="28"/>
          <w:szCs w:val="28"/>
        </w:rPr>
        <w:t xml:space="preserve"> comparisons analyses.</w:t>
      </w:r>
    </w:p>
    <w:p w14:paraId="6D48312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Immunogenic specimens will be tested for anti-drug antibodies (ADA), and ADA-positive serum specimens will continue to be tested for confirming whether neutralizing antibodies (</w:t>
      </w:r>
      <w:proofErr w:type="spellStart"/>
      <w:r>
        <w:rPr>
          <w:rFonts w:ascii="Times New Roman" w:hAnsi="Times New Roman" w:cs="Times New Roman"/>
          <w:sz w:val="28"/>
          <w:szCs w:val="28"/>
        </w:rPr>
        <w:t>NAb</w:t>
      </w:r>
      <w:proofErr w:type="spellEnd"/>
      <w:r>
        <w:rPr>
          <w:rFonts w:ascii="Times New Roman" w:hAnsi="Times New Roman" w:cs="Times New Roman"/>
          <w:sz w:val="28"/>
          <w:szCs w:val="28"/>
        </w:rPr>
        <w:t>) or not.</w:t>
      </w:r>
    </w:p>
    <w:p w14:paraId="05929EE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5mL of whole blood will be collected using a coagulation-induced vacuum blood collection tube, serum will be separated and frozen for ADA and </w:t>
      </w:r>
      <w:proofErr w:type="spellStart"/>
      <w:r>
        <w:rPr>
          <w:rFonts w:ascii="Times New Roman" w:hAnsi="Times New Roman" w:cs="Times New Roman"/>
          <w:sz w:val="28"/>
          <w:szCs w:val="28"/>
        </w:rPr>
        <w:t>NAb</w:t>
      </w:r>
      <w:proofErr w:type="spellEnd"/>
      <w:r>
        <w:rPr>
          <w:rFonts w:ascii="Times New Roman" w:hAnsi="Times New Roman" w:cs="Times New Roman"/>
          <w:sz w:val="28"/>
          <w:szCs w:val="28"/>
        </w:rPr>
        <w:t xml:space="preserve"> analysis.</w:t>
      </w:r>
    </w:p>
    <w:p w14:paraId="64E7CA6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6) Biological specimen collection </w:t>
      </w:r>
    </w:p>
    <w:p w14:paraId="2B4BD4B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Tissue specimen retention: Subjects who meet the enrollment criteria will be required to provide tumor tissue samples (blocks or unstained sections) at baseline for PD-L1 expression level analysis, subject to the approval of the Ethics Committee.</w:t>
      </w:r>
    </w:p>
    <w:p w14:paraId="172D26E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following two types of tissues will be accepted: </w:t>
      </w:r>
    </w:p>
    <w:p w14:paraId="3A3A80BA"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①</w:t>
      </w:r>
      <w:r>
        <w:rPr>
          <w:rFonts w:ascii="Times New Roman" w:hAnsi="Times New Roman" w:cs="Times New Roman"/>
          <w:sz w:val="28"/>
          <w:szCs w:val="28"/>
        </w:rPr>
        <w:t xml:space="preserve"> Archived tumor tissues: specimens should be collected within one year and sectioned within 6 months; </w:t>
      </w:r>
    </w:p>
    <w:p w14:paraId="71692F5E" w14:textId="77777777" w:rsidR="009D72E0" w:rsidRDefault="00000000">
      <w:pPr>
        <w:spacing w:after="0" w:line="360" w:lineRule="auto"/>
        <w:ind w:firstLineChars="100" w:firstLine="280"/>
        <w:rPr>
          <w:rFonts w:ascii="Times New Roman" w:hAnsi="Times New Roman" w:cs="Times New Roman"/>
          <w:sz w:val="28"/>
          <w:szCs w:val="28"/>
        </w:rPr>
      </w:pPr>
      <w:r>
        <w:rPr>
          <w:rFonts w:ascii="宋体" w:eastAsia="宋体" w:hAnsi="宋体" w:cs="宋体" w:hint="eastAsia"/>
          <w:sz w:val="28"/>
          <w:szCs w:val="28"/>
        </w:rPr>
        <w:t>②</w:t>
      </w:r>
      <w:r>
        <w:rPr>
          <w:rFonts w:ascii="Times New Roman" w:hAnsi="Times New Roman" w:cs="Times New Roman"/>
          <w:sz w:val="28"/>
          <w:szCs w:val="28"/>
        </w:rPr>
        <w:t xml:space="preserve"> Freshly collected tumor tissues during the screening period; the number of unstained sections should be at least 10, and the thickness of sections should be 4-5 microns.</w:t>
      </w:r>
    </w:p>
    <w:p w14:paraId="6B4B142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Blood specimen retention: Subjects are required to provide 10 ml of whole blood specimen at the following time points: before preoperative radiotherapy, 8-12 weeks after the end of radiotherapy (before surgery), 1 week after surgery.</w:t>
      </w:r>
    </w:p>
    <w:p w14:paraId="3A50B7F8" w14:textId="77777777" w:rsidR="009D72E0" w:rsidRDefault="00000000">
      <w:pPr>
        <w:spacing w:after="0" w:line="360" w:lineRule="auto"/>
        <w:rPr>
          <w:rFonts w:ascii="Times New Roman" w:hAnsi="Times New Roman" w:cs="Times New Roman"/>
          <w:b/>
          <w:bCs/>
          <w:sz w:val="28"/>
          <w:szCs w:val="28"/>
        </w:rPr>
      </w:pPr>
      <w:bookmarkStart w:id="10" w:name="_Hlk206452646"/>
      <w:r>
        <w:rPr>
          <w:rFonts w:ascii="Times New Roman" w:hAnsi="Times New Roman" w:cs="Times New Roman" w:hint="eastAsia"/>
          <w:b/>
          <w:bCs/>
          <w:sz w:val="28"/>
          <w:szCs w:val="28"/>
        </w:rPr>
        <w:t>Ⅷ</w:t>
      </w:r>
      <w:r>
        <w:rPr>
          <w:rFonts w:ascii="Times New Roman" w:hAnsi="Times New Roman" w:cs="Times New Roman"/>
          <w:b/>
          <w:bCs/>
          <w:sz w:val="28"/>
          <w:szCs w:val="28"/>
        </w:rPr>
        <w:t xml:space="preserve">. Management of Adverse Events </w:t>
      </w:r>
    </w:p>
    <w:bookmarkEnd w:id="10"/>
    <w:p w14:paraId="45AE678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1. Definition of Adverse Events </w:t>
      </w:r>
    </w:p>
    <w:p w14:paraId="4EC790D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 xml:space="preserve">An adverse event (AE) is defined as any unfavorable, undesired medical event, whether or not causally related to the investigational drug, that occurs in a clinical research subject since the signing of the informed consent form. </w:t>
      </w:r>
    </w:p>
    <w:p w14:paraId="590C9BA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AEs include, but are not limited to, the followings:</w:t>
      </w:r>
    </w:p>
    <w:p w14:paraId="53BBAF0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An exacerbation of a pre-existing (prior to entry into the clinical trial) medical condition/disease (including an exacerbation of symptoms, signs, or abnormalities on laboratory tests);</w:t>
      </w:r>
    </w:p>
    <w:p w14:paraId="62359DB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Any new adverse medical condition (including symptoms, signs, newly diagnosed disease);</w:t>
      </w:r>
    </w:p>
    <w:p w14:paraId="3DEF717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Abnormal clinically significant laboratory test values.</w:t>
      </w:r>
    </w:p>
    <w:p w14:paraId="25E06D6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Adverse events include serious adverse events and non-serious adverse events.</w:t>
      </w:r>
    </w:p>
    <w:p w14:paraId="2DD1980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2. Unanticipated Adverse Events </w:t>
      </w:r>
    </w:p>
    <w:p w14:paraId="5CC12FC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An unanticipated adverse event is an adverse drug reaction whose characterization or severity is inconsistent with the investigator's manual (or the instructions in the package of the marketed product). Adding important information about the character or severity of a known, documented adverse event is also part of an unanticipated adverse event report. For example, events that are more specific or serious than those described in the Investigator's Manual should be considered “unanticipated”. Specific examples include: (a) acute renal failure, already labeled as an adverse event, followed by interstitial nephritis; and (b) hepatitis, first reported as acute hepatic necrosis.</w:t>
      </w:r>
    </w:p>
    <w:p w14:paraId="7A54030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3. Observation, Recording, and Reporting of Adverse Events </w:t>
      </w:r>
    </w:p>
    <w:p w14:paraId="0405BDF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All adverse events occurring after the subject has signed the informed consent form must be fully documented on the subject's record.</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Documentation must be supported by primary sources. Each event should be described in detail, including start and end dates, severity, relationship to the subject product, measures taken, and the outcomes of the event.</w:t>
      </w:r>
    </w:p>
    <w:p w14:paraId="6B54DDF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lastRenderedPageBreak/>
        <w:t>(</w:t>
      </w:r>
      <w:r>
        <w:rPr>
          <w:rFonts w:ascii="Times New Roman" w:hAnsi="Times New Roman" w:cs="Times New Roman"/>
          <w:sz w:val="28"/>
          <w:szCs w:val="28"/>
        </w:rPr>
        <w:t xml:space="preserve">1) Methods of detecting adverse events </w:t>
      </w:r>
    </w:p>
    <w:p w14:paraId="31D4C3B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Adverse events may be detected at each follow-up visit by the following methods:</w:t>
      </w:r>
    </w:p>
    <w:p w14:paraId="4A64518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Information volunteered by the subject or caregiver</w:t>
      </w:r>
    </w:p>
    <w:p w14:paraId="0598043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At each follow-up visit, ask the subject with open-ended, non-provocative questions, e.g. “How are you feeling? Have you had any (other) medical problems since the last follow-up visit?”</w:t>
      </w:r>
    </w:p>
    <w:p w14:paraId="33E705A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Abnormalities observed by the investigator, other medical personnel, and family members </w:t>
      </w:r>
    </w:p>
    <w:p w14:paraId="40D0B6A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2) Timing of Collection of Adverse Events </w:t>
      </w:r>
    </w:p>
    <w:p w14:paraId="21FCF0F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Adverse events should be recorded in this study from the time the subject give informed consent until 30 days after the subject withdraw from treatment at the 30-day follow-up period. After 30 days, only adverse events that were considered by the investigator to be medication-related, serious adverse events, or deaths were collected. Adverse events that are not serious and, in the opinion of the investigator, are not related to the trial drugs will not be recorded for subjects initiated on other antitumor therapy.</w:t>
      </w:r>
    </w:p>
    <w:p w14:paraId="7FB5706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3) Collection of Adverse Event Data </w:t>
      </w:r>
    </w:p>
    <w:p w14:paraId="6EA5E12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All adverse events should be recorded on the CRF. The description of the adverse event includes its start and end time, whether it qualified as a serious adverse event, measures taken (e.g., changes in study treatment, other treatments, and follow-up examinations) and regression, and the investigator is asked to perform a causality evaluation (relationship to study treatment). For adverse events, NCI CTCAE grading should be performed and recorded on the appropriate CRF.</w:t>
      </w:r>
    </w:p>
    <w:p w14:paraId="6CBA945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4. Criteria for Determining the Severity of Adverse Events </w:t>
      </w:r>
    </w:p>
    <w:p w14:paraId="4CDAAAD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The severity of adverse events should be reported, graded, and documented in accordance with the National Cancer Institute-Common Toxic Effects Criteria, Version 4.03 (NCI-CTCAE 5.0).</w:t>
      </w:r>
    </w:p>
    <w:p w14:paraId="7BD9126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Grade 1: Mild; asymptomatic or mild; clinical or diagnostic findings only; no treatment required.</w:t>
      </w:r>
    </w:p>
    <w:p w14:paraId="51A510B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Grade 2: Moderate; requires minor, localized or non-invasive treatment; age-appropriate limitations in instrumental activities of daily living *.</w:t>
      </w:r>
    </w:p>
    <w:p w14:paraId="447F98B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Grade 3: Severe or medically significant but not immediately life-threatening; results in hospitalization or prolonged hospitalization; disability; limitation of personal activities of daily living**.</w:t>
      </w:r>
    </w:p>
    <w:p w14:paraId="6E11B86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Grade 4: Life-threatening; requires urgent treatment.</w:t>
      </w:r>
    </w:p>
    <w:p w14:paraId="38DD570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Grade 5: Death related to AE.</w:t>
      </w:r>
    </w:p>
    <w:p w14:paraId="1E5FDC1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semicolon (;) used in the grade descriptions refers to “or”.</w:t>
      </w:r>
    </w:p>
    <w:p w14:paraId="5E8B3B9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Not all adverse events contain all levels. Therefore, some adverse events have fewer than five levels available.</w:t>
      </w:r>
    </w:p>
    <w:p w14:paraId="1E790205"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**Instrumental Activities of Daily Living (ADLs) refers to cooking, buying clothes, using the telephone, managing money, etc.</w:t>
      </w:r>
    </w:p>
    <w:p w14:paraId="234F3337"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**Personal activities of daily living refer to bathing, dressing and undressing, eating, toileting, taking medications, etc.</w:t>
      </w:r>
    </w:p>
    <w:p w14:paraId="306C7DB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Note: Note the distinction between severity and intensity of adverse events. Severe is used to describe intensity, not necessarily a serious adverse event (SAE). For example, a headache may be grade 3 (severe) in intensity, but it cannot be included in the SAEs unless it meets the criteria for a Serious Adverse Event (SAE).</w:t>
      </w:r>
    </w:p>
    <w:p w14:paraId="4D1F291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5. Criteria for determining the relationship between the adverse event and the trial drugs </w:t>
      </w:r>
    </w:p>
    <w:p w14:paraId="3F797615"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lang w:eastAsia="zh-CN"/>
        </w:rPr>
        <w:t xml:space="preserve">Table 3. </w:t>
      </w:r>
      <w:bookmarkStart w:id="11" w:name="OLE_LINK2"/>
      <w:bookmarkStart w:id="12" w:name="OLE_LINK1"/>
      <w:r>
        <w:rPr>
          <w:rFonts w:ascii="Times New Roman" w:hAnsi="Times New Roman" w:cs="Times New Roman"/>
          <w:sz w:val="28"/>
          <w:szCs w:val="28"/>
          <w:lang w:eastAsia="zh-CN"/>
        </w:rPr>
        <w:t>5</w:t>
      </w:r>
      <w:r>
        <w:rPr>
          <w:rFonts w:ascii="Times New Roman" w:hAnsi="Times New Roman" w:cs="Times New Roman"/>
          <w:sz w:val="28"/>
          <w:szCs w:val="28"/>
        </w:rPr>
        <w:t>-level classification</w:t>
      </w:r>
      <w:bookmarkEnd w:id="11"/>
      <w:bookmarkEnd w:id="12"/>
      <w:r>
        <w:rPr>
          <w:rFonts w:ascii="Times New Roman" w:hAnsi="Times New Roman" w:cs="Times New Roman"/>
          <w:sz w:val="28"/>
          <w:szCs w:val="28"/>
        </w:rPr>
        <w:t xml:space="preserve"> Criteria for determination </w:t>
      </w:r>
    </w:p>
    <w:tbl>
      <w:tblPr>
        <w:tblStyle w:val="afb"/>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9D72E0" w14:paraId="3AB9B0C6" w14:textId="77777777">
        <w:tc>
          <w:tcPr>
            <w:tcW w:w="4428" w:type="dxa"/>
            <w:tcBorders>
              <w:bottom w:val="single" w:sz="12" w:space="0" w:color="auto"/>
            </w:tcBorders>
          </w:tcPr>
          <w:p w14:paraId="31B3EC15"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lang w:eastAsia="zh-CN"/>
              </w:rPr>
              <w:lastRenderedPageBreak/>
              <w:t>5</w:t>
            </w:r>
            <w:r>
              <w:rPr>
                <w:rFonts w:ascii="Times New Roman" w:hAnsi="Times New Roman" w:cs="Times New Roman"/>
                <w:sz w:val="28"/>
                <w:szCs w:val="28"/>
              </w:rPr>
              <w:t>-level classification</w:t>
            </w:r>
          </w:p>
        </w:tc>
        <w:tc>
          <w:tcPr>
            <w:tcW w:w="4428" w:type="dxa"/>
            <w:tcBorders>
              <w:bottom w:val="single" w:sz="12" w:space="0" w:color="auto"/>
            </w:tcBorders>
          </w:tcPr>
          <w:p w14:paraId="5E749D0C"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Criteria </w:t>
            </w:r>
          </w:p>
        </w:tc>
      </w:tr>
      <w:tr w:rsidR="009D72E0" w14:paraId="1CF913DC" w14:textId="77777777">
        <w:tc>
          <w:tcPr>
            <w:tcW w:w="4428" w:type="dxa"/>
            <w:tcBorders>
              <w:top w:val="single" w:sz="12" w:space="0" w:color="auto"/>
            </w:tcBorders>
          </w:tcPr>
          <w:p w14:paraId="00BF667D"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Definitely related </w:t>
            </w:r>
          </w:p>
        </w:tc>
        <w:tc>
          <w:tcPr>
            <w:tcW w:w="4428" w:type="dxa"/>
            <w:tcBorders>
              <w:top w:val="single" w:sz="12" w:space="0" w:color="auto"/>
            </w:tcBorders>
          </w:tcPr>
          <w:p w14:paraId="49CB729F"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Consistent with the known reaction type of the suspected drug, consistent with a reasonable time sequence after administration, and the adverse event improved or disappeared after dose reduction or discontinuation, but reappeared upon re-administration.</w:t>
            </w:r>
          </w:p>
        </w:tc>
      </w:tr>
      <w:tr w:rsidR="009D72E0" w14:paraId="7096A0BD" w14:textId="77777777">
        <w:tc>
          <w:tcPr>
            <w:tcW w:w="4428" w:type="dxa"/>
          </w:tcPr>
          <w:p w14:paraId="1A7B928D"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Very likely related</w:t>
            </w:r>
          </w:p>
        </w:tc>
        <w:tc>
          <w:tcPr>
            <w:tcW w:w="4428" w:type="dxa"/>
          </w:tcPr>
          <w:p w14:paraId="11B1E479"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Consistent with the known reaction type of the suspected drug, consistent with a reasonable time sequence after administration, and the adverse event improved or disappeared after dose reduction or discontinuation, but the subject's clinical condition or other factors could also have caused the reaction.</w:t>
            </w:r>
          </w:p>
        </w:tc>
      </w:tr>
      <w:tr w:rsidR="009D72E0" w14:paraId="196BAAFE" w14:textId="77777777">
        <w:tc>
          <w:tcPr>
            <w:tcW w:w="4428" w:type="dxa"/>
          </w:tcPr>
          <w:p w14:paraId="5DA167FF"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Possibly related</w:t>
            </w:r>
          </w:p>
        </w:tc>
        <w:tc>
          <w:tcPr>
            <w:tcW w:w="4428" w:type="dxa"/>
          </w:tcPr>
          <w:p w14:paraId="141F8CDD"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Consistent with the known reaction type of the suspected drug, consistent with a reasonable time sequence after administration, and the adverse event improves or becomes less pronounced after dose reduction or discontinuation of the drug, but the subject's clinical condition or other factors may explain the reaction.</w:t>
            </w:r>
          </w:p>
        </w:tc>
      </w:tr>
      <w:tr w:rsidR="009D72E0" w14:paraId="56B960E8" w14:textId="77777777">
        <w:tc>
          <w:tcPr>
            <w:tcW w:w="4428" w:type="dxa"/>
          </w:tcPr>
          <w:p w14:paraId="528B884C"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Possibly unrelated</w:t>
            </w:r>
          </w:p>
        </w:tc>
        <w:tc>
          <w:tcPr>
            <w:tcW w:w="4428" w:type="dxa"/>
          </w:tcPr>
          <w:p w14:paraId="4DF8A406"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Not consistent with the known reaction type of the suspected drug, not consistent with a reasonable time sequence after administration, and the subject's clinical condition or other factors may also explain the reaction.</w:t>
            </w:r>
          </w:p>
        </w:tc>
      </w:tr>
      <w:tr w:rsidR="009D72E0" w14:paraId="04D4AA94" w14:textId="77777777">
        <w:tc>
          <w:tcPr>
            <w:tcW w:w="4428" w:type="dxa"/>
          </w:tcPr>
          <w:p w14:paraId="20C77F3F"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Not related</w:t>
            </w:r>
          </w:p>
        </w:tc>
        <w:tc>
          <w:tcPr>
            <w:tcW w:w="4428" w:type="dxa"/>
          </w:tcPr>
          <w:p w14:paraId="20695AFF" w14:textId="77777777" w:rsidR="009D72E0"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Does not align with the known reaction type of the suspected drug, does not align with a reasonable time sequence following administration, and the subject's clinical condition or other factors may also explain the reaction. After excluding clinical symptoms or other factors, the reaction improves or disappears.</w:t>
            </w:r>
          </w:p>
        </w:tc>
      </w:tr>
    </w:tbl>
    <w:p w14:paraId="6DA09D3F" w14:textId="77777777" w:rsidR="009D72E0" w:rsidRDefault="009D72E0">
      <w:pPr>
        <w:spacing w:after="0" w:line="360" w:lineRule="auto"/>
        <w:rPr>
          <w:rFonts w:ascii="Times New Roman" w:hAnsi="Times New Roman" w:cs="Times New Roman"/>
          <w:sz w:val="28"/>
          <w:szCs w:val="28"/>
        </w:rPr>
      </w:pPr>
    </w:p>
    <w:p w14:paraId="45BD5D8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If it is considered to be definitely related, probably related and possibly related, it should be considered as an adverse event caused by the drugs and considered as a serious adverse event according to its severity.</w:t>
      </w:r>
    </w:p>
    <w:p w14:paraId="0CBA677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6. Treatment, Follow-up and Duration of Adverse Events </w:t>
      </w:r>
    </w:p>
    <w:p w14:paraId="661F8B5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After the initial report of an adverse event, the investigator should closely follow up with the subject to acquire further information. All adverse events during the study, even if the subject has completed the study or treatment, should be followed until remission or until the clinical condition is stabilized, unless the investigator considers that remission of the adverse event is not possible due to the subject's condition, or the subject is lost to follow-up.</w:t>
      </w:r>
    </w:p>
    <w:p w14:paraId="63310C9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 xml:space="preserve">7. Determination and Management of Laboratory Test Abnormalities </w:t>
      </w:r>
    </w:p>
    <w:p w14:paraId="6BBC554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Abnormal laboratory test values should first be compared to baseline by the investigator and determined to be clinically significant; laboratory test abnormalities determined to be clinically significant and with a change from baseline are reported as an adverse event and should be followed until they return to normal or to baseline; abnormal laboratory test values that are not clinically significant or that are clinically significant but unchanged from baseline are not reported as adverse events. All abnormal laboratory test values/vital signs should be accurately recorded in the appropriate CRF.</w:t>
      </w:r>
    </w:p>
    <w:p w14:paraId="3320FBA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8. Serious Adverse Events </w:t>
      </w:r>
    </w:p>
    <w:p w14:paraId="13642F8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1) Definition of Serious Adverse Events </w:t>
      </w:r>
    </w:p>
    <w:p w14:paraId="05804EC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 Serious Adverse Event is an AE that occurs during any phase of the study that meets one or more of the following criteria:</w:t>
      </w:r>
    </w:p>
    <w:p w14:paraId="265AB7A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Causes death</w:t>
      </w:r>
    </w:p>
    <w:p w14:paraId="0144649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Life-threatening (life-threatening is defined as an AE in which the subject is at risk of death at the time of occurrence and does not include an AE that could have resulted in death if the event had been exacerbated)</w:t>
      </w:r>
    </w:p>
    <w:p w14:paraId="37D32C4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Requires hospitalization, or prolonged hospitalization, excluding the following: admission to a rehabilitation facility, nursing home, routine emergency room, hospitalization or prolonged hospitalization unrelated to the worsening of the AE is not a SAE.</w:t>
      </w:r>
    </w:p>
    <w:p w14:paraId="3B556CB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Resulting in permanent or significant disability/loss of function</w:t>
      </w:r>
    </w:p>
    <w:p w14:paraId="5738892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Congenital anomalies or birth defects</w:t>
      </w:r>
    </w:p>
    <w:p w14:paraId="2EF1E9B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Significant medical event means a medical event that does not meet any of the criteria above, but may jeopardize the health of the subject or require pharmacologic or surgical interventions to prevent the serious consequences enumerated in the definition above.</w:t>
      </w:r>
    </w:p>
    <w:p w14:paraId="119F0D4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Any event or hospitalization that is clearly due to disease progression is not reported as a Serious Adverse Event. Deaths that are clearly due to disease progression must be documented on the CRF and do not need to be reported as SAEs.</w:t>
      </w:r>
    </w:p>
    <w:p w14:paraId="1DCE59A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Life-threatening: The term “life-threatening” is defined as “serious” and refers to an adverse event that occurs when a subject is at risk of death. It does not refer to adverse events that could have resulted in death if the situation had been hypothesized to be worse. </w:t>
      </w:r>
    </w:p>
    <w:p w14:paraId="1052403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Hospitalization: Any adverse event that results in the hospitalization of a patient or the prolongation of an inpatient hospital stay is considered serious unless one of the following exceptions is met:</w:t>
      </w:r>
    </w:p>
    <w:p w14:paraId="3E769B6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The stay in the hospital does not exceed 12 hours;</w:t>
      </w:r>
    </w:p>
    <w:p w14:paraId="6734B04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The admission was preplanned (i.e., surgery or elective surgery scheduled prior to the start of the study);</w:t>
      </w:r>
    </w:p>
    <w:p w14:paraId="6B5CA42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The admission was not related to an adverse event (e.g., hospitalization for convalescent purposes).</w:t>
      </w:r>
    </w:p>
    <w:p w14:paraId="5C11999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Disability: This means that a person's ability to perform activities of daily living is severely impaired.</w:t>
      </w:r>
    </w:p>
    <w:p w14:paraId="2A3E562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Important Medical Events: Certain medical events that do not meet the criteria for SAEs and are not immediately life-threatening, resulting in death or hospitalization, but may harm the subject or require therapeutic intervention to prevent the conditions described above. These conditions, which the investigator considers that may result in serious clinical consequences, are referred to be important medical events. The determination of an important medical event is based on the investigator's medical knowledge and clinical experience. Important Medical Events are also subject to SAE's expedited reporting procedures. In </w:t>
      </w:r>
      <w:r>
        <w:rPr>
          <w:rFonts w:ascii="Times New Roman" w:hAnsi="Times New Roman" w:cs="Times New Roman"/>
          <w:sz w:val="28"/>
          <w:szCs w:val="28"/>
        </w:rPr>
        <w:lastRenderedPageBreak/>
        <w:t>addition, the spread of pathogens suspected through the investigational drug is also considered an important medical event.</w:t>
      </w:r>
    </w:p>
    <w:p w14:paraId="347AF7C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2) Recording and Reporting Procedures for Serious Adverse Events </w:t>
      </w:r>
    </w:p>
    <w:p w14:paraId="6C801AD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SAEs occurring during the trial should be reported to the State Food and Drug Administration (SFDA), Beijing Food and Drug Administration (SFDA), the Ethics Committee, and the administrative department of health within 24 hours after the discovery of SAEs or the knowledge of SAEs. The investigator should also inform the sponsor, Shanghai </w:t>
      </w:r>
      <w:proofErr w:type="spellStart"/>
      <w:r>
        <w:rPr>
          <w:rFonts w:ascii="Times New Roman" w:hAnsi="Times New Roman" w:cs="Times New Roman"/>
          <w:sz w:val="28"/>
          <w:szCs w:val="28"/>
        </w:rPr>
        <w:t>Junshi</w:t>
      </w:r>
      <w:proofErr w:type="spellEnd"/>
      <w:r>
        <w:rPr>
          <w:rFonts w:ascii="Times New Roman" w:hAnsi="Times New Roman" w:cs="Times New Roman"/>
          <w:sz w:val="28"/>
          <w:szCs w:val="28"/>
        </w:rPr>
        <w:t xml:space="preserve"> Biomedical Technology Co. At the same time, the investigator must fill in the Serious Adverse Event Report Form, giving a detailed description of the occurrence time and severity of the SAE, the relationship with the trial drug and the measures taken, etc., and sign on the report. If follow-up information is available, it should also be reported. The initial report should include the following contents as far as possible: the source of the report, the basic information of the subject, the name of the drug used in the trial, the name, duration and severity of the serious adverse event, the relevance to the drug used in the trial, the treatment, and the results of the event.</w:t>
      </w:r>
    </w:p>
    <w:p w14:paraId="099318A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3) Special handling of serious adverse events </w:t>
      </w:r>
    </w:p>
    <w:p w14:paraId="6B268BD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If the death of the subject is not due to clear disease progression (except for accidental death), the investigator should try to contact the subject's family and suggest that an autopsy should be performed to determine the cause of death. If the patient's family refuses, the investigator should make a document. </w:t>
      </w:r>
    </w:p>
    <w:p w14:paraId="40D0E0D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9. Adverse Events of Special Interest </w:t>
      </w:r>
    </w:p>
    <w:p w14:paraId="284EC1F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following adverse events are defined as Adverse Events of Special Interest (AESI) in this study:</w:t>
      </w:r>
    </w:p>
    <w:p w14:paraId="7074187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Checkpoint inhibitor pneumonitis</w:t>
      </w:r>
    </w:p>
    <w:p w14:paraId="30DB711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Enteritis </w:t>
      </w:r>
    </w:p>
    <w:p w14:paraId="6D8F1DF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Thyroiditis</w:t>
      </w:r>
    </w:p>
    <w:p w14:paraId="267D113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 Hepatitis</w:t>
      </w:r>
    </w:p>
    <w:p w14:paraId="270AB40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Nephritis</w:t>
      </w:r>
    </w:p>
    <w:p w14:paraId="60A8BE0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Hypophysitis</w:t>
      </w:r>
      <w:proofErr w:type="spellEnd"/>
    </w:p>
    <w:p w14:paraId="448F7580"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Dermatitis</w:t>
      </w:r>
    </w:p>
    <w:p w14:paraId="4E9B909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Radiotherapy-induced mucositis, etc. </w:t>
      </w:r>
    </w:p>
    <w:p w14:paraId="410773BC" w14:textId="77777777" w:rsidR="009D72E0" w:rsidRDefault="00000000">
      <w:pPr>
        <w:spacing w:after="0" w:line="360" w:lineRule="auto"/>
        <w:rPr>
          <w:rFonts w:ascii="Times New Roman" w:hAnsi="Times New Roman" w:cs="Times New Roman"/>
          <w:b/>
          <w:bCs/>
          <w:sz w:val="28"/>
          <w:szCs w:val="28"/>
        </w:rPr>
      </w:pPr>
      <w:bookmarkStart w:id="13" w:name="_Hlk206452702"/>
      <w:r>
        <w:rPr>
          <w:rFonts w:ascii="Times New Roman" w:hAnsi="Times New Roman" w:cs="Times New Roman" w:hint="eastAsia"/>
          <w:b/>
          <w:bCs/>
          <w:sz w:val="28"/>
          <w:szCs w:val="28"/>
        </w:rPr>
        <w:t>Ⅸ</w:t>
      </w:r>
      <w:r>
        <w:rPr>
          <w:rFonts w:ascii="Times New Roman" w:hAnsi="Times New Roman" w:cs="Times New Roman"/>
          <w:b/>
          <w:bCs/>
          <w:sz w:val="28"/>
          <w:szCs w:val="28"/>
        </w:rPr>
        <w:t xml:space="preserve">. Data management and analysis </w:t>
      </w:r>
    </w:p>
    <w:bookmarkEnd w:id="13"/>
    <w:p w14:paraId="55EFBC9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1. Statistical hypothesis testing </w:t>
      </w:r>
    </w:p>
    <w:p w14:paraId="692245F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This study is a single-arm, exploratory study without strict hypothesis testing.</w:t>
      </w:r>
    </w:p>
    <w:p w14:paraId="62E30A8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main purpose of this study is to evaluate the safety and efficacy of </w:t>
      </w:r>
      <w:proofErr w:type="spellStart"/>
      <w:r>
        <w:rPr>
          <w:rFonts w:ascii="Times New Roman" w:hAnsi="Times New Roman" w:cs="Times New Roman"/>
          <w:sz w:val="28"/>
          <w:szCs w:val="28"/>
        </w:rPr>
        <w:t>toripalimab</w:t>
      </w:r>
      <w:proofErr w:type="spellEnd"/>
      <w:r>
        <w:rPr>
          <w:rFonts w:ascii="Times New Roman" w:hAnsi="Times New Roman" w:cs="Times New Roman"/>
          <w:sz w:val="28"/>
          <w:szCs w:val="28"/>
        </w:rPr>
        <w:t xml:space="preserve"> in the subjects with locally advanced adenocarcinoma of esophagogastric junction. The main evaluation indexes include efficacy indexes, survival outcomes and adverse events. No formal hypothesis test will be performed, and 95% confidence intervals will be provided if necessary. </w:t>
      </w:r>
    </w:p>
    <w:p w14:paraId="3B17587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2. Analysis Population </w:t>
      </w:r>
    </w:p>
    <w:p w14:paraId="09A9F0B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analysis population consists of Safety Set, Full Analysis Set, and Per Protocol Set: </w:t>
      </w:r>
    </w:p>
    <w:p w14:paraId="5784D01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Safety Set (SS): a population of subjects who have used the study drug </w:t>
      </w:r>
      <w:bookmarkStart w:id="14" w:name="OLE_LINK3"/>
      <w:bookmarkStart w:id="15" w:name="OLE_LINK4"/>
      <w:r>
        <w:rPr>
          <w:rFonts w:ascii="Times New Roman" w:hAnsi="Times New Roman" w:cs="Times New Roman"/>
          <w:sz w:val="28"/>
          <w:szCs w:val="28"/>
        </w:rPr>
        <w:t>for at least one cycle</w:t>
      </w:r>
      <w:bookmarkEnd w:id="14"/>
      <w:bookmarkEnd w:id="15"/>
      <w:r>
        <w:rPr>
          <w:rFonts w:ascii="Times New Roman" w:hAnsi="Times New Roman" w:cs="Times New Roman"/>
          <w:sz w:val="28"/>
          <w:szCs w:val="28"/>
        </w:rPr>
        <w:t>.</w:t>
      </w:r>
    </w:p>
    <w:p w14:paraId="1D2F9E8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Full Analysis Set (FAS): a population of subjects with measurable lesions at baseline who have used the study drug for at least one cycle. </w:t>
      </w:r>
    </w:p>
    <w:p w14:paraId="46E18645"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Per Protocol Set (PPS): a subset of the FAS, a population of subjects who are not in serious violation of the protocol, who are not using a combination of medications prohibited by the protocol, and who have good adherence to the protocol.</w:t>
      </w:r>
    </w:p>
    <w:p w14:paraId="54E8EE1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3. Methods of statistical analysis </w:t>
      </w:r>
    </w:p>
    <w:p w14:paraId="0703C1B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1) General methods of statistical analysis </w:t>
      </w:r>
    </w:p>
    <w:p w14:paraId="362AD0D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Measurement data should be described by mean, standard deviation, median, maximum value, minimum value; count data were described by frequency and percentage.</w:t>
      </w:r>
    </w:p>
    <w:p w14:paraId="239A6F4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All statistical analyses were done with SPSS 24.0.</w:t>
      </w:r>
    </w:p>
    <w:p w14:paraId="76AC6A02"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2) Validity analysis </w:t>
      </w:r>
    </w:p>
    <w:p w14:paraId="4F6BBFC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Validity analysis was done by using FAS set.</w:t>
      </w:r>
    </w:p>
    <w:p w14:paraId="73A9AC5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3) Primary endpoints </w:t>
      </w:r>
    </w:p>
    <w:p w14:paraId="4F450DB2" w14:textId="77777777" w:rsidR="009D72E0" w:rsidRDefault="00000000">
      <w:pPr>
        <w:spacing w:line="360" w:lineRule="auto"/>
        <w:ind w:firstLineChars="100" w:firstLine="280"/>
        <w:contextualSpacing/>
        <w:rPr>
          <w:rFonts w:ascii="Times New Roman" w:hAnsi="Times New Roman" w:cs="Times New Roman"/>
          <w:sz w:val="28"/>
          <w:szCs w:val="28"/>
        </w:rPr>
      </w:pPr>
      <w:r>
        <w:rPr>
          <w:rFonts w:ascii="Times New Roman" w:eastAsia="宋体" w:hAnsi="Times New Roman" w:cs="Times New Roman"/>
          <w:sz w:val="28"/>
          <w:szCs w:val="28"/>
        </w:rPr>
        <w:t xml:space="preserve">The primary endpoint was the MPR rate (defined as the proportion of patients achieving TRG 0 or 1). </w:t>
      </w:r>
    </w:p>
    <w:p w14:paraId="272B572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4) Secondary endpoints</w:t>
      </w:r>
    </w:p>
    <w:p w14:paraId="44BC60AB" w14:textId="77777777" w:rsidR="009D72E0" w:rsidRDefault="00000000">
      <w:pPr>
        <w:spacing w:line="360" w:lineRule="auto"/>
        <w:ind w:firstLineChars="100" w:firstLine="280"/>
        <w:contextualSpacing/>
        <w:rPr>
          <w:rFonts w:ascii="Times New Roman" w:eastAsia="宋体" w:hAnsi="Times New Roman" w:cs="Times New Roman"/>
          <w:sz w:val="28"/>
          <w:szCs w:val="28"/>
        </w:rPr>
      </w:pPr>
      <w:r>
        <w:rPr>
          <w:rFonts w:ascii="Times New Roman" w:hAnsi="Times New Roman" w:cs="Times New Roman"/>
          <w:sz w:val="28"/>
          <w:szCs w:val="28"/>
        </w:rPr>
        <w:t>-</w:t>
      </w:r>
      <w:r>
        <w:rPr>
          <w:rFonts w:ascii="Times New Roman" w:eastAsia="宋体" w:hAnsi="Times New Roman" w:cs="Times New Roman"/>
          <w:sz w:val="28"/>
          <w:szCs w:val="28"/>
        </w:rPr>
        <w:t xml:space="preserve"> </w:t>
      </w:r>
      <w:proofErr w:type="spellStart"/>
      <w:r>
        <w:rPr>
          <w:rFonts w:ascii="Times New Roman" w:eastAsia="宋体" w:hAnsi="Times New Roman" w:cs="Times New Roman"/>
          <w:sz w:val="28"/>
          <w:szCs w:val="28"/>
        </w:rPr>
        <w:t>pCR</w:t>
      </w:r>
      <w:proofErr w:type="spellEnd"/>
      <w:r>
        <w:rPr>
          <w:rFonts w:ascii="Times New Roman" w:eastAsia="宋体" w:hAnsi="Times New Roman" w:cs="Times New Roman"/>
          <w:sz w:val="28"/>
          <w:szCs w:val="28"/>
        </w:rPr>
        <w:t xml:space="preserve"> rate (defined as the proportion of ypT0N0 patients)</w:t>
      </w:r>
    </w:p>
    <w:p w14:paraId="09D55B9D" w14:textId="77777777" w:rsidR="009D72E0" w:rsidRDefault="00000000">
      <w:pPr>
        <w:spacing w:line="360" w:lineRule="auto"/>
        <w:ind w:firstLineChars="100" w:firstLine="280"/>
        <w:contextualSpacing/>
        <w:rPr>
          <w:rFonts w:ascii="Times New Roman" w:eastAsia="宋体" w:hAnsi="Times New Roman" w:cs="Times New Roman"/>
          <w:sz w:val="28"/>
          <w:szCs w:val="28"/>
        </w:rPr>
      </w:pP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rPr>
        <w:t xml:space="preserve">R0 resection rate </w:t>
      </w:r>
    </w:p>
    <w:p w14:paraId="59284131" w14:textId="77777777" w:rsidR="009D72E0" w:rsidRDefault="00000000">
      <w:pPr>
        <w:spacing w:line="360" w:lineRule="auto"/>
        <w:ind w:firstLineChars="100" w:firstLine="280"/>
        <w:contextualSpacing/>
        <w:rPr>
          <w:rFonts w:ascii="Times New Roman" w:eastAsia="宋体" w:hAnsi="Times New Roman" w:cs="Times New Roman"/>
          <w:sz w:val="28"/>
          <w:szCs w:val="28"/>
          <w:lang w:eastAsia="zh-CN"/>
        </w:rPr>
      </w:pP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rPr>
        <w:t>DFS</w:t>
      </w: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rPr>
        <w:t>defined as the time from radical operation to recurrence or death from any cause</w:t>
      </w: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 Subjects with no disease progression or death recorded at the time of analysis are censored at the date of the last imaging evaluation. Median DFS and its 95% CI will </w:t>
      </w:r>
      <w:r>
        <w:rPr>
          <w:rFonts w:ascii="Times New Roman" w:hAnsi="Times New Roman" w:cs="Times New Roman"/>
          <w:sz w:val="28"/>
          <w:szCs w:val="28"/>
          <w:lang w:eastAsia="zh-CN"/>
        </w:rPr>
        <w:t>also be calculat</w:t>
      </w:r>
      <w:r>
        <w:rPr>
          <w:rFonts w:ascii="Times New Roman" w:hAnsi="Times New Roman" w:cs="Times New Roman"/>
          <w:sz w:val="28"/>
          <w:szCs w:val="28"/>
        </w:rPr>
        <w:t>ed using the Kaplan-Meier method, and survival graphs will be plotted, along with 1-year and 3-year DFS.</w:t>
      </w:r>
    </w:p>
    <w:p w14:paraId="7859E69D" w14:textId="77777777" w:rsidR="009D72E0" w:rsidRDefault="00000000">
      <w:pPr>
        <w:spacing w:line="360" w:lineRule="auto"/>
        <w:ind w:firstLineChars="100" w:firstLine="280"/>
        <w:contextualSpacing/>
        <w:rPr>
          <w:rFonts w:ascii="Times New Roman" w:eastAsia="宋体" w:hAnsi="Times New Roman" w:cs="Times New Roman"/>
          <w:sz w:val="28"/>
          <w:szCs w:val="28"/>
          <w:lang w:eastAsia="zh-CN"/>
        </w:rPr>
      </w:pP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rPr>
        <w:t>EFS</w:t>
      </w: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rPr>
        <w:t>defined as the time from the initiation of neoadjuvant treatment to disease progression, recurrence, or death from any cause</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 xml:space="preserve">Subjects with no </w:t>
      </w:r>
      <w:r>
        <w:rPr>
          <w:rFonts w:ascii="Times New Roman" w:eastAsia="宋体" w:hAnsi="Times New Roman" w:cs="Times New Roman" w:hint="eastAsia"/>
          <w:sz w:val="28"/>
          <w:szCs w:val="28"/>
          <w:lang w:eastAsia="zh-CN"/>
        </w:rPr>
        <w:t>events occurrence</w:t>
      </w:r>
      <w:r>
        <w:rPr>
          <w:rFonts w:ascii="Times New Roman" w:hAnsi="Times New Roman" w:cs="Times New Roman"/>
          <w:sz w:val="28"/>
          <w:szCs w:val="28"/>
        </w:rPr>
        <w:t xml:space="preserve"> or death recorded at the time of analysis are censored at the date of the last imaging evaluation. Median </w:t>
      </w:r>
      <w:r>
        <w:rPr>
          <w:rFonts w:ascii="Times New Roman" w:eastAsia="宋体" w:hAnsi="Times New Roman" w:cs="Times New Roman" w:hint="eastAsia"/>
          <w:sz w:val="28"/>
          <w:szCs w:val="28"/>
          <w:lang w:eastAsia="zh-CN"/>
        </w:rPr>
        <w:t>E</w:t>
      </w:r>
      <w:r>
        <w:rPr>
          <w:rFonts w:ascii="Times New Roman" w:hAnsi="Times New Roman" w:cs="Times New Roman"/>
          <w:sz w:val="28"/>
          <w:szCs w:val="28"/>
        </w:rPr>
        <w:t xml:space="preserve">FS and its 95% CI will </w:t>
      </w:r>
      <w:r>
        <w:rPr>
          <w:rFonts w:ascii="Times New Roman" w:hAnsi="Times New Roman" w:cs="Times New Roman"/>
          <w:sz w:val="28"/>
          <w:szCs w:val="28"/>
          <w:lang w:eastAsia="zh-CN"/>
        </w:rPr>
        <w:t>also be calculat</w:t>
      </w:r>
      <w:r>
        <w:rPr>
          <w:rFonts w:ascii="Times New Roman" w:hAnsi="Times New Roman" w:cs="Times New Roman"/>
          <w:sz w:val="28"/>
          <w:szCs w:val="28"/>
        </w:rPr>
        <w:t xml:space="preserve">ed using the Kaplan-Meier method, and survival graphs will be plotted, along with 1-year and 3-year </w:t>
      </w:r>
      <w:r>
        <w:rPr>
          <w:rFonts w:ascii="Times New Roman" w:eastAsia="宋体" w:hAnsi="Times New Roman" w:cs="Times New Roman" w:hint="eastAsia"/>
          <w:sz w:val="28"/>
          <w:szCs w:val="28"/>
          <w:lang w:eastAsia="zh-CN"/>
        </w:rPr>
        <w:t>E</w:t>
      </w:r>
      <w:r>
        <w:rPr>
          <w:rFonts w:ascii="Times New Roman" w:hAnsi="Times New Roman" w:cs="Times New Roman"/>
          <w:sz w:val="28"/>
          <w:szCs w:val="28"/>
        </w:rPr>
        <w:t>FS.</w:t>
      </w:r>
    </w:p>
    <w:p w14:paraId="2BF111DE" w14:textId="77777777" w:rsidR="009D72E0" w:rsidRDefault="00000000">
      <w:pPr>
        <w:spacing w:line="360" w:lineRule="auto"/>
        <w:ind w:firstLineChars="100" w:firstLine="280"/>
        <w:contextualSpacing/>
        <w:rPr>
          <w:rFonts w:ascii="Times New Roman" w:eastAsia="宋体" w:hAnsi="Times New Roman" w:cs="Times New Roman"/>
          <w:sz w:val="28"/>
          <w:szCs w:val="28"/>
          <w:lang w:eastAsia="zh-CN"/>
        </w:rPr>
      </w:pP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rPr>
        <w:t>OS</w:t>
      </w:r>
      <w:r>
        <w:rPr>
          <w:rFonts w:ascii="Times New Roman" w:eastAsia="宋体" w:hAnsi="Times New Roman" w:cs="Times New Roman" w:hint="eastAsia"/>
          <w:sz w:val="28"/>
          <w:szCs w:val="28"/>
          <w:lang w:eastAsia="zh-CN"/>
        </w:rPr>
        <w:t>,</w:t>
      </w:r>
      <w:r>
        <w:rPr>
          <w:rFonts w:ascii="Times New Roman" w:eastAsia="宋体" w:hAnsi="Times New Roman" w:cs="Times New Roman"/>
          <w:sz w:val="28"/>
          <w:szCs w:val="28"/>
        </w:rPr>
        <w:t xml:space="preserve"> defined as the time from the initiation of neoadjuvant treatment to death from any cause</w:t>
      </w:r>
      <w:r>
        <w:rPr>
          <w:rFonts w:ascii="Times New Roman" w:eastAsia="宋体" w:hAnsi="Times New Roman" w:cs="Times New Roman" w:hint="eastAsia"/>
          <w:sz w:val="28"/>
          <w:szCs w:val="28"/>
          <w:lang w:eastAsia="zh-CN"/>
        </w:rPr>
        <w:t xml:space="preserve">. </w:t>
      </w:r>
      <w:r>
        <w:rPr>
          <w:rFonts w:ascii="Times New Roman" w:hAnsi="Times New Roman" w:cs="Times New Roman"/>
          <w:sz w:val="28"/>
          <w:szCs w:val="28"/>
        </w:rPr>
        <w:t xml:space="preserve">Subjects with no recorded death at the time of analysis are censored at the subject's last known date of survival. </w:t>
      </w:r>
      <w:r>
        <w:rPr>
          <w:rFonts w:ascii="Times New Roman" w:eastAsia="宋体" w:hAnsi="Times New Roman" w:cs="Times New Roman"/>
          <w:sz w:val="28"/>
          <w:szCs w:val="28"/>
          <w:lang w:eastAsia="zh-CN"/>
        </w:rPr>
        <w:t xml:space="preserve">Median </w:t>
      </w:r>
      <w:r>
        <w:rPr>
          <w:rFonts w:ascii="Times New Roman" w:hAnsi="Times New Roman" w:cs="Times New Roman"/>
          <w:sz w:val="28"/>
          <w:szCs w:val="28"/>
        </w:rPr>
        <w:t>OS</w:t>
      </w:r>
      <w:r>
        <w:rPr>
          <w:rFonts w:ascii="Times New Roman" w:eastAsia="宋体" w:hAnsi="Times New Roman" w:cs="Times New Roman"/>
          <w:sz w:val="28"/>
          <w:szCs w:val="28"/>
          <w:lang w:eastAsia="zh-CN"/>
        </w:rPr>
        <w:t xml:space="preserve"> and </w:t>
      </w:r>
      <w:r>
        <w:rPr>
          <w:rFonts w:ascii="Times New Roman" w:hAnsi="Times New Roman" w:cs="Times New Roman"/>
          <w:sz w:val="28"/>
          <w:szCs w:val="28"/>
        </w:rPr>
        <w:t xml:space="preserve">its 95% CI </w:t>
      </w:r>
      <w:r>
        <w:rPr>
          <w:rFonts w:ascii="Times New Roman" w:eastAsia="宋体" w:hAnsi="Times New Roman" w:cs="Times New Roman"/>
          <w:sz w:val="28"/>
          <w:szCs w:val="28"/>
          <w:lang w:eastAsia="zh-CN"/>
        </w:rPr>
        <w:lastRenderedPageBreak/>
        <w:t xml:space="preserve">will also be calculated </w:t>
      </w:r>
      <w:r>
        <w:rPr>
          <w:rFonts w:ascii="Times New Roman" w:hAnsi="Times New Roman" w:cs="Times New Roman"/>
          <w:sz w:val="28"/>
          <w:szCs w:val="28"/>
        </w:rPr>
        <w:t xml:space="preserve">using </w:t>
      </w:r>
      <w:r>
        <w:rPr>
          <w:rFonts w:ascii="Times New Roman" w:eastAsia="宋体" w:hAnsi="Times New Roman" w:cs="Times New Roman"/>
          <w:sz w:val="28"/>
          <w:szCs w:val="28"/>
          <w:lang w:eastAsia="zh-CN"/>
        </w:rPr>
        <w:t xml:space="preserve">the </w:t>
      </w:r>
      <w:r>
        <w:rPr>
          <w:rFonts w:ascii="Times New Roman" w:hAnsi="Times New Roman" w:cs="Times New Roman"/>
          <w:sz w:val="28"/>
          <w:szCs w:val="28"/>
        </w:rPr>
        <w:t xml:space="preserve">Kaplan-Meier </w:t>
      </w:r>
      <w:r>
        <w:rPr>
          <w:rFonts w:ascii="Times New Roman" w:eastAsia="宋体" w:hAnsi="Times New Roman" w:cs="Times New Roman"/>
          <w:sz w:val="28"/>
          <w:szCs w:val="28"/>
          <w:lang w:eastAsia="zh-CN"/>
        </w:rPr>
        <w:t>method</w:t>
      </w:r>
      <w:r>
        <w:rPr>
          <w:rFonts w:ascii="Times New Roman" w:hAnsi="Times New Roman" w:cs="Times New Roman"/>
          <w:sz w:val="28"/>
          <w:szCs w:val="28"/>
        </w:rPr>
        <w:t xml:space="preserve">, and survival graphs </w:t>
      </w:r>
      <w:r>
        <w:rPr>
          <w:rFonts w:ascii="Times New Roman" w:eastAsia="宋体" w:hAnsi="Times New Roman" w:cs="Times New Roman"/>
          <w:sz w:val="28"/>
          <w:szCs w:val="28"/>
          <w:lang w:eastAsia="zh-CN"/>
        </w:rPr>
        <w:t>will be</w:t>
      </w:r>
      <w:r>
        <w:rPr>
          <w:rFonts w:ascii="Times New Roman" w:hAnsi="Times New Roman" w:cs="Times New Roman"/>
          <w:sz w:val="28"/>
          <w:szCs w:val="28"/>
        </w:rPr>
        <w:t xml:space="preserve"> plotted, along with calculations of OS at 1 year</w:t>
      </w:r>
      <w:r>
        <w:rPr>
          <w:rFonts w:ascii="Times New Roman" w:eastAsia="宋体" w:hAnsi="Times New Roman" w:cs="Times New Roman"/>
          <w:sz w:val="28"/>
          <w:szCs w:val="28"/>
          <w:lang w:eastAsia="zh-CN"/>
        </w:rPr>
        <w:t xml:space="preserve"> and</w:t>
      </w:r>
      <w:r>
        <w:rPr>
          <w:rFonts w:ascii="Times New Roman" w:hAnsi="Times New Roman" w:cs="Times New Roman"/>
          <w:sz w:val="28"/>
          <w:szCs w:val="28"/>
        </w:rPr>
        <w:t xml:space="preserve"> 3 years.</w:t>
      </w:r>
    </w:p>
    <w:p w14:paraId="5A473CCD" w14:textId="77777777" w:rsidR="009D72E0" w:rsidRDefault="00000000">
      <w:pPr>
        <w:spacing w:line="360" w:lineRule="auto"/>
        <w:ind w:firstLineChars="100" w:firstLine="280"/>
        <w:contextualSpacing/>
        <w:rPr>
          <w:rFonts w:ascii="Times New Roman" w:eastAsia="宋体" w:hAnsi="Times New Roman" w:cs="Times New Roman"/>
          <w:sz w:val="28"/>
          <w:szCs w:val="28"/>
          <w:lang w:eastAsia="zh-CN"/>
        </w:rPr>
      </w:pP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rPr>
        <w:t>safety</w:t>
      </w:r>
    </w:p>
    <w:p w14:paraId="79F4656D"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 This </w:t>
      </w:r>
      <w:r>
        <w:rPr>
          <w:rFonts w:ascii="Times New Roman" w:eastAsia="宋体" w:hAnsi="Times New Roman" w:cs="Times New Roman"/>
          <w:sz w:val="28"/>
          <w:szCs w:val="28"/>
          <w:lang w:eastAsia="zh-CN"/>
        </w:rPr>
        <w:t>study</w:t>
      </w:r>
      <w:r>
        <w:rPr>
          <w:rFonts w:ascii="Times New Roman" w:hAnsi="Times New Roman" w:cs="Times New Roman"/>
          <w:sz w:val="28"/>
          <w:szCs w:val="28"/>
        </w:rPr>
        <w:t xml:space="preserve"> is a single-arm exploratory study without a control group.</w:t>
      </w:r>
    </w:p>
    <w:p w14:paraId="2FE4087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5) Safety analysis </w:t>
      </w:r>
    </w:p>
    <w:p w14:paraId="5A24F55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safety analysis is based on SS, and the safety indicators include adverse events, laboratory tests, vital signs, electrocardiogram, immunogenicity, and so on. Adverse events will also be aggregated and summarized.</w:t>
      </w:r>
    </w:p>
    <w:p w14:paraId="56E6364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6) Interim analysis </w:t>
      </w:r>
    </w:p>
    <w:p w14:paraId="58BDD3F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None </w:t>
      </w:r>
    </w:p>
    <w:p w14:paraId="05792963"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hint="eastAsia"/>
          <w:sz w:val="28"/>
          <w:szCs w:val="28"/>
          <w:lang w:eastAsia="zh-CN"/>
        </w:rPr>
        <w:t>(</w:t>
      </w:r>
      <w:r>
        <w:rPr>
          <w:rFonts w:ascii="Times New Roman" w:hAnsi="Times New Roman" w:cs="Times New Roman"/>
          <w:sz w:val="28"/>
          <w:szCs w:val="28"/>
        </w:rPr>
        <w:t xml:space="preserve">7) Subgroup analysis </w:t>
      </w:r>
    </w:p>
    <w:p w14:paraId="1435641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Subgroup analysis of the gender, age, ECOG score, S</w:t>
      </w:r>
      <w:r>
        <w:rPr>
          <w:rFonts w:ascii="Times New Roman" w:eastAsia="宋体" w:hAnsi="Times New Roman" w:cs="Times New Roman"/>
          <w:sz w:val="28"/>
          <w:szCs w:val="28"/>
          <w:lang w:eastAsia="zh-CN"/>
        </w:rPr>
        <w:t>iewert</w:t>
      </w:r>
      <w:r>
        <w:rPr>
          <w:rFonts w:ascii="Times New Roman" w:hAnsi="Times New Roman" w:cs="Times New Roman"/>
          <w:sz w:val="28"/>
          <w:szCs w:val="28"/>
        </w:rPr>
        <w:t xml:space="preserve"> classification, Lauren classification, lymph node metastasis, CEA level, HER-2 expression, PD-L1 expression, MSI status and other factors that are clinically considered to be likely to affect the prognosis will be carried out. </w:t>
      </w:r>
    </w:p>
    <w:p w14:paraId="5F4E0891" w14:textId="77777777" w:rsidR="009D72E0" w:rsidRDefault="00000000">
      <w:pPr>
        <w:spacing w:after="0" w:line="360" w:lineRule="auto"/>
        <w:rPr>
          <w:rFonts w:ascii="Times New Roman" w:hAnsi="Times New Roman" w:cs="Times New Roman"/>
          <w:b/>
          <w:bCs/>
          <w:sz w:val="28"/>
          <w:szCs w:val="28"/>
        </w:rPr>
      </w:pPr>
      <w:bookmarkStart w:id="16" w:name="_Hlk206452742"/>
      <w:r>
        <w:rPr>
          <w:rFonts w:ascii="Times New Roman" w:hAnsi="Times New Roman" w:cs="Times New Roman" w:hint="eastAsia"/>
          <w:b/>
          <w:bCs/>
          <w:sz w:val="28"/>
          <w:szCs w:val="28"/>
        </w:rPr>
        <w:t>Ⅹ</w:t>
      </w:r>
      <w:r>
        <w:rPr>
          <w:rFonts w:ascii="Times New Roman" w:hAnsi="Times New Roman" w:cs="Times New Roman"/>
          <w:b/>
          <w:bCs/>
          <w:sz w:val="28"/>
          <w:szCs w:val="28"/>
        </w:rPr>
        <w:t>. Study Quality Assurance and Quality Control</w:t>
      </w:r>
      <w:bookmarkEnd w:id="16"/>
      <w:r>
        <w:rPr>
          <w:rFonts w:ascii="Times New Roman" w:hAnsi="Times New Roman" w:cs="Times New Roman"/>
          <w:b/>
          <w:bCs/>
          <w:sz w:val="28"/>
          <w:szCs w:val="28"/>
        </w:rPr>
        <w:t xml:space="preserve"> </w:t>
      </w:r>
    </w:p>
    <w:p w14:paraId="4FAB9BA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According to the guidelines of the Good Clinical Practice (GCP), the sponsor is responsible for implementing and maintaining a quality assurance and quality control system in accordance with the appropriate standard operating procedures to ensure that the clinical trial is well conducted and the data are truthful, and that </w:t>
      </w:r>
      <w:r>
        <w:rPr>
          <w:rFonts w:ascii="Times New Roman" w:eastAsia="宋体" w:hAnsi="Times New Roman" w:cs="Times New Roman"/>
          <w:sz w:val="28"/>
          <w:szCs w:val="28"/>
          <w:lang w:eastAsia="zh-CN"/>
        </w:rPr>
        <w:t xml:space="preserve">data </w:t>
      </w:r>
      <w:r>
        <w:rPr>
          <w:rFonts w:ascii="Times New Roman" w:hAnsi="Times New Roman" w:cs="Times New Roman"/>
          <w:sz w:val="28"/>
          <w:szCs w:val="28"/>
        </w:rPr>
        <w:t>collect</w:t>
      </w:r>
      <w:r>
        <w:rPr>
          <w:rFonts w:ascii="Times New Roman" w:eastAsia="宋体" w:hAnsi="Times New Roman" w:cs="Times New Roman"/>
          <w:sz w:val="28"/>
          <w:szCs w:val="28"/>
          <w:lang w:eastAsia="zh-CN"/>
        </w:rPr>
        <w:t>ing</w:t>
      </w:r>
      <w:r>
        <w:rPr>
          <w:rFonts w:ascii="Times New Roman" w:hAnsi="Times New Roman" w:cs="Times New Roman"/>
          <w:sz w:val="28"/>
          <w:szCs w:val="28"/>
        </w:rPr>
        <w:t>, recording, and reporting follow the protocol, GCP, and appropriate regulatory requirements.</w:t>
      </w:r>
    </w:p>
    <w:p w14:paraId="05806FD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w:t>
      </w:r>
      <w:r>
        <w:rPr>
          <w:rFonts w:ascii="Times New Roman" w:eastAsia="宋体" w:hAnsi="Times New Roman" w:cs="Times New Roman"/>
          <w:sz w:val="28"/>
          <w:szCs w:val="28"/>
          <w:lang w:eastAsia="zh-CN"/>
        </w:rPr>
        <w:t>research center</w:t>
      </w:r>
      <w:r>
        <w:rPr>
          <w:rFonts w:ascii="Times New Roman" w:hAnsi="Times New Roman" w:cs="Times New Roman"/>
          <w:sz w:val="28"/>
          <w:szCs w:val="28"/>
        </w:rPr>
        <w:t xml:space="preserve"> will implement internal quality management of the study process, data and biospecimen collection, documentation and completion. Individualized quality management plans will be developed for each institution.</w:t>
      </w:r>
    </w:p>
    <w:bookmarkStart w:id="17" w:name="_Hlk206452873"/>
    <w:p w14:paraId="2B4ED708" w14:textId="77777777" w:rsidR="009D72E0" w:rsidRDefault="00000000">
      <w:pPr>
        <w:spacing w:after="0" w:line="360" w:lineRule="auto"/>
        <w:ind w:firstLineChars="100" w:firstLine="281"/>
        <w:rPr>
          <w:rFonts w:ascii="Times New Roman" w:hAnsi="Times New Roman" w:cs="Times New Roman"/>
          <w:b/>
          <w:bCs/>
          <w:sz w:val="28"/>
          <w:szCs w:val="28"/>
        </w:rPr>
      </w:pPr>
      <w:r>
        <w:rPr>
          <w:rFonts w:ascii="Times New Roman" w:hAnsi="Times New Roman" w:cs="Times New Roman"/>
          <w:b/>
          <w:bCs/>
          <w:sz w:val="28"/>
          <w:szCs w:val="28"/>
          <w:lang w:eastAsia="zh-CN"/>
        </w:rPr>
        <w:fldChar w:fldCharType="begin"/>
      </w:r>
      <w:r>
        <w:rPr>
          <w:rFonts w:ascii="Times New Roman" w:eastAsia="宋体" w:hAnsi="Times New Roman" w:cs="Times New Roman"/>
          <w:b/>
          <w:bCs/>
          <w:sz w:val="28"/>
          <w:szCs w:val="28"/>
          <w:lang w:eastAsia="zh-CN"/>
        </w:rPr>
        <w:instrText xml:space="preserve"> </w:instrText>
      </w:r>
      <w:r>
        <w:rPr>
          <w:rFonts w:ascii="Times New Roman" w:eastAsia="宋体" w:hAnsi="Times New Roman" w:cs="Times New Roman" w:hint="eastAsia"/>
          <w:b/>
          <w:bCs/>
          <w:sz w:val="28"/>
          <w:szCs w:val="28"/>
          <w:lang w:eastAsia="zh-CN"/>
        </w:rPr>
        <w:instrText>= 11 \* ROMAN</w:instrText>
      </w:r>
      <w:r>
        <w:rPr>
          <w:rFonts w:ascii="Times New Roman" w:eastAsia="宋体" w:hAnsi="Times New Roman" w:cs="Times New Roman"/>
          <w:b/>
          <w:bCs/>
          <w:sz w:val="28"/>
          <w:szCs w:val="28"/>
          <w:lang w:eastAsia="zh-CN"/>
        </w:rPr>
        <w:instrText xml:space="preserve"> </w:instrText>
      </w:r>
      <w:r>
        <w:rPr>
          <w:rFonts w:ascii="Times New Roman" w:hAnsi="Times New Roman" w:cs="Times New Roman"/>
          <w:b/>
          <w:bCs/>
          <w:sz w:val="28"/>
          <w:szCs w:val="28"/>
          <w:lang w:eastAsia="zh-CN"/>
        </w:rPr>
        <w:fldChar w:fldCharType="separate"/>
      </w:r>
      <w:r>
        <w:rPr>
          <w:rFonts w:ascii="Times New Roman" w:eastAsia="宋体" w:hAnsi="Times New Roman" w:cs="Times New Roman"/>
          <w:b/>
          <w:bCs/>
          <w:sz w:val="28"/>
          <w:szCs w:val="28"/>
          <w:lang w:eastAsia="zh-CN"/>
        </w:rPr>
        <w:t>XI</w:t>
      </w:r>
      <w:r>
        <w:rPr>
          <w:rFonts w:ascii="Times New Roman" w:hAnsi="Times New Roman" w:cs="Times New Roman"/>
          <w:b/>
          <w:bCs/>
          <w:sz w:val="28"/>
          <w:szCs w:val="28"/>
          <w:lang w:eastAsia="zh-CN"/>
        </w:rPr>
        <w:fldChar w:fldCharType="end"/>
      </w:r>
      <w:r>
        <w:rPr>
          <w:rFonts w:ascii="Times New Roman" w:hAnsi="Times New Roman" w:cs="Times New Roman"/>
          <w:b/>
          <w:bCs/>
          <w:sz w:val="28"/>
          <w:szCs w:val="28"/>
          <w:lang w:eastAsia="zh-CN"/>
        </w:rPr>
        <w:t xml:space="preserve">. </w:t>
      </w:r>
      <w:r>
        <w:rPr>
          <w:rFonts w:ascii="Times New Roman" w:hAnsi="Times New Roman" w:cs="Times New Roman"/>
          <w:b/>
          <w:bCs/>
          <w:sz w:val="28"/>
          <w:szCs w:val="28"/>
        </w:rPr>
        <w:t xml:space="preserve">Ethics </w:t>
      </w:r>
    </w:p>
    <w:bookmarkEnd w:id="17"/>
    <w:p w14:paraId="0A9C1E8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1. Ethics Committee </w:t>
      </w:r>
    </w:p>
    <w:p w14:paraId="224C0BF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Documents that need to be submitted to the Ethics Committee (EC) of the research center, including the trial protocol, informed consent, investigator's manual, subject recruitment materials or advertisements, and other documents required by regulations will be submitted to the corresponding EC for approval. Written approval must be obtained from the EC of the research center prior to the commencement of the study. The EC's approval document must specify the name, number, version number of the protocol and version numbers of other documents (e.g., informed consent).</w:t>
      </w:r>
    </w:p>
    <w:p w14:paraId="5A73E449"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eastAsia="宋体" w:hAnsi="Times New Roman" w:cs="Times New Roman"/>
          <w:sz w:val="28"/>
          <w:szCs w:val="28"/>
          <w:lang w:eastAsia="zh-CN"/>
        </w:rPr>
        <w:t>The r</w:t>
      </w:r>
      <w:r>
        <w:rPr>
          <w:rFonts w:ascii="Times New Roman" w:hAnsi="Times New Roman" w:cs="Times New Roman"/>
          <w:sz w:val="28"/>
          <w:szCs w:val="28"/>
        </w:rPr>
        <w:t xml:space="preserve">esearch </w:t>
      </w:r>
      <w:r>
        <w:rPr>
          <w:rFonts w:ascii="Times New Roman" w:eastAsia="宋体" w:hAnsi="Times New Roman" w:cs="Times New Roman"/>
          <w:sz w:val="28"/>
          <w:szCs w:val="28"/>
          <w:lang w:eastAsia="zh-CN"/>
        </w:rPr>
        <w:t>c</w:t>
      </w:r>
      <w:r>
        <w:rPr>
          <w:rFonts w:ascii="Times New Roman" w:hAnsi="Times New Roman" w:cs="Times New Roman"/>
          <w:sz w:val="28"/>
          <w:szCs w:val="28"/>
        </w:rPr>
        <w:t>enter must follow the requirements of their EC</w:t>
      </w:r>
      <w:r>
        <w:rPr>
          <w:rFonts w:ascii="Times New Roman" w:eastAsia="宋体" w:hAnsi="Times New Roman" w:cs="Times New Roman"/>
          <w:sz w:val="28"/>
          <w:szCs w:val="28"/>
          <w:lang w:eastAsia="zh-CN"/>
        </w:rPr>
        <w:t xml:space="preserve">, which </w:t>
      </w:r>
      <w:r>
        <w:rPr>
          <w:rFonts w:ascii="Times New Roman" w:hAnsi="Times New Roman" w:cs="Times New Roman"/>
          <w:sz w:val="28"/>
          <w:szCs w:val="28"/>
        </w:rPr>
        <w:t xml:space="preserve">may include </w:t>
      </w:r>
      <w:r>
        <w:rPr>
          <w:rFonts w:ascii="Times New Roman" w:eastAsia="宋体" w:hAnsi="Times New Roman" w:cs="Times New Roman"/>
          <w:sz w:val="28"/>
          <w:szCs w:val="28"/>
          <w:lang w:eastAsia="zh-CN"/>
        </w:rPr>
        <w:t xml:space="preserve">the </w:t>
      </w:r>
      <w:r>
        <w:rPr>
          <w:rFonts w:ascii="Times New Roman" w:hAnsi="Times New Roman" w:cs="Times New Roman"/>
          <w:sz w:val="28"/>
          <w:szCs w:val="28"/>
        </w:rPr>
        <w:t xml:space="preserve">protocol revisions, </w:t>
      </w:r>
      <w:r>
        <w:rPr>
          <w:rFonts w:ascii="Times New Roman" w:eastAsia="宋体" w:hAnsi="Times New Roman" w:cs="Times New Roman"/>
          <w:sz w:val="28"/>
          <w:szCs w:val="28"/>
          <w:lang w:eastAsia="zh-CN"/>
        </w:rPr>
        <w:t xml:space="preserve">the </w:t>
      </w:r>
      <w:r>
        <w:rPr>
          <w:rFonts w:ascii="Times New Roman" w:hAnsi="Times New Roman" w:cs="Times New Roman"/>
          <w:sz w:val="28"/>
          <w:szCs w:val="28"/>
        </w:rPr>
        <w:t>informed consent form</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 xml:space="preserve">revisions, revisions </w:t>
      </w:r>
      <w:r>
        <w:rPr>
          <w:rFonts w:ascii="Times New Roman" w:eastAsia="宋体" w:hAnsi="Times New Roman" w:cs="Times New Roman"/>
          <w:sz w:val="28"/>
          <w:szCs w:val="28"/>
          <w:lang w:eastAsia="zh-CN"/>
        </w:rPr>
        <w:t>of</w:t>
      </w:r>
      <w:r>
        <w:rPr>
          <w:rFonts w:ascii="Times New Roman" w:hAnsi="Times New Roman" w:cs="Times New Roman"/>
          <w:sz w:val="28"/>
          <w:szCs w:val="28"/>
        </w:rPr>
        <w:t xml:space="preserve"> the subject recruitment materials that need to be submitted to the EC for approval, local safety report requires regular reporting and updating according to the EC, and submission of the final version of the report.</w:t>
      </w:r>
    </w:p>
    <w:p w14:paraId="2B09B164"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2. Ethical implementation of the research </w:t>
      </w:r>
    </w:p>
    <w:p w14:paraId="2DE7203F"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research process and the obtaining of informed consent shall comply with the Declaration of Helsinki, the relevant GCP requirements, and the laws and regulations related to pharmaceuticals and data protection in China. </w:t>
      </w:r>
    </w:p>
    <w:p w14:paraId="16CCDF57"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GCP provides scientific, global quality standards for design</w:t>
      </w:r>
      <w:r>
        <w:rPr>
          <w:rFonts w:ascii="Times New Roman" w:eastAsia="宋体" w:hAnsi="Times New Roman" w:cs="Times New Roman"/>
          <w:sz w:val="28"/>
          <w:szCs w:val="28"/>
          <w:lang w:eastAsia="zh-CN"/>
        </w:rPr>
        <w:t>ing</w:t>
      </w:r>
      <w:r>
        <w:rPr>
          <w:rFonts w:ascii="Times New Roman" w:hAnsi="Times New Roman" w:cs="Times New Roman"/>
          <w:sz w:val="28"/>
          <w:szCs w:val="28"/>
        </w:rPr>
        <w:t>, conducting, recording and reporting of clinical research involving human subjects in accordance with the ethical requirements. This study will be conducted in accordance with GCP and relevant national regulations, also in compliance with the ethical principles of the Declaration of Helsinki to protect the rights, safety and health of the subjects.</w:t>
      </w:r>
    </w:p>
    <w:p w14:paraId="4CA0C6E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investigator will be required to follow the procedures outlined in the trial protocol. Any protocol violations will be reported to the EC, or to the regulatory body.</w:t>
      </w:r>
    </w:p>
    <w:p w14:paraId="4EFB4B88"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3. Patient Informed Consent </w:t>
      </w:r>
    </w:p>
    <w:p w14:paraId="198D826A"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lastRenderedPageBreak/>
        <w:t>Prior to the start of any research procedure, use the ICF to explain to prospective subjects the potential risks and benefits of the study</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 xml:space="preserve">The informed consent language should be simple and easy to understand. The ICF statement should make it clear that the informed consent is voluntary </w:t>
      </w:r>
      <w:r>
        <w:rPr>
          <w:rFonts w:ascii="Times New Roman" w:eastAsia="宋体" w:hAnsi="Times New Roman" w:cs="Times New Roman"/>
          <w:sz w:val="28"/>
          <w:szCs w:val="28"/>
          <w:lang w:eastAsia="zh-CN"/>
        </w:rPr>
        <w:t>to be signed</w:t>
      </w:r>
      <w:r>
        <w:rPr>
          <w:rFonts w:ascii="Times New Roman" w:hAnsi="Times New Roman" w:cs="Times New Roman"/>
          <w:sz w:val="28"/>
          <w:szCs w:val="28"/>
        </w:rPr>
        <w:t>,</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and that the subject may withdraw from the study at any time</w:t>
      </w:r>
      <w:r>
        <w:rPr>
          <w:rFonts w:ascii="Times New Roman" w:eastAsia="宋体" w:hAnsi="Times New Roman" w:cs="Times New Roman"/>
          <w:sz w:val="28"/>
          <w:szCs w:val="28"/>
          <w:lang w:eastAsia="zh-CN"/>
        </w:rPr>
        <w:t>, also</w:t>
      </w:r>
      <w:r>
        <w:rPr>
          <w:rFonts w:ascii="Times New Roman" w:hAnsi="Times New Roman" w:cs="Times New Roman"/>
          <w:sz w:val="28"/>
          <w:szCs w:val="28"/>
        </w:rPr>
        <w:t xml:space="preserve"> specif</w:t>
      </w:r>
      <w:r>
        <w:rPr>
          <w:rFonts w:ascii="Times New Roman" w:eastAsia="宋体" w:hAnsi="Times New Roman" w:cs="Times New Roman"/>
          <w:sz w:val="28"/>
          <w:szCs w:val="28"/>
          <w:lang w:eastAsia="zh-CN"/>
        </w:rPr>
        <w:t>y</w:t>
      </w:r>
      <w:r>
        <w:rPr>
          <w:rFonts w:ascii="Times New Roman" w:hAnsi="Times New Roman" w:cs="Times New Roman"/>
          <w:sz w:val="28"/>
          <w:szCs w:val="28"/>
        </w:rPr>
        <w:t xml:space="preserve"> the potential risks and benefits of participation in the study. </w:t>
      </w:r>
    </w:p>
    <w:p w14:paraId="64D0E676"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investigator may enroll a subject only after the details of the study have been fully explained, the subject's questions have been satisfactorily answered, sufficient time has been given for subject to consider, and written consent has been obtained from the subject or the subject's legal representative. All signed informed consent forms must be </w:t>
      </w:r>
      <w:r>
        <w:rPr>
          <w:rFonts w:ascii="Times New Roman" w:eastAsia="宋体" w:hAnsi="Times New Roman" w:cs="Times New Roman"/>
          <w:sz w:val="28"/>
          <w:szCs w:val="28"/>
          <w:lang w:eastAsia="zh-CN"/>
        </w:rPr>
        <w:t xml:space="preserve">included </w:t>
      </w:r>
      <w:r>
        <w:rPr>
          <w:rFonts w:ascii="Times New Roman" w:hAnsi="Times New Roman" w:cs="Times New Roman"/>
          <w:sz w:val="28"/>
          <w:szCs w:val="28"/>
        </w:rPr>
        <w:t xml:space="preserve">in the </w:t>
      </w:r>
      <w:r>
        <w:rPr>
          <w:rFonts w:ascii="Times New Roman" w:eastAsia="宋体" w:hAnsi="Times New Roman" w:cs="Times New Roman"/>
          <w:sz w:val="28"/>
          <w:szCs w:val="28"/>
          <w:lang w:eastAsia="zh-CN"/>
        </w:rPr>
        <w:t>i</w:t>
      </w:r>
      <w:r>
        <w:rPr>
          <w:rFonts w:ascii="Times New Roman" w:hAnsi="Times New Roman" w:cs="Times New Roman"/>
          <w:sz w:val="28"/>
          <w:szCs w:val="28"/>
        </w:rPr>
        <w:t>nvestigator's file or in the subject's folder.</w:t>
      </w:r>
    </w:p>
    <w:p w14:paraId="3D26216C"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w:t>
      </w:r>
      <w:r>
        <w:rPr>
          <w:rFonts w:ascii="Times New Roman" w:eastAsia="宋体" w:hAnsi="Times New Roman" w:cs="Times New Roman"/>
          <w:sz w:val="28"/>
          <w:szCs w:val="28"/>
          <w:lang w:eastAsia="zh-CN"/>
        </w:rPr>
        <w:t>i</w:t>
      </w:r>
      <w:r>
        <w:rPr>
          <w:rFonts w:ascii="Times New Roman" w:hAnsi="Times New Roman" w:cs="Times New Roman"/>
          <w:sz w:val="28"/>
          <w:szCs w:val="28"/>
        </w:rPr>
        <w:t xml:space="preserve">nvestigator is responsible for explaining the content of the informed consent to the subject and obtaining a signed and dated informed consent form from the subject or his/her legal representative prior to the start of the study. After signing, the </w:t>
      </w:r>
      <w:r>
        <w:rPr>
          <w:rFonts w:ascii="Times New Roman" w:eastAsia="宋体" w:hAnsi="Times New Roman" w:cs="Times New Roman"/>
          <w:sz w:val="28"/>
          <w:szCs w:val="28"/>
          <w:lang w:eastAsia="zh-CN"/>
        </w:rPr>
        <w:t>i</w:t>
      </w:r>
      <w:r>
        <w:rPr>
          <w:rFonts w:ascii="Times New Roman" w:hAnsi="Times New Roman" w:cs="Times New Roman"/>
          <w:sz w:val="28"/>
          <w:szCs w:val="28"/>
        </w:rPr>
        <w:t xml:space="preserve">nvestigator should send the subject a copy of the signed informed consent form. The process of informed consent should be documented by the </w:t>
      </w:r>
      <w:r>
        <w:rPr>
          <w:rFonts w:ascii="Times New Roman" w:eastAsia="宋体" w:hAnsi="Times New Roman" w:cs="Times New Roman"/>
          <w:sz w:val="28"/>
          <w:szCs w:val="28"/>
          <w:lang w:eastAsia="zh-CN"/>
        </w:rPr>
        <w:t>i</w:t>
      </w:r>
      <w:r>
        <w:rPr>
          <w:rFonts w:ascii="Times New Roman" w:hAnsi="Times New Roman" w:cs="Times New Roman"/>
          <w:sz w:val="28"/>
          <w:szCs w:val="28"/>
        </w:rPr>
        <w:t>nvestigator in the original trial documentation.</w:t>
      </w:r>
    </w:p>
    <w:p w14:paraId="7ADCFCEE"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 xml:space="preserve">4. Patient Data Protection </w:t>
      </w:r>
    </w:p>
    <w:p w14:paraId="0AE0285B"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The ICF will contain (or in some cases, together with the use of a separate document) information about data protection and privacy protection.</w:t>
      </w:r>
    </w:p>
    <w:p w14:paraId="5478E221" w14:textId="77777777" w:rsidR="009D72E0" w:rsidRDefault="00000000">
      <w:pPr>
        <w:spacing w:after="0" w:line="360" w:lineRule="auto"/>
        <w:ind w:firstLineChars="100" w:firstLine="280"/>
        <w:rPr>
          <w:rFonts w:ascii="Times New Roman" w:hAnsi="Times New Roman" w:cs="Times New Roman"/>
          <w:sz w:val="28"/>
          <w:szCs w:val="28"/>
        </w:rPr>
      </w:pPr>
      <w:r>
        <w:rPr>
          <w:rFonts w:ascii="Times New Roman" w:hAnsi="Times New Roman" w:cs="Times New Roman"/>
          <w:sz w:val="28"/>
          <w:szCs w:val="28"/>
        </w:rPr>
        <w:t>Precautions are taken to ensure the confidentiality of documents and to prevent the identification of subjects. However, in exceptional circumstances, certain persons may be able to see a subject's genetic data and PIN. For example, in the event of a medical emergency, the researcher is aware of the subject identifier and has access to the subject's genetic data.</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 xml:space="preserve">In addition, the relevant regulatory </w:t>
      </w:r>
      <w:r>
        <w:rPr>
          <w:rFonts w:ascii="Times New Roman" w:eastAsia="宋体" w:hAnsi="Times New Roman" w:cs="Times New Roman"/>
          <w:sz w:val="28"/>
          <w:szCs w:val="28"/>
          <w:lang w:eastAsia="zh-CN"/>
        </w:rPr>
        <w:t>body</w:t>
      </w:r>
      <w:r>
        <w:rPr>
          <w:rFonts w:ascii="Times New Roman" w:hAnsi="Times New Roman" w:cs="Times New Roman"/>
          <w:sz w:val="28"/>
          <w:szCs w:val="28"/>
        </w:rPr>
        <w:t xml:space="preserve"> requires access to relevant documents.</w:t>
      </w:r>
    </w:p>
    <w:p w14:paraId="3C87F93C" w14:textId="77777777" w:rsidR="009D72E0" w:rsidRDefault="00000000">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47714631" w14:textId="77777777" w:rsidR="009D72E0" w:rsidRDefault="00000000">
      <w:pPr>
        <w:spacing w:after="0" w:line="360" w:lineRule="auto"/>
        <w:rPr>
          <w:rFonts w:ascii="Times New Roman" w:eastAsia="宋体" w:hAnsi="Times New Roman" w:cs="Times New Roman"/>
          <w:sz w:val="28"/>
          <w:szCs w:val="28"/>
          <w:lang w:eastAsia="zh-CN"/>
        </w:rPr>
      </w:pPr>
      <w:bookmarkStart w:id="18" w:name="_Hlk206452896"/>
      <w:r>
        <w:rPr>
          <w:rFonts w:ascii="Times New Roman" w:hAnsi="Times New Roman" w:cs="Times New Roman"/>
          <w:sz w:val="28"/>
          <w:szCs w:val="28"/>
        </w:rPr>
        <w:lastRenderedPageBreak/>
        <w:t>Appendix 1. ECOG Performance Status Scal</w:t>
      </w:r>
      <w:r>
        <w:rPr>
          <w:rFonts w:ascii="Times New Roman" w:eastAsia="宋体" w:hAnsi="Times New Roman" w:cs="Times New Roman"/>
          <w:sz w:val="28"/>
          <w:szCs w:val="28"/>
          <w:lang w:eastAsia="zh-CN"/>
        </w:rPr>
        <w:t>e</w:t>
      </w:r>
    </w:p>
    <w:bookmarkEnd w:id="18"/>
    <w:p w14:paraId="5F9EA602" w14:textId="77777777" w:rsidR="009D72E0" w:rsidRDefault="009D72E0">
      <w:pPr>
        <w:spacing w:after="0" w:line="360" w:lineRule="auto"/>
        <w:rPr>
          <w:rFonts w:ascii="Times New Roman" w:eastAsia="宋体" w:hAnsi="Times New Roman" w:cs="Times New Roman"/>
          <w:sz w:val="28"/>
          <w:szCs w:val="28"/>
          <w:lang w:eastAsia="zh-CN"/>
        </w:rPr>
      </w:pPr>
    </w:p>
    <w:p w14:paraId="64537D41"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 xml:space="preserve">0 Asymptomatic, fully active, and able to perform unrestricted activities. </w:t>
      </w:r>
    </w:p>
    <w:p w14:paraId="71F92158"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 xml:space="preserve">1 Symptomatic, able to walk independently, but restricted in heavy physical activities; able to perform light or sedentary work, such as light housework or office work. </w:t>
      </w:r>
    </w:p>
    <w:p w14:paraId="7D811B09"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2 Symptomatic, able to walk, able to care for oneself, but unable to perform any physical activities, with</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approximately 50% or more of waking hours spent in bed (daytime bed rest &lt;50%).</w:t>
      </w:r>
    </w:p>
    <w:p w14:paraId="5CF72207"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3 Symptomatic, limited ability to care for oneself, with more than 50% of waking hours spent in bed or seated, but</w:t>
      </w:r>
      <w:r>
        <w:rPr>
          <w:rFonts w:ascii="Times New Roman" w:eastAsia="宋体" w:hAnsi="Times New Roman" w:cs="Times New Roman"/>
          <w:sz w:val="28"/>
          <w:szCs w:val="28"/>
          <w:lang w:eastAsia="zh-CN"/>
        </w:rPr>
        <w:t xml:space="preserve"> </w:t>
      </w:r>
      <w:r>
        <w:rPr>
          <w:rFonts w:ascii="Times New Roman" w:hAnsi="Times New Roman" w:cs="Times New Roman"/>
          <w:sz w:val="28"/>
          <w:szCs w:val="28"/>
        </w:rPr>
        <w:t>not yet bedridden.</w:t>
      </w:r>
    </w:p>
    <w:p w14:paraId="0FE146D4"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4 Completely incapacitated, unable to care for oneself, bedridden.</w:t>
      </w:r>
    </w:p>
    <w:p w14:paraId="5066F627"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5 Death.</w:t>
      </w:r>
    </w:p>
    <w:p w14:paraId="18FE066B" w14:textId="77777777" w:rsidR="009D72E0" w:rsidRDefault="00000000">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6448FEF3" w14:textId="77777777" w:rsidR="009D72E0" w:rsidRDefault="00000000">
      <w:pPr>
        <w:spacing w:after="0" w:line="360" w:lineRule="auto"/>
        <w:rPr>
          <w:rFonts w:ascii="Times New Roman" w:hAnsi="Times New Roman" w:cs="Times New Roman"/>
          <w:sz w:val="28"/>
          <w:szCs w:val="28"/>
        </w:rPr>
      </w:pPr>
      <w:bookmarkStart w:id="19" w:name="_Hlk206452908"/>
      <w:r>
        <w:rPr>
          <w:rFonts w:ascii="Times New Roman" w:hAnsi="Times New Roman" w:cs="Times New Roman"/>
          <w:sz w:val="28"/>
          <w:szCs w:val="28"/>
        </w:rPr>
        <w:lastRenderedPageBreak/>
        <w:t xml:space="preserve">Appendix </w:t>
      </w:r>
      <w:r>
        <w:rPr>
          <w:rFonts w:ascii="Times New Roman" w:eastAsia="宋体" w:hAnsi="Times New Roman" w:cs="Times New Roman"/>
          <w:sz w:val="28"/>
          <w:szCs w:val="28"/>
          <w:lang w:eastAsia="zh-CN"/>
        </w:rPr>
        <w:t>2</w:t>
      </w:r>
      <w:r>
        <w:rPr>
          <w:rFonts w:ascii="Times New Roman" w:hAnsi="Times New Roman" w:cs="Times New Roman"/>
          <w:sz w:val="28"/>
          <w:szCs w:val="28"/>
        </w:rPr>
        <w:t>. Tumor Regression Grade (TRG) Criteria</w:t>
      </w:r>
    </w:p>
    <w:bookmarkEnd w:id="19"/>
    <w:p w14:paraId="5F69A670" w14:textId="77777777" w:rsidR="009D72E0" w:rsidRDefault="009D72E0">
      <w:pPr>
        <w:spacing w:after="0" w:line="360" w:lineRule="auto"/>
        <w:rPr>
          <w:rFonts w:ascii="Times New Roman" w:hAnsi="Times New Roman" w:cs="Times New Roman"/>
          <w:sz w:val="28"/>
          <w:szCs w:val="28"/>
        </w:rPr>
      </w:pPr>
    </w:p>
    <w:p w14:paraId="732301AF"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0 (Complete Response) Tumor disappearance.</w:t>
      </w:r>
    </w:p>
    <w:p w14:paraId="21047F1A"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1 (Moderate Response) Residual isolated cells or cell clusters.</w:t>
      </w:r>
    </w:p>
    <w:p w14:paraId="448CCAE8"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2 (Minimal Response) Residual tumor tissue in fibrotic tissue.</w:t>
      </w:r>
    </w:p>
    <w:p w14:paraId="6851048A" w14:textId="77777777" w:rsidR="009D72E0" w:rsidRDefault="00000000">
      <w:pPr>
        <w:spacing w:after="0" w:line="360" w:lineRule="auto"/>
        <w:rPr>
          <w:rFonts w:ascii="Times New Roman" w:hAnsi="Times New Roman" w:cs="Times New Roman"/>
          <w:sz w:val="28"/>
          <w:szCs w:val="28"/>
        </w:rPr>
      </w:pPr>
      <w:r>
        <w:rPr>
          <w:rFonts w:ascii="Times New Roman" w:eastAsia="宋体" w:hAnsi="Times New Roman" w:cs="Times New Roman"/>
          <w:sz w:val="28"/>
          <w:szCs w:val="28"/>
          <w:lang w:eastAsia="zh-CN"/>
        </w:rPr>
        <w:t xml:space="preserve">Grade </w:t>
      </w:r>
      <w:r>
        <w:rPr>
          <w:rFonts w:ascii="Times New Roman" w:hAnsi="Times New Roman" w:cs="Times New Roman"/>
          <w:sz w:val="28"/>
          <w:szCs w:val="28"/>
        </w:rPr>
        <w:t>3 (Weak Response) Large number of residual tumor cells, weak or no response to treatment.</w:t>
      </w:r>
    </w:p>
    <w:p w14:paraId="07280F4F" w14:textId="77777777" w:rsidR="009D72E0" w:rsidRDefault="009D72E0">
      <w:pPr>
        <w:spacing w:after="0" w:line="360" w:lineRule="auto"/>
        <w:rPr>
          <w:rFonts w:ascii="Times New Roman" w:hAnsi="Times New Roman" w:cs="Times New Roman"/>
          <w:sz w:val="28"/>
          <w:szCs w:val="28"/>
        </w:rPr>
      </w:pPr>
    </w:p>
    <w:sectPr w:rsidR="009D72E0" w:rsidSect="00D80EB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17AC3A" w14:textId="77777777" w:rsidR="00DA345B" w:rsidRDefault="00DA345B">
      <w:pPr>
        <w:spacing w:line="240" w:lineRule="auto"/>
      </w:pPr>
      <w:r>
        <w:separator/>
      </w:r>
    </w:p>
  </w:endnote>
  <w:endnote w:type="continuationSeparator" w:id="0">
    <w:p w14:paraId="5A289752" w14:textId="77777777" w:rsidR="00DA345B" w:rsidRDefault="00DA34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430142"/>
    </w:sdtPr>
    <w:sdtContent>
      <w:sdt>
        <w:sdtPr>
          <w:id w:val="1728636285"/>
        </w:sdtPr>
        <w:sdtContent>
          <w:p w14:paraId="52F832DC" w14:textId="77777777" w:rsidR="009D72E0" w:rsidRDefault="00000000">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rPr>
              <w:t>60</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rPr>
              <w:t>65</w:t>
            </w:r>
            <w:r>
              <w:rPr>
                <w:b/>
                <w:bCs/>
                <w:sz w:val="24"/>
                <w:szCs w:val="24"/>
              </w:rPr>
              <w:fldChar w:fldCharType="end"/>
            </w:r>
          </w:p>
        </w:sdtContent>
      </w:sdt>
    </w:sdtContent>
  </w:sdt>
  <w:p w14:paraId="16C3F70B" w14:textId="77777777" w:rsidR="009D72E0" w:rsidRDefault="009D72E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5B8207" w14:textId="77777777" w:rsidR="00DA345B" w:rsidRDefault="00DA345B">
      <w:pPr>
        <w:spacing w:after="0"/>
      </w:pPr>
      <w:r>
        <w:separator/>
      </w:r>
    </w:p>
  </w:footnote>
  <w:footnote w:type="continuationSeparator" w:id="0">
    <w:p w14:paraId="25B72367" w14:textId="77777777" w:rsidR="00DA345B" w:rsidRDefault="00DA34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15:restartNumberingAfterBreak="0">
    <w:nsid w:val="5E7A41BA"/>
    <w:multiLevelType w:val="multilevel"/>
    <w:tmpl w:val="5E7A41BA"/>
    <w:lvl w:ilvl="0">
      <w:start w:val="1"/>
      <w:numFmt w:val="decimal"/>
      <w:lvlText w:val="(%1)"/>
      <w:lvlJc w:val="left"/>
      <w:pPr>
        <w:ind w:left="640" w:hanging="360"/>
      </w:pPr>
      <w:rPr>
        <w:rFonts w:eastAsia="宋体" w:hint="default"/>
      </w:rPr>
    </w:lvl>
    <w:lvl w:ilvl="1">
      <w:start w:val="1"/>
      <w:numFmt w:val="lowerLetter"/>
      <w:lvlText w:val="%2)"/>
      <w:lvlJc w:val="left"/>
      <w:pPr>
        <w:ind w:left="1160" w:hanging="440"/>
      </w:pPr>
    </w:lvl>
    <w:lvl w:ilvl="2">
      <w:start w:val="1"/>
      <w:numFmt w:val="lowerRoman"/>
      <w:lvlText w:val="%3."/>
      <w:lvlJc w:val="right"/>
      <w:pPr>
        <w:ind w:left="1600" w:hanging="440"/>
      </w:pPr>
    </w:lvl>
    <w:lvl w:ilvl="3">
      <w:start w:val="1"/>
      <w:numFmt w:val="decimal"/>
      <w:lvlText w:val="%4."/>
      <w:lvlJc w:val="left"/>
      <w:pPr>
        <w:ind w:left="2040" w:hanging="440"/>
      </w:pPr>
    </w:lvl>
    <w:lvl w:ilvl="4">
      <w:start w:val="1"/>
      <w:numFmt w:val="lowerLetter"/>
      <w:lvlText w:val="%5)"/>
      <w:lvlJc w:val="left"/>
      <w:pPr>
        <w:ind w:left="2480" w:hanging="440"/>
      </w:pPr>
    </w:lvl>
    <w:lvl w:ilvl="5">
      <w:start w:val="1"/>
      <w:numFmt w:val="lowerRoman"/>
      <w:lvlText w:val="%6."/>
      <w:lvlJc w:val="right"/>
      <w:pPr>
        <w:ind w:left="2920" w:hanging="440"/>
      </w:pPr>
    </w:lvl>
    <w:lvl w:ilvl="6">
      <w:start w:val="1"/>
      <w:numFmt w:val="decimal"/>
      <w:lvlText w:val="%7."/>
      <w:lvlJc w:val="left"/>
      <w:pPr>
        <w:ind w:left="3360" w:hanging="440"/>
      </w:pPr>
    </w:lvl>
    <w:lvl w:ilvl="7">
      <w:start w:val="1"/>
      <w:numFmt w:val="lowerLetter"/>
      <w:lvlText w:val="%8)"/>
      <w:lvlJc w:val="left"/>
      <w:pPr>
        <w:ind w:left="3800" w:hanging="440"/>
      </w:pPr>
    </w:lvl>
    <w:lvl w:ilvl="8">
      <w:start w:val="1"/>
      <w:numFmt w:val="lowerRoman"/>
      <w:lvlText w:val="%9."/>
      <w:lvlJc w:val="right"/>
      <w:pPr>
        <w:ind w:left="4240" w:hanging="440"/>
      </w:pPr>
    </w:lvl>
  </w:abstractNum>
  <w:num w:numId="1" w16cid:durableId="2041541442">
    <w:abstractNumId w:val="1"/>
  </w:num>
  <w:num w:numId="2" w16cid:durableId="1951744892">
    <w:abstractNumId w:val="4"/>
  </w:num>
  <w:num w:numId="3" w16cid:durableId="756706959">
    <w:abstractNumId w:val="5"/>
  </w:num>
  <w:num w:numId="4" w16cid:durableId="824129427">
    <w:abstractNumId w:val="2"/>
  </w:num>
  <w:num w:numId="5" w16cid:durableId="64765902">
    <w:abstractNumId w:val="0"/>
  </w:num>
  <w:num w:numId="6" w16cid:durableId="876509025">
    <w:abstractNumId w:val="3"/>
  </w:num>
  <w:num w:numId="7" w16cid:durableId="15142945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bordersDoNotSurroundHeader/>
  <w:bordersDoNotSurroundFooter/>
  <w:proofState w:spelling="clean" w:grammar="clean"/>
  <w:defaultTabStop w:val="7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6341"/>
    <w:rsid w:val="00013C3D"/>
    <w:rsid w:val="000151A1"/>
    <w:rsid w:val="00034616"/>
    <w:rsid w:val="000538DE"/>
    <w:rsid w:val="000567A5"/>
    <w:rsid w:val="0006063C"/>
    <w:rsid w:val="000E7C39"/>
    <w:rsid w:val="00124489"/>
    <w:rsid w:val="0015074B"/>
    <w:rsid w:val="00157213"/>
    <w:rsid w:val="00164448"/>
    <w:rsid w:val="001F6733"/>
    <w:rsid w:val="00234944"/>
    <w:rsid w:val="0025546E"/>
    <w:rsid w:val="00261976"/>
    <w:rsid w:val="00263FFD"/>
    <w:rsid w:val="0029639D"/>
    <w:rsid w:val="002A5897"/>
    <w:rsid w:val="002A77E0"/>
    <w:rsid w:val="002C59B7"/>
    <w:rsid w:val="002E11BF"/>
    <w:rsid w:val="002E1294"/>
    <w:rsid w:val="00320299"/>
    <w:rsid w:val="00326F90"/>
    <w:rsid w:val="00331AD8"/>
    <w:rsid w:val="00360C36"/>
    <w:rsid w:val="003B675A"/>
    <w:rsid w:val="003F515F"/>
    <w:rsid w:val="00405BB0"/>
    <w:rsid w:val="00457DFB"/>
    <w:rsid w:val="00461DF0"/>
    <w:rsid w:val="004947EE"/>
    <w:rsid w:val="004A179F"/>
    <w:rsid w:val="005117FA"/>
    <w:rsid w:val="0054418D"/>
    <w:rsid w:val="0054448A"/>
    <w:rsid w:val="00565F5B"/>
    <w:rsid w:val="00572C22"/>
    <w:rsid w:val="0059048B"/>
    <w:rsid w:val="005B7CBD"/>
    <w:rsid w:val="005F0A29"/>
    <w:rsid w:val="006350E7"/>
    <w:rsid w:val="00637CEA"/>
    <w:rsid w:val="00653038"/>
    <w:rsid w:val="00763970"/>
    <w:rsid w:val="00792F10"/>
    <w:rsid w:val="007F4895"/>
    <w:rsid w:val="00887881"/>
    <w:rsid w:val="008E7BCF"/>
    <w:rsid w:val="009047A7"/>
    <w:rsid w:val="009424BD"/>
    <w:rsid w:val="00980D09"/>
    <w:rsid w:val="009C213B"/>
    <w:rsid w:val="009D72E0"/>
    <w:rsid w:val="009D77DF"/>
    <w:rsid w:val="009F1832"/>
    <w:rsid w:val="00A00C45"/>
    <w:rsid w:val="00A24132"/>
    <w:rsid w:val="00A245B6"/>
    <w:rsid w:val="00A50BA0"/>
    <w:rsid w:val="00A83F3E"/>
    <w:rsid w:val="00AA1D8D"/>
    <w:rsid w:val="00AA47F3"/>
    <w:rsid w:val="00AC2DEF"/>
    <w:rsid w:val="00AF1C99"/>
    <w:rsid w:val="00B05943"/>
    <w:rsid w:val="00B05BAB"/>
    <w:rsid w:val="00B16B7C"/>
    <w:rsid w:val="00B47730"/>
    <w:rsid w:val="00BA5BE1"/>
    <w:rsid w:val="00BD53F6"/>
    <w:rsid w:val="00BD631C"/>
    <w:rsid w:val="00C55710"/>
    <w:rsid w:val="00C77A8E"/>
    <w:rsid w:val="00C8639C"/>
    <w:rsid w:val="00C91036"/>
    <w:rsid w:val="00C91A66"/>
    <w:rsid w:val="00CB0664"/>
    <w:rsid w:val="00CD4035"/>
    <w:rsid w:val="00CE2F9F"/>
    <w:rsid w:val="00D502EF"/>
    <w:rsid w:val="00D56A88"/>
    <w:rsid w:val="00D80EB3"/>
    <w:rsid w:val="00DA345B"/>
    <w:rsid w:val="00DA59E9"/>
    <w:rsid w:val="00DB16FE"/>
    <w:rsid w:val="00DC47DD"/>
    <w:rsid w:val="00E05E12"/>
    <w:rsid w:val="00E10818"/>
    <w:rsid w:val="00E20048"/>
    <w:rsid w:val="00E414AE"/>
    <w:rsid w:val="00E52141"/>
    <w:rsid w:val="00E8006D"/>
    <w:rsid w:val="00EB6A9A"/>
    <w:rsid w:val="00F1373C"/>
    <w:rsid w:val="00F67E18"/>
    <w:rsid w:val="00F92587"/>
    <w:rsid w:val="00FB533D"/>
    <w:rsid w:val="00FC1ED3"/>
    <w:rsid w:val="00FC693F"/>
    <w:rsid w:val="03956CDD"/>
    <w:rsid w:val="039E5A0D"/>
    <w:rsid w:val="04376D5B"/>
    <w:rsid w:val="0A536664"/>
    <w:rsid w:val="0F2714BF"/>
    <w:rsid w:val="122B7782"/>
    <w:rsid w:val="1B0F7CCD"/>
    <w:rsid w:val="1F6039F3"/>
    <w:rsid w:val="22D34D9D"/>
    <w:rsid w:val="2BE23D4A"/>
    <w:rsid w:val="3CAE391D"/>
    <w:rsid w:val="4E4C6ED8"/>
    <w:rsid w:val="55AE2AAB"/>
    <w:rsid w:val="5FB707AE"/>
    <w:rsid w:val="61805AAA"/>
    <w:rsid w:val="6DE6777A"/>
    <w:rsid w:val="73826B5F"/>
    <w:rsid w:val="745143FF"/>
    <w:rsid w:val="7C4D02DE"/>
    <w:rsid w:val="7EA976CD"/>
    <w:rsid w:val="7F0A03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F10D65"/>
  <w14:defaultImageDpi w14:val="300"/>
  <w15:docId w15:val="{C7096A1F-B83D-4511-87B9-B402B5CAF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link w:val="a9"/>
    <w:uiPriority w:val="99"/>
    <w:semiHidden/>
    <w:unhideWhenUsed/>
    <w:qFormat/>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a">
    <w:name w:val="Body Text"/>
    <w:basedOn w:val="a1"/>
    <w:link w:val="ab"/>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c">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d">
    <w:name w:val="Balloon Text"/>
    <w:basedOn w:val="a1"/>
    <w:link w:val="ae"/>
    <w:uiPriority w:val="99"/>
    <w:semiHidden/>
    <w:unhideWhenUsed/>
    <w:qFormat/>
    <w:pPr>
      <w:spacing w:after="0" w:line="240" w:lineRule="auto"/>
    </w:pPr>
    <w:rPr>
      <w:sz w:val="18"/>
      <w:szCs w:val="18"/>
    </w:rPr>
  </w:style>
  <w:style w:type="paragraph" w:styleId="af">
    <w:name w:val="footer"/>
    <w:basedOn w:val="a1"/>
    <w:link w:val="af0"/>
    <w:uiPriority w:val="99"/>
    <w:unhideWhenUsed/>
    <w:qFormat/>
    <w:pPr>
      <w:tabs>
        <w:tab w:val="center" w:pos="4680"/>
        <w:tab w:val="right" w:pos="9360"/>
      </w:tabs>
      <w:spacing w:after="0" w:line="240" w:lineRule="auto"/>
    </w:pPr>
  </w:style>
  <w:style w:type="paragraph" w:styleId="af1">
    <w:name w:val="header"/>
    <w:basedOn w:val="a1"/>
    <w:link w:val="af2"/>
    <w:uiPriority w:val="99"/>
    <w:unhideWhenUsed/>
    <w:qFormat/>
    <w:pPr>
      <w:tabs>
        <w:tab w:val="center" w:pos="4680"/>
        <w:tab w:val="right" w:pos="9360"/>
      </w:tabs>
      <w:spacing w:after="0" w:line="240" w:lineRule="auto"/>
    </w:pPr>
  </w:style>
  <w:style w:type="paragraph" w:styleId="af3">
    <w:name w:val="Subtitle"/>
    <w:basedOn w:val="a1"/>
    <w:next w:val="a1"/>
    <w:link w:val="af4"/>
    <w:uiPriority w:val="11"/>
    <w:qFormat/>
    <w:rPr>
      <w:rFonts w:asciiTheme="majorHAnsi" w:eastAsiaTheme="majorEastAsia" w:hAnsiTheme="majorHAnsi" w:cstheme="majorBidi"/>
      <w:i/>
      <w:iCs/>
      <w:color w:val="4F81BD" w:themeColor="accent1"/>
      <w:spacing w:val="15"/>
      <w:sz w:val="24"/>
      <w:szCs w:val="24"/>
    </w:rPr>
  </w:style>
  <w:style w:type="paragraph" w:styleId="af5">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af6">
    <w:name w:val="Normal (Web)"/>
    <w:basedOn w:val="a1"/>
    <w:uiPriority w:val="99"/>
    <w:unhideWhenUsed/>
    <w:qFormat/>
    <w:pPr>
      <w:spacing w:before="100" w:beforeAutospacing="1" w:after="100" w:afterAutospacing="1" w:line="240" w:lineRule="auto"/>
    </w:pPr>
    <w:rPr>
      <w:rFonts w:ascii="宋体" w:eastAsia="宋体" w:hAnsi="宋体" w:cs="宋体"/>
      <w:sz w:val="24"/>
      <w:szCs w:val="24"/>
      <w:lang w:eastAsia="zh-CN"/>
    </w:rPr>
  </w:style>
  <w:style w:type="paragraph" w:styleId="36">
    <w:name w:val="List Continue 3"/>
    <w:basedOn w:val="a1"/>
    <w:uiPriority w:val="99"/>
    <w:unhideWhenUsed/>
    <w:qFormat/>
    <w:pPr>
      <w:spacing w:after="120"/>
      <w:ind w:left="1080"/>
      <w:contextualSpacing/>
    </w:pPr>
  </w:style>
  <w:style w:type="paragraph" w:styleId="af7">
    <w:name w:val="Title"/>
    <w:basedOn w:val="a1"/>
    <w:next w:val="a1"/>
    <w:link w:val="af8"/>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9">
    <w:name w:val="annotation subject"/>
    <w:basedOn w:val="a8"/>
    <w:next w:val="a8"/>
    <w:link w:val="afa"/>
    <w:uiPriority w:val="99"/>
    <w:semiHidden/>
    <w:unhideWhenUsed/>
    <w:qFormat/>
    <w:rPr>
      <w:b/>
      <w:bCs/>
    </w:rPr>
  </w:style>
  <w:style w:type="table" w:styleId="afb">
    <w:name w:val="Table Grid"/>
    <w:basedOn w:val="a3"/>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c">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d">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e">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0">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1">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2">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3">
    <w:name w:val="Strong"/>
    <w:basedOn w:val="a2"/>
    <w:uiPriority w:val="22"/>
    <w:qFormat/>
    <w:rPr>
      <w:b/>
      <w:bCs/>
    </w:rPr>
  </w:style>
  <w:style w:type="character" w:styleId="aff4">
    <w:name w:val="Emphasis"/>
    <w:basedOn w:val="a2"/>
    <w:uiPriority w:val="20"/>
    <w:qFormat/>
    <w:rPr>
      <w:i/>
      <w:iCs/>
    </w:rPr>
  </w:style>
  <w:style w:type="character" w:styleId="aff5">
    <w:name w:val="annotation reference"/>
    <w:basedOn w:val="a2"/>
    <w:uiPriority w:val="99"/>
    <w:semiHidden/>
    <w:unhideWhenUsed/>
    <w:qFormat/>
    <w:rPr>
      <w:sz w:val="21"/>
      <w:szCs w:val="21"/>
    </w:rPr>
  </w:style>
  <w:style w:type="character" w:customStyle="1" w:styleId="af2">
    <w:name w:val="页眉 字符"/>
    <w:basedOn w:val="a2"/>
    <w:link w:val="af1"/>
    <w:uiPriority w:val="99"/>
    <w:qFormat/>
  </w:style>
  <w:style w:type="character" w:customStyle="1" w:styleId="af0">
    <w:name w:val="页脚 字符"/>
    <w:basedOn w:val="a2"/>
    <w:link w:val="af"/>
    <w:uiPriority w:val="99"/>
    <w:qFormat/>
  </w:style>
  <w:style w:type="paragraph" w:styleId="aff6">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8">
    <w:name w:val="标题 字符"/>
    <w:basedOn w:val="a2"/>
    <w:link w:val="af7"/>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4">
    <w:name w:val="副标题 字符"/>
    <w:basedOn w:val="a2"/>
    <w:link w:val="af3"/>
    <w:uiPriority w:val="11"/>
    <w:qFormat/>
    <w:rPr>
      <w:rFonts w:asciiTheme="majorHAnsi" w:eastAsiaTheme="majorEastAsia" w:hAnsiTheme="majorHAnsi" w:cstheme="majorBidi"/>
      <w:i/>
      <w:iCs/>
      <w:color w:val="4F81BD" w:themeColor="accent1"/>
      <w:spacing w:val="15"/>
      <w:sz w:val="24"/>
      <w:szCs w:val="24"/>
    </w:rPr>
  </w:style>
  <w:style w:type="paragraph" w:styleId="aff7">
    <w:name w:val="List Paragraph"/>
    <w:basedOn w:val="a1"/>
    <w:uiPriority w:val="34"/>
    <w:qFormat/>
    <w:pPr>
      <w:ind w:left="720"/>
      <w:contextualSpacing/>
    </w:pPr>
  </w:style>
  <w:style w:type="character" w:customStyle="1" w:styleId="ab">
    <w:name w:val="正文文本 字符"/>
    <w:basedOn w:val="a2"/>
    <w:link w:val="aa"/>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8">
    <w:name w:val="Quote"/>
    <w:basedOn w:val="a1"/>
    <w:next w:val="a1"/>
    <w:link w:val="aff9"/>
    <w:uiPriority w:val="29"/>
    <w:qFormat/>
    <w:rPr>
      <w:i/>
      <w:iCs/>
      <w:color w:val="000000" w:themeColor="text1"/>
    </w:rPr>
  </w:style>
  <w:style w:type="character" w:customStyle="1" w:styleId="aff9">
    <w:name w:val="引用 字符"/>
    <w:basedOn w:val="a2"/>
    <w:link w:val="aff8"/>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a">
    <w:name w:val="Intense Quote"/>
    <w:basedOn w:val="a1"/>
    <w:next w:val="a1"/>
    <w:link w:val="affb"/>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b">
    <w:name w:val="明显引用 字符"/>
    <w:basedOn w:val="a2"/>
    <w:link w:val="affa"/>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table" w:customStyle="1" w:styleId="210">
    <w:name w:val="无格式表格 21"/>
    <w:basedOn w:val="a3"/>
    <w:qFormat/>
    <w:rPr>
      <w:rFonts w:eastAsia="Times New Roman"/>
    </w:rPr>
    <w:tblPr>
      <w:tblBorders>
        <w:top w:val="single" w:sz="4" w:space="0" w:color="7E7E7E"/>
        <w:bottom w:val="single" w:sz="4" w:space="0" w:color="7E7E7E"/>
      </w:tblBorders>
    </w:tblPr>
    <w:tblStylePr w:type="firstRow">
      <w:rPr>
        <w:rFonts w:ascii="Times New Roman" w:hAnsi="Times New Roman" w:cs="Times New Roman" w:hint="default"/>
        <w:b/>
        <w:bCs/>
      </w:rPr>
      <w:tblPr/>
      <w:tcPr>
        <w:tcBorders>
          <w:bottom w:val="single" w:sz="4" w:space="0" w:color="7E7E7E"/>
        </w:tcBorders>
      </w:tcPr>
    </w:tblStylePr>
    <w:tblStylePr w:type="lastRow">
      <w:rPr>
        <w:rFonts w:ascii="Times New Roman" w:hAnsi="Times New Roman" w:cs="Times New Roman" w:hint="default"/>
        <w:b/>
        <w:bCs/>
      </w:rPr>
      <w:tblPr/>
      <w:tcPr>
        <w:tcBorders>
          <w:top w:val="single" w:sz="4" w:space="0" w:color="7E7E7E"/>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left w:val="single" w:sz="4" w:space="0" w:color="7E7E7E"/>
          <w:right w:val="single" w:sz="4" w:space="0" w:color="7E7E7E"/>
        </w:tcBorders>
      </w:tcPr>
    </w:tblStylePr>
    <w:tblStylePr w:type="band2Vert">
      <w:tblPr/>
      <w:tcPr>
        <w:tcBorders>
          <w:left w:val="single" w:sz="4" w:space="0" w:color="7E7E7E"/>
          <w:right w:val="single" w:sz="4" w:space="0" w:color="7E7E7E"/>
        </w:tcBorders>
      </w:tcPr>
    </w:tblStylePr>
    <w:tblStylePr w:type="band1Horz">
      <w:tblPr/>
      <w:tcPr>
        <w:tcBorders>
          <w:top w:val="single" w:sz="4" w:space="0" w:color="7E7E7E"/>
          <w:bottom w:val="single" w:sz="4" w:space="0" w:color="7E7E7E"/>
        </w:tcBorders>
      </w:tcPr>
    </w:tblStylePr>
  </w:style>
  <w:style w:type="character" w:customStyle="1" w:styleId="a9">
    <w:name w:val="批注文字 字符"/>
    <w:basedOn w:val="a2"/>
    <w:link w:val="a8"/>
    <w:uiPriority w:val="99"/>
    <w:semiHidden/>
    <w:qFormat/>
    <w:rPr>
      <w:sz w:val="22"/>
      <w:szCs w:val="22"/>
      <w:lang w:eastAsia="en-US"/>
    </w:rPr>
  </w:style>
  <w:style w:type="character" w:customStyle="1" w:styleId="afa">
    <w:name w:val="批注主题 字符"/>
    <w:basedOn w:val="a9"/>
    <w:link w:val="af9"/>
    <w:uiPriority w:val="99"/>
    <w:semiHidden/>
    <w:qFormat/>
    <w:rPr>
      <w:b/>
      <w:bCs/>
      <w:sz w:val="22"/>
      <w:szCs w:val="22"/>
      <w:lang w:eastAsia="en-US"/>
    </w:rPr>
  </w:style>
  <w:style w:type="character" w:customStyle="1" w:styleId="ae">
    <w:name w:val="批注框文本 字符"/>
    <w:basedOn w:val="a2"/>
    <w:link w:val="ad"/>
    <w:uiPriority w:val="99"/>
    <w:semiHidden/>
    <w:qFormat/>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B4CDE-4FF4-46E5-A680-EA777DF80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63</Pages>
  <Words>12800</Words>
  <Characters>72966</Characters>
  <Application>Microsoft Office Word</Application>
  <DocSecurity>0</DocSecurity>
  <Lines>608</Lines>
  <Paragraphs>171</Paragraphs>
  <ScaleCrop>false</ScaleCrop>
  <Company/>
  <LinksUpToDate>false</LinksUpToDate>
  <CharactersWithSpaces>85595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durainycc@163.com</cp:lastModifiedBy>
  <cp:revision>6</cp:revision>
  <dcterms:created xsi:type="dcterms:W3CDTF">2026-03-22T02:04:00Z</dcterms:created>
  <dcterms:modified xsi:type="dcterms:W3CDTF">2026-10-13T01:34:00Z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eyJoZGlkIjoiYzM5YzJhZTBkZGNlY2YxMWY2NTgxM2Y4MDQ4YTY4YTMiLCJ1c2VySWQiOiI4MDY0MDI4OTcifQ==</vt:lpwstr>
  </property>
  <property fmtid="{D5CDD505-2E9C-101B-9397-08002B2CF9AE}" pid="3" name="KSOProductBuildVer">
    <vt:lpwstr>2052-12.1.0.22529</vt:lpwstr>
  </property>
  <property fmtid="{D5CDD505-2E9C-101B-9397-08002B2CF9AE}" pid="4" name="ICV">
    <vt:lpwstr>C21D26B527B44C1B886693AE17049FF6_12</vt:lpwstr>
  </property>
</Properties>
</file>