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44680C" w14:textId="08C038FB" w:rsidR="00086A14" w:rsidRPr="00D80EB3" w:rsidRDefault="0096271A" w:rsidP="00086A14">
      <w:pPr>
        <w:spacing w:line="480" w:lineRule="auto"/>
        <w:contextualSpacing/>
        <w:rPr>
          <w:rFonts w:ascii="Times New Roman" w:hAnsi="Times New Roman"/>
          <w:sz w:val="24"/>
          <w:szCs w:val="24"/>
        </w:rPr>
      </w:pPr>
      <w:r>
        <w:rPr>
          <w:rFonts w:ascii="Times New Roman" w:eastAsia="宋体" w:hAnsi="Times New Roman" w:cs="Times New Roman" w:hint="eastAsia"/>
          <w:b/>
          <w:bCs/>
          <w:sz w:val="24"/>
          <w:szCs w:val="24"/>
          <w:lang w:eastAsia="zh-CN"/>
        </w:rPr>
        <w:t>Additional</w:t>
      </w:r>
      <w:r w:rsidR="00086A14" w:rsidRPr="00D80EB3">
        <w:rPr>
          <w:rFonts w:ascii="Times New Roman" w:eastAsia="宋体" w:hAnsi="Times New Roman" w:cs="Times New Roman" w:hint="eastAsia"/>
          <w:b/>
          <w:bCs/>
          <w:sz w:val="24"/>
          <w:szCs w:val="24"/>
          <w:lang w:eastAsia="zh-CN"/>
        </w:rPr>
        <w:t xml:space="preserve"> file </w:t>
      </w:r>
      <w:r w:rsidR="00BD1106">
        <w:rPr>
          <w:rFonts w:ascii="Times New Roman" w:eastAsia="宋体" w:hAnsi="Times New Roman" w:cs="Times New Roman" w:hint="eastAsia"/>
          <w:b/>
          <w:bCs/>
          <w:sz w:val="24"/>
          <w:szCs w:val="24"/>
          <w:lang w:eastAsia="zh-CN"/>
        </w:rPr>
        <w:t>2</w:t>
      </w:r>
      <w:r w:rsidR="00086A14" w:rsidRPr="00D80EB3">
        <w:rPr>
          <w:rFonts w:ascii="Times New Roman" w:eastAsia="宋体" w:hAnsi="Times New Roman" w:cs="Times New Roman" w:hint="eastAsia"/>
          <w:b/>
          <w:bCs/>
          <w:sz w:val="24"/>
          <w:szCs w:val="24"/>
          <w:lang w:eastAsia="zh-CN"/>
        </w:rPr>
        <w:t xml:space="preserve"> - </w:t>
      </w:r>
      <w:r w:rsidR="00086A14" w:rsidRPr="00D80EB3">
        <w:rPr>
          <w:rFonts w:ascii="Times New Roman" w:hAnsi="Times New Roman" w:cs="Times New Roman"/>
          <w:b/>
          <w:bCs/>
          <w:sz w:val="24"/>
          <w:szCs w:val="24"/>
        </w:rPr>
        <w:t>Molecular biological detection</w:t>
      </w:r>
      <w:r w:rsidR="00086A14" w:rsidRPr="00D80EB3">
        <w:rPr>
          <w:rFonts w:ascii="Times New Roman" w:hAnsi="Times New Roman" w:cs="Times New Roman" w:hint="eastAsia"/>
          <w:b/>
          <w:bCs/>
          <w:sz w:val="24"/>
          <w:szCs w:val="24"/>
          <w:lang w:eastAsia="zh-CN"/>
        </w:rPr>
        <w:t xml:space="preserve"> methods and materials</w:t>
      </w:r>
    </w:p>
    <w:p w14:paraId="44588EB8" w14:textId="77777777" w:rsidR="00086A14" w:rsidRDefault="00086A14" w:rsidP="00086A14">
      <w:pPr>
        <w:spacing w:line="480" w:lineRule="auto"/>
        <w:ind w:firstLineChars="100" w:firstLine="220"/>
        <w:contextualSpacing/>
        <w:rPr>
          <w:rFonts w:ascii="Times New Roman" w:hAnsi="Times New Roman" w:cs="Times New Roman"/>
        </w:rPr>
      </w:pPr>
      <w:r>
        <w:rPr>
          <w:rFonts w:ascii="Times New Roman" w:hAnsi="Times New Roman"/>
        </w:rPr>
        <w:t>The tumor immune microenvironment (TIME) was analyzed by multiplex immunofluorescence (</w:t>
      </w:r>
      <w:proofErr w:type="spellStart"/>
      <w:r>
        <w:rPr>
          <w:rFonts w:ascii="Times New Roman" w:hAnsi="Times New Roman"/>
        </w:rPr>
        <w:t>mIF</w:t>
      </w:r>
      <w:proofErr w:type="spellEnd"/>
      <w:r>
        <w:rPr>
          <w:rFonts w:ascii="Times New Roman" w:hAnsi="Times New Roman"/>
        </w:rPr>
        <w:t xml:space="preserve">). Multiplex immunofluorescence staining was conducted using the Akoya OPAL Polaris 7-Color Automation IHC Kit (NEL871001KT). FFPE tissue slides were first deparaffinized in a BOND RX system (Leica Biosystems) and then incubated sequentially with primary antibodies targeting CD68 (Abcam, ab213363, 1:1000), PD-1 (CST, D4W2J, 86163S, 1:200), PD-L1 (CST, E1L3N, 13684S, 1:400), CD3 (Dako, A0452, 1:1), CD4 (Abcam, ab133616, 1:100), CD8 (Abcam, ab178089, 1:200), CD56 (Abcam, ab75813, 1:1000), CD20 (Dako, L26, IR604, 1:1), and pan-CK (Abcam, ab7753, 1:100) (Akoya Biosciences). This procedure was followed by incubation with secondary antibodies and corresponding reactive Opal fluorophores. Nuclei were stained with DAPI. Tissue slides that were bound with primary and secondary antibodies but not fluorophores were included as negative controls to assess autofluorescence. Multiplex-stained slides were scanned using a Vectra Polaris Quantitative Pathology Imaging System (Akoya Biosciences) at 20 nm wavelength intervals from 440 nm to 780 nm with a fixed exposure time and an absolute magnification of ×200. All the scans for each slide were then superimposed to obtain a single image. The multilayer images were imported to </w:t>
      </w:r>
      <w:proofErr w:type="spellStart"/>
      <w:r>
        <w:rPr>
          <w:rFonts w:ascii="Times New Roman" w:hAnsi="Times New Roman"/>
        </w:rPr>
        <w:t>inForm</w:t>
      </w:r>
      <w:proofErr w:type="spellEnd"/>
      <w:r>
        <w:rPr>
          <w:rFonts w:ascii="Times New Roman" w:hAnsi="Times New Roman"/>
        </w:rPr>
        <w:t xml:space="preserve"> v.2.4.8 (Akoya Biosciences) for quantitative image analysis. The tumor parenchyma and stroma were differentiated by Pan-CK staining. The quantities of various cell populations are expressed as the number of stained cells per square millimeter.</w:t>
      </w:r>
    </w:p>
    <w:p w14:paraId="3EBF0090" w14:textId="68B639C1" w:rsidR="00F11EA4" w:rsidRPr="00086A14" w:rsidRDefault="00086A14" w:rsidP="00086A14">
      <w:pPr>
        <w:spacing w:line="480" w:lineRule="auto"/>
        <w:ind w:firstLineChars="100" w:firstLine="220"/>
        <w:contextualSpacing/>
        <w:rPr>
          <w:rFonts w:ascii="Times New Roman" w:hAnsi="Times New Roman"/>
          <w:lang w:eastAsia="zh-CN"/>
        </w:rPr>
      </w:pPr>
      <w:r>
        <w:rPr>
          <w:rFonts w:ascii="Times New Roman" w:hAnsi="Times New Roman"/>
        </w:rPr>
        <w:t xml:space="preserve">The levels of 65 cytokines and chemokines in the serum were measured simultaneously using the Immune Monitoring 65-Plex Human </w:t>
      </w:r>
      <w:proofErr w:type="spellStart"/>
      <w:r>
        <w:rPr>
          <w:rFonts w:ascii="Times New Roman" w:hAnsi="Times New Roman"/>
        </w:rPr>
        <w:t>ProcartaPlex</w:t>
      </w:r>
      <w:proofErr w:type="spellEnd"/>
      <w:r>
        <w:rPr>
          <w:rFonts w:ascii="Times New Roman" w:hAnsi="Times New Roman"/>
        </w:rPr>
        <w:t>™ Panel (Invitrogen, EPX650-</w:t>
      </w:r>
      <w:r>
        <w:rPr>
          <w:rFonts w:ascii="Times New Roman" w:hAnsi="Times New Roman"/>
        </w:rPr>
        <w:lastRenderedPageBreak/>
        <w:t xml:space="preserve">10065-901). The assay was performed and analyzed independently by Shanghai </w:t>
      </w:r>
      <w:proofErr w:type="spellStart"/>
      <w:r>
        <w:rPr>
          <w:rFonts w:ascii="Times New Roman" w:hAnsi="Times New Roman"/>
        </w:rPr>
        <w:t>Laizee</w:t>
      </w:r>
      <w:proofErr w:type="spellEnd"/>
      <w:r>
        <w:rPr>
          <w:rFonts w:ascii="Times New Roman" w:hAnsi="Times New Roman"/>
        </w:rPr>
        <w:t xml:space="preserve"> Biotech (Shanghai, China) via a Luminex 200 instrument and </w:t>
      </w:r>
      <w:proofErr w:type="spellStart"/>
      <w:r>
        <w:rPr>
          <w:rFonts w:ascii="Times New Roman" w:hAnsi="Times New Roman"/>
        </w:rPr>
        <w:t>ProcartaPlex</w:t>
      </w:r>
      <w:proofErr w:type="spellEnd"/>
      <w:r>
        <w:rPr>
          <w:rFonts w:ascii="Times New Roman" w:hAnsi="Times New Roman"/>
        </w:rPr>
        <w:t xml:space="preserve"> Analyst 1.0 software. In brief, 25 µL of plasma from each patient was incubated for 2h with a mixture of color-coded beads precoated with analyte-specific capture antibodies. After washing, biotinylated detection antibodies specific to the analytes of interest were added, forming an antibody‒antigen sandwich, and then, phycoerythrin (PE)-conjugated streptavidin was added to bind the biotinylated detection antibodies. The beads were read on a Luminex 200 analyzer. One laser was used to classify the bead and determine each analyte. The second laser was used to determine the magnitude of the PE-derived signal, which was directly proportional to the amount of analyte bound. Standard curves for all 65 analytes were generated, and the concentration level of each analyte was determined via </w:t>
      </w:r>
      <w:proofErr w:type="spellStart"/>
      <w:r>
        <w:rPr>
          <w:rFonts w:ascii="Times New Roman" w:hAnsi="Times New Roman"/>
        </w:rPr>
        <w:t>ProcartaPlex</w:t>
      </w:r>
      <w:proofErr w:type="spellEnd"/>
      <w:r>
        <w:rPr>
          <w:rFonts w:ascii="Times New Roman" w:hAnsi="Times New Roman"/>
        </w:rPr>
        <w:t xml:space="preserve"> Analyst 1.0 software. Sixty-five cytokines and chemokines were assessed as follows. Cytokines: G-CSF (CSF-3), GM-CSF, IFN-alpha, IFN-gamma, IL-1 alpha, IL-1 beta, IL-2, IL-3, IL-4, IL-5, IL-6, IL-7, IL-8 (CXCL8), IL-9, IL-10, IL-12p70, IL-13, IL-15, IL-16, IL-17A (CTLA-8), IL-18, IL-20, IL-21, IL-22, IL-23, IL-27, IL-31, LIF, M-CSF, MIF, TNF alpha, TNF beta, and TSLP. Chemokines: BLC (CXCL13), ENA-78 (CXCL5), </w:t>
      </w:r>
      <w:proofErr w:type="spellStart"/>
      <w:r>
        <w:rPr>
          <w:rFonts w:ascii="Times New Roman" w:hAnsi="Times New Roman"/>
        </w:rPr>
        <w:t>eotaxin</w:t>
      </w:r>
      <w:proofErr w:type="spellEnd"/>
      <w:r>
        <w:rPr>
          <w:rFonts w:ascii="Times New Roman" w:hAnsi="Times New Roman"/>
        </w:rPr>
        <w:t xml:space="preserve"> (CCL11), eotaxin-2 (CCL24), eotaxin-3 (CCL26), fractalkine (CX3CL1), Gro-alpha (CXCL1), IP-10 (CXCL10), I-TAC (CXCL11), MCP-1 (CCL2), MCP-2 (CCL8), MCP-3 (CCL7), MDC (CCL22), MIG (CXCL9), MIP-1 alpha (CCL3), MIP-1 beta (CCL4), MIP-3 alpha (CCL20), and SDF-1 alpha (CXCL12). Growth factors/regulators: FGF-2, HGF, MMP-1, NGF beta, SCF, and VEGF-A. Soluble receptors: APRIL, BAFF, CD30, CD40L (CD154), IL-2R (CD25), TNF-RII, TRAIL (CD253), TWEAK.</w:t>
      </w:r>
    </w:p>
    <w:sectPr w:rsidR="00F11EA4" w:rsidRPr="00086A14" w:rsidSect="00086A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E206D" w14:textId="77777777" w:rsidR="00C263DE" w:rsidRDefault="00C263DE" w:rsidP="0096271A">
      <w:pPr>
        <w:spacing w:after="0" w:line="240" w:lineRule="auto"/>
      </w:pPr>
      <w:r>
        <w:separator/>
      </w:r>
    </w:p>
  </w:endnote>
  <w:endnote w:type="continuationSeparator" w:id="0">
    <w:p w14:paraId="15935416" w14:textId="77777777" w:rsidR="00C263DE" w:rsidRDefault="00C263DE" w:rsidP="00962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0DCCB" w14:textId="77777777" w:rsidR="00C263DE" w:rsidRDefault="00C263DE" w:rsidP="0096271A">
      <w:pPr>
        <w:spacing w:after="0" w:line="240" w:lineRule="auto"/>
      </w:pPr>
      <w:r>
        <w:separator/>
      </w:r>
    </w:p>
  </w:footnote>
  <w:footnote w:type="continuationSeparator" w:id="0">
    <w:p w14:paraId="585CA437" w14:textId="77777777" w:rsidR="00C263DE" w:rsidRDefault="00C263DE" w:rsidP="009627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A14"/>
    <w:rsid w:val="00086A14"/>
    <w:rsid w:val="002D56FA"/>
    <w:rsid w:val="00410B32"/>
    <w:rsid w:val="0096271A"/>
    <w:rsid w:val="00BD1106"/>
    <w:rsid w:val="00C263DE"/>
    <w:rsid w:val="00F11EA4"/>
    <w:rsid w:val="00FD7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B7076"/>
  <w15:chartTrackingRefBased/>
  <w15:docId w15:val="{102DA05D-7471-4ECA-BE28-CD3DEB4F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A14"/>
    <w:pPr>
      <w:spacing w:after="200" w:line="276" w:lineRule="auto"/>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271A"/>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96271A"/>
    <w:rPr>
      <w:kern w:val="0"/>
      <w:sz w:val="18"/>
      <w:szCs w:val="18"/>
      <w:lang w:eastAsia="en-US"/>
    </w:rPr>
  </w:style>
  <w:style w:type="paragraph" w:styleId="a5">
    <w:name w:val="footer"/>
    <w:basedOn w:val="a"/>
    <w:link w:val="a6"/>
    <w:uiPriority w:val="99"/>
    <w:unhideWhenUsed/>
    <w:rsid w:val="0096271A"/>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96271A"/>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542</Words>
  <Characters>3093</Characters>
  <Application>Microsoft Office Word</Application>
  <DocSecurity>0</DocSecurity>
  <Lines>25</Lines>
  <Paragraphs>7</Paragraphs>
  <ScaleCrop>false</ScaleCrop>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durainycc@163.com</dc:creator>
  <cp:keywords/>
  <dc:description/>
  <cp:lastModifiedBy>durainycc@163.com</cp:lastModifiedBy>
  <cp:revision>3</cp:revision>
  <dcterms:created xsi:type="dcterms:W3CDTF">2026-04-03T08:43:00Z</dcterms:created>
  <dcterms:modified xsi:type="dcterms:W3CDTF">2026-10-13T01:47:00Z</dcterms:modified>
</cp:coreProperties>
</file>