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6174A6" w14:textId="59720AB7" w:rsidR="00234361" w:rsidRDefault="001812A8" w:rsidP="00C07309">
      <w:pPr>
        <w:spacing w:line="480" w:lineRule="auto"/>
        <w:contextualSpacing/>
        <w:rPr>
          <w:b/>
          <w:lang w:val="en-US"/>
        </w:rPr>
      </w:pPr>
      <w:r>
        <w:rPr>
          <w:b/>
          <w:lang w:val="en-US"/>
        </w:rPr>
        <w:t>Additional file 2</w:t>
      </w:r>
      <w:bookmarkStart w:id="0" w:name="_GoBack"/>
      <w:bookmarkEnd w:id="0"/>
    </w:p>
    <w:p w14:paraId="35766725" w14:textId="77777777" w:rsidR="00C07309" w:rsidRDefault="00C07309" w:rsidP="008675D9">
      <w:pPr>
        <w:spacing w:line="480" w:lineRule="auto"/>
        <w:contextualSpacing/>
        <w:jc w:val="center"/>
        <w:rPr>
          <w:b/>
          <w:lang w:val="en-US"/>
        </w:rPr>
      </w:pPr>
    </w:p>
    <w:p w14:paraId="6C1195F1" w14:textId="50A8529D" w:rsidR="0004050A" w:rsidRDefault="002A51EB" w:rsidP="0004050A">
      <w:pPr>
        <w:spacing w:line="480" w:lineRule="auto"/>
        <w:contextualSpacing/>
        <w:rPr>
          <w:b/>
          <w:lang w:val="en-US"/>
        </w:rPr>
      </w:pPr>
      <w:r>
        <w:rPr>
          <w:b/>
          <w:lang w:val="en-US"/>
        </w:rPr>
        <w:t>Detection of specific anti-</w:t>
      </w:r>
      <w:r w:rsidRPr="002A51EB">
        <w:rPr>
          <w:b/>
          <w:i/>
          <w:lang w:val="en-US"/>
        </w:rPr>
        <w:t>Neospora</w:t>
      </w:r>
      <w:r>
        <w:rPr>
          <w:b/>
          <w:lang w:val="en-US"/>
        </w:rPr>
        <w:t xml:space="preserve"> spp. antibodies by a </w:t>
      </w:r>
      <w:r w:rsidR="002514A1">
        <w:rPr>
          <w:b/>
          <w:lang w:val="en-US"/>
        </w:rPr>
        <w:t>w</w:t>
      </w:r>
      <w:r w:rsidR="0005177A">
        <w:rPr>
          <w:b/>
          <w:lang w:val="en-US"/>
        </w:rPr>
        <w:t>estern blot test validated for bovine neosporosis</w:t>
      </w:r>
    </w:p>
    <w:p w14:paraId="0B3885CD" w14:textId="77777777" w:rsidR="0084462A" w:rsidRPr="0084462A" w:rsidRDefault="0084462A" w:rsidP="0004050A">
      <w:pPr>
        <w:spacing w:line="480" w:lineRule="auto"/>
        <w:contextualSpacing/>
        <w:rPr>
          <w:b/>
          <w:lang w:val="en-US"/>
        </w:rPr>
      </w:pPr>
    </w:p>
    <w:p w14:paraId="3ED46501" w14:textId="0B9C4214" w:rsidR="0004050A" w:rsidRPr="0084462A" w:rsidRDefault="00F963AB" w:rsidP="0084462A">
      <w:pPr>
        <w:autoSpaceDE w:val="0"/>
        <w:autoSpaceDN w:val="0"/>
        <w:adjustRightInd w:val="0"/>
        <w:spacing w:line="480" w:lineRule="auto"/>
        <w:ind w:firstLine="708"/>
        <w:jc w:val="both"/>
      </w:pPr>
      <w:r>
        <w:rPr>
          <w:lang w:val="en-US"/>
        </w:rPr>
        <w:t xml:space="preserve">Culture-derived tachyzoites of </w:t>
      </w:r>
      <w:r w:rsidRPr="002A4AF0">
        <w:rPr>
          <w:i/>
          <w:lang w:val="en-US"/>
        </w:rPr>
        <w:t>N. caninum</w:t>
      </w:r>
      <w:r>
        <w:rPr>
          <w:lang w:val="en-US"/>
        </w:rPr>
        <w:t xml:space="preserve"> isolate Nc-1 </w:t>
      </w:r>
      <w:r w:rsidR="009B230E">
        <w:rPr>
          <w:lang w:val="en-US"/>
        </w:rPr>
        <w:t>[47]</w:t>
      </w:r>
      <w:r w:rsidR="00250B1F">
        <w:rPr>
          <w:lang w:val="en-US"/>
        </w:rPr>
        <w:t xml:space="preserve"> </w:t>
      </w:r>
      <w:r>
        <w:rPr>
          <w:lang w:val="en-US"/>
        </w:rPr>
        <w:t xml:space="preserve">were propagated and purified </w:t>
      </w:r>
      <w:r w:rsidR="006C03D3">
        <w:rPr>
          <w:lang w:val="en-US"/>
        </w:rPr>
        <w:t>[19]</w:t>
      </w:r>
      <w:r>
        <w:rPr>
          <w:lang w:val="en-US"/>
        </w:rPr>
        <w:t xml:space="preserve"> and subsequently pelleted and frozen at -80 ºC.</w:t>
      </w:r>
      <w:r>
        <w:t xml:space="preserve"> </w:t>
      </w:r>
      <w:r w:rsidR="0084203B">
        <w:t>Fetal bovine serum was previously checked for absence of anti-</w:t>
      </w:r>
      <w:r w:rsidR="0084203B" w:rsidRPr="00F71441">
        <w:rPr>
          <w:i/>
        </w:rPr>
        <w:t>Besnoitia</w:t>
      </w:r>
      <w:r w:rsidR="0084203B">
        <w:t>, anti-</w:t>
      </w:r>
      <w:r w:rsidR="0084203B">
        <w:rPr>
          <w:i/>
        </w:rPr>
        <w:t xml:space="preserve">N. </w:t>
      </w:r>
      <w:r w:rsidR="0084203B" w:rsidRPr="000F3433">
        <w:rPr>
          <w:i/>
        </w:rPr>
        <w:t>caninum</w:t>
      </w:r>
      <w:r w:rsidR="0084203B">
        <w:t xml:space="preserve"> and anti-</w:t>
      </w:r>
      <w:r w:rsidR="0084203B" w:rsidRPr="000F3433">
        <w:rPr>
          <w:i/>
        </w:rPr>
        <w:t>T. gondii</w:t>
      </w:r>
      <w:r w:rsidR="0084203B">
        <w:t xml:space="preserve"> IgG by IFAT</w:t>
      </w:r>
      <w:r w:rsidR="006C03D3">
        <w:t xml:space="preserve"> [21]</w:t>
      </w:r>
      <w:r w:rsidR="0084203B">
        <w:t xml:space="preserve">. </w:t>
      </w:r>
      <w:r w:rsidR="00614466">
        <w:rPr>
          <w:lang w:val="en-US"/>
        </w:rPr>
        <w:t>A total of 2x10</w:t>
      </w:r>
      <w:r w:rsidR="00614466">
        <w:rPr>
          <w:vertAlign w:val="superscript"/>
          <w:lang w:val="en-US"/>
        </w:rPr>
        <w:t xml:space="preserve">7 </w:t>
      </w:r>
      <w:r w:rsidR="00614466" w:rsidRPr="00614466">
        <w:rPr>
          <w:i/>
          <w:lang w:val="en-US"/>
        </w:rPr>
        <w:t>N.caninum</w:t>
      </w:r>
      <w:r w:rsidR="00614466">
        <w:rPr>
          <w:lang w:val="en-US"/>
        </w:rPr>
        <w:t xml:space="preserve">-tachyzoites under reducing conditions were employed for electrophoresis </w:t>
      </w:r>
      <w:r w:rsidR="009B230E">
        <w:rPr>
          <w:lang w:val="en-US"/>
        </w:rPr>
        <w:t>[20]</w:t>
      </w:r>
      <w:r w:rsidR="00614466">
        <w:rPr>
          <w:lang w:val="en-US"/>
        </w:rPr>
        <w:t>. Tachyzoite antigen was transferred to membranes, then incubated with sera from either horses, donkeys</w:t>
      </w:r>
      <w:r w:rsidR="001B35A0">
        <w:rPr>
          <w:lang w:val="en-US"/>
        </w:rPr>
        <w:t xml:space="preserve">, </w:t>
      </w:r>
      <w:r w:rsidR="00614466">
        <w:rPr>
          <w:lang w:val="en-US"/>
        </w:rPr>
        <w:t xml:space="preserve">mules </w:t>
      </w:r>
      <w:r w:rsidR="001B35A0">
        <w:rPr>
          <w:lang w:val="en-US"/>
        </w:rPr>
        <w:t xml:space="preserve">or cattle </w:t>
      </w:r>
      <w:r w:rsidR="00614466">
        <w:rPr>
          <w:lang w:val="en-US"/>
        </w:rPr>
        <w:t>at 1:20 dilution, followed by a peroxidase-conjugated anti-horse I</w:t>
      </w:r>
      <w:r w:rsidR="00034414">
        <w:rPr>
          <w:lang w:val="en-US"/>
        </w:rPr>
        <w:t>gG (H+L) antibody diluted at 1:</w:t>
      </w:r>
      <w:r w:rsidR="003E5543">
        <w:rPr>
          <w:lang w:val="en-US"/>
        </w:rPr>
        <w:t>10</w:t>
      </w:r>
      <w:r w:rsidR="00614466">
        <w:rPr>
          <w:lang w:val="en-US"/>
        </w:rPr>
        <w:t>00 (INGENASA</w:t>
      </w:r>
      <w:r w:rsidR="00614466">
        <w:rPr>
          <w:vertAlign w:val="superscript"/>
          <w:lang w:val="en-US"/>
        </w:rPr>
        <w:t>®</w:t>
      </w:r>
      <w:r w:rsidR="00614466">
        <w:rPr>
          <w:lang w:val="en-US"/>
        </w:rPr>
        <w:t>)</w:t>
      </w:r>
      <w:r w:rsidR="001B35A0">
        <w:rPr>
          <w:lang w:val="en-US"/>
        </w:rPr>
        <w:t xml:space="preserve"> for equids species and </w:t>
      </w:r>
      <w:r>
        <w:t xml:space="preserve">a mouse monoclonal anti-bovine IgG1/IgG2 </w:t>
      </w:r>
      <w:r w:rsidR="001B35A0">
        <w:rPr>
          <w:lang w:val="en-US"/>
        </w:rPr>
        <w:t>peroxidase-</w:t>
      </w:r>
      <w:r>
        <w:rPr>
          <w:lang w:val="en-US"/>
        </w:rPr>
        <w:t xml:space="preserve">conjugated </w:t>
      </w:r>
      <w:r w:rsidR="003E5543">
        <w:rPr>
          <w:lang w:val="en-US"/>
        </w:rPr>
        <w:t>diluted at 1:12</w:t>
      </w:r>
      <w:r w:rsidR="001B35A0">
        <w:rPr>
          <w:lang w:val="en-US"/>
        </w:rPr>
        <w:t>00</w:t>
      </w:r>
      <w:r>
        <w:rPr>
          <w:lang w:val="en-US"/>
        </w:rPr>
        <w:t xml:space="preserve"> </w:t>
      </w:r>
      <w:r w:rsidR="001B35A0">
        <w:rPr>
          <w:lang w:val="en-US"/>
        </w:rPr>
        <w:t>(</w:t>
      </w:r>
      <w:r w:rsidR="0074020B">
        <w:rPr>
          <w:lang w:val="en-US"/>
        </w:rPr>
        <w:t>Thermo Fisher Scientific, EE.UU</w:t>
      </w:r>
      <w:r>
        <w:t>)</w:t>
      </w:r>
      <w:r w:rsidR="00034414">
        <w:t xml:space="preserve"> for cattle</w:t>
      </w:r>
      <w:r w:rsidR="00614466">
        <w:rPr>
          <w:lang w:val="en-US"/>
        </w:rPr>
        <w:t xml:space="preserve">. </w:t>
      </w:r>
      <w:r w:rsidR="00A45031">
        <w:t xml:space="preserve">Sera from </w:t>
      </w:r>
      <w:r w:rsidR="000C3FF6">
        <w:t xml:space="preserve">a </w:t>
      </w:r>
      <w:r w:rsidR="00A45031" w:rsidRPr="005F6CD6">
        <w:rPr>
          <w:i/>
        </w:rPr>
        <w:t>N.</w:t>
      </w:r>
      <w:r w:rsidR="00A45031">
        <w:rPr>
          <w:i/>
        </w:rPr>
        <w:t xml:space="preserve"> </w:t>
      </w:r>
      <w:r w:rsidR="00A45031" w:rsidRPr="005F6CD6">
        <w:rPr>
          <w:i/>
        </w:rPr>
        <w:t>caninum</w:t>
      </w:r>
      <w:r w:rsidR="00A45031">
        <w:t>-infected cow</w:t>
      </w:r>
      <w:r w:rsidR="0074020B">
        <w:t xml:space="preserve"> </w:t>
      </w:r>
      <w:r w:rsidR="009B230E">
        <w:rPr>
          <w:lang w:val="en-US"/>
        </w:rPr>
        <w:t>[20]</w:t>
      </w:r>
      <w:r w:rsidR="00A45031">
        <w:t xml:space="preserve"> and </w:t>
      </w:r>
      <w:r w:rsidR="000C3FF6">
        <w:t xml:space="preserve">a </w:t>
      </w:r>
      <w:r w:rsidR="00A45031" w:rsidRPr="001B35A0">
        <w:rPr>
          <w:i/>
        </w:rPr>
        <w:t>N. hughesi</w:t>
      </w:r>
      <w:r w:rsidR="00A45031">
        <w:t xml:space="preserve">-infected horse </w:t>
      </w:r>
      <w:r w:rsidR="009B230E">
        <w:rPr>
          <w:lang w:val="en-US"/>
        </w:rPr>
        <w:t>[14]</w:t>
      </w:r>
      <w:r w:rsidR="003E5543">
        <w:t xml:space="preserve"> </w:t>
      </w:r>
      <w:r w:rsidR="00A45031">
        <w:t>were used as positive control in order to compare both pattern recognitions.</w:t>
      </w:r>
      <w:r w:rsidR="00A45031" w:rsidRPr="00A45031">
        <w:rPr>
          <w:lang w:val="en-US"/>
        </w:rPr>
        <w:t xml:space="preserve"> </w:t>
      </w:r>
      <w:r w:rsidR="003E5543">
        <w:rPr>
          <w:lang w:val="en-US"/>
        </w:rPr>
        <w:t xml:space="preserve">The recognition of the 17-18, 34-35, 37 and 60-62 kDa </w:t>
      </w:r>
      <w:r w:rsidR="00A45031" w:rsidRPr="0018380A">
        <w:rPr>
          <w:lang w:val="en-US"/>
        </w:rPr>
        <w:t>immunodominant antigen</w:t>
      </w:r>
      <w:r w:rsidR="003E5543">
        <w:rPr>
          <w:lang w:val="en-US"/>
        </w:rPr>
        <w:t>s</w:t>
      </w:r>
      <w:r w:rsidR="00A45031">
        <w:rPr>
          <w:lang w:val="en-US"/>
        </w:rPr>
        <w:t xml:space="preserve"> (IDA</w:t>
      </w:r>
      <w:r w:rsidR="003E5543">
        <w:rPr>
          <w:lang w:val="en-US"/>
        </w:rPr>
        <w:t>s</w:t>
      </w:r>
      <w:r w:rsidR="00A45031">
        <w:rPr>
          <w:lang w:val="en-US"/>
        </w:rPr>
        <w:t>) was</w:t>
      </w:r>
      <w:r w:rsidR="00A45031" w:rsidRPr="0018380A">
        <w:rPr>
          <w:lang w:val="en-US"/>
        </w:rPr>
        <w:t xml:space="preserve"> considered </w:t>
      </w:r>
      <w:r w:rsidR="00A45031">
        <w:rPr>
          <w:lang w:val="en-US"/>
        </w:rPr>
        <w:t>as a positive reaction</w:t>
      </w:r>
      <w:r w:rsidR="00A45031" w:rsidRPr="0018380A">
        <w:rPr>
          <w:lang w:val="en-US"/>
        </w:rPr>
        <w:t xml:space="preserve"> </w:t>
      </w:r>
      <w:r w:rsidR="009B230E">
        <w:rPr>
          <w:lang w:val="en-US"/>
        </w:rPr>
        <w:t>[20]</w:t>
      </w:r>
      <w:r w:rsidR="00A45031" w:rsidRPr="0018380A">
        <w:rPr>
          <w:lang w:val="en-US"/>
        </w:rPr>
        <w:t>.</w:t>
      </w:r>
    </w:p>
    <w:p w14:paraId="7533B16D" w14:textId="2A741A81" w:rsidR="00720B8A" w:rsidRDefault="00A45031" w:rsidP="0084633E">
      <w:pPr>
        <w:autoSpaceDE w:val="0"/>
        <w:autoSpaceDN w:val="0"/>
        <w:adjustRightInd w:val="0"/>
        <w:spacing w:line="480" w:lineRule="auto"/>
        <w:ind w:firstLine="708"/>
        <w:contextualSpacing/>
        <w:jc w:val="both"/>
        <w:rPr>
          <w:lang w:val="en-US"/>
        </w:rPr>
      </w:pPr>
      <w:r>
        <w:rPr>
          <w:lang w:val="en-US"/>
        </w:rPr>
        <w:t>I</w:t>
      </w:r>
      <w:r w:rsidR="005213FA">
        <w:t xml:space="preserve">n </w:t>
      </w:r>
      <w:r>
        <w:t xml:space="preserve">order to confirm </w:t>
      </w:r>
      <w:r w:rsidRPr="008E2896">
        <w:rPr>
          <w:i/>
        </w:rPr>
        <w:t>Neospora</w:t>
      </w:r>
      <w:r>
        <w:t xml:space="preserve"> spp. infection, ELISA-positive results were re-tested by a </w:t>
      </w:r>
      <w:r w:rsidRPr="005F6CD6">
        <w:rPr>
          <w:i/>
        </w:rPr>
        <w:t>N. caninum</w:t>
      </w:r>
      <w:r w:rsidR="002514A1">
        <w:t xml:space="preserve"> tachyzoite-based w</w:t>
      </w:r>
      <w:r>
        <w:t xml:space="preserve">estern blot. </w:t>
      </w:r>
      <w:r w:rsidR="00816880">
        <w:rPr>
          <w:lang w:val="en-US"/>
        </w:rPr>
        <w:t xml:space="preserve">Thirty-seven </w:t>
      </w:r>
      <w:r w:rsidR="00720B8A">
        <w:rPr>
          <w:lang w:val="en-US"/>
        </w:rPr>
        <w:t xml:space="preserve">out of 46 </w:t>
      </w:r>
      <w:r w:rsidR="00816880">
        <w:rPr>
          <w:lang w:val="en-US"/>
        </w:rPr>
        <w:t>ELISA-</w:t>
      </w:r>
      <w:r w:rsidR="00720B8A">
        <w:rPr>
          <w:lang w:val="en-US"/>
        </w:rPr>
        <w:t xml:space="preserve">positive results were also positive against </w:t>
      </w:r>
      <w:r w:rsidR="00720B8A" w:rsidRPr="00A93E4E">
        <w:rPr>
          <w:i/>
          <w:lang w:val="en-US"/>
        </w:rPr>
        <w:t>N. caninum</w:t>
      </w:r>
      <w:r w:rsidR="00720B8A">
        <w:rPr>
          <w:lang w:val="en-US"/>
        </w:rPr>
        <w:t xml:space="preserve"> tach</w:t>
      </w:r>
      <w:r w:rsidR="002514A1">
        <w:rPr>
          <w:lang w:val="en-US"/>
        </w:rPr>
        <w:t>yzoite-based w</w:t>
      </w:r>
      <w:r w:rsidR="00BB1CF0">
        <w:rPr>
          <w:lang w:val="en-US"/>
        </w:rPr>
        <w:t xml:space="preserve">estern blot </w:t>
      </w:r>
      <w:r w:rsidR="00173D49">
        <w:rPr>
          <w:lang w:val="en-US"/>
        </w:rPr>
        <w:t xml:space="preserve">and </w:t>
      </w:r>
      <w:r>
        <w:rPr>
          <w:lang w:val="en-US"/>
        </w:rPr>
        <w:t xml:space="preserve">minor </w:t>
      </w:r>
      <w:r w:rsidR="00BB1CF0">
        <w:rPr>
          <w:lang w:val="en-US"/>
        </w:rPr>
        <w:t>differences were observed in t</w:t>
      </w:r>
      <w:r w:rsidR="00145177">
        <w:rPr>
          <w:lang w:val="en-US"/>
        </w:rPr>
        <w:t xml:space="preserve">he pattern of recognition </w:t>
      </w:r>
      <w:r w:rsidR="00BB1CF0">
        <w:rPr>
          <w:lang w:val="en-US"/>
        </w:rPr>
        <w:t xml:space="preserve">of </w:t>
      </w:r>
      <w:r w:rsidR="00145177">
        <w:rPr>
          <w:lang w:val="en-US"/>
        </w:rPr>
        <w:t>equids and cattle</w:t>
      </w:r>
      <w:r w:rsidR="00173D49">
        <w:rPr>
          <w:lang w:val="en-US"/>
        </w:rPr>
        <w:t xml:space="preserve"> (</w:t>
      </w:r>
      <w:r w:rsidR="007024C3">
        <w:rPr>
          <w:lang w:val="en-US"/>
        </w:rPr>
        <w:t xml:space="preserve">see </w:t>
      </w:r>
      <w:r w:rsidR="00173D49">
        <w:rPr>
          <w:lang w:val="en-US"/>
        </w:rPr>
        <w:t>Figure below)</w:t>
      </w:r>
      <w:r w:rsidR="00145177">
        <w:rPr>
          <w:lang w:val="en-US"/>
        </w:rPr>
        <w:t>.</w:t>
      </w:r>
    </w:p>
    <w:p w14:paraId="5B2A892C" w14:textId="58CB3225" w:rsidR="00CC07C8" w:rsidRPr="0074020B" w:rsidRDefault="00953415" w:rsidP="0084462A">
      <w:pPr>
        <w:autoSpaceDE w:val="0"/>
        <w:autoSpaceDN w:val="0"/>
        <w:adjustRightInd w:val="0"/>
        <w:spacing w:line="480" w:lineRule="auto"/>
        <w:ind w:firstLine="708"/>
        <w:contextualSpacing/>
        <w:jc w:val="both"/>
        <w:rPr>
          <w:lang w:val="en-US"/>
        </w:rPr>
      </w:pPr>
      <w:r>
        <w:rPr>
          <w:noProof/>
          <w:lang w:val="en-US" w:eastAsia="en-US"/>
        </w:rPr>
        <w:lastRenderedPageBreak/>
        <w:drawing>
          <wp:inline distT="0" distB="0" distL="0" distR="0" wp14:anchorId="07A7E7AF" wp14:editId="4791F97D">
            <wp:extent cx="5165088" cy="3959750"/>
            <wp:effectExtent l="0" t="0" r="0" b="0"/>
            <wp:docPr id="2" name="Imagen 2" descr="C:\Users\SOCTech\Dropbox\PAPERS\Equidos\Vet Parasitol Rechazo\Imagen1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OCTech\Dropbox\PAPERS\Equidos\Vet Parasitol Rechazo\Imagen1.e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085" cy="3962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475BCF" w14:textId="77777777" w:rsidR="00C13FEE" w:rsidRPr="0074020B" w:rsidRDefault="00C13FEE">
      <w:pPr>
        <w:rPr>
          <w:noProof/>
          <w:lang w:val="en-US"/>
        </w:rPr>
      </w:pPr>
    </w:p>
    <w:p w14:paraId="6C5087AC" w14:textId="77777777" w:rsidR="0004050A" w:rsidRPr="0074020B" w:rsidRDefault="0004050A">
      <w:pPr>
        <w:rPr>
          <w:noProof/>
          <w:lang w:val="en-US"/>
        </w:rPr>
      </w:pPr>
    </w:p>
    <w:p w14:paraId="5B269C93" w14:textId="2B2DF5F4" w:rsidR="00BC02DC" w:rsidRDefault="00CC07C8" w:rsidP="00BC02DC">
      <w:pPr>
        <w:spacing w:line="480" w:lineRule="auto"/>
        <w:jc w:val="both"/>
      </w:pPr>
      <w:r>
        <w:rPr>
          <w:lang w:val="en-US"/>
        </w:rPr>
        <w:t xml:space="preserve">Figure: </w:t>
      </w:r>
      <w:r w:rsidRPr="00EA675A">
        <w:t xml:space="preserve">Recognition of </w:t>
      </w:r>
      <w:r w:rsidRPr="00EA675A">
        <w:rPr>
          <w:i/>
          <w:iCs/>
        </w:rPr>
        <w:t xml:space="preserve">Neospora </w:t>
      </w:r>
      <w:r w:rsidRPr="00EA675A">
        <w:t>spp.</w:t>
      </w:r>
      <w:r w:rsidRPr="00EA675A">
        <w:rPr>
          <w:i/>
          <w:iCs/>
        </w:rPr>
        <w:t xml:space="preserve"> </w:t>
      </w:r>
      <w:r w:rsidRPr="00EA675A">
        <w:t xml:space="preserve">tachyzoite antigens by </w:t>
      </w:r>
      <w:r w:rsidR="000C3FF6">
        <w:t xml:space="preserve">a </w:t>
      </w:r>
      <w:r w:rsidR="000C3FF6" w:rsidRPr="005F6CD6">
        <w:rPr>
          <w:i/>
        </w:rPr>
        <w:t>N. caninum</w:t>
      </w:r>
      <w:r w:rsidR="002514A1">
        <w:t xml:space="preserve"> tachyzoite-</w:t>
      </w:r>
      <w:r w:rsidR="000C3FF6">
        <w:t xml:space="preserve">based </w:t>
      </w:r>
      <w:r w:rsidR="002514A1">
        <w:t>w</w:t>
      </w:r>
      <w:r w:rsidRPr="00EA675A">
        <w:t xml:space="preserve">estern blot. </w:t>
      </w:r>
      <w:r w:rsidR="00BC02DC">
        <w:t xml:space="preserve">Lines 1-7: ELISA-positive samples. Lines 8-9: ELISA-negative samples. Line 10: Control positive serum of horse. Line 11: Control positive serum of cattle. </w:t>
      </w:r>
      <w:r w:rsidR="00BC02DC" w:rsidRPr="00B06E47">
        <w:t>Arrows indicate</w:t>
      </w:r>
      <w:r w:rsidR="00BC02DC">
        <w:t xml:space="preserve"> recognition of IDAs.</w:t>
      </w:r>
    </w:p>
    <w:p w14:paraId="1FC23B4D" w14:textId="6B08AFE6" w:rsidR="00C54615" w:rsidRPr="00E27801" w:rsidRDefault="00C54615" w:rsidP="00BC02DC">
      <w:pPr>
        <w:spacing w:line="480" w:lineRule="auto"/>
        <w:jc w:val="both"/>
        <w:rPr>
          <w:rStyle w:val="apple-style-span"/>
        </w:rPr>
      </w:pPr>
    </w:p>
    <w:p w14:paraId="70E25D0E" w14:textId="77777777" w:rsidR="00720B8A" w:rsidRDefault="00720B8A"/>
    <w:sectPr w:rsidR="00720B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2C1C061" w15:done="0"/>
  <w15:commentEx w15:paraId="2FD9AD39" w15:done="0"/>
  <w15:commentEx w15:paraId="1FB58E56" w15:done="0"/>
  <w15:commentEx w15:paraId="268C6ADB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GEMA ALVAREZ GARCIA">
    <w15:presenceInfo w15:providerId="None" w15:userId="GEMA ALVAREZ GARCI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63E"/>
    <w:rsid w:val="00034414"/>
    <w:rsid w:val="00035E3D"/>
    <w:rsid w:val="0004050A"/>
    <w:rsid w:val="0005177A"/>
    <w:rsid w:val="000A566A"/>
    <w:rsid w:val="000B7AE9"/>
    <w:rsid w:val="000C3FF6"/>
    <w:rsid w:val="0011598F"/>
    <w:rsid w:val="001254A7"/>
    <w:rsid w:val="00145177"/>
    <w:rsid w:val="00147A1F"/>
    <w:rsid w:val="00173D49"/>
    <w:rsid w:val="001812A8"/>
    <w:rsid w:val="0018380A"/>
    <w:rsid w:val="001B35A0"/>
    <w:rsid w:val="001B7A2E"/>
    <w:rsid w:val="001E2B41"/>
    <w:rsid w:val="002210E4"/>
    <w:rsid w:val="00234361"/>
    <w:rsid w:val="00250B1F"/>
    <w:rsid w:val="002514A1"/>
    <w:rsid w:val="00255463"/>
    <w:rsid w:val="002573EE"/>
    <w:rsid w:val="0027139A"/>
    <w:rsid w:val="002A51EB"/>
    <w:rsid w:val="002B2876"/>
    <w:rsid w:val="002D17EB"/>
    <w:rsid w:val="002E577A"/>
    <w:rsid w:val="0038462E"/>
    <w:rsid w:val="003E5543"/>
    <w:rsid w:val="00436CF3"/>
    <w:rsid w:val="005213FA"/>
    <w:rsid w:val="00537362"/>
    <w:rsid w:val="0056363E"/>
    <w:rsid w:val="005F6CD6"/>
    <w:rsid w:val="00614466"/>
    <w:rsid w:val="0065596C"/>
    <w:rsid w:val="006C03D3"/>
    <w:rsid w:val="007024C3"/>
    <w:rsid w:val="00717B29"/>
    <w:rsid w:val="00720B8A"/>
    <w:rsid w:val="0074020B"/>
    <w:rsid w:val="00816880"/>
    <w:rsid w:val="0084203B"/>
    <w:rsid w:val="0084462A"/>
    <w:rsid w:val="0084633E"/>
    <w:rsid w:val="008675D9"/>
    <w:rsid w:val="008E2896"/>
    <w:rsid w:val="00932182"/>
    <w:rsid w:val="009508C7"/>
    <w:rsid w:val="00953415"/>
    <w:rsid w:val="00967A2C"/>
    <w:rsid w:val="009B230E"/>
    <w:rsid w:val="009D19E5"/>
    <w:rsid w:val="00A3379F"/>
    <w:rsid w:val="00A45031"/>
    <w:rsid w:val="00A960BD"/>
    <w:rsid w:val="00B20451"/>
    <w:rsid w:val="00B57B9F"/>
    <w:rsid w:val="00BB1CF0"/>
    <w:rsid w:val="00BC02DC"/>
    <w:rsid w:val="00C07309"/>
    <w:rsid w:val="00C13FC9"/>
    <w:rsid w:val="00C13FEE"/>
    <w:rsid w:val="00C54615"/>
    <w:rsid w:val="00CB6029"/>
    <w:rsid w:val="00CC07C8"/>
    <w:rsid w:val="00D60A25"/>
    <w:rsid w:val="00E02373"/>
    <w:rsid w:val="00E45495"/>
    <w:rsid w:val="00E83855"/>
    <w:rsid w:val="00F1439C"/>
    <w:rsid w:val="00F963AB"/>
    <w:rsid w:val="00FA2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2DF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B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720B8A"/>
    <w:pPr>
      <w:spacing w:after="200"/>
    </w:pPr>
    <w:rPr>
      <w:rFonts w:ascii="Calibri" w:eastAsia="Calibri" w:hAnsi="Calibri" w:cs="Arial"/>
      <w:sz w:val="20"/>
      <w:szCs w:val="20"/>
      <w:lang w:val="es-ES_tradnl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20B8A"/>
    <w:rPr>
      <w:rFonts w:ascii="Calibri" w:eastAsia="Calibri" w:hAnsi="Calibri" w:cs="Arial"/>
      <w:sz w:val="20"/>
      <w:szCs w:val="20"/>
      <w:lang w:val="es-ES_tradnl"/>
    </w:rPr>
  </w:style>
  <w:style w:type="character" w:styleId="CommentReference">
    <w:name w:val="annotation reference"/>
    <w:basedOn w:val="DefaultParagraphFont"/>
    <w:uiPriority w:val="99"/>
    <w:semiHidden/>
    <w:unhideWhenUsed/>
    <w:rsid w:val="00720B8A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0B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B8A"/>
    <w:rPr>
      <w:rFonts w:ascii="Tahoma" w:eastAsia="Times New Roman" w:hAnsi="Tahoma" w:cs="Tahoma"/>
      <w:sz w:val="16"/>
      <w:szCs w:val="16"/>
      <w:lang w:val="en-GB" w:eastAsia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963AB"/>
    <w:pPr>
      <w:spacing w:after="0"/>
    </w:pPr>
    <w:rPr>
      <w:rFonts w:ascii="Times New Roman" w:eastAsia="Times New Roman" w:hAnsi="Times New Roman" w:cs="Times New Roman"/>
      <w:b/>
      <w:bCs/>
      <w:lang w:val="en-GB" w:eastAsia="es-E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963AB"/>
    <w:rPr>
      <w:rFonts w:ascii="Times New Roman" w:eastAsia="Times New Roman" w:hAnsi="Times New Roman" w:cs="Times New Roman"/>
      <w:b/>
      <w:bCs/>
      <w:sz w:val="20"/>
      <w:szCs w:val="20"/>
      <w:lang w:val="en-GB" w:eastAsia="es-ES"/>
    </w:rPr>
  </w:style>
  <w:style w:type="character" w:customStyle="1" w:styleId="apple-style-span">
    <w:name w:val="apple-style-span"/>
    <w:basedOn w:val="DefaultParagraphFont"/>
    <w:uiPriority w:val="99"/>
    <w:rsid w:val="00BC02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B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720B8A"/>
    <w:pPr>
      <w:spacing w:after="200"/>
    </w:pPr>
    <w:rPr>
      <w:rFonts w:ascii="Calibri" w:eastAsia="Calibri" w:hAnsi="Calibri" w:cs="Arial"/>
      <w:sz w:val="20"/>
      <w:szCs w:val="20"/>
      <w:lang w:val="es-ES_tradnl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20B8A"/>
    <w:rPr>
      <w:rFonts w:ascii="Calibri" w:eastAsia="Calibri" w:hAnsi="Calibri" w:cs="Arial"/>
      <w:sz w:val="20"/>
      <w:szCs w:val="20"/>
      <w:lang w:val="es-ES_tradnl"/>
    </w:rPr>
  </w:style>
  <w:style w:type="character" w:styleId="CommentReference">
    <w:name w:val="annotation reference"/>
    <w:basedOn w:val="DefaultParagraphFont"/>
    <w:uiPriority w:val="99"/>
    <w:semiHidden/>
    <w:unhideWhenUsed/>
    <w:rsid w:val="00720B8A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0B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B8A"/>
    <w:rPr>
      <w:rFonts w:ascii="Tahoma" w:eastAsia="Times New Roman" w:hAnsi="Tahoma" w:cs="Tahoma"/>
      <w:sz w:val="16"/>
      <w:szCs w:val="16"/>
      <w:lang w:val="en-GB" w:eastAsia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963AB"/>
    <w:pPr>
      <w:spacing w:after="0"/>
    </w:pPr>
    <w:rPr>
      <w:rFonts w:ascii="Times New Roman" w:eastAsia="Times New Roman" w:hAnsi="Times New Roman" w:cs="Times New Roman"/>
      <w:b/>
      <w:bCs/>
      <w:lang w:val="en-GB" w:eastAsia="es-E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963AB"/>
    <w:rPr>
      <w:rFonts w:ascii="Times New Roman" w:eastAsia="Times New Roman" w:hAnsi="Times New Roman" w:cs="Times New Roman"/>
      <w:b/>
      <w:bCs/>
      <w:sz w:val="20"/>
      <w:szCs w:val="20"/>
      <w:lang w:val="en-GB" w:eastAsia="es-ES"/>
    </w:rPr>
  </w:style>
  <w:style w:type="character" w:customStyle="1" w:styleId="apple-style-span">
    <w:name w:val="apple-style-span"/>
    <w:basedOn w:val="DefaultParagraphFont"/>
    <w:uiPriority w:val="99"/>
    <w:rsid w:val="00BC0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459DC-CDAA-42FC-99D9-7C91E13DD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Gutiérrez Expósito</dc:creator>
  <cp:keywords/>
  <dc:description/>
  <cp:lastModifiedBy>Agir, Junalie</cp:lastModifiedBy>
  <cp:revision>67</cp:revision>
  <dcterms:created xsi:type="dcterms:W3CDTF">2016-11-28T13:35:00Z</dcterms:created>
  <dcterms:modified xsi:type="dcterms:W3CDTF">2017-05-09T05:24:00Z</dcterms:modified>
</cp:coreProperties>
</file>