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32D" w:rsidRPr="00F737BB" w:rsidRDefault="000B632D" w:rsidP="000B632D">
      <w:pPr>
        <w:rPr>
          <w:sz w:val="20"/>
          <w:szCs w:val="20"/>
        </w:rPr>
      </w:pPr>
      <w:r>
        <w:rPr>
          <w:sz w:val="20"/>
          <w:szCs w:val="20"/>
        </w:rPr>
        <w:t xml:space="preserve">Table 2 </w:t>
      </w:r>
      <w:r w:rsidRPr="00F737BB">
        <w:t>Details of feline population size, seizure frequency, treatment time, doses of AED(s), seizure frequency reduction after AED initiation, 95% CI for the successful and affected cases and evi</w:t>
      </w:r>
      <w:r>
        <w:t>dence statements for each study</w:t>
      </w:r>
    </w:p>
    <w:tbl>
      <w:tblPr>
        <w:tblStyle w:val="LightShading"/>
        <w:tblW w:w="5000" w:type="pct"/>
        <w:jc w:val="center"/>
        <w:tblBorders>
          <w:top w:val="none" w:sz="0" w:space="0" w:color="auto"/>
          <w:bottom w:val="none" w:sz="0" w:space="0" w:color="auto"/>
        </w:tblBorders>
        <w:tblLook w:val="0600" w:firstRow="0" w:lastRow="0" w:firstColumn="0" w:lastColumn="0" w:noHBand="1" w:noVBand="1"/>
      </w:tblPr>
      <w:tblGrid>
        <w:gridCol w:w="859"/>
        <w:gridCol w:w="1100"/>
        <w:gridCol w:w="1000"/>
        <w:gridCol w:w="678"/>
        <w:gridCol w:w="630"/>
        <w:gridCol w:w="893"/>
        <w:gridCol w:w="826"/>
        <w:gridCol w:w="750"/>
        <w:gridCol w:w="564"/>
        <w:gridCol w:w="342"/>
        <w:gridCol w:w="832"/>
        <w:gridCol w:w="677"/>
        <w:gridCol w:w="658"/>
        <w:gridCol w:w="1057"/>
        <w:gridCol w:w="627"/>
        <w:gridCol w:w="350"/>
        <w:gridCol w:w="556"/>
        <w:gridCol w:w="777"/>
      </w:tblGrid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References</w:t>
            </w:r>
          </w:p>
        </w:tc>
        <w:tc>
          <w:tcPr>
            <w:tcW w:w="417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Pakozdy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[27]</w:t>
            </w:r>
          </w:p>
        </w:tc>
        <w:tc>
          <w:tcPr>
            <w:tcW w:w="379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Baho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[22]</w:t>
            </w:r>
          </w:p>
        </w:tc>
        <w:tc>
          <w:tcPr>
            <w:tcW w:w="257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Finnerty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[25]</w:t>
            </w:r>
          </w:p>
        </w:tc>
        <w:tc>
          <w:tcPr>
            <w:tcW w:w="239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Solomon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[34]</w:t>
            </w:r>
          </w:p>
        </w:tc>
        <w:tc>
          <w:tcPr>
            <w:tcW w:w="339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Ducote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[23]</w:t>
            </w:r>
          </w:p>
        </w:tc>
        <w:tc>
          <w:tcPr>
            <w:tcW w:w="313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Boydell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[29]</w:t>
            </w:r>
          </w:p>
        </w:tc>
        <w:tc>
          <w:tcPr>
            <w:tcW w:w="285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Lowrie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[26]</w:t>
            </w:r>
          </w:p>
        </w:tc>
        <w:tc>
          <w:tcPr>
            <w:tcW w:w="227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Volk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[28]</w:t>
            </w:r>
          </w:p>
        </w:tc>
        <w:tc>
          <w:tcPr>
            <w:tcW w:w="433" w:type="pct"/>
            <w:gridSpan w:val="2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Cochrane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[32]</w:t>
            </w:r>
          </w:p>
        </w:tc>
        <w:tc>
          <w:tcPr>
            <w:tcW w:w="257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  <w:highlight w:val="yellow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Cochrane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[33]</w:t>
            </w:r>
          </w:p>
        </w:tc>
        <w:tc>
          <w:tcPr>
            <w:tcW w:w="250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Cuff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[30]</w:t>
            </w:r>
          </w:p>
        </w:tc>
        <w:tc>
          <w:tcPr>
            <w:tcW w:w="401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Lieser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and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Schwedes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[24]</w:t>
            </w:r>
          </w:p>
        </w:tc>
        <w:tc>
          <w:tcPr>
            <w:tcW w:w="359" w:type="pct"/>
            <w:gridSpan w:val="2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Schriefl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[4]</w:t>
            </w:r>
          </w:p>
        </w:tc>
        <w:tc>
          <w:tcPr>
            <w:tcW w:w="223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Gasper et al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[35]</w:t>
            </w:r>
          </w:p>
        </w:tc>
        <w:tc>
          <w:tcPr>
            <w:tcW w:w="295" w:type="pct"/>
            <w:shd w:val="clear" w:color="auto" w:fill="00CCFF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Wahle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et al. </w:t>
            </w:r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[31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]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AED evaluated</w:t>
            </w:r>
          </w:p>
        </w:tc>
        <w:tc>
          <w:tcPr>
            <w:tcW w:w="4674" w:type="pct"/>
            <w:gridSpan w:val="17"/>
            <w:shd w:val="clear" w:color="auto" w:fill="auto"/>
          </w:tcPr>
          <w:p w:rsidR="000B632D" w:rsidRPr="00C752BD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C752BD">
              <w:rPr>
                <w:rFonts w:ascii="Times New Roman" w:hAnsi="Times New Roman" w:cs="Times New Roman"/>
                <w:sz w:val="20"/>
                <w:szCs w:val="16"/>
              </w:rPr>
              <w:t>Phenobarbital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2</w:t>
            </w:r>
            <w:r w:rsidRPr="00F737BB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nd</w:t>
            </w: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 xml:space="preserve"> AED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Diazepam (3)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LEV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3</w:t>
            </w:r>
            <w:r w:rsidRPr="00F737BB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rd</w:t>
            </w: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 xml:space="preserve"> AED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Gabapentin (2)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4</w:t>
            </w:r>
            <w:r w:rsidRPr="00F737BB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th</w:t>
            </w: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 xml:space="preserve"> AED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LEV (1)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No of cats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36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34 (29 completed the efficacy analysis)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8 (non-epileptic cats)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7 (non-epileptic cats)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Age of cats at seizure onset (years)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mean 4.81; range 0.5-11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4.5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median 6; range, 0.75-18 years (cats with IE) and 2.5; range, 2-7 (cats with presumed IE)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1.5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median 16; range 10-19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 xml:space="preserve">range 1-3 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range 1-2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median 3, mean 3.54, range 1-12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median 3.8; range 0.4-14.4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Period of treatment or follow-up (months)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mean 50; range 13-158 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median 8; range, 0.63-72.3 (cats with IE) and median 75.8; range, 27.3-91 (cats with presumed IE) 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0.75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14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0.75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0.75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median 37, mean 32, range 0.5-71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0.5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median 19.2; range, 12–75.6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Dose of AED(s)  (mg/kg)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PB: mean 1.6; range 0.9-5 PO BID; LEV: 16 PO TID; gabapentin: 16 PO TID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2.7 PO BID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median 2; range 1-3.8 PO BID (cats with IE) and median 2.15; range, 1.4-3.25 PO BID (cats with presumed IE)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10-20 </w:t>
            </w:r>
            <w:r w:rsidRPr="00F737B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intraperi-toneally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SID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 PO BID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 PO BID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PB: median 3.12; range 1.67-7.5 PO BID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 mg/kg intravenously and PO (one single dose per route, 3 weeks apart)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 PO SID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PB: 4.5 PO BID; LEV: 50 PO TID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2.3 PO BID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 or 9 transdermal BID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range, 1.3–4.4 PO BID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Serum levels of AED(s)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mean 27.9; range 12–52 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/ml (seizure-free cats) and mean 31.2; range 11–73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/ml (remaining cats)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 xml:space="preserve">27.5 </w:t>
            </w:r>
            <w:proofErr w:type="spellStart"/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/ml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median 29; range 8-44 </w:t>
            </w:r>
            <w:proofErr w:type="spellStart"/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/ml</w:t>
            </w: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(cats with IE) and median 28; range, 26-31</w:t>
            </w: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 xml:space="preserve"> </w:t>
            </w:r>
            <w:proofErr w:type="spellStart"/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/ml</w:t>
            </w: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(cats with presumed IE)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12–52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/ml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39.1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/ml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mean 27.7; range 20.4-33.2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/ml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13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/ml (1 day after administration)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mean 16.4; range 13.4-19.3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/ml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25.7 mg/l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0-37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μg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/ml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range, 12.7-45.4 mg/ml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lastRenderedPageBreak/>
              <w:t>Pre-treatment SF (seizures/month or year)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range 2 - &gt;10 / year (recorded over a period of year)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approximately 3/year (recorder over a period of 6-12 months)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mean 1.71/month (recorded over a period of 9 m)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approximately 30/month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median 70/month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continuous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Post-treatment SF (seizures/month or year)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range 0 - &gt;10 / year (recorded over a period of approximately 10 years)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mean 0.59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Approximately 8/month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0 (recorded over a period of 2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motnhs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)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 of cats that were failures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6/36 (16%)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2/18 (11%)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lastRenderedPageBreak/>
              <w:t>No of cats with &gt;0% - &lt;50% reduction in SF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4/36 (10%)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1/19 (5%)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28//29 (97%)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4/16 (25%)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-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 of cats with ≥50% - &lt;100% reduction in SF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11/36 (31%)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18/19 (95%)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1/1 (100%)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1/29 (3%)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5/16 (31%)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3/18 (17%)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No of cats with 100% reduction in SF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15/36 (43%)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left="113" w:right="113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-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7/16 (44%)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1/1 (100%)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10/17 (59%)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8/18 (44%)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lastRenderedPageBreak/>
              <w:t>95% CI of successfully treated cases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56% - 84%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75%-99%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100%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0.16-17%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50%-90%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100%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36-78%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39-80%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Prevalence of adverse effects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26/36 (72%)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0%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6/6 (100%)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11/34 (32%)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0%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0%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13/19 (68%)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1/18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95% CI of cases that developed adverse effects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56-84%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0%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100%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19-49%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0%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0%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46%-85%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0.9-26%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lastRenderedPageBreak/>
              <w:t>Body system affected and adverse effects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Neurological (sedation(15), ataxia(9),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paraparesis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(6), behavioral changes(1)), GI (weight loss(3), PP(6)), PD(1), Dermatological (dermatitis(2), pruritus(2))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ClinPath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(increased ALT(11), ALP(4), leucopenia(4), thrombocytopenia(1))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Lymphoreticular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pseudolymphoma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)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ClinPath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(reduction in Vitamin K-dependent clotting factors)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Lymphoreticular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(enlarged lymph nodes), GI (multiple ulcerative and exudative oral lesions), dermatological (ulcerative dermatitis on pinna)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Neurological (sedation (8), ataxia (4),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behavioural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changes (1))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Neurological (sedation), PP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Lymphoreticular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pseudolymphoma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)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Neurological (sedation (2), ataxia (3),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paraparesis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(2)) (GI (PP(3)),  PU(1), PD (2)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Clinpath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(leucopenia)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lastRenderedPageBreak/>
              <w:t>Most common adverse effects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Sedation, ataxia,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paraparesis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, increased ALT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Sedation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PP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Adverse effect type</w:t>
            </w:r>
          </w:p>
        </w:tc>
        <w:tc>
          <w:tcPr>
            <w:tcW w:w="41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 &amp; II</w:t>
            </w:r>
          </w:p>
        </w:tc>
        <w:tc>
          <w:tcPr>
            <w:tcW w:w="37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II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II</w:t>
            </w:r>
          </w:p>
        </w:tc>
        <w:tc>
          <w:tcPr>
            <w:tcW w:w="339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II</w:t>
            </w:r>
          </w:p>
        </w:tc>
        <w:tc>
          <w:tcPr>
            <w:tcW w:w="313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8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</w:t>
            </w:r>
          </w:p>
        </w:tc>
        <w:tc>
          <w:tcPr>
            <w:tcW w:w="31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7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250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401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II</w:t>
            </w:r>
          </w:p>
        </w:tc>
        <w:tc>
          <w:tcPr>
            <w:tcW w:w="238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NA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</w:t>
            </w:r>
          </w:p>
        </w:tc>
        <w:tc>
          <w:tcPr>
            <w:tcW w:w="295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II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vMerge w:val="restar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Proportion of specific adverse effects for each AED based on all study reports</w:t>
            </w:r>
          </w:p>
        </w:tc>
        <w:tc>
          <w:tcPr>
            <w:tcW w:w="4674" w:type="pct"/>
            <w:gridSpan w:val="17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Type I: sedation (4/12; 33%), ataxia (3/12; 25%)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paraparesis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(2/12; 17%), behavioral changes (2/12; 17%), dermatitis (2/12; 17%), pruritus (1/12; 8%), elevated serum ALP (1/12; 8%) and ALT (1/12; 8%), PP (3/12; 25%), PD (2/12; 17%) and weight loss (1/12; 8%)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vMerge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</w:p>
        </w:tc>
        <w:tc>
          <w:tcPr>
            <w:tcW w:w="4674" w:type="pct"/>
            <w:gridSpan w:val="17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Type II: leucopenia (2/12; 17%), thrombocytopenia (1/12; 8%) and coagulopathy (1/12; 8%),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pseudolymphoma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(3/12; 25%), ulcerative stomatitis (1/12; 8%)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lastRenderedPageBreak/>
              <w:t>Proportion of specific adverse effects for each AED based on the total affected population</w:t>
            </w:r>
          </w:p>
        </w:tc>
        <w:tc>
          <w:tcPr>
            <w:tcW w:w="4674" w:type="pct"/>
            <w:gridSpan w:val="17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ind w:right="113"/>
              <w:rPr>
                <w:rFonts w:ascii="Times New Roman" w:hAnsi="Times New Roman" w:cs="Times New Roman"/>
                <w:sz w:val="20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Sedation (33/147; 22%), PP (17/147; 12%), ataxia (16/147; 11%), elevated serum ALT (11/147; 7%),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paraparesis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(8/147; 5%), elevated serum ALP (4/147; 3%), leucopenia (5/147; 3%), weight loss (3/147; 2%), dermatitis (3/147; 2%), </w:t>
            </w:r>
            <w:proofErr w:type="spellStart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pseudolymphoma</w:t>
            </w:r>
            <w:proofErr w:type="spellEnd"/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(3/147; 2%), PD (3/147; 2%), behavioral changes (2/147; 1%), pruritus (2/147; 1%), thrombocytopenia (1/147; &lt;1%), ulcerative stomatitis (1/147; &lt;1%) and vitamin-K dependent clotting factors reduction (1/147; &lt;1%)</w:t>
            </w:r>
          </w:p>
        </w:tc>
      </w:tr>
      <w:tr w:rsidR="000B632D" w:rsidRPr="00F737BB" w:rsidTr="001866E6">
        <w:trPr>
          <w:cantSplit/>
          <w:jc w:val="center"/>
        </w:trPr>
        <w:tc>
          <w:tcPr>
            <w:tcW w:w="326" w:type="pct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Overall level of evidence supporting the efficacy and safety profile of an AED</w:t>
            </w:r>
          </w:p>
        </w:tc>
        <w:tc>
          <w:tcPr>
            <w:tcW w:w="4674" w:type="pct"/>
            <w:gridSpan w:val="17"/>
            <w:shd w:val="clear" w:color="auto" w:fill="auto"/>
          </w:tcPr>
          <w:p w:rsidR="000B632D" w:rsidRPr="00F737BB" w:rsidRDefault="000B632D" w:rsidP="001866E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16"/>
              </w:rPr>
            </w:pPr>
            <w:r w:rsidRPr="00F737BB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Weak level of evidence for phenobarbital’s efficacy and safety profile</w:t>
            </w:r>
          </w:p>
        </w:tc>
      </w:tr>
    </w:tbl>
    <w:sdt>
      <w:sdtPr>
        <w:rPr>
          <w:rFonts w:ascii="Times New Roman" w:hAnsi="Times New Roman"/>
          <w:i/>
        </w:rPr>
        <w:alias w:val="legend"/>
        <w:tag w:val="legend"/>
        <w:id w:val="2057580116"/>
        <w:placeholder>
          <w:docPart w:val="FFE8437C7547497BB1CE52F834862A3B"/>
        </w:placeholder>
      </w:sdtPr>
      <w:sdtEndPr>
        <w:rPr>
          <w:i w:val="0"/>
        </w:rPr>
      </w:sdtEndPr>
      <w:sdtContent>
        <w:p w:rsidR="000B632D" w:rsidRPr="00F737BB" w:rsidRDefault="000B632D" w:rsidP="000B632D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 w:rsidRPr="00F737BB">
            <w:rPr>
              <w:rFonts w:ascii="Times New Roman" w:hAnsi="Times New Roman"/>
              <w:i/>
            </w:rPr>
            <w:t>AED(s)</w:t>
          </w:r>
          <w:r w:rsidRPr="00F737BB">
            <w:rPr>
              <w:rFonts w:ascii="Times New Roman" w:hAnsi="Times New Roman"/>
            </w:rPr>
            <w:t xml:space="preserve"> anti-epileptic drug(s), </w:t>
          </w:r>
          <w:r w:rsidRPr="00F737BB">
            <w:rPr>
              <w:rFonts w:ascii="Times New Roman" w:hAnsi="Times New Roman"/>
              <w:i/>
            </w:rPr>
            <w:t>BID</w:t>
          </w:r>
          <w:r w:rsidRPr="00F737BB">
            <w:rPr>
              <w:rFonts w:ascii="Times New Roman" w:hAnsi="Times New Roman"/>
            </w:rPr>
            <w:t xml:space="preserve"> </w:t>
          </w:r>
          <w:proofErr w:type="spellStart"/>
          <w:r w:rsidRPr="00F737BB">
            <w:rPr>
              <w:rFonts w:ascii="Times New Roman" w:hAnsi="Times New Roman"/>
            </w:rPr>
            <w:t>bis</w:t>
          </w:r>
          <w:proofErr w:type="spellEnd"/>
          <w:r w:rsidRPr="00F737BB">
            <w:rPr>
              <w:rFonts w:ascii="Times New Roman" w:hAnsi="Times New Roman"/>
            </w:rPr>
            <w:t xml:space="preserve"> in die (twice daily), </w:t>
          </w:r>
          <w:r w:rsidRPr="00F737BB">
            <w:rPr>
              <w:rFonts w:ascii="Times New Roman" w:hAnsi="Times New Roman"/>
              <w:i/>
            </w:rPr>
            <w:t>CI</w:t>
          </w:r>
          <w:r w:rsidRPr="00F737BB">
            <w:rPr>
              <w:rFonts w:ascii="Times New Roman" w:hAnsi="Times New Roman"/>
            </w:rPr>
            <w:t xml:space="preserve"> confidence interval, </w:t>
          </w:r>
          <w:r w:rsidRPr="00F737BB">
            <w:rPr>
              <w:rFonts w:ascii="Times New Roman" w:hAnsi="Times New Roman"/>
              <w:i/>
            </w:rPr>
            <w:t>GI</w:t>
          </w:r>
          <w:r w:rsidRPr="00F737BB">
            <w:rPr>
              <w:rFonts w:ascii="Times New Roman" w:hAnsi="Times New Roman"/>
            </w:rPr>
            <w:t xml:space="preserve"> gastrointestinal, </w:t>
          </w:r>
          <w:r w:rsidRPr="00F737BB">
            <w:rPr>
              <w:rFonts w:ascii="Times New Roman" w:hAnsi="Times New Roman"/>
              <w:i/>
            </w:rPr>
            <w:t>IE</w:t>
          </w:r>
          <w:r w:rsidRPr="00F737BB">
            <w:rPr>
              <w:rFonts w:ascii="Times New Roman" w:hAnsi="Times New Roman"/>
            </w:rPr>
            <w:t xml:space="preserve"> idiopathic epilepsy, </w:t>
          </w:r>
          <w:r w:rsidRPr="00F737BB">
            <w:rPr>
              <w:rFonts w:ascii="Times New Roman" w:hAnsi="Times New Roman"/>
              <w:i/>
            </w:rPr>
            <w:t>LEV</w:t>
          </w:r>
          <w:r w:rsidRPr="00F737BB">
            <w:rPr>
              <w:rFonts w:ascii="Times New Roman" w:hAnsi="Times New Roman"/>
            </w:rPr>
            <w:t xml:space="preserve"> </w:t>
          </w:r>
          <w:proofErr w:type="spellStart"/>
          <w:r w:rsidRPr="00F737BB">
            <w:rPr>
              <w:rFonts w:ascii="Times New Roman" w:hAnsi="Times New Roman"/>
            </w:rPr>
            <w:t>Levetiracetam</w:t>
          </w:r>
          <w:proofErr w:type="spellEnd"/>
          <w:r w:rsidRPr="00F737BB">
            <w:rPr>
              <w:rFonts w:ascii="Times New Roman" w:hAnsi="Times New Roman"/>
            </w:rPr>
            <w:t xml:space="preserve">, </w:t>
          </w:r>
          <w:r w:rsidRPr="00F737BB">
            <w:rPr>
              <w:rFonts w:ascii="Times New Roman" w:hAnsi="Times New Roman"/>
              <w:i/>
            </w:rPr>
            <w:t>m</w:t>
          </w:r>
          <w:r w:rsidRPr="00F737BB">
            <w:rPr>
              <w:rFonts w:ascii="Times New Roman" w:hAnsi="Times New Roman"/>
            </w:rPr>
            <w:t xml:space="preserve"> month(s), </w:t>
          </w:r>
          <w:r w:rsidRPr="00F737BB">
            <w:rPr>
              <w:rFonts w:ascii="Times New Roman" w:hAnsi="Times New Roman"/>
              <w:i/>
            </w:rPr>
            <w:t>NA</w:t>
          </w:r>
          <w:r w:rsidRPr="00F737BB">
            <w:rPr>
              <w:rFonts w:ascii="Times New Roman" w:hAnsi="Times New Roman"/>
            </w:rPr>
            <w:t xml:space="preserve"> Not Available, </w:t>
          </w:r>
          <w:r w:rsidRPr="00F737BB">
            <w:rPr>
              <w:rFonts w:ascii="Times New Roman" w:hAnsi="Times New Roman"/>
              <w:i/>
            </w:rPr>
            <w:t>PB</w:t>
          </w:r>
          <w:r w:rsidRPr="00F737BB">
            <w:rPr>
              <w:rFonts w:ascii="Times New Roman" w:hAnsi="Times New Roman"/>
            </w:rPr>
            <w:t xml:space="preserve"> phenobarbital, </w:t>
          </w:r>
          <w:r w:rsidRPr="00F737BB">
            <w:rPr>
              <w:rFonts w:ascii="Times New Roman" w:hAnsi="Times New Roman"/>
              <w:i/>
            </w:rPr>
            <w:t>PD</w:t>
          </w:r>
          <w:r w:rsidRPr="00F737BB">
            <w:rPr>
              <w:rFonts w:ascii="Times New Roman" w:hAnsi="Times New Roman"/>
            </w:rPr>
            <w:t xml:space="preserve"> polydipsia, </w:t>
          </w:r>
          <w:r w:rsidRPr="00F737BB">
            <w:rPr>
              <w:rFonts w:ascii="Times New Roman" w:hAnsi="Times New Roman"/>
              <w:i/>
            </w:rPr>
            <w:t>PU</w:t>
          </w:r>
          <w:r w:rsidRPr="00F737BB">
            <w:rPr>
              <w:rFonts w:ascii="Times New Roman" w:hAnsi="Times New Roman"/>
            </w:rPr>
            <w:t xml:space="preserve"> polyuria, </w:t>
          </w:r>
          <w:r w:rsidRPr="00F737BB">
            <w:rPr>
              <w:rFonts w:ascii="Times New Roman" w:hAnsi="Times New Roman"/>
              <w:i/>
            </w:rPr>
            <w:t>PP</w:t>
          </w:r>
          <w:r w:rsidRPr="00F737BB">
            <w:rPr>
              <w:rFonts w:ascii="Times New Roman" w:hAnsi="Times New Roman"/>
            </w:rPr>
            <w:t xml:space="preserve"> polyphagia, </w:t>
          </w:r>
          <w:proofErr w:type="spellStart"/>
          <w:r w:rsidRPr="00F737BB">
            <w:rPr>
              <w:rFonts w:ascii="Times New Roman" w:hAnsi="Times New Roman"/>
              <w:i/>
            </w:rPr>
            <w:t>PBr</w:t>
          </w:r>
          <w:proofErr w:type="spellEnd"/>
          <w:r w:rsidRPr="00F737BB">
            <w:rPr>
              <w:rFonts w:ascii="Times New Roman" w:hAnsi="Times New Roman"/>
            </w:rPr>
            <w:t xml:space="preserve"> potassium bromide, </w:t>
          </w:r>
          <w:r w:rsidRPr="00F737BB">
            <w:rPr>
              <w:rFonts w:ascii="Times New Roman" w:hAnsi="Times New Roman"/>
              <w:i/>
            </w:rPr>
            <w:t>PO</w:t>
          </w:r>
          <w:r w:rsidRPr="00F737BB">
            <w:rPr>
              <w:rFonts w:ascii="Times New Roman" w:hAnsi="Times New Roman"/>
            </w:rPr>
            <w:t xml:space="preserve"> per </w:t>
          </w:r>
          <w:proofErr w:type="spellStart"/>
          <w:r w:rsidRPr="00F737BB">
            <w:rPr>
              <w:rFonts w:ascii="Times New Roman" w:hAnsi="Times New Roman"/>
            </w:rPr>
            <w:t>os</w:t>
          </w:r>
          <w:proofErr w:type="spellEnd"/>
          <w:r w:rsidRPr="00F737BB">
            <w:rPr>
              <w:rFonts w:ascii="Times New Roman" w:hAnsi="Times New Roman"/>
            </w:rPr>
            <w:t xml:space="preserve">, </w:t>
          </w:r>
          <w:r w:rsidRPr="00F737BB">
            <w:rPr>
              <w:rFonts w:ascii="Times New Roman" w:hAnsi="Times New Roman"/>
              <w:i/>
            </w:rPr>
            <w:t>SID</w:t>
          </w:r>
          <w:r w:rsidRPr="00F737BB">
            <w:rPr>
              <w:rFonts w:ascii="Times New Roman" w:hAnsi="Times New Roman"/>
            </w:rPr>
            <w:t xml:space="preserve"> </w:t>
          </w:r>
          <w:proofErr w:type="spellStart"/>
          <w:r w:rsidRPr="00F737BB">
            <w:rPr>
              <w:rFonts w:ascii="Times New Roman" w:hAnsi="Times New Roman"/>
            </w:rPr>
            <w:t>semel</w:t>
          </w:r>
          <w:proofErr w:type="spellEnd"/>
          <w:r w:rsidRPr="00F737BB">
            <w:rPr>
              <w:rFonts w:ascii="Times New Roman" w:hAnsi="Times New Roman"/>
            </w:rPr>
            <w:t xml:space="preserve"> in die (once daily), </w:t>
          </w:r>
          <w:r w:rsidRPr="00F737BB">
            <w:rPr>
              <w:rFonts w:ascii="Times New Roman" w:hAnsi="Times New Roman"/>
              <w:i/>
            </w:rPr>
            <w:t>TID</w:t>
          </w:r>
          <w:r w:rsidRPr="00F737BB">
            <w:rPr>
              <w:rFonts w:ascii="Times New Roman" w:hAnsi="Times New Roman"/>
            </w:rPr>
            <w:t xml:space="preserve"> </w:t>
          </w:r>
          <w:proofErr w:type="spellStart"/>
          <w:r w:rsidRPr="00F737BB">
            <w:rPr>
              <w:rFonts w:ascii="Times New Roman" w:hAnsi="Times New Roman"/>
            </w:rPr>
            <w:t>ter</w:t>
          </w:r>
          <w:proofErr w:type="spellEnd"/>
          <w:r w:rsidRPr="00F737BB">
            <w:rPr>
              <w:rFonts w:ascii="Times New Roman" w:hAnsi="Times New Roman"/>
            </w:rPr>
            <w:t xml:space="preserve"> in die (three times daily), </w:t>
          </w:r>
          <w:r w:rsidRPr="00F737BB">
            <w:rPr>
              <w:rFonts w:ascii="Times New Roman" w:hAnsi="Times New Roman"/>
              <w:i/>
            </w:rPr>
            <w:t>w</w:t>
          </w:r>
          <w:r w:rsidRPr="00F737BB">
            <w:rPr>
              <w:rFonts w:ascii="Times New Roman" w:hAnsi="Times New Roman"/>
            </w:rPr>
            <w:t xml:space="preserve"> week(s), </w:t>
          </w:r>
          <w:r w:rsidRPr="00F737BB">
            <w:rPr>
              <w:rFonts w:ascii="Times New Roman" w:hAnsi="Times New Roman"/>
              <w:i/>
            </w:rPr>
            <w:t>y</w:t>
          </w:r>
          <w:r w:rsidRPr="00F737BB">
            <w:rPr>
              <w:rFonts w:ascii="Times New Roman" w:hAnsi="Times New Roman"/>
            </w:rPr>
            <w:t xml:space="preserve"> year(s)</w:t>
          </w:r>
        </w:p>
      </w:sdtContent>
    </w:sdt>
    <w:p w:rsidR="00FB4BC4" w:rsidRDefault="00FB4BC4"/>
    <w:sectPr w:rsidR="00FB4BC4" w:rsidSect="000B632D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formsDesign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0B632D"/>
    <w:rsid w:val="00061E08"/>
    <w:rsid w:val="000B632D"/>
    <w:rsid w:val="00316F0F"/>
    <w:rsid w:val="008E4D6A"/>
    <w:rsid w:val="00FB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B632D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6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3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B632D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6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3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FE8437C7547497BB1CE52F834862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72592-E8AC-40FA-ADD0-05B947B811B8}"/>
      </w:docPartPr>
      <w:docPartBody>
        <w:p w:rsidR="00041016" w:rsidRDefault="0004101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84B"/>
    <w:rsid w:val="00041016"/>
    <w:rsid w:val="002A284B"/>
    <w:rsid w:val="008B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1075</Words>
  <Characters>5012</Characters>
  <Application>Microsoft Office Word</Application>
  <DocSecurity>0</DocSecurity>
  <Lines>1002</Lines>
  <Paragraphs>405</Paragraphs>
  <ScaleCrop>false</ScaleCrop>
  <Company/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KBULING</dc:creator>
  <cp:lastModifiedBy>KBULING</cp:lastModifiedBy>
  <cp:revision>2</cp:revision>
  <dcterms:created xsi:type="dcterms:W3CDTF">2018-02-23T15:21:00Z</dcterms:created>
  <dcterms:modified xsi:type="dcterms:W3CDTF">2018-02-23T16:42:00Z</dcterms:modified>
</cp:coreProperties>
</file>