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DB2F5" w14:textId="06996535" w:rsidR="00D241A4" w:rsidRPr="00BA03FE" w:rsidRDefault="00D241A4">
      <w:pPr>
        <w:rPr>
          <w:rFonts w:ascii="Palatino Linotype" w:hAnsi="Palatino Linotype"/>
          <w:sz w:val="20"/>
          <w:szCs w:val="20"/>
          <w:vertAlign w:val="superscript"/>
          <w:lang w:val="en-GB"/>
        </w:rPr>
      </w:pPr>
      <w:r w:rsidRPr="00BA03FE">
        <w:rPr>
          <w:rFonts w:ascii="Palatino Linotype" w:hAnsi="Palatino Linotype"/>
          <w:b/>
          <w:bCs/>
          <w:sz w:val="20"/>
          <w:szCs w:val="20"/>
          <w:lang w:val="en-GB"/>
        </w:rPr>
        <w:t xml:space="preserve">Table S1: </w:t>
      </w:r>
      <w:r w:rsidR="00E00A08" w:rsidRPr="00BA03FE">
        <w:rPr>
          <w:rFonts w:ascii="Palatino Linotype" w:hAnsi="Palatino Linotype"/>
          <w:sz w:val="20"/>
          <w:szCs w:val="20"/>
          <w:lang w:val="en-GB"/>
        </w:rPr>
        <w:t>Description of</w:t>
      </w:r>
      <w:r w:rsidR="00BA03FE">
        <w:rPr>
          <w:rFonts w:ascii="Palatino Linotype" w:hAnsi="Palatino Linotype"/>
          <w:sz w:val="20"/>
          <w:szCs w:val="20"/>
          <w:lang w:val="en-GB"/>
        </w:rPr>
        <w:t xml:space="preserve"> the</w:t>
      </w:r>
      <w:r w:rsidR="00E00A08" w:rsidRPr="00BA03FE">
        <w:rPr>
          <w:rFonts w:ascii="Palatino Linotype" w:hAnsi="Palatino Linotype"/>
          <w:sz w:val="20"/>
          <w:szCs w:val="20"/>
          <w:lang w:val="en-GB"/>
        </w:rPr>
        <w:t xml:space="preserve"> </w:t>
      </w:r>
      <w:r w:rsidR="00E80436">
        <w:rPr>
          <w:rFonts w:ascii="Palatino Linotype" w:hAnsi="Palatino Linotype"/>
          <w:sz w:val="20"/>
          <w:szCs w:val="20"/>
          <w:lang w:val="en-GB"/>
        </w:rPr>
        <w:t xml:space="preserve">methods </w:t>
      </w:r>
      <w:r w:rsidR="00E00A08" w:rsidRPr="00BA03FE">
        <w:rPr>
          <w:rFonts w:ascii="Palatino Linotype" w:hAnsi="Palatino Linotype"/>
          <w:sz w:val="20"/>
          <w:szCs w:val="20"/>
          <w:lang w:val="en-GB"/>
        </w:rPr>
        <w:t xml:space="preserve">and </w:t>
      </w:r>
      <w:r w:rsidR="00E80436">
        <w:rPr>
          <w:rFonts w:ascii="Palatino Linotype" w:hAnsi="Palatino Linotype"/>
          <w:sz w:val="20"/>
          <w:szCs w:val="20"/>
          <w:lang w:val="en-GB"/>
        </w:rPr>
        <w:t xml:space="preserve">the </w:t>
      </w:r>
      <w:r w:rsidR="00E00A08" w:rsidRPr="00BA03FE">
        <w:rPr>
          <w:rFonts w:ascii="Palatino Linotype" w:hAnsi="Palatino Linotype"/>
          <w:sz w:val="20"/>
          <w:szCs w:val="20"/>
          <w:lang w:val="en-GB"/>
        </w:rPr>
        <w:t xml:space="preserve">reagents </w:t>
      </w:r>
      <w:r w:rsidR="00E80436">
        <w:rPr>
          <w:rFonts w:ascii="Palatino Linotype" w:hAnsi="Palatino Linotype"/>
          <w:sz w:val="20"/>
          <w:szCs w:val="20"/>
          <w:lang w:val="en-GB"/>
        </w:rPr>
        <w:t xml:space="preserve">used on the </w:t>
      </w:r>
      <w:r w:rsidR="00E00A08" w:rsidRPr="00BA03FE">
        <w:rPr>
          <w:rFonts w:ascii="Palatino Linotype" w:hAnsi="Palatino Linotype"/>
          <w:sz w:val="20"/>
          <w:szCs w:val="20"/>
          <w:lang w:val="en-GB"/>
        </w:rPr>
        <w:t>assay</w:t>
      </w:r>
      <w:r w:rsidR="00E80436">
        <w:rPr>
          <w:rFonts w:ascii="Palatino Linotype" w:hAnsi="Palatino Linotype"/>
          <w:sz w:val="20"/>
          <w:szCs w:val="20"/>
          <w:lang w:val="en-GB"/>
        </w:rPr>
        <w:t>s</w:t>
      </w:r>
      <w:r w:rsidR="00E00A08" w:rsidRPr="00BA03FE">
        <w:rPr>
          <w:rFonts w:ascii="Palatino Linotype" w:hAnsi="Palatino Linotype"/>
          <w:sz w:val="20"/>
          <w:szCs w:val="20"/>
          <w:lang w:val="en-GB"/>
        </w:rPr>
        <w:t xml:space="preserve"> performed in the study.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8"/>
        <w:gridCol w:w="3147"/>
        <w:gridCol w:w="2059"/>
        <w:gridCol w:w="198"/>
        <w:gridCol w:w="1862"/>
      </w:tblGrid>
      <w:tr w:rsidR="00D241A4" w:rsidRPr="0094262D" w14:paraId="1DF72B2D" w14:textId="77777777" w:rsidTr="009D2677">
        <w:trPr>
          <w:jc w:val="center"/>
        </w:trPr>
        <w:tc>
          <w:tcPr>
            <w:tcW w:w="1228" w:type="dxa"/>
            <w:vMerge w:val="restart"/>
            <w:vAlign w:val="center"/>
          </w:tcPr>
          <w:p w14:paraId="442A71AC" w14:textId="0086B985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proofErr w:type="spellStart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Method</w:t>
            </w:r>
            <w:proofErr w:type="spellEnd"/>
          </w:p>
        </w:tc>
        <w:tc>
          <w:tcPr>
            <w:tcW w:w="3147" w:type="dxa"/>
            <w:vMerge w:val="restart"/>
            <w:vAlign w:val="center"/>
          </w:tcPr>
          <w:p w14:paraId="2B57B784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proofErr w:type="spellStart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Basis</w:t>
            </w:r>
            <w:proofErr w:type="spellEnd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 xml:space="preserve"> of </w:t>
            </w:r>
            <w:proofErr w:type="spellStart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the</w:t>
            </w:r>
            <w:proofErr w:type="spellEnd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method</w:t>
            </w:r>
            <w:proofErr w:type="spellEnd"/>
          </w:p>
        </w:tc>
        <w:tc>
          <w:tcPr>
            <w:tcW w:w="4119" w:type="dxa"/>
            <w:gridSpan w:val="3"/>
          </w:tcPr>
          <w:p w14:paraId="5F28093C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  <w:lang w:val="en-GB"/>
              </w:rPr>
              <w:t>Reagents (in home-made assays) or manufacture</w:t>
            </w:r>
          </w:p>
        </w:tc>
      </w:tr>
      <w:tr w:rsidR="00D241A4" w:rsidRPr="002A6291" w14:paraId="4B779F7F" w14:textId="77777777" w:rsidTr="009D2677">
        <w:trPr>
          <w:jc w:val="center"/>
        </w:trPr>
        <w:tc>
          <w:tcPr>
            <w:tcW w:w="1228" w:type="dxa"/>
            <w:vMerge/>
            <w:vAlign w:val="center"/>
          </w:tcPr>
          <w:p w14:paraId="2E4011CD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3147" w:type="dxa"/>
            <w:vMerge/>
            <w:vAlign w:val="center"/>
          </w:tcPr>
          <w:p w14:paraId="6AF79EA4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257" w:type="dxa"/>
            <w:gridSpan w:val="2"/>
            <w:vAlign w:val="center"/>
          </w:tcPr>
          <w:p w14:paraId="388DEA1F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  <w:lang w:val="en-GB"/>
              </w:rPr>
              <w:t>Reagent 1</w:t>
            </w:r>
          </w:p>
        </w:tc>
        <w:tc>
          <w:tcPr>
            <w:tcW w:w="1862" w:type="dxa"/>
            <w:vAlign w:val="center"/>
          </w:tcPr>
          <w:p w14:paraId="375B7A82" w14:textId="77777777" w:rsidR="00D241A4" w:rsidRPr="00AE3B5C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  <w:lang w:val="en-GB"/>
              </w:rPr>
            </w:pPr>
            <w:r w:rsidRPr="00AE3B5C">
              <w:rPr>
                <w:rFonts w:ascii="Palatino Linotype" w:hAnsi="Palatino Linotype" w:cstheme="minorHAnsi"/>
                <w:b/>
                <w:bCs/>
                <w:sz w:val="18"/>
                <w:szCs w:val="18"/>
                <w:lang w:val="en-GB"/>
              </w:rPr>
              <w:t>Reagent 2</w:t>
            </w:r>
          </w:p>
        </w:tc>
      </w:tr>
      <w:tr w:rsidR="00D241A4" w:rsidRPr="0094262D" w14:paraId="6807B657" w14:textId="77777777" w:rsidTr="009D2677">
        <w:trPr>
          <w:jc w:val="center"/>
        </w:trPr>
        <w:tc>
          <w:tcPr>
            <w:tcW w:w="1228" w:type="dxa"/>
            <w:vAlign w:val="center"/>
          </w:tcPr>
          <w:p w14:paraId="472EB5E9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CUPRAC</w:t>
            </w:r>
          </w:p>
        </w:tc>
        <w:tc>
          <w:tcPr>
            <w:tcW w:w="3147" w:type="dxa"/>
            <w:vAlign w:val="center"/>
          </w:tcPr>
          <w:p w14:paraId="66057F43" w14:textId="050D8442" w:rsidR="00D241A4" w:rsidRPr="002A6291" w:rsidRDefault="008134BA" w:rsidP="008134BA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The r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eduction of Cu2+ to Cu1+ 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caused by antioxidants in the sample</w:t>
            </w:r>
          </w:p>
        </w:tc>
        <w:tc>
          <w:tcPr>
            <w:tcW w:w="2257" w:type="dxa"/>
            <w:gridSpan w:val="2"/>
            <w:vAlign w:val="center"/>
          </w:tcPr>
          <w:p w14:paraId="7BF02273" w14:textId="53146C2B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proofErr w:type="spellStart"/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bathocuproinedisulfonic</w:t>
            </w:r>
            <w:proofErr w:type="spellEnd"/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acid disodium salt in phosphate buffer</w:t>
            </w:r>
          </w:p>
        </w:tc>
        <w:tc>
          <w:tcPr>
            <w:tcW w:w="1862" w:type="dxa"/>
            <w:vAlign w:val="center"/>
          </w:tcPr>
          <w:p w14:paraId="4666924F" w14:textId="552D7655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proofErr w:type="gramStart"/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Cu(</w:t>
            </w:r>
            <w:proofErr w:type="gramEnd"/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II) sulphate anhydrous in ultrapure water</w:t>
            </w:r>
          </w:p>
        </w:tc>
      </w:tr>
      <w:tr w:rsidR="00D241A4" w:rsidRPr="002A6291" w14:paraId="56EE5C00" w14:textId="77777777" w:rsidTr="009D2677">
        <w:trPr>
          <w:jc w:val="center"/>
        </w:trPr>
        <w:tc>
          <w:tcPr>
            <w:tcW w:w="1228" w:type="dxa"/>
            <w:vAlign w:val="center"/>
          </w:tcPr>
          <w:p w14:paraId="0AEB190D" w14:textId="1210357A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FRA</w:t>
            </w:r>
            <w:r w:rsidR="009D2677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P/FRA</w:t>
            </w: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3147" w:type="dxa"/>
            <w:vAlign w:val="center"/>
          </w:tcPr>
          <w:p w14:paraId="782CBB58" w14:textId="53D445CA" w:rsidR="00D241A4" w:rsidRPr="002A6291" w:rsidRDefault="008134BA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The r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eduction of Fe3+ to Fe2+ 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caused by antioxidants in the sample</w:t>
            </w:r>
          </w:p>
        </w:tc>
        <w:tc>
          <w:tcPr>
            <w:tcW w:w="2257" w:type="dxa"/>
            <w:gridSpan w:val="2"/>
            <w:vAlign w:val="center"/>
          </w:tcPr>
          <w:p w14:paraId="671C24F0" w14:textId="7EE4F064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proofErr w:type="spellStart"/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tripyridyltriazine</w:t>
            </w:r>
            <w:proofErr w:type="spellEnd"/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, and ferric chloride hexahydrate in acetate buffer</w:t>
            </w:r>
          </w:p>
        </w:tc>
        <w:tc>
          <w:tcPr>
            <w:tcW w:w="1862" w:type="dxa"/>
            <w:vAlign w:val="center"/>
          </w:tcPr>
          <w:p w14:paraId="3DC202B3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none</w:t>
            </w:r>
          </w:p>
        </w:tc>
      </w:tr>
      <w:tr w:rsidR="00D241A4" w:rsidRPr="002A6291" w14:paraId="32945318" w14:textId="77777777" w:rsidTr="009D2677">
        <w:trPr>
          <w:jc w:val="center"/>
        </w:trPr>
        <w:tc>
          <w:tcPr>
            <w:tcW w:w="1228" w:type="dxa"/>
            <w:vAlign w:val="center"/>
          </w:tcPr>
          <w:p w14:paraId="114C5713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TEAC</w:t>
            </w:r>
          </w:p>
        </w:tc>
        <w:tc>
          <w:tcPr>
            <w:tcW w:w="3147" w:type="dxa"/>
            <w:vAlign w:val="center"/>
          </w:tcPr>
          <w:p w14:paraId="38B53D08" w14:textId="444E591E" w:rsidR="00D241A4" w:rsidRPr="002A6291" w:rsidRDefault="008134BA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The r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eduction of 2,2′-azino- </w:t>
            </w:r>
            <w:proofErr w:type="gramStart"/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bis(</w:t>
            </w:r>
            <w:proofErr w:type="gramEnd"/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3-ethylbenzthiazoline-6-sulfonic acid) (ABTS) radical to ABTS 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caused 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by the antioxidants present in the sample</w:t>
            </w:r>
          </w:p>
        </w:tc>
        <w:tc>
          <w:tcPr>
            <w:tcW w:w="2257" w:type="dxa"/>
            <w:gridSpan w:val="2"/>
            <w:vAlign w:val="center"/>
          </w:tcPr>
          <w:p w14:paraId="1BF3408A" w14:textId="70CC50FF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ABTS, horseradish peroxidase (HRP), and H2O2 in phosphate buffer</w:t>
            </w:r>
          </w:p>
        </w:tc>
        <w:tc>
          <w:tcPr>
            <w:tcW w:w="1862" w:type="dxa"/>
            <w:vAlign w:val="center"/>
          </w:tcPr>
          <w:p w14:paraId="5DFF9F6F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none</w:t>
            </w:r>
          </w:p>
        </w:tc>
      </w:tr>
      <w:tr w:rsidR="009D2677" w:rsidRPr="002A6291" w14:paraId="5E286E02" w14:textId="77777777" w:rsidTr="009D2677">
        <w:trPr>
          <w:jc w:val="center"/>
        </w:trPr>
        <w:tc>
          <w:tcPr>
            <w:tcW w:w="1228" w:type="dxa"/>
            <w:vAlign w:val="center"/>
          </w:tcPr>
          <w:p w14:paraId="7F449D87" w14:textId="4D878E37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Thiol</w:t>
            </w:r>
            <w:proofErr w:type="spellEnd"/>
          </w:p>
        </w:tc>
        <w:tc>
          <w:tcPr>
            <w:tcW w:w="3147" w:type="dxa"/>
            <w:vAlign w:val="center"/>
          </w:tcPr>
          <w:p w14:paraId="065C2DC5" w14:textId="65F1BA19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Reaction of thiols </w:t>
            </w:r>
            <w:r w:rsidR="008134BA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i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n the sample with </w:t>
            </w:r>
            <w:r w:rsidRPr="009D2677">
              <w:rPr>
                <w:rFonts w:ascii="Calibri" w:hAnsi="Calibri" w:cs="Calibri"/>
                <w:sz w:val="18"/>
                <w:szCs w:val="18"/>
                <w:lang w:val="en-GB"/>
              </w:rPr>
              <w:t>﻿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5,5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’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-dithiobis-(2-nitrobenzoic acid) (DTNB)</w:t>
            </w:r>
          </w:p>
        </w:tc>
        <w:tc>
          <w:tcPr>
            <w:tcW w:w="2257" w:type="dxa"/>
            <w:gridSpan w:val="2"/>
            <w:vAlign w:val="center"/>
          </w:tcPr>
          <w:p w14:paraId="40A20BD4" w14:textId="0D64BCDC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Tris –</w:t>
            </w:r>
            <w:r w:rsidR="008134BA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EDTA Buffer</w:t>
            </w:r>
          </w:p>
        </w:tc>
        <w:tc>
          <w:tcPr>
            <w:tcW w:w="1862" w:type="dxa"/>
            <w:vAlign w:val="center"/>
          </w:tcPr>
          <w:p w14:paraId="19549D6F" w14:textId="2799F9F8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DTNB in phosphate buffer</w:t>
            </w:r>
          </w:p>
        </w:tc>
      </w:tr>
      <w:tr w:rsidR="009D2677" w:rsidRPr="0094262D" w14:paraId="07E2EC67" w14:textId="77777777" w:rsidTr="009D2677">
        <w:trPr>
          <w:jc w:val="center"/>
        </w:trPr>
        <w:tc>
          <w:tcPr>
            <w:tcW w:w="1228" w:type="dxa"/>
            <w:vAlign w:val="center"/>
          </w:tcPr>
          <w:p w14:paraId="24E2C3D6" w14:textId="301C2A17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PON-1</w:t>
            </w:r>
          </w:p>
        </w:tc>
        <w:tc>
          <w:tcPr>
            <w:tcW w:w="3147" w:type="dxa"/>
            <w:vAlign w:val="center"/>
          </w:tcPr>
          <w:p w14:paraId="2A7FAF54" w14:textId="64B1A210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Hydrolysis of phenylacetate into phenol</w:t>
            </w:r>
          </w:p>
        </w:tc>
        <w:tc>
          <w:tcPr>
            <w:tcW w:w="2257" w:type="dxa"/>
            <w:gridSpan w:val="2"/>
            <w:vAlign w:val="center"/>
          </w:tcPr>
          <w:p w14:paraId="7F75E109" w14:textId="6CAE0807" w:rsidR="009D2677" w:rsidRPr="009D2677" w:rsidRDefault="009D2677" w:rsidP="009D2677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Tris and</w:t>
            </w:r>
            <w:r w:rsidR="008134BA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CaCl</w:t>
            </w:r>
            <w:proofErr w:type="gramStart"/>
            <w:r w:rsidRPr="009D2677">
              <w:rPr>
                <w:rFonts w:ascii="Palatino Linotype" w:hAnsi="Palatino Linotype" w:cstheme="minorHAnsi"/>
                <w:sz w:val="18"/>
                <w:szCs w:val="18"/>
                <w:vertAlign w:val="subscript"/>
                <w:lang w:val="en-GB"/>
              </w:rPr>
              <w:t xml:space="preserve">2 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buffer</w:t>
            </w:r>
            <w:proofErr w:type="gramEnd"/>
          </w:p>
        </w:tc>
        <w:tc>
          <w:tcPr>
            <w:tcW w:w="1862" w:type="dxa"/>
            <w:vAlign w:val="center"/>
          </w:tcPr>
          <w:p w14:paraId="684706F6" w14:textId="608169EB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p-</w:t>
            </w:r>
            <w:proofErr w:type="spellStart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nytrophenyl</w:t>
            </w:r>
            <w:proofErr w:type="spellEnd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acetate and methanol solution diluted with ultrapure water</w:t>
            </w:r>
          </w:p>
        </w:tc>
      </w:tr>
      <w:tr w:rsidR="009D2677" w:rsidRPr="002A6291" w14:paraId="3C711BE1" w14:textId="77777777" w:rsidTr="00DD1C40">
        <w:trPr>
          <w:jc w:val="center"/>
        </w:trPr>
        <w:tc>
          <w:tcPr>
            <w:tcW w:w="1228" w:type="dxa"/>
            <w:vAlign w:val="center"/>
          </w:tcPr>
          <w:p w14:paraId="024038AE" w14:textId="1264CF5A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GPx</w:t>
            </w:r>
            <w:proofErr w:type="spellEnd"/>
          </w:p>
        </w:tc>
        <w:tc>
          <w:tcPr>
            <w:tcW w:w="3147" w:type="dxa"/>
            <w:vAlign w:val="center"/>
          </w:tcPr>
          <w:p w14:paraId="74CB1252" w14:textId="21A9E6AB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Catalysis of the oxidation of glutathione by cumene hydroperoxide, and the reduction of the oxidise glutathione by presence of glutathione reductase</w:t>
            </w:r>
          </w:p>
        </w:tc>
        <w:tc>
          <w:tcPr>
            <w:tcW w:w="4119" w:type="dxa"/>
            <w:gridSpan w:val="3"/>
            <w:vAlign w:val="center"/>
          </w:tcPr>
          <w:p w14:paraId="40E56C1B" w14:textId="76295C43" w:rsidR="009D2677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RANDOX</w:t>
            </w:r>
          </w:p>
        </w:tc>
      </w:tr>
      <w:tr w:rsidR="00D241A4" w:rsidRPr="0094262D" w14:paraId="3E3F2F89" w14:textId="77777777" w:rsidTr="009D2677">
        <w:trPr>
          <w:jc w:val="center"/>
        </w:trPr>
        <w:tc>
          <w:tcPr>
            <w:tcW w:w="1228" w:type="dxa"/>
            <w:vAlign w:val="center"/>
          </w:tcPr>
          <w:p w14:paraId="60C039B1" w14:textId="643900EF" w:rsidR="00D241A4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TOS</w:t>
            </w:r>
          </w:p>
        </w:tc>
        <w:tc>
          <w:tcPr>
            <w:tcW w:w="3147" w:type="dxa"/>
            <w:vAlign w:val="center"/>
          </w:tcPr>
          <w:p w14:paraId="4972367C" w14:textId="73D377AA" w:rsidR="00D241A4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Estimation of the oxidation of </w:t>
            </w:r>
            <w:r w:rsidRPr="009D2677">
              <w:rPr>
                <w:rFonts w:ascii="Calibri" w:hAnsi="Calibri" w:cs="Calibri"/>
                <w:sz w:val="18"/>
                <w:szCs w:val="18"/>
                <w:lang w:val="en-GB"/>
              </w:rPr>
              <w:t>﻿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Fe2+-o-dianisidine complex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es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to Fe3+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within the sample</w:t>
            </w:r>
          </w:p>
        </w:tc>
        <w:tc>
          <w:tcPr>
            <w:tcW w:w="2257" w:type="dxa"/>
            <w:gridSpan w:val="2"/>
            <w:vAlign w:val="center"/>
          </w:tcPr>
          <w:p w14:paraId="3DA0FE33" w14:textId="2A427579" w:rsidR="00D241A4" w:rsidRPr="002A6291" w:rsidRDefault="009D2677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Xylenol orange tetrasodium salt, NaCl and glycerol in 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H</w:t>
            </w:r>
            <w:r>
              <w:rPr>
                <w:rFonts w:ascii="Palatino Linotype" w:hAnsi="Palatino Linotype" w:cstheme="minorHAnsi"/>
                <w:sz w:val="18"/>
                <w:szCs w:val="18"/>
                <w:vertAlign w:val="subscript"/>
                <w:lang w:val="en-GB"/>
              </w:rPr>
              <w:t>2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SO</w:t>
            </w:r>
            <w:r>
              <w:rPr>
                <w:rFonts w:ascii="Palatino Linotype" w:hAnsi="Palatino Linotype" w:cstheme="minorHAnsi"/>
                <w:sz w:val="18"/>
                <w:szCs w:val="18"/>
                <w:vertAlign w:val="subscript"/>
                <w:lang w:val="en-GB"/>
              </w:rPr>
              <w:t>4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solution</w:t>
            </w:r>
          </w:p>
        </w:tc>
        <w:tc>
          <w:tcPr>
            <w:tcW w:w="1862" w:type="dxa"/>
            <w:vAlign w:val="center"/>
          </w:tcPr>
          <w:p w14:paraId="6444CB7C" w14:textId="06081E80" w:rsidR="00D241A4" w:rsidRPr="002A6291" w:rsidRDefault="008134BA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F</w:t>
            </w:r>
            <w:r w:rsid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errous ammonium </w:t>
            </w:r>
            <w:proofErr w:type="spellStart"/>
            <w:r w:rsid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sulfate</w:t>
            </w:r>
            <w:proofErr w:type="spellEnd"/>
            <w:r w:rsid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and </w:t>
            </w:r>
            <w:r w:rsidR="009D2677"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o-dianisidine dihydrochloride</w:t>
            </w:r>
            <w:r w:rsid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in </w:t>
            </w:r>
            <w:r w:rsidR="009D2677"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H</w:t>
            </w:r>
            <w:r w:rsidR="009D2677">
              <w:rPr>
                <w:rFonts w:ascii="Palatino Linotype" w:hAnsi="Palatino Linotype" w:cstheme="minorHAnsi"/>
                <w:sz w:val="18"/>
                <w:szCs w:val="18"/>
                <w:vertAlign w:val="subscript"/>
                <w:lang w:val="en-GB"/>
              </w:rPr>
              <w:t>2</w:t>
            </w:r>
            <w:r w:rsid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SO</w:t>
            </w:r>
            <w:r w:rsidR="009D2677">
              <w:rPr>
                <w:rFonts w:ascii="Palatino Linotype" w:hAnsi="Palatino Linotype" w:cstheme="minorHAnsi"/>
                <w:sz w:val="18"/>
                <w:szCs w:val="18"/>
                <w:vertAlign w:val="subscript"/>
                <w:lang w:val="en-GB"/>
              </w:rPr>
              <w:t>4</w:t>
            </w:r>
            <w:r w:rsid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solution </w:t>
            </w:r>
          </w:p>
        </w:tc>
      </w:tr>
      <w:tr w:rsidR="00D241A4" w:rsidRPr="002A6291" w14:paraId="6FA5A3D6" w14:textId="77777777" w:rsidTr="009D2677">
        <w:trPr>
          <w:jc w:val="center"/>
        </w:trPr>
        <w:tc>
          <w:tcPr>
            <w:tcW w:w="1228" w:type="dxa"/>
            <w:vAlign w:val="center"/>
          </w:tcPr>
          <w:p w14:paraId="190F6C4B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POX-</w:t>
            </w:r>
            <w:proofErr w:type="spellStart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Act</w:t>
            </w:r>
            <w:proofErr w:type="spellEnd"/>
          </w:p>
        </w:tc>
        <w:tc>
          <w:tcPr>
            <w:tcW w:w="3147" w:type="dxa"/>
            <w:vAlign w:val="center"/>
          </w:tcPr>
          <w:p w14:paraId="7FBA44B2" w14:textId="722CB418" w:rsidR="00D241A4" w:rsidRPr="002A6291" w:rsidRDefault="008134BA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Measurement of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total peroxides 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after a peroxide-</w:t>
            </w:r>
            <w:proofErr w:type="spellStart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peroxdiase</w:t>
            </w:r>
            <w:proofErr w:type="spellEnd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reactiong</w:t>
            </w:r>
            <w:proofErr w:type="spellEnd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using a chromogenic substrate;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tetramethylbenzidine (TMB) </w:t>
            </w:r>
          </w:p>
        </w:tc>
        <w:tc>
          <w:tcPr>
            <w:tcW w:w="2257" w:type="dxa"/>
            <w:gridSpan w:val="2"/>
            <w:vAlign w:val="center"/>
          </w:tcPr>
          <w:p w14:paraId="27EA5D7F" w14:textId="6F2FFA89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TMB and HRP in acetate buffer</w:t>
            </w:r>
          </w:p>
        </w:tc>
        <w:tc>
          <w:tcPr>
            <w:tcW w:w="1862" w:type="dxa"/>
            <w:vAlign w:val="center"/>
          </w:tcPr>
          <w:p w14:paraId="65119C4A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none</w:t>
            </w:r>
          </w:p>
        </w:tc>
      </w:tr>
      <w:tr w:rsidR="00D241A4" w:rsidRPr="00DA55ED" w14:paraId="38C30CAA" w14:textId="77777777" w:rsidTr="009D2677">
        <w:trPr>
          <w:jc w:val="center"/>
        </w:trPr>
        <w:tc>
          <w:tcPr>
            <w:tcW w:w="1228" w:type="dxa"/>
            <w:vAlign w:val="center"/>
          </w:tcPr>
          <w:p w14:paraId="408B4A98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d-</w:t>
            </w:r>
            <w:proofErr w:type="spellStart"/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ROMs</w:t>
            </w:r>
            <w:proofErr w:type="spellEnd"/>
          </w:p>
        </w:tc>
        <w:tc>
          <w:tcPr>
            <w:tcW w:w="3147" w:type="dxa"/>
            <w:vAlign w:val="center"/>
          </w:tcPr>
          <w:p w14:paraId="3AB97AD1" w14:textId="4B336870" w:rsidR="00D241A4" w:rsidRPr="002A6291" w:rsidRDefault="008134BA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Based on Fenton’s reaction. 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Estimation of total peroxides by 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evaluating</w:t>
            </w:r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the </w:t>
            </w:r>
            <w:proofErr w:type="gramStart"/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N,N</w:t>
            </w:r>
            <w:proofErr w:type="gramEnd"/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-</w:t>
            </w:r>
            <w:proofErr w:type="spellStart"/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dyethylparaphenyldiamine</w:t>
            </w:r>
            <w:proofErr w:type="spellEnd"/>
            <w:r w:rsidR="00D241A4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(DEPPD) radical cation concentration</w:t>
            </w:r>
          </w:p>
        </w:tc>
        <w:tc>
          <w:tcPr>
            <w:tcW w:w="2257" w:type="dxa"/>
            <w:gridSpan w:val="2"/>
            <w:vAlign w:val="center"/>
          </w:tcPr>
          <w:p w14:paraId="78A97658" w14:textId="77777777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Acetate buffer</w:t>
            </w:r>
          </w:p>
        </w:tc>
        <w:tc>
          <w:tcPr>
            <w:tcW w:w="1862" w:type="dxa"/>
            <w:vAlign w:val="center"/>
          </w:tcPr>
          <w:p w14:paraId="182E06AE" w14:textId="0998FFF4" w:rsidR="00D241A4" w:rsidRPr="002A6291" w:rsidRDefault="00D241A4" w:rsidP="001C1725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DEPPD in ultrapure water</w:t>
            </w:r>
          </w:p>
        </w:tc>
      </w:tr>
      <w:tr w:rsidR="009D2677" w:rsidRPr="00DA55ED" w14:paraId="12BA766E" w14:textId="77777777" w:rsidTr="009D2677">
        <w:trPr>
          <w:jc w:val="center"/>
        </w:trPr>
        <w:tc>
          <w:tcPr>
            <w:tcW w:w="1228" w:type="dxa"/>
            <w:vAlign w:val="center"/>
          </w:tcPr>
          <w:p w14:paraId="20AAC967" w14:textId="3DD6F7DC" w:rsidR="009D2677" w:rsidRPr="002A6291" w:rsidRDefault="009D2677" w:rsidP="009D2677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 w:rsidRPr="002A6291"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t>AOPP</w:t>
            </w:r>
          </w:p>
        </w:tc>
        <w:tc>
          <w:tcPr>
            <w:tcW w:w="3147" w:type="dxa"/>
            <w:vAlign w:val="center"/>
          </w:tcPr>
          <w:p w14:paraId="52FD2C17" w14:textId="106D1109" w:rsidR="009D2677" w:rsidRPr="002A6291" w:rsidRDefault="008134BA" w:rsidP="009D2677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Absorbance of o</w:t>
            </w:r>
            <w:r w:rsidR="009D2677"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xidatively-modified albumin at 340 nm in the presence of potassium iodide (KI) in acidic conditions</w:t>
            </w:r>
          </w:p>
        </w:tc>
        <w:tc>
          <w:tcPr>
            <w:tcW w:w="2257" w:type="dxa"/>
            <w:gridSpan w:val="2"/>
            <w:vAlign w:val="center"/>
          </w:tcPr>
          <w:p w14:paraId="5591469F" w14:textId="0B4FC17A" w:rsidR="009D2677" w:rsidRPr="002A6291" w:rsidRDefault="009D2677" w:rsidP="009D2677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KI in ultrapure water</w:t>
            </w:r>
          </w:p>
        </w:tc>
        <w:tc>
          <w:tcPr>
            <w:tcW w:w="1862" w:type="dxa"/>
            <w:vAlign w:val="center"/>
          </w:tcPr>
          <w:p w14:paraId="414F1A8D" w14:textId="6B76F904" w:rsidR="009D2677" w:rsidRPr="002A6291" w:rsidRDefault="009D2677" w:rsidP="009D2677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2A6291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Acetic acid</w:t>
            </w:r>
          </w:p>
        </w:tc>
      </w:tr>
      <w:tr w:rsidR="00755D47" w:rsidRPr="0094262D" w14:paraId="4C4A730E" w14:textId="77777777" w:rsidTr="00F45316">
        <w:trPr>
          <w:jc w:val="center"/>
        </w:trPr>
        <w:tc>
          <w:tcPr>
            <w:tcW w:w="1228" w:type="dxa"/>
            <w:vAlign w:val="center"/>
          </w:tcPr>
          <w:p w14:paraId="45FEEA18" w14:textId="18C49595" w:rsidR="00755D47" w:rsidRPr="002A6291" w:rsidRDefault="00755D47" w:rsidP="009D2677">
            <w:pPr>
              <w:spacing w:before="120"/>
              <w:jc w:val="center"/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cstheme="minorHAnsi"/>
                <w:b/>
                <w:bCs/>
                <w:sz w:val="18"/>
                <w:szCs w:val="18"/>
              </w:rPr>
              <w:lastRenderedPageBreak/>
              <w:t>TBARS</w:t>
            </w:r>
          </w:p>
        </w:tc>
        <w:tc>
          <w:tcPr>
            <w:tcW w:w="3147" w:type="dxa"/>
            <w:vAlign w:val="center"/>
          </w:tcPr>
          <w:p w14:paraId="5F676605" w14:textId="414230E8" w:rsidR="00755D47" w:rsidRPr="002A6291" w:rsidRDefault="00755D47" w:rsidP="009D2677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Reaction of the sample to a trichloroacetic acid, </w:t>
            </w:r>
            <w:proofErr w:type="spellStart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thiobarbituric</w:t>
            </w:r>
            <w:proofErr w:type="spellEnd"/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acid and </w:t>
            </w:r>
            <w:r w:rsidRPr="009D2677">
              <w:rPr>
                <w:rFonts w:ascii="Calibri" w:hAnsi="Calibri" w:cs="Calibri"/>
                <w:sz w:val="18"/>
                <w:szCs w:val="18"/>
                <w:lang w:val="en-GB"/>
              </w:rPr>
              <w:t>﻿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N hydrochloric acid stock</w:t>
            </w: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in heated conditions.</w:t>
            </w:r>
          </w:p>
        </w:tc>
        <w:tc>
          <w:tcPr>
            <w:tcW w:w="2059" w:type="dxa"/>
            <w:vAlign w:val="center"/>
          </w:tcPr>
          <w:p w14:paraId="0728457E" w14:textId="4822F6C2" w:rsidR="00755D47" w:rsidRPr="002A6291" w:rsidRDefault="00755D47" w:rsidP="009D2677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 w:rsidRPr="009D2677">
              <w:rPr>
                <w:rFonts w:ascii="Calibri" w:hAnsi="Calibri" w:cs="Calibri"/>
                <w:sz w:val="18"/>
                <w:szCs w:val="18"/>
                <w:lang w:val="en-GB"/>
              </w:rPr>
              <w:t>﻿</w:t>
            </w:r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trichloroacetic </w:t>
            </w:r>
            <w:proofErr w:type="gramStart"/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acid;  </w:t>
            </w:r>
            <w:proofErr w:type="spellStart"/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thiobarbituric</w:t>
            </w:r>
            <w:proofErr w:type="spellEnd"/>
            <w:proofErr w:type="gramEnd"/>
            <w:r w:rsidRPr="009D2677"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 xml:space="preserve"> acid;  hydrochloric acid</w:t>
            </w:r>
          </w:p>
        </w:tc>
        <w:tc>
          <w:tcPr>
            <w:tcW w:w="2060" w:type="dxa"/>
            <w:gridSpan w:val="2"/>
            <w:vAlign w:val="center"/>
          </w:tcPr>
          <w:p w14:paraId="4F71655D" w14:textId="3121C371" w:rsidR="00755D47" w:rsidRPr="002A6291" w:rsidRDefault="00755D47" w:rsidP="009D2677">
            <w:pPr>
              <w:spacing w:before="120"/>
              <w:jc w:val="center"/>
              <w:rPr>
                <w:rFonts w:ascii="Palatino Linotype" w:hAnsi="Palatino Linotype" w:cstheme="minorHAnsi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 w:cstheme="minorHAnsi"/>
                <w:sz w:val="18"/>
                <w:szCs w:val="18"/>
                <w:lang w:val="en-GB"/>
              </w:rPr>
              <w:t>none</w:t>
            </w:r>
          </w:p>
        </w:tc>
      </w:tr>
    </w:tbl>
    <w:p w14:paraId="3A0DFAFD" w14:textId="4B87CC74" w:rsidR="005F5AB8" w:rsidRDefault="005F5AB8">
      <w:pPr>
        <w:rPr>
          <w:rFonts w:ascii="Palatino Linotype" w:hAnsi="Palatino Linotype"/>
          <w:sz w:val="18"/>
          <w:szCs w:val="18"/>
          <w:lang w:val="en-GB"/>
        </w:rPr>
      </w:pPr>
      <w:r w:rsidRPr="00077690">
        <w:rPr>
          <w:rFonts w:ascii="Palatino Linotype" w:hAnsi="Palatino Linotype"/>
          <w:sz w:val="18"/>
          <w:szCs w:val="18"/>
          <w:lang w:val="en-GB"/>
        </w:rPr>
        <w:t>All assays</w:t>
      </w:r>
      <w:r w:rsidR="009D2677">
        <w:rPr>
          <w:rFonts w:ascii="Palatino Linotype" w:hAnsi="Palatino Linotype"/>
          <w:sz w:val="18"/>
          <w:szCs w:val="18"/>
          <w:lang w:val="en-GB"/>
        </w:rPr>
        <w:t xml:space="preserve"> except TBARS, </w:t>
      </w:r>
      <w:r w:rsidRPr="00077690">
        <w:rPr>
          <w:rFonts w:ascii="Palatino Linotype" w:hAnsi="Palatino Linotype"/>
          <w:sz w:val="18"/>
          <w:szCs w:val="18"/>
          <w:lang w:val="en-GB"/>
        </w:rPr>
        <w:t xml:space="preserve">were </w:t>
      </w:r>
      <w:r w:rsidR="001032F7" w:rsidRPr="00077690">
        <w:rPr>
          <w:rFonts w:ascii="Palatino Linotype" w:hAnsi="Palatino Linotype"/>
          <w:sz w:val="18"/>
          <w:szCs w:val="18"/>
          <w:lang w:val="en-GB"/>
        </w:rPr>
        <w:t>conducted</w:t>
      </w:r>
      <w:r w:rsidR="00EF6B90" w:rsidRPr="00077690">
        <w:rPr>
          <w:rFonts w:ascii="Palatino Linotype" w:hAnsi="Palatino Linotype"/>
          <w:sz w:val="18"/>
          <w:szCs w:val="18"/>
          <w:lang w:val="en-GB"/>
        </w:rPr>
        <w:t xml:space="preserve"> in the Olympus AU400, </w:t>
      </w:r>
      <w:r w:rsidR="002027BD" w:rsidRPr="00077690">
        <w:rPr>
          <w:rFonts w:ascii="Palatino Linotype" w:hAnsi="Palatino Linotype"/>
          <w:sz w:val="18"/>
          <w:szCs w:val="18"/>
          <w:lang w:val="en-GB"/>
        </w:rPr>
        <w:t>at</w:t>
      </w:r>
      <w:r w:rsidR="001032F7" w:rsidRPr="00077690">
        <w:rPr>
          <w:rFonts w:ascii="Palatino Linotype" w:hAnsi="Palatino Linotype"/>
          <w:sz w:val="18"/>
          <w:szCs w:val="18"/>
          <w:lang w:val="en-GB"/>
        </w:rPr>
        <w:t xml:space="preserve"> a constant temperature of</w:t>
      </w:r>
      <w:r w:rsidR="00EF6B90" w:rsidRPr="00077690">
        <w:rPr>
          <w:rFonts w:ascii="Palatino Linotype" w:hAnsi="Palatino Linotype"/>
          <w:sz w:val="18"/>
          <w:szCs w:val="18"/>
          <w:lang w:val="en-GB"/>
        </w:rPr>
        <w:t xml:space="preserve"> 37</w:t>
      </w:r>
      <w:r w:rsidR="00D83208" w:rsidRPr="00967798">
        <w:rPr>
          <w:rFonts w:ascii="Palatino Linotype" w:hAnsi="Palatino Linotype" w:cstheme="minorHAnsi"/>
          <w:sz w:val="18"/>
          <w:szCs w:val="18"/>
          <w:lang w:val="en-GB"/>
        </w:rPr>
        <w:t>°</w:t>
      </w:r>
      <w:r w:rsidR="00EF6B90" w:rsidRPr="00077690">
        <w:rPr>
          <w:rFonts w:ascii="Palatino Linotype" w:hAnsi="Palatino Linotype"/>
          <w:sz w:val="18"/>
          <w:szCs w:val="18"/>
          <w:lang w:val="en-GB"/>
        </w:rPr>
        <w:t xml:space="preserve">C and in a reaction time </w:t>
      </w:r>
      <w:r w:rsidR="005F367D" w:rsidRPr="00077690">
        <w:rPr>
          <w:rFonts w:ascii="Palatino Linotype" w:hAnsi="Palatino Linotype"/>
          <w:sz w:val="18"/>
          <w:szCs w:val="18"/>
          <w:lang w:val="en-GB"/>
        </w:rPr>
        <w:t xml:space="preserve">between </w:t>
      </w:r>
      <w:r w:rsidR="00DE7111" w:rsidRPr="00077690">
        <w:rPr>
          <w:rFonts w:ascii="Palatino Linotype" w:hAnsi="Palatino Linotype"/>
          <w:sz w:val="18"/>
          <w:szCs w:val="18"/>
          <w:lang w:val="en-GB"/>
        </w:rPr>
        <w:t>5</w:t>
      </w:r>
      <w:r w:rsidR="005F367D" w:rsidRPr="00077690">
        <w:rPr>
          <w:rFonts w:ascii="Palatino Linotype" w:hAnsi="Palatino Linotype"/>
          <w:sz w:val="18"/>
          <w:szCs w:val="18"/>
          <w:lang w:val="en-GB"/>
        </w:rPr>
        <w:t xml:space="preserve"> and 8 </w:t>
      </w:r>
      <w:r w:rsidR="001032F7" w:rsidRPr="00077690">
        <w:rPr>
          <w:rFonts w:ascii="Palatino Linotype" w:hAnsi="Palatino Linotype"/>
          <w:sz w:val="18"/>
          <w:szCs w:val="18"/>
          <w:lang w:val="en-GB"/>
        </w:rPr>
        <w:t>minutes</w:t>
      </w:r>
      <w:r w:rsidR="005F367D" w:rsidRPr="00077690">
        <w:rPr>
          <w:rFonts w:ascii="Palatino Linotype" w:hAnsi="Palatino Linotype"/>
          <w:sz w:val="18"/>
          <w:szCs w:val="18"/>
          <w:lang w:val="en-GB"/>
        </w:rPr>
        <w:t xml:space="preserve">. </w:t>
      </w:r>
      <w:r w:rsidR="009D2677">
        <w:rPr>
          <w:rFonts w:ascii="Palatino Linotype" w:hAnsi="Palatino Linotype"/>
          <w:sz w:val="18"/>
          <w:szCs w:val="18"/>
          <w:lang w:val="en-GB"/>
        </w:rPr>
        <w:t>Evaluation of TBARS was made manually using a microplate reader (</w:t>
      </w:r>
      <w:proofErr w:type="spellStart"/>
      <w:r w:rsidR="009D2677">
        <w:rPr>
          <w:rFonts w:ascii="Palatino Linotype" w:hAnsi="Palatino Linotype"/>
          <w:sz w:val="18"/>
          <w:szCs w:val="18"/>
          <w:lang w:val="en-GB"/>
        </w:rPr>
        <w:t>Powerwave</w:t>
      </w:r>
      <w:proofErr w:type="spellEnd"/>
      <w:r w:rsidR="009D2677">
        <w:rPr>
          <w:rFonts w:ascii="Palatino Linotype" w:hAnsi="Palatino Linotype"/>
          <w:sz w:val="18"/>
          <w:szCs w:val="18"/>
          <w:lang w:val="en-GB"/>
        </w:rPr>
        <w:t xml:space="preserve">, XS, </w:t>
      </w:r>
      <w:proofErr w:type="spellStart"/>
      <w:r w:rsidR="009D2677">
        <w:rPr>
          <w:rFonts w:ascii="Palatino Linotype" w:hAnsi="Palatino Linotype"/>
          <w:sz w:val="18"/>
          <w:szCs w:val="18"/>
          <w:lang w:val="en-GB"/>
        </w:rPr>
        <w:t>Biotek</w:t>
      </w:r>
      <w:proofErr w:type="spellEnd"/>
      <w:r w:rsidR="009D2677">
        <w:rPr>
          <w:rFonts w:ascii="Palatino Linotype" w:hAnsi="Palatino Linotype"/>
          <w:sz w:val="18"/>
          <w:szCs w:val="18"/>
          <w:lang w:val="en-GB"/>
        </w:rPr>
        <w:t xml:space="preserve"> instruments).</w:t>
      </w:r>
    </w:p>
    <w:sectPr w:rsidR="005F5AB8" w:rsidSect="00CB58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0MLY0NjY1NzU1MTVQ0lEKTi0uzszPAykwrQUAVzQMOCwAAAA="/>
  </w:docVars>
  <w:rsids>
    <w:rsidRoot w:val="00C208FA"/>
    <w:rsid w:val="00077690"/>
    <w:rsid w:val="000A2D8E"/>
    <w:rsid w:val="001032F7"/>
    <w:rsid w:val="00181B76"/>
    <w:rsid w:val="001870A6"/>
    <w:rsid w:val="001C734D"/>
    <w:rsid w:val="001F5E85"/>
    <w:rsid w:val="002027BD"/>
    <w:rsid w:val="0025412D"/>
    <w:rsid w:val="00257877"/>
    <w:rsid w:val="00273DB1"/>
    <w:rsid w:val="0029017B"/>
    <w:rsid w:val="0029428C"/>
    <w:rsid w:val="002A6291"/>
    <w:rsid w:val="002B472D"/>
    <w:rsid w:val="002D1636"/>
    <w:rsid w:val="002E3B03"/>
    <w:rsid w:val="002F50F4"/>
    <w:rsid w:val="002F5677"/>
    <w:rsid w:val="002F71B9"/>
    <w:rsid w:val="003065BB"/>
    <w:rsid w:val="00342A9E"/>
    <w:rsid w:val="00373D9B"/>
    <w:rsid w:val="003A49FA"/>
    <w:rsid w:val="003D4FFF"/>
    <w:rsid w:val="004576E5"/>
    <w:rsid w:val="004A1EEF"/>
    <w:rsid w:val="004F7162"/>
    <w:rsid w:val="00581677"/>
    <w:rsid w:val="005A308F"/>
    <w:rsid w:val="005B7913"/>
    <w:rsid w:val="005F367D"/>
    <w:rsid w:val="005F5AB8"/>
    <w:rsid w:val="006A2804"/>
    <w:rsid w:val="006C26C1"/>
    <w:rsid w:val="006F5F94"/>
    <w:rsid w:val="00727CF5"/>
    <w:rsid w:val="00736B57"/>
    <w:rsid w:val="00742C5F"/>
    <w:rsid w:val="00755D47"/>
    <w:rsid w:val="007B38AE"/>
    <w:rsid w:val="007B3F22"/>
    <w:rsid w:val="007B6A96"/>
    <w:rsid w:val="007E3FBC"/>
    <w:rsid w:val="007E6BF1"/>
    <w:rsid w:val="007E78CA"/>
    <w:rsid w:val="008134BA"/>
    <w:rsid w:val="0087113E"/>
    <w:rsid w:val="00887630"/>
    <w:rsid w:val="008B3670"/>
    <w:rsid w:val="008C1C92"/>
    <w:rsid w:val="008C77A9"/>
    <w:rsid w:val="008D3204"/>
    <w:rsid w:val="008F07FE"/>
    <w:rsid w:val="008F2DA5"/>
    <w:rsid w:val="009036BE"/>
    <w:rsid w:val="0094262D"/>
    <w:rsid w:val="00967798"/>
    <w:rsid w:val="009D2677"/>
    <w:rsid w:val="009F00AC"/>
    <w:rsid w:val="009F09DA"/>
    <w:rsid w:val="009F0B6B"/>
    <w:rsid w:val="009F6776"/>
    <w:rsid w:val="00A11C77"/>
    <w:rsid w:val="00A2263D"/>
    <w:rsid w:val="00A232A5"/>
    <w:rsid w:val="00A36AC4"/>
    <w:rsid w:val="00A55CE2"/>
    <w:rsid w:val="00AB741D"/>
    <w:rsid w:val="00AD23CC"/>
    <w:rsid w:val="00AE3B5C"/>
    <w:rsid w:val="00B11622"/>
    <w:rsid w:val="00B32D81"/>
    <w:rsid w:val="00B81993"/>
    <w:rsid w:val="00BA03FE"/>
    <w:rsid w:val="00BD7115"/>
    <w:rsid w:val="00BF2570"/>
    <w:rsid w:val="00C208FA"/>
    <w:rsid w:val="00C9590B"/>
    <w:rsid w:val="00CB5822"/>
    <w:rsid w:val="00CD1E17"/>
    <w:rsid w:val="00CE267B"/>
    <w:rsid w:val="00D16CF2"/>
    <w:rsid w:val="00D241A4"/>
    <w:rsid w:val="00D83208"/>
    <w:rsid w:val="00D96FB6"/>
    <w:rsid w:val="00DA55ED"/>
    <w:rsid w:val="00DE7111"/>
    <w:rsid w:val="00DF4E23"/>
    <w:rsid w:val="00E00A08"/>
    <w:rsid w:val="00E4530F"/>
    <w:rsid w:val="00E504A5"/>
    <w:rsid w:val="00E80436"/>
    <w:rsid w:val="00E8766D"/>
    <w:rsid w:val="00EB00AC"/>
    <w:rsid w:val="00EB0812"/>
    <w:rsid w:val="00EE1E38"/>
    <w:rsid w:val="00EF6B90"/>
    <w:rsid w:val="00F00EF9"/>
    <w:rsid w:val="00F1496E"/>
    <w:rsid w:val="00F31B4D"/>
    <w:rsid w:val="00F67C87"/>
    <w:rsid w:val="00F9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C6EF9"/>
  <w15:chartTrackingRefBased/>
  <w15:docId w15:val="{734FA6E5-D8D4-4C4E-B1F4-490A0932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42C5F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val="en-US"/>
    </w:rPr>
  </w:style>
  <w:style w:type="table" w:styleId="TableGridLight">
    <w:name w:val="Grid Table Light"/>
    <w:basedOn w:val="TableNormal"/>
    <w:uiPriority w:val="40"/>
    <w:rsid w:val="00742C5F"/>
    <w:pPr>
      <w:spacing w:after="0" w:line="240" w:lineRule="auto"/>
      <w:jc w:val="both"/>
    </w:pPr>
    <w:rPr>
      <w:rFonts w:ascii="Palatino Linotype" w:eastAsiaTheme="minorEastAsia" w:hAnsi="Palatino Linotype" w:cs="Times New Roman"/>
      <w:color w:val="000000"/>
      <w:sz w:val="20"/>
      <w:szCs w:val="20"/>
      <w:lang w:val="en-US"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link w:val="BodyTextChar"/>
    <w:rsid w:val="008F2DA5"/>
    <w:pPr>
      <w:spacing w:after="120" w:line="340" w:lineRule="atLeast"/>
      <w:jc w:val="both"/>
    </w:pPr>
    <w:rPr>
      <w:rFonts w:ascii="Palatino Linotype" w:eastAsiaTheme="minorEastAsia" w:hAnsi="Palatino Linotype" w:cs="Times New Roman"/>
      <w:color w:val="000000"/>
      <w:sz w:val="24"/>
      <w:szCs w:val="20"/>
      <w:lang w:val="en-US" w:eastAsia="de-DE"/>
    </w:rPr>
  </w:style>
  <w:style w:type="character" w:customStyle="1" w:styleId="BodyTextChar">
    <w:name w:val="Body Text Char"/>
    <w:basedOn w:val="DefaultParagraphFont"/>
    <w:link w:val="BodyText"/>
    <w:rsid w:val="008F2DA5"/>
    <w:rPr>
      <w:rFonts w:ascii="Palatino Linotype" w:eastAsiaTheme="minorEastAsia" w:hAnsi="Palatino Linotype" w:cs="Times New Roman"/>
      <w:color w:val="000000"/>
      <w:sz w:val="24"/>
      <w:szCs w:val="20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43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436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426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5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Peres Rubio</dc:creator>
  <cp:keywords/>
  <dc:description/>
  <cp:lastModifiedBy>Luis Guillermo Gonzalez Arostegui</cp:lastModifiedBy>
  <cp:revision>3</cp:revision>
  <dcterms:created xsi:type="dcterms:W3CDTF">2023-01-08T10:44:00Z</dcterms:created>
  <dcterms:modified xsi:type="dcterms:W3CDTF">2023-01-12T16:11:00Z</dcterms:modified>
</cp:coreProperties>
</file>